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7E51DE14" w14:textId="268344A6" w:rsidR="006E5C46" w:rsidRPr="00C572E0" w:rsidRDefault="00070479" w:rsidP="006E5C46">
      <w:pPr>
        <w:tabs>
          <w:tab w:val="center" w:pos="4536"/>
          <w:tab w:val="right" w:pos="8280"/>
          <w:tab w:val="right" w:pos="9639"/>
        </w:tabs>
        <w:ind w:right="2"/>
        <w:rPr>
          <w:rFonts w:ascii="Arial" w:eastAsia="Batang" w:hAnsi="Arial" w:cs="Arial"/>
          <w:b/>
          <w:bCs/>
          <w:sz w:val="28"/>
        </w:rPr>
      </w:pPr>
      <w:bookmarkStart w:id="0" w:name="_Hlk4231204"/>
      <w:bookmarkStart w:id="1" w:name="_Ref513464071"/>
      <w:r>
        <w:rPr>
          <w:rFonts w:ascii="Arial" w:eastAsia="Batang" w:hAnsi="Arial" w:cs="Arial"/>
          <w:b/>
          <w:bCs/>
          <w:sz w:val="28"/>
        </w:rPr>
        <w:t>f</w:t>
      </w:r>
      <w:r w:rsidR="006E5C46" w:rsidRPr="00C572E0">
        <w:rPr>
          <w:rFonts w:ascii="Arial" w:eastAsia="Batang" w:hAnsi="Arial" w:cs="Arial"/>
          <w:b/>
          <w:bCs/>
          <w:sz w:val="28"/>
        </w:rPr>
        <w:t>3GPP TSG RAN WG1 #103-e</w:t>
      </w:r>
      <w:r w:rsidR="006E5C46" w:rsidRPr="00C572E0">
        <w:rPr>
          <w:rFonts w:ascii="Arial" w:eastAsia="Batang" w:hAnsi="Arial" w:cs="Arial"/>
          <w:b/>
          <w:bCs/>
          <w:sz w:val="28"/>
        </w:rPr>
        <w:tab/>
      </w:r>
      <w:r w:rsidR="006E5C46" w:rsidRPr="00C572E0">
        <w:rPr>
          <w:rFonts w:ascii="Arial" w:eastAsia="Batang" w:hAnsi="Arial" w:cs="Arial"/>
          <w:b/>
          <w:bCs/>
          <w:sz w:val="28"/>
        </w:rPr>
        <w:tab/>
      </w:r>
      <w:r w:rsidR="006E5C46" w:rsidRPr="00C572E0">
        <w:rPr>
          <w:rFonts w:ascii="Arial" w:eastAsia="Batang" w:hAnsi="Arial" w:cs="Arial"/>
          <w:b/>
          <w:bCs/>
          <w:sz w:val="28"/>
        </w:rPr>
        <w:tab/>
        <w:t>R1-200</w:t>
      </w:r>
      <w:r w:rsidR="00C572E0" w:rsidRPr="00C572E0">
        <w:rPr>
          <w:rFonts w:ascii="Arial" w:eastAsia="Batang" w:hAnsi="Arial" w:cs="Arial"/>
          <w:b/>
          <w:bCs/>
          <w:sz w:val="28"/>
        </w:rPr>
        <w:t>9117</w:t>
      </w:r>
    </w:p>
    <w:p w14:paraId="25C1A34C" w14:textId="77777777" w:rsidR="006E5C46" w:rsidRPr="00AC102C" w:rsidRDefault="006E5C46" w:rsidP="006E5C46">
      <w:pPr>
        <w:tabs>
          <w:tab w:val="center" w:pos="4536"/>
          <w:tab w:val="right" w:pos="9072"/>
        </w:tabs>
        <w:rPr>
          <w:rFonts w:ascii="Arial" w:eastAsia="MS Mincho" w:hAnsi="Arial" w:cs="Arial"/>
          <w:b/>
          <w:bCs/>
          <w:sz w:val="28"/>
          <w:lang w:eastAsia="ja-JP"/>
        </w:rPr>
      </w:pPr>
      <w:r w:rsidRPr="00C572E0">
        <w:rPr>
          <w:rFonts w:ascii="Arial" w:eastAsia="MS Mincho" w:hAnsi="Arial" w:cs="Arial"/>
          <w:b/>
          <w:bCs/>
          <w:sz w:val="28"/>
          <w:lang w:eastAsia="ja-JP"/>
        </w:rPr>
        <w:t>e-Meeting, October 26</w:t>
      </w:r>
      <w:r w:rsidRPr="00C572E0">
        <w:rPr>
          <w:rFonts w:ascii="Arial" w:eastAsia="MS Mincho" w:hAnsi="Arial" w:cs="Arial"/>
          <w:b/>
          <w:bCs/>
          <w:sz w:val="28"/>
          <w:vertAlign w:val="superscript"/>
          <w:lang w:eastAsia="ja-JP"/>
        </w:rPr>
        <w:t>th</w:t>
      </w:r>
      <w:r w:rsidRPr="00C572E0">
        <w:rPr>
          <w:rFonts w:ascii="Arial" w:eastAsia="MS Mincho" w:hAnsi="Arial" w:cs="Arial"/>
          <w:b/>
          <w:bCs/>
          <w:sz w:val="28"/>
          <w:lang w:eastAsia="ja-JP"/>
        </w:rPr>
        <w:t xml:space="preserve"> – November 13</w:t>
      </w:r>
      <w:r w:rsidRPr="00C572E0">
        <w:rPr>
          <w:rFonts w:ascii="Arial" w:eastAsia="MS Mincho" w:hAnsi="Arial" w:cs="Arial"/>
          <w:b/>
          <w:bCs/>
          <w:sz w:val="28"/>
          <w:vertAlign w:val="superscript"/>
          <w:lang w:eastAsia="ja-JP"/>
        </w:rPr>
        <w:t>th</w:t>
      </w:r>
      <w:r w:rsidRPr="00C572E0">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49CAB74"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On UL time/frequency synchronization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3DECD509"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102-e</w:t>
      </w:r>
      <w:r w:rsidRPr="008924A3">
        <w:rPr>
          <w:rFonts w:ascii="Arial" w:hAnsi="Arial" w:cs="Arial"/>
        </w:rPr>
        <w:t xml:space="preserve">, </w:t>
      </w:r>
      <w:r w:rsidR="0014634B">
        <w:rPr>
          <w:rFonts w:ascii="Arial" w:hAnsi="Arial" w:cs="Arial"/>
        </w:rPr>
        <w:t>the following agreement has been made as a progress for the UL time/frequency synchronization</w:t>
      </w:r>
      <w:r w:rsidRPr="008924A3">
        <w:rPr>
          <w:rFonts w:ascii="Arial" w:hAnsi="Arial" w:cs="Arial"/>
        </w:rPr>
        <w:t xml:space="preserve"> [1]: </w:t>
      </w:r>
    </w:p>
    <w:p w14:paraId="05067D13" w14:textId="77777777" w:rsidR="0014634B" w:rsidRDefault="0014634B" w:rsidP="0014634B">
      <w:pPr>
        <w:rPr>
          <w:highlight w:val="green"/>
          <w:lang w:eastAsia="x-none"/>
        </w:rPr>
      </w:pPr>
    </w:p>
    <w:p w14:paraId="641F7798" w14:textId="74809CA6" w:rsidR="0014634B" w:rsidRPr="0014634B" w:rsidRDefault="0014634B" w:rsidP="0014634B">
      <w:pPr>
        <w:rPr>
          <w:rFonts w:ascii="Times New Roman" w:hAnsi="Times New Roman" w:cs="Times New Roman"/>
          <w:i/>
          <w:iCs/>
          <w:lang w:eastAsia="x-none"/>
        </w:rPr>
      </w:pPr>
      <w:r w:rsidRPr="0014634B">
        <w:rPr>
          <w:rFonts w:ascii="Times New Roman" w:hAnsi="Times New Roman" w:cs="Times New Roman"/>
          <w:i/>
          <w:iCs/>
          <w:highlight w:val="green"/>
          <w:lang w:eastAsia="x-none"/>
        </w:rPr>
        <w:t>Agreement:</w:t>
      </w:r>
    </w:p>
    <w:p w14:paraId="263BE7D3" w14:textId="77777777" w:rsidR="0014634B" w:rsidRPr="0014634B" w:rsidRDefault="0014634B" w:rsidP="0014634B">
      <w:pPr>
        <w:numPr>
          <w:ilvl w:val="0"/>
          <w:numId w:val="37"/>
        </w:numPr>
        <w:rPr>
          <w:rFonts w:ascii="Times New Roman" w:hAnsi="Times New Roman" w:cs="Times New Roman"/>
          <w:i/>
          <w:iCs/>
          <w:lang w:val="en-GB" w:eastAsia="x-none"/>
        </w:rPr>
      </w:pPr>
      <w:r w:rsidRPr="0014634B">
        <w:rPr>
          <w:rFonts w:ascii="Times New Roman" w:hAnsi="Times New Roman" w:cs="Times New Roman"/>
          <w:i/>
          <w:iCs/>
          <w:lang w:eastAsia="x-none"/>
        </w:rPr>
        <w:t>In Rel-17 NR NTN, at least support UE which can derive based on its GNSS implementation one or more of:</w:t>
      </w:r>
    </w:p>
    <w:p w14:paraId="633948D1" w14:textId="77777777" w:rsidR="0014634B" w:rsidRPr="0014634B" w:rsidRDefault="0014634B" w:rsidP="0014634B">
      <w:pPr>
        <w:numPr>
          <w:ilvl w:val="1"/>
          <w:numId w:val="37"/>
        </w:numPr>
        <w:rPr>
          <w:rFonts w:ascii="Times New Roman" w:hAnsi="Times New Roman" w:cs="Times New Roman"/>
          <w:i/>
          <w:iCs/>
          <w:lang w:eastAsia="x-none"/>
        </w:rPr>
      </w:pPr>
      <w:r w:rsidRPr="0014634B">
        <w:rPr>
          <w:rFonts w:ascii="Times New Roman" w:hAnsi="Times New Roman" w:cs="Times New Roman"/>
          <w:i/>
          <w:iCs/>
          <w:lang w:eastAsia="x-none"/>
        </w:rPr>
        <w:t xml:space="preserve">its position </w:t>
      </w:r>
    </w:p>
    <w:p w14:paraId="27AB587D" w14:textId="77777777" w:rsidR="0014634B" w:rsidRPr="0014634B" w:rsidRDefault="0014634B" w:rsidP="0014634B">
      <w:pPr>
        <w:numPr>
          <w:ilvl w:val="1"/>
          <w:numId w:val="37"/>
        </w:numPr>
        <w:rPr>
          <w:rFonts w:ascii="Times New Roman" w:hAnsi="Times New Roman" w:cs="Times New Roman"/>
          <w:i/>
          <w:iCs/>
          <w:lang w:eastAsia="x-none"/>
        </w:rPr>
      </w:pPr>
      <w:r w:rsidRPr="0014634B">
        <w:rPr>
          <w:rFonts w:ascii="Times New Roman" w:hAnsi="Times New Roman" w:cs="Times New Roman"/>
          <w:i/>
          <w:iCs/>
          <w:lang w:eastAsia="x-none"/>
        </w:rPr>
        <w:t>a reference time and frequency</w:t>
      </w:r>
    </w:p>
    <w:p w14:paraId="736E6FBA" w14:textId="77777777" w:rsidR="0014634B" w:rsidRPr="0014634B" w:rsidRDefault="0014634B" w:rsidP="0014634B">
      <w:pPr>
        <w:numPr>
          <w:ilvl w:val="0"/>
          <w:numId w:val="37"/>
        </w:numPr>
        <w:rPr>
          <w:rFonts w:ascii="Times New Roman" w:hAnsi="Times New Roman" w:cs="Times New Roman"/>
          <w:i/>
          <w:iCs/>
          <w:lang w:eastAsia="x-none"/>
        </w:rPr>
      </w:pPr>
      <w:r w:rsidRPr="0014634B">
        <w:rPr>
          <w:rFonts w:ascii="Times New Roman" w:hAnsi="Times New Roman" w:cs="Times New Roman"/>
          <w:i/>
          <w:iCs/>
          <w:lang w:eastAsia="x-none"/>
        </w:rPr>
        <w:t xml:space="preserve">And, based on one or more of these elements together with additional information (e.g., serving satellite ephemeris or timestamp) </w:t>
      </w:r>
      <w:proofErr w:type="spellStart"/>
      <w:r w:rsidRPr="0014634B">
        <w:rPr>
          <w:rFonts w:ascii="Times New Roman" w:hAnsi="Times New Roman" w:cs="Times New Roman"/>
          <w:i/>
          <w:iCs/>
          <w:lang w:eastAsia="x-none"/>
        </w:rPr>
        <w:t>signalled</w:t>
      </w:r>
      <w:proofErr w:type="spellEnd"/>
      <w:r w:rsidRPr="0014634B">
        <w:rPr>
          <w:rFonts w:ascii="Times New Roman" w:hAnsi="Times New Roman" w:cs="Times New Roman"/>
          <w:i/>
          <w:iCs/>
          <w:lang w:eastAsia="x-none"/>
        </w:rPr>
        <w:t xml:space="preserve"> by the network, can compute timing and frequency, and apply timing advance and frequency adjustment at least for UE in RRC idle/inactive mode.</w:t>
      </w:r>
    </w:p>
    <w:p w14:paraId="6EC114E0" w14:textId="77777777" w:rsidR="0014634B" w:rsidRPr="0014634B" w:rsidRDefault="0014634B" w:rsidP="0014634B">
      <w:pPr>
        <w:numPr>
          <w:ilvl w:val="0"/>
          <w:numId w:val="37"/>
        </w:numPr>
        <w:rPr>
          <w:rFonts w:ascii="Times New Roman" w:hAnsi="Times New Roman" w:cs="Times New Roman"/>
          <w:i/>
          <w:iCs/>
          <w:lang w:eastAsia="x-none"/>
        </w:rPr>
      </w:pPr>
      <w:r w:rsidRPr="0014634B">
        <w:rPr>
          <w:rFonts w:ascii="Times New Roman" w:hAnsi="Times New Roman" w:cs="Times New Roman"/>
          <w:i/>
          <w:iCs/>
          <w:lang w:eastAsia="x-none"/>
        </w:rPr>
        <w:t xml:space="preserve">FFS:  Details on additional information </w:t>
      </w:r>
      <w:proofErr w:type="spellStart"/>
      <w:r w:rsidRPr="0014634B">
        <w:rPr>
          <w:rFonts w:ascii="Times New Roman" w:hAnsi="Times New Roman" w:cs="Times New Roman"/>
          <w:i/>
          <w:iCs/>
          <w:lang w:eastAsia="x-none"/>
        </w:rPr>
        <w:t>signalled</w:t>
      </w:r>
      <w:proofErr w:type="spellEnd"/>
      <w:r w:rsidRPr="0014634B">
        <w:rPr>
          <w:rFonts w:ascii="Times New Roman" w:hAnsi="Times New Roman" w:cs="Times New Roman"/>
          <w:i/>
          <w:iCs/>
          <w:lang w:eastAsia="x-none"/>
        </w:rPr>
        <w:t xml:space="preserve"> from network</w:t>
      </w:r>
    </w:p>
    <w:p w14:paraId="004ABB35" w14:textId="77777777" w:rsidR="0014634B" w:rsidRPr="0014634B" w:rsidRDefault="0014634B" w:rsidP="0014634B">
      <w:pPr>
        <w:rPr>
          <w:rFonts w:ascii="Times New Roman" w:hAnsi="Times New Roman" w:cs="Times New Roman"/>
          <w:i/>
          <w:iCs/>
          <w:lang w:eastAsia="x-none"/>
        </w:rPr>
      </w:pPr>
    </w:p>
    <w:p w14:paraId="4DFC8E09" w14:textId="77777777" w:rsidR="0014634B" w:rsidRPr="0014634B" w:rsidRDefault="0014634B" w:rsidP="0014634B">
      <w:pPr>
        <w:rPr>
          <w:rFonts w:ascii="Times New Roman" w:hAnsi="Times New Roman" w:cs="Times New Roman"/>
          <w:i/>
          <w:iCs/>
          <w:lang w:eastAsia="x-none"/>
        </w:rPr>
      </w:pPr>
      <w:r w:rsidRPr="0014634B">
        <w:rPr>
          <w:rFonts w:ascii="Times New Roman" w:hAnsi="Times New Roman" w:cs="Times New Roman"/>
          <w:i/>
          <w:iCs/>
          <w:highlight w:val="green"/>
          <w:lang w:eastAsia="x-none"/>
        </w:rPr>
        <w:t>Agreement:</w:t>
      </w:r>
    </w:p>
    <w:p w14:paraId="6CE1C86F" w14:textId="77777777" w:rsidR="0014634B" w:rsidRPr="0014634B" w:rsidRDefault="0014634B" w:rsidP="0014634B">
      <w:pPr>
        <w:rPr>
          <w:rFonts w:ascii="Times New Roman" w:hAnsi="Times New Roman" w:cs="Times New Roman"/>
          <w:i/>
          <w:iCs/>
          <w:lang w:eastAsia="x-none"/>
        </w:rPr>
      </w:pPr>
      <w:r w:rsidRPr="0014634B">
        <w:rPr>
          <w:rFonts w:ascii="Times New Roman" w:hAnsi="Times New Roman" w:cs="Times New Roman"/>
          <w:i/>
          <w:iCs/>
          <w:lang w:eastAsia="x-none"/>
        </w:rPr>
        <w:t>In case of GNSS-assisted TA acquisition in RRC idle/inactive mode, the UE calculates its TA based on the following potential contributions:</w:t>
      </w:r>
    </w:p>
    <w:p w14:paraId="2CD33865" w14:textId="77777777" w:rsidR="0014634B" w:rsidRPr="0014634B" w:rsidRDefault="0014634B" w:rsidP="0014634B">
      <w:pPr>
        <w:numPr>
          <w:ilvl w:val="0"/>
          <w:numId w:val="37"/>
        </w:numPr>
        <w:rPr>
          <w:rFonts w:ascii="Times New Roman" w:hAnsi="Times New Roman" w:cs="Times New Roman"/>
          <w:i/>
          <w:iCs/>
          <w:lang w:val="en-GB" w:eastAsia="x-none"/>
        </w:rPr>
      </w:pPr>
      <w:r w:rsidRPr="0014634B">
        <w:rPr>
          <w:rFonts w:ascii="Times New Roman" w:hAnsi="Times New Roman" w:cs="Times New Roman"/>
          <w:i/>
          <w:iCs/>
          <w:lang w:eastAsia="x-none"/>
        </w:rPr>
        <w:t>The User specific TA which is estimated by the UE:</w:t>
      </w:r>
    </w:p>
    <w:p w14:paraId="3E274E16" w14:textId="77777777" w:rsidR="0014634B" w:rsidRPr="0014634B" w:rsidRDefault="0014634B" w:rsidP="0014634B">
      <w:pPr>
        <w:numPr>
          <w:ilvl w:val="1"/>
          <w:numId w:val="37"/>
        </w:numPr>
        <w:rPr>
          <w:rFonts w:ascii="Times New Roman" w:hAnsi="Times New Roman" w:cs="Times New Roman"/>
          <w:i/>
          <w:iCs/>
          <w:lang w:eastAsia="x-none"/>
        </w:rPr>
      </w:pPr>
      <w:r w:rsidRPr="0014634B">
        <w:rPr>
          <w:rFonts w:ascii="Times New Roman" w:hAnsi="Times New Roman" w:cs="Times New Roman"/>
          <w:i/>
          <w:iCs/>
          <w:lang w:eastAsia="x-none"/>
        </w:rPr>
        <w:t>Option 1: The User specific TA is estimated by the UE based on its GNSS acquired position together with the serving satellite ephemeris indicated by the network:</w:t>
      </w:r>
    </w:p>
    <w:p w14:paraId="04EB8234" w14:textId="77777777" w:rsidR="0014634B" w:rsidRPr="0014634B" w:rsidRDefault="0014634B" w:rsidP="0014634B">
      <w:pPr>
        <w:numPr>
          <w:ilvl w:val="2"/>
          <w:numId w:val="37"/>
        </w:numPr>
        <w:rPr>
          <w:rFonts w:ascii="Times New Roman" w:hAnsi="Times New Roman" w:cs="Times New Roman"/>
          <w:i/>
          <w:iCs/>
          <w:lang w:eastAsia="x-none"/>
        </w:rPr>
      </w:pPr>
      <w:r w:rsidRPr="0014634B">
        <w:rPr>
          <w:rFonts w:ascii="Times New Roman" w:hAnsi="Times New Roman" w:cs="Times New Roman"/>
          <w:i/>
          <w:iCs/>
          <w:lang w:eastAsia="x-none"/>
        </w:rPr>
        <w:t xml:space="preserve">FFS: Details on serving satellite ephemeris indication </w:t>
      </w:r>
    </w:p>
    <w:p w14:paraId="59EEC10F" w14:textId="41B57F21" w:rsidR="0014634B" w:rsidRPr="0014634B" w:rsidRDefault="0014634B" w:rsidP="0014634B">
      <w:pPr>
        <w:numPr>
          <w:ilvl w:val="1"/>
          <w:numId w:val="37"/>
        </w:numPr>
        <w:rPr>
          <w:rFonts w:ascii="Times New Roman" w:hAnsi="Times New Roman" w:cs="Times New Roman"/>
          <w:i/>
          <w:iCs/>
          <w:lang w:eastAsia="x-none"/>
        </w:rPr>
      </w:pPr>
      <w:r w:rsidRPr="0014634B">
        <w:rPr>
          <w:rFonts w:ascii="Times New Roman" w:hAnsi="Times New Roman" w:cs="Times New Roman"/>
          <w:i/>
          <w:iCs/>
          <w:lang w:eastAsia="x-none"/>
        </w:rPr>
        <w:t>Option 2: The User specific TA is estimated by the UE based on the GNSS acquired reference time at UE together with reference time as indicated by the network</w:t>
      </w:r>
    </w:p>
    <w:p w14:paraId="377130D2" w14:textId="77777777" w:rsidR="0014634B" w:rsidRPr="0014634B" w:rsidRDefault="0014634B" w:rsidP="0014634B">
      <w:pPr>
        <w:numPr>
          <w:ilvl w:val="0"/>
          <w:numId w:val="37"/>
        </w:numPr>
        <w:rPr>
          <w:rFonts w:ascii="Times New Roman" w:hAnsi="Times New Roman" w:cs="Times New Roman"/>
          <w:i/>
          <w:iCs/>
          <w:lang w:eastAsia="x-none"/>
        </w:rPr>
      </w:pPr>
      <w:r w:rsidRPr="0014634B">
        <w:rPr>
          <w:rFonts w:ascii="Times New Roman" w:hAnsi="Times New Roman" w:cs="Times New Roman"/>
          <w:i/>
          <w:iCs/>
          <w:lang w:eastAsia="x-none"/>
        </w:rPr>
        <w:t>The Common TA if indicated by the network:</w:t>
      </w:r>
    </w:p>
    <w:p w14:paraId="0C6AB000" w14:textId="77777777" w:rsidR="0014634B" w:rsidRPr="0014634B" w:rsidRDefault="0014634B" w:rsidP="0014634B">
      <w:pPr>
        <w:numPr>
          <w:ilvl w:val="1"/>
          <w:numId w:val="37"/>
        </w:numPr>
        <w:rPr>
          <w:rFonts w:ascii="Times New Roman" w:hAnsi="Times New Roman" w:cs="Times New Roman"/>
          <w:i/>
          <w:iCs/>
          <w:lang w:eastAsia="x-none"/>
        </w:rPr>
      </w:pPr>
      <w:r w:rsidRPr="0014634B">
        <w:rPr>
          <w:rFonts w:ascii="Times New Roman" w:hAnsi="Times New Roman" w:cs="Times New Roman"/>
          <w:i/>
          <w:iCs/>
          <w:lang w:eastAsia="x-none"/>
        </w:rPr>
        <w:t xml:space="preserve">FFS: The need and details of Common TA indication </w:t>
      </w:r>
    </w:p>
    <w:p w14:paraId="73EE9CF4" w14:textId="77777777" w:rsidR="0014634B" w:rsidRPr="0014634B" w:rsidRDefault="0014634B" w:rsidP="0014634B">
      <w:pPr>
        <w:numPr>
          <w:ilvl w:val="0"/>
          <w:numId w:val="37"/>
        </w:numPr>
        <w:rPr>
          <w:rFonts w:ascii="Times New Roman" w:hAnsi="Times New Roman" w:cs="Times New Roman"/>
          <w:i/>
          <w:iCs/>
          <w:lang w:eastAsia="x-none"/>
        </w:rPr>
      </w:pPr>
      <w:r w:rsidRPr="0014634B">
        <w:rPr>
          <w:rFonts w:ascii="Times New Roman" w:hAnsi="Times New Roman" w:cs="Times New Roman"/>
          <w:i/>
          <w:iCs/>
          <w:lang w:eastAsia="x-none"/>
        </w:rPr>
        <w:t>FFS: The TA margin, if needed and indicated by the network (in order to account for the TA estimation uncertainty)</w:t>
      </w:r>
    </w:p>
    <w:p w14:paraId="6554F996" w14:textId="77777777" w:rsidR="008039A6" w:rsidRPr="008924A3" w:rsidRDefault="008039A6" w:rsidP="00637413">
      <w:pPr>
        <w:spacing w:line="276" w:lineRule="auto"/>
        <w:jc w:val="both"/>
        <w:rPr>
          <w:rFonts w:ascii="Arial" w:eastAsia="Malgun Gothic" w:hAnsi="Arial" w:cs="Arial"/>
        </w:rPr>
      </w:pPr>
    </w:p>
    <w:p w14:paraId="5AA248AD" w14:textId="4FD24951"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18E28F2B" w14:textId="2FAD9367" w:rsidR="00726B44" w:rsidRPr="008924A3" w:rsidRDefault="00726B44" w:rsidP="00726B44">
      <w:pPr>
        <w:pStyle w:val="Heading2"/>
        <w:rPr>
          <w:iCs/>
          <w:sz w:val="28"/>
          <w:szCs w:val="28"/>
        </w:rPr>
      </w:pPr>
      <w:r>
        <w:rPr>
          <w:iCs/>
          <w:sz w:val="28"/>
          <w:szCs w:val="28"/>
        </w:rPr>
        <w:t>UL tim</w:t>
      </w:r>
      <w:r w:rsidR="00D474E8">
        <w:rPr>
          <w:iCs/>
          <w:sz w:val="28"/>
          <w:szCs w:val="28"/>
        </w:rPr>
        <w:t>ing</w:t>
      </w:r>
      <w:r w:rsidR="006959AD">
        <w:rPr>
          <w:iCs/>
          <w:sz w:val="28"/>
          <w:szCs w:val="28"/>
        </w:rPr>
        <w:t xml:space="preserve"> offset compensation</w:t>
      </w:r>
    </w:p>
    <w:p w14:paraId="67475526" w14:textId="1DFD7E46" w:rsidR="00584C35" w:rsidRDefault="006B5F98" w:rsidP="007716CD">
      <w:pPr>
        <w:spacing w:after="120" w:line="276" w:lineRule="auto"/>
        <w:jc w:val="both"/>
        <w:rPr>
          <w:rFonts w:ascii="Arial" w:eastAsia="Calibri" w:hAnsi="Arial" w:cs="Arial"/>
          <w:bCs/>
        </w:rPr>
      </w:pPr>
      <w:r>
        <w:rPr>
          <w:rFonts w:ascii="Arial" w:eastAsia="Calibri" w:hAnsi="Arial" w:cs="Arial"/>
          <w:bCs/>
        </w:rPr>
        <w:t xml:space="preserve">Due to extremely large cell coverage and long round trip time (RTT), TA value determination and maintaining the TA value after initial access seems to be an essential issue needs to be addressed in Rel-17. Two options to determine TA value identified during Rel-16 study item such as UE autonomous calculation based on UE location and satellite ephemeris, and common TA value indicated from the network. RAN1 discussed those two options and made agreement that </w:t>
      </w:r>
      <w:r w:rsidR="00584C35">
        <w:rPr>
          <w:rFonts w:ascii="Arial" w:eastAsia="Calibri" w:hAnsi="Arial" w:cs="Arial"/>
          <w:bCs/>
        </w:rPr>
        <w:t xml:space="preserve">at least </w:t>
      </w:r>
      <w:r>
        <w:rPr>
          <w:rFonts w:ascii="Arial" w:eastAsia="Calibri" w:hAnsi="Arial" w:cs="Arial"/>
          <w:bCs/>
        </w:rPr>
        <w:t>UE-specific TA is estimated by the UE</w:t>
      </w:r>
      <w:r w:rsidR="00F26666">
        <w:rPr>
          <w:rFonts w:ascii="Arial" w:eastAsia="Calibri" w:hAnsi="Arial" w:cs="Arial"/>
          <w:bCs/>
        </w:rPr>
        <w:t xml:space="preserve"> </w:t>
      </w:r>
      <w:r w:rsidR="00584C35">
        <w:rPr>
          <w:rFonts w:ascii="Arial" w:eastAsia="Calibri" w:hAnsi="Arial" w:cs="Arial"/>
          <w:bCs/>
        </w:rPr>
        <w:t>based on the information acquired from GNSS and satellite</w:t>
      </w:r>
      <w:r>
        <w:rPr>
          <w:rFonts w:ascii="Arial" w:eastAsia="Calibri" w:hAnsi="Arial" w:cs="Arial"/>
          <w:bCs/>
        </w:rPr>
        <w:t>.</w:t>
      </w:r>
      <w:r w:rsidR="00584C35">
        <w:rPr>
          <w:rFonts w:ascii="Arial" w:eastAsia="Calibri" w:hAnsi="Arial" w:cs="Arial"/>
          <w:bCs/>
        </w:rPr>
        <w:t xml:space="preserve"> Therefore, the option using Common TA indication only is ruled out. However, how to determine the UE-specific TA and whether addition common TA indication is needed or not are still under discussion.</w:t>
      </w:r>
    </w:p>
    <w:p w14:paraId="125F4A3D" w14:textId="20E21494" w:rsidR="006B5F98" w:rsidRDefault="00584C35" w:rsidP="00570134">
      <w:pPr>
        <w:spacing w:after="120" w:line="276" w:lineRule="auto"/>
        <w:jc w:val="both"/>
        <w:rPr>
          <w:rFonts w:ascii="Arial" w:eastAsia="Calibri" w:hAnsi="Arial" w:cs="Arial"/>
          <w:bCs/>
        </w:rPr>
      </w:pPr>
      <w:r>
        <w:rPr>
          <w:rFonts w:ascii="Arial" w:eastAsia="Calibri" w:hAnsi="Arial" w:cs="Arial"/>
          <w:bCs/>
        </w:rPr>
        <w:t xml:space="preserve">Following two options have been listed </w:t>
      </w:r>
      <w:r w:rsidR="00D93601">
        <w:rPr>
          <w:rFonts w:ascii="Arial" w:eastAsia="Calibri" w:hAnsi="Arial" w:cs="Arial"/>
          <w:bCs/>
        </w:rPr>
        <w:t>for UE-specific TA estimation [1]:</w:t>
      </w:r>
    </w:p>
    <w:p w14:paraId="4B30263D" w14:textId="77777777" w:rsidR="007716CD" w:rsidRPr="00C572E0" w:rsidRDefault="007716CD" w:rsidP="00C572E0">
      <w:pPr>
        <w:pStyle w:val="ListParagraph"/>
        <w:numPr>
          <w:ilvl w:val="0"/>
          <w:numId w:val="41"/>
        </w:numPr>
        <w:spacing w:after="120" w:line="276" w:lineRule="auto"/>
        <w:rPr>
          <w:rFonts w:ascii="Arial" w:hAnsi="Arial" w:cs="Arial"/>
        </w:rPr>
      </w:pPr>
      <w:r w:rsidRPr="00C572E0">
        <w:rPr>
          <w:rFonts w:ascii="Arial" w:hAnsi="Arial" w:cs="Arial"/>
        </w:rPr>
        <w:t>Option 1: The User specific TA is estimated by the UE based on its GNSS acquired position together with the serving satellite ephemeris indicated by the network:</w:t>
      </w:r>
    </w:p>
    <w:p w14:paraId="1137DF09" w14:textId="77777777" w:rsidR="007716CD" w:rsidRPr="00C572E0" w:rsidRDefault="007716CD" w:rsidP="00C572E0">
      <w:pPr>
        <w:pStyle w:val="ListParagraph"/>
        <w:numPr>
          <w:ilvl w:val="1"/>
          <w:numId w:val="41"/>
        </w:numPr>
        <w:spacing w:after="120" w:line="276" w:lineRule="auto"/>
        <w:rPr>
          <w:rFonts w:ascii="Arial" w:hAnsi="Arial" w:cs="Arial"/>
        </w:rPr>
      </w:pPr>
      <w:r w:rsidRPr="00C572E0">
        <w:rPr>
          <w:rFonts w:ascii="Arial" w:hAnsi="Arial" w:cs="Arial"/>
        </w:rPr>
        <w:t xml:space="preserve">FFS: Details on serving satellite ephemeris indication </w:t>
      </w:r>
    </w:p>
    <w:p w14:paraId="27740CD3" w14:textId="77777777" w:rsidR="007716CD" w:rsidRPr="00C572E0" w:rsidRDefault="007716CD" w:rsidP="00C572E0">
      <w:pPr>
        <w:pStyle w:val="ListParagraph"/>
        <w:numPr>
          <w:ilvl w:val="0"/>
          <w:numId w:val="41"/>
        </w:numPr>
        <w:spacing w:after="120" w:line="276" w:lineRule="auto"/>
        <w:rPr>
          <w:rFonts w:ascii="Arial" w:hAnsi="Arial" w:cs="Arial"/>
        </w:rPr>
      </w:pPr>
      <w:r w:rsidRPr="00C572E0">
        <w:rPr>
          <w:rFonts w:ascii="Arial" w:hAnsi="Arial" w:cs="Arial"/>
        </w:rPr>
        <w:t>Option 2: The User specific TA is estimated by the UE based on the GNSS acquired reference time at UE together with reference time as indicated by the network</w:t>
      </w:r>
    </w:p>
    <w:p w14:paraId="21B70F3D" w14:textId="7AE4A5AA" w:rsidR="006F3AAC" w:rsidRDefault="00467103" w:rsidP="007716CD">
      <w:pPr>
        <w:spacing w:after="120" w:line="276" w:lineRule="auto"/>
        <w:jc w:val="both"/>
        <w:rPr>
          <w:rFonts w:ascii="Arial" w:eastAsia="Calibri" w:hAnsi="Arial" w:cs="Arial"/>
          <w:bCs/>
        </w:rPr>
      </w:pPr>
      <w:r>
        <w:rPr>
          <w:rFonts w:ascii="Arial" w:eastAsia="Calibri" w:hAnsi="Arial" w:cs="Arial"/>
          <w:bCs/>
        </w:rPr>
        <w:t>T</w:t>
      </w:r>
      <w:r w:rsidR="0061371B">
        <w:rPr>
          <w:rFonts w:ascii="Arial" w:eastAsia="Calibri" w:hAnsi="Arial" w:cs="Arial"/>
          <w:bCs/>
        </w:rPr>
        <w:t>he Option 1</w:t>
      </w:r>
      <w:r>
        <w:rPr>
          <w:rFonts w:ascii="Arial" w:eastAsia="Calibri" w:hAnsi="Arial" w:cs="Arial"/>
          <w:bCs/>
        </w:rPr>
        <w:t xml:space="preserve"> uses</w:t>
      </w:r>
      <w:r w:rsidR="0061371B">
        <w:rPr>
          <w:rFonts w:ascii="Arial" w:eastAsia="Calibri" w:hAnsi="Arial" w:cs="Arial"/>
          <w:bCs/>
        </w:rPr>
        <w:t xml:space="preserve"> the UE position acquired from GNSS and satellite position acquired from ephemeris to estimate the UE specific TA. </w:t>
      </w:r>
      <w:r>
        <w:rPr>
          <w:rFonts w:ascii="Arial" w:eastAsia="Calibri" w:hAnsi="Arial" w:cs="Arial"/>
          <w:bCs/>
        </w:rPr>
        <w:t>T</w:t>
      </w:r>
      <w:r w:rsidR="0061371B">
        <w:rPr>
          <w:rFonts w:ascii="Arial" w:eastAsia="Calibri" w:hAnsi="Arial" w:cs="Arial"/>
          <w:bCs/>
        </w:rPr>
        <w:t>he Option 2 uses UE’s reference time acquired from GNSS and time stamp broadcast (e.g., ReferenceTimeInfo-r16).</w:t>
      </w:r>
    </w:p>
    <w:p w14:paraId="07D66BD5" w14:textId="6E08CFAE" w:rsidR="006F3AAC" w:rsidRDefault="006F3AAC" w:rsidP="007716CD">
      <w:pPr>
        <w:spacing w:after="120" w:line="276" w:lineRule="auto"/>
        <w:jc w:val="both"/>
        <w:rPr>
          <w:rFonts w:ascii="Arial" w:eastAsia="Calibri" w:hAnsi="Arial" w:cs="Arial"/>
          <w:bCs/>
        </w:rPr>
      </w:pPr>
      <w:r>
        <w:rPr>
          <w:rFonts w:ascii="Arial" w:eastAsia="Calibri" w:hAnsi="Arial" w:cs="Arial"/>
          <w:bCs/>
        </w:rPr>
        <w:t>The Option 1 seems to be straightforward considering that satellite ephemeris is anyhow used for the uplink frequency sync, thus a single solution can be used for both uplink time</w:t>
      </w:r>
      <w:r w:rsidR="00BB1A22">
        <w:rPr>
          <w:rFonts w:ascii="Arial" w:eastAsia="Calibri" w:hAnsi="Arial" w:cs="Arial"/>
          <w:bCs/>
        </w:rPr>
        <w:t xml:space="preserve"> sync</w:t>
      </w:r>
      <w:r>
        <w:rPr>
          <w:rFonts w:ascii="Arial" w:eastAsia="Calibri" w:hAnsi="Arial" w:cs="Arial"/>
          <w:bCs/>
        </w:rPr>
        <w:t xml:space="preserve"> and frequency sync.</w:t>
      </w:r>
      <w:r w:rsidR="00DB73D1">
        <w:rPr>
          <w:rFonts w:ascii="Arial" w:eastAsia="Calibri" w:hAnsi="Arial" w:cs="Arial"/>
          <w:bCs/>
        </w:rPr>
        <w:t xml:space="preserve"> </w:t>
      </w:r>
      <w:r w:rsidR="00BB1A22">
        <w:rPr>
          <w:rFonts w:ascii="Arial" w:eastAsia="Calibri" w:hAnsi="Arial" w:cs="Arial"/>
          <w:bCs/>
        </w:rPr>
        <w:t>T</w:t>
      </w:r>
      <w:r w:rsidR="00DB73D1">
        <w:rPr>
          <w:rFonts w:ascii="Arial" w:eastAsia="Calibri" w:hAnsi="Arial" w:cs="Arial"/>
          <w:bCs/>
        </w:rPr>
        <w:t>he Option 2</w:t>
      </w:r>
      <w:r w:rsidR="00BB1A22">
        <w:rPr>
          <w:rFonts w:ascii="Arial" w:eastAsia="Calibri" w:hAnsi="Arial" w:cs="Arial"/>
          <w:bCs/>
        </w:rPr>
        <w:t xml:space="preserve"> can be also used for uplink time </w:t>
      </w:r>
      <w:proofErr w:type="gramStart"/>
      <w:r w:rsidR="00BB1A22">
        <w:rPr>
          <w:rFonts w:ascii="Arial" w:eastAsia="Calibri" w:hAnsi="Arial" w:cs="Arial"/>
          <w:bCs/>
        </w:rPr>
        <w:t>sync</w:t>
      </w:r>
      <w:proofErr w:type="gramEnd"/>
      <w:r w:rsidR="00BB1A22">
        <w:rPr>
          <w:rFonts w:ascii="Arial" w:eastAsia="Calibri" w:hAnsi="Arial" w:cs="Arial"/>
          <w:bCs/>
        </w:rPr>
        <w:t xml:space="preserve"> but it</w:t>
      </w:r>
      <w:r w:rsidR="00DB73D1">
        <w:rPr>
          <w:rFonts w:ascii="Arial" w:eastAsia="Calibri" w:hAnsi="Arial" w:cs="Arial"/>
          <w:bCs/>
        </w:rPr>
        <w:t xml:space="preserve"> has a couple of drawbacks. First, a different solution has to be used for time sync and frequency sync. A unified solution which support both time and frequency sync would be much simpler. Second, it requires a tight interaction between GNSS module and NR module which may </w:t>
      </w:r>
      <w:r w:rsidR="00BB1A22">
        <w:rPr>
          <w:rFonts w:ascii="Arial" w:eastAsia="Calibri" w:hAnsi="Arial" w:cs="Arial"/>
          <w:bCs/>
        </w:rPr>
        <w:t>require higher</w:t>
      </w:r>
      <w:r w:rsidR="00DB73D1">
        <w:rPr>
          <w:rFonts w:ascii="Arial" w:eastAsia="Calibri" w:hAnsi="Arial" w:cs="Arial"/>
          <w:bCs/>
        </w:rPr>
        <w:t xml:space="preserve"> implementation complexity</w:t>
      </w:r>
      <w:r w:rsidR="00BB1A22">
        <w:rPr>
          <w:rFonts w:ascii="Arial" w:eastAsia="Calibri" w:hAnsi="Arial" w:cs="Arial"/>
          <w:bCs/>
        </w:rPr>
        <w:t xml:space="preserve"> and standards effort</w:t>
      </w:r>
      <w:r w:rsidR="00DB73D1">
        <w:rPr>
          <w:rFonts w:ascii="Arial" w:eastAsia="Calibri" w:hAnsi="Arial" w:cs="Arial"/>
          <w:bCs/>
        </w:rPr>
        <w:t>. Third, it requires additional time stamp broadcast which increases signaling overhead unnecessarily.</w:t>
      </w:r>
    </w:p>
    <w:p w14:paraId="751712C9" w14:textId="6E8E2F4F" w:rsidR="00F26666" w:rsidRPr="008924A3" w:rsidRDefault="00F26666" w:rsidP="00F26666">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1: </w:t>
      </w:r>
      <w:r w:rsidR="00584C35">
        <w:rPr>
          <w:rFonts w:ascii="Arial" w:eastAsia="Calibri" w:hAnsi="Arial" w:cs="Arial"/>
          <w:bCs/>
          <w:i/>
          <w:iCs/>
        </w:rPr>
        <w:t>UE-specific TA is estimated based on GNSS acquired UE position and satellite ephemeris</w:t>
      </w:r>
      <w:r w:rsidRPr="008924A3">
        <w:rPr>
          <w:rFonts w:ascii="Arial" w:hAnsi="Arial" w:cs="Arial"/>
          <w:bCs/>
          <w:i/>
          <w:iCs/>
        </w:rPr>
        <w:t xml:space="preserve"> (Option-1)</w:t>
      </w:r>
      <w:r>
        <w:rPr>
          <w:rFonts w:ascii="Arial" w:hAnsi="Arial" w:cs="Arial"/>
          <w:bCs/>
          <w:i/>
          <w:iCs/>
        </w:rPr>
        <w:t>.</w:t>
      </w:r>
    </w:p>
    <w:p w14:paraId="4A421FA3" w14:textId="6A22A139" w:rsidR="00FA3ACC" w:rsidRDefault="00FA3ACC" w:rsidP="007716CD">
      <w:pPr>
        <w:spacing w:after="120" w:line="276" w:lineRule="auto"/>
        <w:jc w:val="both"/>
        <w:rPr>
          <w:rFonts w:ascii="Arial" w:eastAsia="Calibri" w:hAnsi="Arial" w:cs="Arial"/>
          <w:bCs/>
        </w:rPr>
      </w:pPr>
      <w:r>
        <w:rPr>
          <w:rFonts w:ascii="Arial" w:eastAsia="Calibri" w:hAnsi="Arial" w:cs="Arial"/>
          <w:bCs/>
        </w:rPr>
        <w:t xml:space="preserve">The network indication of common TA has been discussed in RAN1, where the common TA could be </w:t>
      </w:r>
      <w:r w:rsidR="005B7595">
        <w:rPr>
          <w:rFonts w:ascii="Arial" w:eastAsia="Calibri" w:hAnsi="Arial" w:cs="Arial"/>
          <w:bCs/>
        </w:rPr>
        <w:t>a feeder link RTD or RTD between satellite and a reference point in between satellite and gNB.</w:t>
      </w:r>
      <w:r w:rsidR="00537D54">
        <w:rPr>
          <w:rFonts w:ascii="Arial" w:eastAsia="Calibri" w:hAnsi="Arial" w:cs="Arial"/>
          <w:bCs/>
        </w:rPr>
        <w:t xml:space="preserve"> If a feeder link RTD is not compensated and/or not known by a UE, there seem to be an issue for the starting time of the RAR window. For example, the starting time for the RAR window is the first PDCCH monitoring occasion after the Msg1 transmission. However, due to the feeder link delay, gNB may </w:t>
      </w:r>
      <w:r w:rsidR="00B9013B">
        <w:rPr>
          <w:rFonts w:ascii="Arial" w:eastAsia="Calibri" w:hAnsi="Arial" w:cs="Arial"/>
          <w:bCs/>
        </w:rPr>
        <w:t xml:space="preserve">be </w:t>
      </w:r>
      <w:r w:rsidR="00537D54">
        <w:rPr>
          <w:rFonts w:ascii="Arial" w:eastAsia="Calibri" w:hAnsi="Arial" w:cs="Arial"/>
          <w:bCs/>
        </w:rPr>
        <w:t>not even able to receive the Msg1 when the RAR window</w:t>
      </w:r>
      <w:r w:rsidR="004D168F">
        <w:rPr>
          <w:rFonts w:ascii="Arial" w:eastAsia="Calibri" w:hAnsi="Arial" w:cs="Arial"/>
          <w:bCs/>
        </w:rPr>
        <w:t xml:space="preserve"> starts</w:t>
      </w:r>
      <w:r w:rsidR="00B9013B">
        <w:rPr>
          <w:rFonts w:ascii="Arial" w:eastAsia="Calibri" w:hAnsi="Arial" w:cs="Arial"/>
          <w:bCs/>
        </w:rPr>
        <w:t xml:space="preserve"> and the RAR window may expire when </w:t>
      </w:r>
      <w:proofErr w:type="spellStart"/>
      <w:r w:rsidR="00B9013B">
        <w:rPr>
          <w:rFonts w:ascii="Arial" w:eastAsia="Calibri" w:hAnsi="Arial" w:cs="Arial"/>
          <w:bCs/>
        </w:rPr>
        <w:t>gNB</w:t>
      </w:r>
      <w:proofErr w:type="spellEnd"/>
      <w:r w:rsidR="00B9013B">
        <w:rPr>
          <w:rFonts w:ascii="Arial" w:eastAsia="Calibri" w:hAnsi="Arial" w:cs="Arial"/>
          <w:bCs/>
        </w:rPr>
        <w:t xml:space="preserve"> received the Msg1</w:t>
      </w:r>
      <w:r w:rsidR="00AA20D3">
        <w:rPr>
          <w:rFonts w:ascii="Arial" w:eastAsia="Calibri" w:hAnsi="Arial" w:cs="Arial"/>
          <w:bCs/>
        </w:rPr>
        <w:t xml:space="preserve"> especially for GEO where </w:t>
      </w:r>
      <w:r w:rsidR="00AA20D3">
        <w:rPr>
          <w:rFonts w:ascii="Arial" w:eastAsia="Calibri" w:hAnsi="Arial" w:cs="Arial"/>
          <w:bCs/>
        </w:rPr>
        <w:lastRenderedPageBreak/>
        <w:t>feeder link delay can be on the order of +100ms</w:t>
      </w:r>
      <w:r w:rsidR="004D168F">
        <w:rPr>
          <w:rFonts w:ascii="Arial" w:eastAsia="Calibri" w:hAnsi="Arial" w:cs="Arial"/>
          <w:bCs/>
        </w:rPr>
        <w:t xml:space="preserve">. To avoid the misaligned RAR window due to the feeder link delay, the feeder link delay </w:t>
      </w:r>
      <w:r w:rsidR="00EC1513">
        <w:rPr>
          <w:rFonts w:ascii="Arial" w:eastAsia="Calibri" w:hAnsi="Arial" w:cs="Arial"/>
          <w:bCs/>
        </w:rPr>
        <w:t>must</w:t>
      </w:r>
      <w:r w:rsidR="004D168F">
        <w:rPr>
          <w:rFonts w:ascii="Arial" w:eastAsia="Calibri" w:hAnsi="Arial" w:cs="Arial"/>
          <w:bCs/>
        </w:rPr>
        <w:t xml:space="preserve"> be compensated by UE</w:t>
      </w:r>
      <w:r w:rsidR="00EC1513">
        <w:rPr>
          <w:rFonts w:ascii="Arial" w:eastAsia="Calibri" w:hAnsi="Arial" w:cs="Arial"/>
          <w:bCs/>
        </w:rPr>
        <w:t>,</w:t>
      </w:r>
      <w:r w:rsidR="004D168F">
        <w:rPr>
          <w:rFonts w:ascii="Arial" w:eastAsia="Calibri" w:hAnsi="Arial" w:cs="Arial"/>
          <w:bCs/>
        </w:rPr>
        <w:t xml:space="preserve"> and the common TA need</w:t>
      </w:r>
      <w:r w:rsidR="00EC1513">
        <w:rPr>
          <w:rFonts w:ascii="Arial" w:eastAsia="Calibri" w:hAnsi="Arial" w:cs="Arial"/>
          <w:bCs/>
        </w:rPr>
        <w:t>s</w:t>
      </w:r>
      <w:r w:rsidR="004D168F">
        <w:rPr>
          <w:rFonts w:ascii="Arial" w:eastAsia="Calibri" w:hAnsi="Arial" w:cs="Arial"/>
          <w:bCs/>
        </w:rPr>
        <w:t xml:space="preserve"> to be indicated by the network</w:t>
      </w:r>
      <w:r w:rsidR="006C7641">
        <w:rPr>
          <w:rFonts w:ascii="Arial" w:eastAsia="Calibri" w:hAnsi="Arial" w:cs="Arial"/>
          <w:bCs/>
        </w:rPr>
        <w:t xml:space="preserve"> or an offset (e.g., like K-offset) has to be considered for the RAR window start</w:t>
      </w:r>
      <w:r w:rsidR="004D168F">
        <w:rPr>
          <w:rFonts w:ascii="Arial" w:eastAsia="Calibri" w:hAnsi="Arial" w:cs="Arial"/>
          <w:bCs/>
        </w:rPr>
        <w:t xml:space="preserve">. </w:t>
      </w:r>
      <w:r w:rsidR="00A67DB6">
        <w:rPr>
          <w:rFonts w:ascii="Arial" w:eastAsia="Calibri" w:hAnsi="Arial" w:cs="Arial"/>
          <w:bCs/>
        </w:rPr>
        <w:t>Since the common TA is used for all UEs in a cell/beam, indication of common TA in a broadcasting signal (e.g., SIB) seems to be simplest way to address this issue and a UE adds up the indicated common TA value for its timing advance</w:t>
      </w:r>
      <w:r w:rsidR="004D168F">
        <w:rPr>
          <w:rFonts w:ascii="Arial" w:eastAsia="Calibri" w:hAnsi="Arial" w:cs="Arial"/>
          <w:bCs/>
        </w:rPr>
        <w:t>.</w:t>
      </w:r>
    </w:p>
    <w:p w14:paraId="0657005A" w14:textId="4D8FF567" w:rsidR="00D353A3" w:rsidRPr="008924A3" w:rsidRDefault="00F4117F" w:rsidP="006959AD">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sidR="004D168F">
        <w:rPr>
          <w:rFonts w:ascii="Arial" w:eastAsia="Calibri" w:hAnsi="Arial" w:cs="Arial"/>
          <w:b/>
          <w:i/>
          <w:iCs/>
        </w:rPr>
        <w:t>2</w:t>
      </w:r>
      <w:r>
        <w:rPr>
          <w:rFonts w:ascii="Arial" w:eastAsia="Calibri" w:hAnsi="Arial" w:cs="Arial"/>
          <w:b/>
          <w:i/>
          <w:iCs/>
        </w:rPr>
        <w:t xml:space="preserve">: </w:t>
      </w:r>
      <w:r w:rsidR="004D168F">
        <w:rPr>
          <w:rFonts w:ascii="Arial" w:eastAsia="Calibri" w:hAnsi="Arial" w:cs="Arial"/>
          <w:bCs/>
          <w:i/>
          <w:iCs/>
        </w:rPr>
        <w:t>common TA (i.e., feeder link delay) is indicated by the network for UL timing sync</w:t>
      </w:r>
      <w:r w:rsidR="00EC1513">
        <w:rPr>
          <w:rFonts w:ascii="Arial" w:hAnsi="Arial" w:cs="Arial"/>
          <w:bCs/>
          <w:i/>
          <w:iCs/>
        </w:rPr>
        <w:t xml:space="preserve"> and is broadcast in System Information.</w:t>
      </w:r>
    </w:p>
    <w:p w14:paraId="227D949F" w14:textId="77777777" w:rsidR="00572803" w:rsidRDefault="00572803" w:rsidP="008924A3">
      <w:pPr>
        <w:spacing w:after="120" w:line="276" w:lineRule="auto"/>
        <w:jc w:val="both"/>
        <w:rPr>
          <w:rFonts w:ascii="Arial" w:eastAsia="Calibri" w:hAnsi="Arial" w:cs="Arial"/>
          <w:bCs/>
        </w:rPr>
      </w:pPr>
    </w:p>
    <w:p w14:paraId="54580EB9" w14:textId="3AA87E5C" w:rsidR="006959AD" w:rsidRPr="00733B56" w:rsidRDefault="006959AD" w:rsidP="006959AD">
      <w:pPr>
        <w:pStyle w:val="Heading2"/>
        <w:rPr>
          <w:iCs/>
          <w:sz w:val="28"/>
          <w:szCs w:val="28"/>
        </w:rPr>
      </w:pPr>
      <w:r>
        <w:rPr>
          <w:iCs/>
          <w:sz w:val="28"/>
          <w:szCs w:val="28"/>
        </w:rPr>
        <w:t>UL frequency offset compensation</w:t>
      </w:r>
    </w:p>
    <w:p w14:paraId="044255D2" w14:textId="77777777" w:rsidR="003F69D8" w:rsidRDefault="003F69D8" w:rsidP="008924A3">
      <w:pPr>
        <w:spacing w:after="120" w:line="276" w:lineRule="auto"/>
        <w:jc w:val="both"/>
        <w:rPr>
          <w:rFonts w:ascii="Arial" w:eastAsia="Calibri" w:hAnsi="Arial" w:cs="Arial"/>
          <w:bCs/>
        </w:rPr>
      </w:pPr>
      <w:r>
        <w:rPr>
          <w:rFonts w:ascii="Arial" w:eastAsia="Calibri" w:hAnsi="Arial" w:cs="Arial"/>
          <w:bCs/>
        </w:rPr>
        <w:t>As similar to UL time offset compensation, two options have been identified during the Rel-16 study item and captured as a potential solution in the TR [2]:</w:t>
      </w:r>
    </w:p>
    <w:p w14:paraId="6C48463F" w14:textId="1B20EC08" w:rsidR="00327382" w:rsidRDefault="003F69D8" w:rsidP="008559D7">
      <w:pPr>
        <w:pStyle w:val="ListParagraph"/>
        <w:numPr>
          <w:ilvl w:val="0"/>
          <w:numId w:val="34"/>
        </w:numPr>
        <w:spacing w:line="276" w:lineRule="auto"/>
        <w:jc w:val="both"/>
        <w:rPr>
          <w:rFonts w:ascii="Arial" w:hAnsi="Arial" w:cs="Arial"/>
          <w:bCs/>
        </w:rPr>
      </w:pPr>
      <w:r>
        <w:rPr>
          <w:rFonts w:ascii="Arial" w:hAnsi="Arial" w:cs="Arial"/>
          <w:bCs/>
        </w:rPr>
        <w:t xml:space="preserve">Option-1: </w:t>
      </w:r>
      <w:r w:rsidR="00D353A3">
        <w:rPr>
          <w:rFonts w:ascii="Arial" w:hAnsi="Arial" w:cs="Arial"/>
          <w:bCs/>
        </w:rPr>
        <w:t>UE-specific frequency offset estimation/pre-compensation is done at UE side based on DL RS, UE location, and satellite ephemeris</w:t>
      </w:r>
    </w:p>
    <w:p w14:paraId="7A79A132" w14:textId="55414E17" w:rsidR="003F69D8" w:rsidRDefault="003F69D8" w:rsidP="008559D7">
      <w:pPr>
        <w:pStyle w:val="ListParagraph"/>
        <w:numPr>
          <w:ilvl w:val="0"/>
          <w:numId w:val="34"/>
        </w:numPr>
        <w:spacing w:line="276" w:lineRule="auto"/>
        <w:jc w:val="both"/>
        <w:rPr>
          <w:rFonts w:ascii="Arial" w:hAnsi="Arial" w:cs="Arial"/>
          <w:bCs/>
        </w:rPr>
      </w:pPr>
      <w:r>
        <w:rPr>
          <w:rFonts w:ascii="Arial" w:hAnsi="Arial" w:cs="Arial"/>
          <w:bCs/>
        </w:rPr>
        <w:t>Option-2:</w:t>
      </w:r>
      <w:r w:rsidR="00D353A3">
        <w:rPr>
          <w:rFonts w:ascii="Arial" w:hAnsi="Arial" w:cs="Arial"/>
          <w:bCs/>
        </w:rPr>
        <w:t xml:space="preserve"> Required frequency offset for UL frequency compensation is indicated by the network</w:t>
      </w:r>
    </w:p>
    <w:p w14:paraId="07320F6F" w14:textId="5C779BF5" w:rsidR="003F69D8" w:rsidRDefault="00083EB6" w:rsidP="008924A3">
      <w:pPr>
        <w:spacing w:after="120" w:line="276" w:lineRule="auto"/>
        <w:jc w:val="both"/>
        <w:rPr>
          <w:rFonts w:ascii="Arial" w:hAnsi="Arial" w:cs="Arial"/>
          <w:bCs/>
        </w:rPr>
      </w:pPr>
      <w:r>
        <w:rPr>
          <w:rFonts w:ascii="Arial" w:hAnsi="Arial" w:cs="Arial"/>
          <w:bCs/>
        </w:rPr>
        <w:t>During the study item, the above two options are extensively discussed and RAN1 has agreed the network indication of the required frequency offset for the compensation is beneficial since the estimated frequency offset from downlink signal is not reliable as a UE may not be able to separate frequency offset due to local oscillator and Doppler shift.</w:t>
      </w:r>
    </w:p>
    <w:p w14:paraId="142CEF45" w14:textId="2DCE681F" w:rsidR="003F69D8" w:rsidRPr="008924A3" w:rsidRDefault="00083EB6" w:rsidP="008924A3">
      <w:pPr>
        <w:spacing w:after="120" w:line="276" w:lineRule="auto"/>
        <w:jc w:val="both"/>
        <w:rPr>
          <w:rFonts w:ascii="Arial" w:hAnsi="Arial" w:cs="Arial"/>
          <w:bCs/>
        </w:rPr>
      </w:pPr>
      <w:r>
        <w:rPr>
          <w:rFonts w:ascii="Arial" w:hAnsi="Arial" w:cs="Arial"/>
          <w:bCs/>
        </w:rPr>
        <w:t xml:space="preserve">Therefore, the network indication of the required frequency offset for UL frequency compensation seems to be a </w:t>
      </w:r>
      <w:r w:rsidR="007718CB">
        <w:rPr>
          <w:rFonts w:ascii="Arial" w:hAnsi="Arial" w:cs="Arial"/>
          <w:bCs/>
        </w:rPr>
        <w:t>reasonable option.</w:t>
      </w:r>
    </w:p>
    <w:p w14:paraId="4EB7748B" w14:textId="5A1D2E2B" w:rsidR="00A84253" w:rsidRDefault="003F69D8" w:rsidP="000061D4">
      <w:pPr>
        <w:spacing w:after="120" w:line="276" w:lineRule="auto"/>
        <w:jc w:val="both"/>
        <w:rPr>
          <w:rFonts w:ascii="Arial" w:hAnsi="Arial" w:cs="Arial"/>
          <w:bCs/>
          <w:i/>
          <w:iCs/>
        </w:rPr>
      </w:pPr>
      <w:r>
        <w:rPr>
          <w:rFonts w:ascii="Arial" w:eastAsia="Calibri" w:hAnsi="Arial" w:cs="Arial"/>
          <w:b/>
          <w:i/>
          <w:iCs/>
        </w:rPr>
        <w:t>Proposal</w:t>
      </w:r>
      <w:r w:rsidRPr="00733B56">
        <w:rPr>
          <w:rFonts w:ascii="Arial" w:eastAsia="Calibri" w:hAnsi="Arial" w:cs="Arial"/>
          <w:b/>
          <w:i/>
          <w:iCs/>
        </w:rPr>
        <w:t xml:space="preserve"> </w:t>
      </w:r>
      <w:r w:rsidR="00570134">
        <w:rPr>
          <w:rFonts w:ascii="Arial" w:eastAsia="Calibri" w:hAnsi="Arial" w:cs="Arial"/>
          <w:b/>
          <w:i/>
          <w:iCs/>
        </w:rPr>
        <w:t>3</w:t>
      </w:r>
      <w:r>
        <w:rPr>
          <w:rFonts w:ascii="Arial" w:eastAsia="Calibri" w:hAnsi="Arial" w:cs="Arial"/>
          <w:b/>
          <w:i/>
          <w:iCs/>
        </w:rPr>
        <w:t xml:space="preserve">: </w:t>
      </w:r>
      <w:r>
        <w:rPr>
          <w:rFonts w:ascii="Arial" w:eastAsia="Calibri" w:hAnsi="Arial" w:cs="Arial"/>
          <w:bCs/>
          <w:i/>
          <w:iCs/>
        </w:rPr>
        <w:t xml:space="preserve">for UL frequency offset compensation, </w:t>
      </w:r>
      <w:r w:rsidR="007718CB">
        <w:rPr>
          <w:rFonts w:ascii="Arial" w:eastAsia="Calibri" w:hAnsi="Arial" w:cs="Arial"/>
          <w:bCs/>
          <w:i/>
          <w:iCs/>
        </w:rPr>
        <w:t xml:space="preserve">network indicates the required frequency offset to be compensated for UL transmission is supported </w:t>
      </w:r>
      <w:r w:rsidRPr="00733B56">
        <w:rPr>
          <w:rFonts w:ascii="Arial" w:hAnsi="Arial" w:cs="Arial"/>
          <w:bCs/>
          <w:i/>
          <w:iCs/>
        </w:rPr>
        <w:t>(Option-</w:t>
      </w:r>
      <w:r w:rsidR="007718CB">
        <w:rPr>
          <w:rFonts w:ascii="Arial" w:hAnsi="Arial" w:cs="Arial"/>
          <w:bCs/>
          <w:i/>
          <w:iCs/>
        </w:rPr>
        <w:t>2</w:t>
      </w:r>
      <w:r w:rsidRPr="00733B56">
        <w:rPr>
          <w:rFonts w:ascii="Arial" w:hAnsi="Arial" w:cs="Arial"/>
          <w:bCs/>
          <w:i/>
          <w:iCs/>
        </w:rPr>
        <w:t>)</w:t>
      </w:r>
      <w:r>
        <w:rPr>
          <w:rFonts w:ascii="Arial" w:hAnsi="Arial" w:cs="Arial"/>
          <w:bCs/>
          <w:i/>
          <w:iCs/>
        </w:rPr>
        <w:t>.</w:t>
      </w:r>
    </w:p>
    <w:p w14:paraId="1C985749" w14:textId="77777777" w:rsidR="0014634B" w:rsidRPr="0014634B" w:rsidRDefault="0014634B" w:rsidP="000061D4">
      <w:pPr>
        <w:spacing w:after="120" w:line="276" w:lineRule="auto"/>
        <w:jc w:val="both"/>
        <w:rPr>
          <w:rFonts w:ascii="Arial" w:hAnsi="Arial" w:cs="Arial"/>
          <w:bCs/>
        </w:rPr>
      </w:pPr>
    </w:p>
    <w:p w14:paraId="3F60B821" w14:textId="0672037B" w:rsidR="00602ABF" w:rsidRPr="00733B56" w:rsidRDefault="00602ABF" w:rsidP="00602ABF">
      <w:pPr>
        <w:pStyle w:val="Heading2"/>
        <w:rPr>
          <w:iCs/>
          <w:sz w:val="28"/>
          <w:szCs w:val="28"/>
        </w:rPr>
      </w:pPr>
      <w:r>
        <w:rPr>
          <w:iCs/>
          <w:sz w:val="28"/>
          <w:szCs w:val="28"/>
        </w:rPr>
        <w:t>UE-specific TA value indication</w:t>
      </w:r>
    </w:p>
    <w:p w14:paraId="0F0C95D8" w14:textId="737D0388" w:rsidR="00E20FDF" w:rsidRPr="00570134" w:rsidRDefault="00E20FDF" w:rsidP="008924A3">
      <w:pPr>
        <w:spacing w:after="120" w:line="276" w:lineRule="auto"/>
        <w:jc w:val="both"/>
        <w:rPr>
          <w:rFonts w:ascii="Arial" w:eastAsia="Calibri" w:hAnsi="Arial" w:cs="Arial"/>
          <w:bCs/>
        </w:rPr>
      </w:pPr>
      <w:r w:rsidRPr="00570134">
        <w:rPr>
          <w:rFonts w:ascii="Arial" w:eastAsia="Calibri" w:hAnsi="Arial" w:cs="Arial"/>
          <w:bCs/>
        </w:rPr>
        <w:t xml:space="preserve">With both the satellite and UE location, the UE can estimate the distance to the satellite and apply timing pre-compensation to UL transmissions. </w:t>
      </w:r>
      <w:r w:rsidRPr="00C572E0">
        <w:rPr>
          <w:rFonts w:ascii="Arial" w:eastAsia="Calibri" w:hAnsi="Arial" w:cs="Arial"/>
          <w:bCs/>
        </w:rPr>
        <w:t>The very first uplink transmission is PRACH with the timing pre-compensation. If the gNB assumes that all UEs can apply UE-specific pre-compensation based on the UE location for the PRACH transmission, then the PRACH receiving window may not need to cover the full duration of the maximum differential TA as it can be assumed that UEs will have adjusted the transmission time accordingly to ensure the PRACH falls within a smaller receiving window.</w:t>
      </w:r>
      <w:r w:rsidRPr="00570134">
        <w:rPr>
          <w:rFonts w:ascii="Arial" w:eastAsia="Calibri" w:hAnsi="Arial" w:cs="Arial"/>
          <w:bCs/>
        </w:rPr>
        <w:t xml:space="preserve"> </w:t>
      </w:r>
    </w:p>
    <w:p w14:paraId="4F61218A" w14:textId="7D838B47" w:rsidR="00E20FDF" w:rsidRDefault="00E20FDF" w:rsidP="00B02ED8">
      <w:pPr>
        <w:spacing w:after="120" w:line="276" w:lineRule="auto"/>
        <w:jc w:val="both"/>
        <w:rPr>
          <w:rFonts w:ascii="Arial" w:eastAsia="Calibri" w:hAnsi="Arial" w:cs="Arial"/>
          <w:bCs/>
        </w:rPr>
      </w:pPr>
      <w:r w:rsidRPr="004D168F">
        <w:rPr>
          <w:rFonts w:ascii="Arial" w:eastAsia="Calibri" w:hAnsi="Arial" w:cs="Arial"/>
          <w:bCs/>
        </w:rPr>
        <w:t xml:space="preserve">However, given that the UE has only transmitted a PRACH preamble at the time of Msg3 scheduling, </w:t>
      </w:r>
      <w:r w:rsidRPr="00C572E0">
        <w:rPr>
          <w:rFonts w:ascii="Arial" w:eastAsia="Calibri" w:hAnsi="Arial" w:cs="Arial"/>
          <w:bCs/>
        </w:rPr>
        <w:t xml:space="preserve">the gNB will not be aware of the amount of pre-compensation applied on the UE side, and may schedule Msg3 transmission under the assumption that the UE is much nearer </w:t>
      </w:r>
      <w:r w:rsidRPr="00C572E0">
        <w:rPr>
          <w:rFonts w:ascii="Arial" w:eastAsia="Calibri" w:hAnsi="Arial" w:cs="Arial"/>
          <w:bCs/>
        </w:rPr>
        <w:lastRenderedPageBreak/>
        <w:t>to the satellite than it really is, possibly resulting in the UE not being able to transmit in the provided UL grant.</w:t>
      </w:r>
      <w:r w:rsidRPr="00570134">
        <w:rPr>
          <w:rFonts w:ascii="Arial" w:eastAsia="Calibri" w:hAnsi="Arial" w:cs="Arial"/>
          <w:bCs/>
        </w:rPr>
        <w:t xml:space="preserve"> To overcome this issue, the network may need to schedule the Msg3 transmission according to the</w:t>
      </w:r>
      <w:r w:rsidRPr="008924A3">
        <w:rPr>
          <w:rFonts w:ascii="Arial" w:eastAsia="Calibri" w:hAnsi="Arial" w:cs="Arial"/>
          <w:bCs/>
        </w:rPr>
        <w:t xml:space="preserve"> maximum differential delay to ensure UEs at cell edge will be able to meet the UL grant timing. Therefore, even though pre-compensation of the UE-satellite RTD would reduce latency in Msg1 transmission by allowing a smaller preamble receiving window and thus more frequent </w:t>
      </w:r>
      <w:r>
        <w:rPr>
          <w:rFonts w:ascii="Arial" w:eastAsia="Calibri" w:hAnsi="Arial" w:cs="Arial"/>
          <w:bCs/>
        </w:rPr>
        <w:t>P</w:t>
      </w:r>
      <w:r w:rsidRPr="008924A3">
        <w:rPr>
          <w:rFonts w:ascii="Arial" w:eastAsia="Calibri" w:hAnsi="Arial" w:cs="Arial"/>
          <w:bCs/>
        </w:rPr>
        <w:t xml:space="preserve">RACH occasions, it would introduce unnecessary additional latency in Msg3 transmission for UEs near cell </w:t>
      </w:r>
      <w:r w:rsidR="00A51F1A" w:rsidRPr="008924A3">
        <w:rPr>
          <w:rFonts w:ascii="Arial" w:eastAsia="Calibri" w:hAnsi="Arial" w:cs="Arial"/>
          <w:bCs/>
        </w:rPr>
        <w:t>center</w:t>
      </w:r>
      <w:r w:rsidRPr="008924A3">
        <w:rPr>
          <w:rFonts w:ascii="Arial" w:eastAsia="Calibri" w:hAnsi="Arial" w:cs="Arial"/>
          <w:bCs/>
        </w:rPr>
        <w:t xml:space="preserve"> as the network would not know the absolute timing advance and must accommodate all UEs within the cell.</w:t>
      </w:r>
    </w:p>
    <w:p w14:paraId="46B9B9D5" w14:textId="3A83282A" w:rsidR="002D1708" w:rsidRDefault="00E20FDF" w:rsidP="00B02ED8">
      <w:pPr>
        <w:spacing w:after="120" w:line="276" w:lineRule="auto"/>
        <w:jc w:val="both"/>
        <w:rPr>
          <w:rFonts w:ascii="Arial" w:eastAsia="Calibri" w:hAnsi="Arial" w:cs="Arial"/>
          <w:bCs/>
        </w:rPr>
      </w:pPr>
      <w:r>
        <w:rPr>
          <w:rFonts w:ascii="Arial" w:eastAsia="Calibri" w:hAnsi="Arial" w:cs="Arial"/>
          <w:bCs/>
        </w:rPr>
        <w:t>To address this issue, a separate PRACH resource</w:t>
      </w:r>
      <w:r w:rsidR="002D1708">
        <w:rPr>
          <w:rFonts w:ascii="Arial" w:eastAsia="Calibri" w:hAnsi="Arial" w:cs="Arial"/>
          <w:bCs/>
        </w:rPr>
        <w:t xml:space="preserve"> set</w:t>
      </w:r>
      <w:r>
        <w:rPr>
          <w:rFonts w:ascii="Arial" w:eastAsia="Calibri" w:hAnsi="Arial" w:cs="Arial"/>
          <w:bCs/>
        </w:rPr>
        <w:t xml:space="preserve"> can be configured </w:t>
      </w:r>
      <w:r w:rsidR="002D1708">
        <w:rPr>
          <w:rFonts w:ascii="Arial" w:eastAsia="Calibri" w:hAnsi="Arial" w:cs="Arial"/>
          <w:bCs/>
        </w:rPr>
        <w:t xml:space="preserve">based on distance from the UE to satellite and UE selects a PRACH preamble with the PRACH resource set associated with the distance group the UE belongs to. Therefore, the network can distinguish whether the PRACH preamble received is from a UE in cell </w:t>
      </w:r>
      <w:r w:rsidR="00A51F1A">
        <w:rPr>
          <w:rFonts w:ascii="Arial" w:eastAsia="Calibri" w:hAnsi="Arial" w:cs="Arial"/>
          <w:bCs/>
        </w:rPr>
        <w:t>center</w:t>
      </w:r>
      <w:r w:rsidR="002D1708">
        <w:rPr>
          <w:rFonts w:ascii="Arial" w:eastAsia="Calibri" w:hAnsi="Arial" w:cs="Arial"/>
          <w:bCs/>
        </w:rPr>
        <w:t xml:space="preserve"> or cell edge. From this, the network can have a better approximation of the absolute TA based on the PRACH resource set the UE selected which allows more accurate scheduling of Msg3.</w:t>
      </w:r>
    </w:p>
    <w:p w14:paraId="51439D96" w14:textId="2C81129F" w:rsidR="00625094" w:rsidRPr="008924A3" w:rsidRDefault="002D1708" w:rsidP="00637413">
      <w:pPr>
        <w:spacing w:line="276" w:lineRule="auto"/>
        <w:jc w:val="both"/>
        <w:rPr>
          <w:rFonts w:ascii="Arial" w:hAnsi="Arial" w:cs="Arial"/>
          <w:iCs/>
        </w:rPr>
      </w:pPr>
      <w:r>
        <w:rPr>
          <w:rFonts w:ascii="Arial" w:eastAsia="Calibri" w:hAnsi="Arial" w:cs="Arial"/>
          <w:b/>
          <w:i/>
          <w:iCs/>
        </w:rPr>
        <w:t>Proposal</w:t>
      </w:r>
      <w:r w:rsidRPr="00733B56">
        <w:rPr>
          <w:rFonts w:ascii="Arial" w:eastAsia="Calibri" w:hAnsi="Arial" w:cs="Arial"/>
          <w:b/>
          <w:i/>
          <w:iCs/>
        </w:rPr>
        <w:t xml:space="preserve"> </w:t>
      </w:r>
      <w:r w:rsidR="00F30213">
        <w:rPr>
          <w:rFonts w:ascii="Arial" w:eastAsia="Calibri" w:hAnsi="Arial" w:cs="Arial"/>
          <w:b/>
          <w:i/>
          <w:iCs/>
        </w:rPr>
        <w:t>4</w:t>
      </w:r>
      <w:r>
        <w:rPr>
          <w:rFonts w:ascii="Arial" w:eastAsia="Calibri" w:hAnsi="Arial" w:cs="Arial"/>
          <w:b/>
          <w:i/>
          <w:iCs/>
        </w:rPr>
        <w:t xml:space="preserve">: </w:t>
      </w:r>
      <w:r w:rsidR="00B02ED8">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2A120F31" w:rsidR="003F215B" w:rsidRPr="008924A3"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1FAA9840" w14:textId="77777777" w:rsidR="00F30213" w:rsidRPr="008924A3" w:rsidRDefault="00F30213" w:rsidP="00F30213">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1: </w:t>
      </w:r>
      <w:r>
        <w:rPr>
          <w:rFonts w:ascii="Arial" w:eastAsia="Calibri" w:hAnsi="Arial" w:cs="Arial"/>
          <w:bCs/>
          <w:i/>
          <w:iCs/>
        </w:rPr>
        <w:t>UE-specific TA is estimated based on GNSS acquired UE position and satellite ephemeris</w:t>
      </w:r>
      <w:r w:rsidRPr="008924A3">
        <w:rPr>
          <w:rFonts w:ascii="Arial" w:hAnsi="Arial" w:cs="Arial"/>
          <w:bCs/>
          <w:i/>
          <w:iCs/>
        </w:rPr>
        <w:t xml:space="preserve"> (Option-1)</w:t>
      </w:r>
      <w:r>
        <w:rPr>
          <w:rFonts w:ascii="Arial" w:hAnsi="Arial" w:cs="Arial"/>
          <w:bCs/>
          <w:i/>
          <w:iCs/>
        </w:rPr>
        <w:t>.</w:t>
      </w:r>
    </w:p>
    <w:p w14:paraId="275B01A3" w14:textId="4C58B7D9" w:rsidR="00AA20D3" w:rsidRDefault="00AA20D3" w:rsidP="00F30213">
      <w:pPr>
        <w:spacing w:after="120" w:line="276" w:lineRule="auto"/>
        <w:jc w:val="both"/>
        <w:rPr>
          <w:rFonts w:ascii="Arial" w:hAnsi="Arial" w:cs="Arial"/>
          <w:bCs/>
          <w:i/>
          <w:i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2: </w:t>
      </w:r>
      <w:r>
        <w:rPr>
          <w:rFonts w:ascii="Arial" w:eastAsia="Calibri" w:hAnsi="Arial" w:cs="Arial"/>
          <w:bCs/>
          <w:i/>
          <w:iCs/>
        </w:rPr>
        <w:t>common TA (i.e., feeder link delay) is indicated by the network for UL timing sync</w:t>
      </w:r>
      <w:r>
        <w:rPr>
          <w:rFonts w:ascii="Arial" w:hAnsi="Arial" w:cs="Arial"/>
          <w:bCs/>
          <w:i/>
          <w:iCs/>
        </w:rPr>
        <w:t xml:space="preserve"> and is broadcast in System Information</w:t>
      </w:r>
      <w:r>
        <w:rPr>
          <w:rFonts w:ascii="Arial" w:hAnsi="Arial" w:cs="Arial"/>
          <w:bCs/>
          <w:i/>
          <w:iCs/>
        </w:rPr>
        <w:t>.</w:t>
      </w:r>
    </w:p>
    <w:p w14:paraId="7371F0AB" w14:textId="77777777" w:rsidR="00F30213" w:rsidRDefault="00F30213" w:rsidP="00F30213">
      <w:pPr>
        <w:spacing w:after="120" w:line="276" w:lineRule="auto"/>
        <w:jc w:val="both"/>
        <w:rPr>
          <w:rFonts w:ascii="Arial" w:hAnsi="Arial" w:cs="Arial"/>
          <w:bCs/>
          <w:i/>
          <w:i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3: </w:t>
      </w:r>
      <w:r>
        <w:rPr>
          <w:rFonts w:ascii="Arial" w:eastAsia="Calibri" w:hAnsi="Arial" w:cs="Arial"/>
          <w:bCs/>
          <w:i/>
          <w:iCs/>
        </w:rPr>
        <w:t xml:space="preserve">for UL frequency offset compensation, network indicates the required frequency offset to be compensated for UL transmission is supported </w:t>
      </w:r>
      <w:r w:rsidRPr="00733B56">
        <w:rPr>
          <w:rFonts w:ascii="Arial" w:hAnsi="Arial" w:cs="Arial"/>
          <w:bCs/>
          <w:i/>
          <w:iCs/>
        </w:rPr>
        <w:t>(Option-</w:t>
      </w:r>
      <w:r>
        <w:rPr>
          <w:rFonts w:ascii="Arial" w:hAnsi="Arial" w:cs="Arial"/>
          <w:bCs/>
          <w:i/>
          <w:iCs/>
        </w:rPr>
        <w:t>2</w:t>
      </w:r>
      <w:r w:rsidRPr="00733B56">
        <w:rPr>
          <w:rFonts w:ascii="Arial" w:hAnsi="Arial" w:cs="Arial"/>
          <w:bCs/>
          <w:i/>
          <w:iCs/>
        </w:rPr>
        <w:t>)</w:t>
      </w:r>
      <w:r>
        <w:rPr>
          <w:rFonts w:ascii="Arial" w:hAnsi="Arial" w:cs="Arial"/>
          <w:bCs/>
          <w:i/>
          <w:iCs/>
        </w:rPr>
        <w:t>.</w:t>
      </w:r>
    </w:p>
    <w:p w14:paraId="51FD8449" w14:textId="7F6D12CC" w:rsidR="00B02ED8" w:rsidRPr="00733B56" w:rsidRDefault="00B02ED8" w:rsidP="00D81F21">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sidR="00F30213">
        <w:rPr>
          <w:rFonts w:ascii="Arial" w:eastAsia="Calibri" w:hAnsi="Arial" w:cs="Arial"/>
          <w:b/>
          <w:i/>
          <w:iCs/>
        </w:rPr>
        <w:t>4</w:t>
      </w:r>
      <w:r>
        <w:rPr>
          <w:rFonts w:ascii="Arial" w:eastAsia="Calibri" w:hAnsi="Arial" w:cs="Arial"/>
          <w:b/>
          <w:i/>
          <w:iCs/>
        </w:rPr>
        <w:t xml:space="preserve">: </w:t>
      </w:r>
      <w:r>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66496AD3" w:rsidR="00EF7A73" w:rsidRPr="008924A3" w:rsidRDefault="00F30213" w:rsidP="00EF7A73">
      <w:pPr>
        <w:pStyle w:val="ListParagraph"/>
        <w:numPr>
          <w:ilvl w:val="0"/>
          <w:numId w:val="10"/>
        </w:numPr>
        <w:spacing w:before="120"/>
        <w:contextualSpacing/>
        <w:jc w:val="both"/>
        <w:rPr>
          <w:rFonts w:ascii="Arial" w:hAnsi="Arial" w:cs="Arial"/>
        </w:rPr>
      </w:pPr>
      <w:bookmarkStart w:id="3" w:name="_Ref521518965"/>
      <w:r>
        <w:rPr>
          <w:rFonts w:ascii="Arial" w:hAnsi="Arial" w:cs="Arial"/>
        </w:rPr>
        <w:t>RAN1 #102-e Chairman’s note</w:t>
      </w:r>
    </w:p>
    <w:p w14:paraId="40BB4035" w14:textId="2878781C" w:rsidR="00A84253" w:rsidRPr="008924A3" w:rsidRDefault="00A84253" w:rsidP="00EF7A73">
      <w:pPr>
        <w:pStyle w:val="ListParagraph"/>
        <w:numPr>
          <w:ilvl w:val="0"/>
          <w:numId w:val="10"/>
        </w:numPr>
        <w:spacing w:before="120"/>
        <w:contextualSpacing/>
        <w:jc w:val="both"/>
        <w:rPr>
          <w:rFonts w:ascii="Arial" w:hAnsi="Arial" w:cs="Arial"/>
        </w:rPr>
      </w:pPr>
      <w:r w:rsidRPr="008924A3">
        <w:rPr>
          <w:rFonts w:ascii="Arial" w:hAnsi="Arial" w:cs="Arial"/>
        </w:rPr>
        <w:t>3GPP TR38.821 V16.0.0, “Solutions for NR to support non-terrestrial networks (NTN)”</w:t>
      </w:r>
    </w:p>
    <w:bookmarkEnd w:id="3"/>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D5ECB" w14:textId="77777777" w:rsidR="00631DB6" w:rsidRDefault="00631DB6">
      <w:r>
        <w:separator/>
      </w:r>
    </w:p>
  </w:endnote>
  <w:endnote w:type="continuationSeparator" w:id="0">
    <w:p w14:paraId="6280039F" w14:textId="77777777" w:rsidR="00631DB6" w:rsidRDefault="00631DB6">
      <w:r>
        <w:continuationSeparator/>
      </w:r>
    </w:p>
  </w:endnote>
  <w:endnote w:type="continuationNotice" w:id="1">
    <w:p w14:paraId="018A3AD7" w14:textId="77777777" w:rsidR="00631DB6" w:rsidRDefault="00631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43D8E" w14:textId="77777777" w:rsidR="00796FD4" w:rsidRDefault="00796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71294" w14:textId="77777777" w:rsidR="00796FD4" w:rsidRDefault="00796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4808B" w14:textId="77777777" w:rsidR="00796FD4" w:rsidRDefault="00796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22715" w14:textId="77777777" w:rsidR="00631DB6" w:rsidRDefault="00631DB6">
      <w:r>
        <w:separator/>
      </w:r>
    </w:p>
  </w:footnote>
  <w:footnote w:type="continuationSeparator" w:id="0">
    <w:p w14:paraId="3A9B6380" w14:textId="77777777" w:rsidR="00631DB6" w:rsidRDefault="00631DB6">
      <w:r>
        <w:continuationSeparator/>
      </w:r>
    </w:p>
  </w:footnote>
  <w:footnote w:type="continuationNotice" w:id="1">
    <w:p w14:paraId="51B68AC0" w14:textId="77777777" w:rsidR="00631DB6" w:rsidRDefault="00631D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C2D5B"/>
    <w:multiLevelType w:val="hybridMultilevel"/>
    <w:tmpl w:val="6B168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2397A"/>
    <w:multiLevelType w:val="hybridMultilevel"/>
    <w:tmpl w:val="8C62F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9B681A"/>
    <w:multiLevelType w:val="multilevel"/>
    <w:tmpl w:val="FC48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E30203B"/>
    <w:multiLevelType w:val="hybridMultilevel"/>
    <w:tmpl w:val="4A24C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E40B12"/>
    <w:multiLevelType w:val="hybridMultilevel"/>
    <w:tmpl w:val="A7A4D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5"/>
  </w:num>
  <w:num w:numId="4">
    <w:abstractNumId w:val="16"/>
  </w:num>
  <w:num w:numId="5">
    <w:abstractNumId w:val="10"/>
  </w:num>
  <w:num w:numId="6">
    <w:abstractNumId w:val="17"/>
  </w:num>
  <w:num w:numId="7">
    <w:abstractNumId w:val="25"/>
  </w:num>
  <w:num w:numId="8">
    <w:abstractNumId w:val="11"/>
  </w:num>
  <w:num w:numId="9">
    <w:abstractNumId w:val="34"/>
  </w:num>
  <w:num w:numId="10">
    <w:abstractNumId w:val="14"/>
  </w:num>
  <w:num w:numId="11">
    <w:abstractNumId w:val="28"/>
  </w:num>
  <w:num w:numId="12">
    <w:abstractNumId w:val="22"/>
  </w:num>
  <w:num w:numId="13">
    <w:abstractNumId w:val="35"/>
  </w:num>
  <w:num w:numId="14">
    <w:abstractNumId w:val="13"/>
  </w:num>
  <w:num w:numId="15">
    <w:abstractNumId w:val="7"/>
  </w:num>
  <w:num w:numId="16">
    <w:abstractNumId w:val="33"/>
  </w:num>
  <w:num w:numId="17">
    <w:abstractNumId w:val="6"/>
  </w:num>
  <w:num w:numId="18">
    <w:abstractNumId w:val="29"/>
  </w:num>
  <w:num w:numId="19">
    <w:abstractNumId w:val="1"/>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
  </w:num>
  <w:num w:numId="28">
    <w:abstractNumId w:val="21"/>
  </w:num>
  <w:num w:numId="29">
    <w:abstractNumId w:val="31"/>
  </w:num>
  <w:num w:numId="30">
    <w:abstractNumId w:val="3"/>
  </w:num>
  <w:num w:numId="31">
    <w:abstractNumId w:val="32"/>
  </w:num>
  <w:num w:numId="32">
    <w:abstractNumId w:val="26"/>
  </w:num>
  <w:num w:numId="33">
    <w:abstractNumId w:val="4"/>
  </w:num>
  <w:num w:numId="34">
    <w:abstractNumId w:val="18"/>
  </w:num>
  <w:num w:numId="35">
    <w:abstractNumId w:val="0"/>
  </w:num>
  <w:num w:numId="36">
    <w:abstractNumId w:val="5"/>
  </w:num>
  <w:num w:numId="37">
    <w:abstractNumId w:val="20"/>
  </w:num>
  <w:num w:numId="38">
    <w:abstractNumId w:val="23"/>
  </w:num>
  <w:num w:numId="39">
    <w:abstractNumId w:val="30"/>
  </w:num>
  <w:num w:numId="40">
    <w:abstractNumId w:val="9"/>
  </w:num>
  <w:num w:numId="41">
    <w:abstractNumId w:val="8"/>
  </w:num>
  <w:num w:numId="4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AAC"/>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625"/>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F56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62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2020-10-23T21:09:00Z</dcterms:created>
  <dcterms:modified xsi:type="dcterms:W3CDTF">2020-10-23T21:19:00Z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