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BD14AB" w14:textId="77777777" w:rsidR="00872977" w:rsidRPr="00DA12F7" w:rsidRDefault="00872977" w:rsidP="00872977">
      <w:pPr>
        <w:tabs>
          <w:tab w:val="right" w:pos="9630"/>
        </w:tabs>
        <w:spacing w:after="0"/>
      </w:pPr>
      <w:r w:rsidRPr="00DA12F7">
        <w:rPr>
          <w:rFonts w:ascii="Arial" w:hAnsi="Arial" w:cs="Arial"/>
          <w:b/>
          <w:sz w:val="24"/>
        </w:rPr>
        <w:t xml:space="preserve">3GPP TSG RAN WG1 </w:t>
      </w:r>
      <w:r>
        <w:rPr>
          <w:rFonts w:ascii="Arial" w:hAnsi="Arial" w:cs="Arial"/>
          <w:b/>
          <w:sz w:val="24"/>
        </w:rPr>
        <w:t>Meeting #103-e</w:t>
      </w:r>
      <w:r w:rsidRPr="00DA12F7">
        <w:rPr>
          <w:rFonts w:ascii="Arial" w:hAnsi="Arial" w:cs="Arial"/>
          <w:b/>
          <w:sz w:val="24"/>
        </w:rPr>
        <w:tab/>
        <w:t>R1-</w:t>
      </w:r>
      <w:r w:rsidRPr="0047460C">
        <w:t xml:space="preserve"> </w:t>
      </w:r>
      <w:bookmarkStart w:id="0" w:name="_Hlk47549402"/>
      <w:r w:rsidRPr="0047460C">
        <w:rPr>
          <w:rFonts w:ascii="Arial" w:hAnsi="Arial" w:cs="Arial"/>
          <w:b/>
          <w:sz w:val="24"/>
        </w:rPr>
        <w:t>20</w:t>
      </w:r>
      <w:bookmarkEnd w:id="0"/>
      <w:r>
        <w:rPr>
          <w:rFonts w:ascii="Arial" w:hAnsi="Arial" w:cs="Arial"/>
          <w:b/>
          <w:sz w:val="24"/>
        </w:rPr>
        <w:t>09109</w:t>
      </w:r>
    </w:p>
    <w:p w14:paraId="7DCEDB54" w14:textId="77777777" w:rsidR="00872977" w:rsidRPr="00DA12F7" w:rsidRDefault="00872977" w:rsidP="00872977">
      <w:pPr>
        <w:tabs>
          <w:tab w:val="right" w:pos="9630"/>
        </w:tabs>
        <w:spacing w:after="0"/>
        <w:rPr>
          <w:rFonts w:ascii="Arial" w:hAnsi="Arial" w:cs="Arial"/>
          <w:b/>
          <w:sz w:val="24"/>
          <w:szCs w:val="24"/>
        </w:rPr>
      </w:pPr>
      <w:r>
        <w:rPr>
          <w:rFonts w:ascii="Arial" w:hAnsi="Arial" w:cs="Arial"/>
          <w:b/>
          <w:sz w:val="24"/>
          <w:szCs w:val="24"/>
        </w:rPr>
        <w:t>e-Meeting, October 26</w:t>
      </w:r>
      <w:r w:rsidRPr="00116328">
        <w:rPr>
          <w:rFonts w:ascii="Arial" w:hAnsi="Arial" w:cs="Arial"/>
          <w:b/>
          <w:sz w:val="24"/>
          <w:szCs w:val="24"/>
          <w:vertAlign w:val="superscript"/>
        </w:rPr>
        <w:t>t</w:t>
      </w:r>
      <w:r>
        <w:rPr>
          <w:rFonts w:ascii="Arial" w:hAnsi="Arial" w:cs="Arial"/>
          <w:b/>
          <w:sz w:val="24"/>
          <w:szCs w:val="24"/>
          <w:vertAlign w:val="superscript"/>
        </w:rPr>
        <w:t>h</w:t>
      </w:r>
      <w:r>
        <w:rPr>
          <w:rFonts w:ascii="Arial" w:hAnsi="Arial" w:cs="Arial"/>
          <w:b/>
          <w:sz w:val="24"/>
          <w:szCs w:val="24"/>
        </w:rPr>
        <w:t xml:space="preserve"> – November 13</w:t>
      </w:r>
      <w:r>
        <w:rPr>
          <w:rFonts w:ascii="Arial" w:hAnsi="Arial" w:cs="Arial"/>
          <w:b/>
          <w:sz w:val="24"/>
          <w:szCs w:val="24"/>
          <w:vertAlign w:val="superscript"/>
        </w:rPr>
        <w:t>th</w:t>
      </w:r>
      <w:r>
        <w:rPr>
          <w:rFonts w:ascii="Arial" w:hAnsi="Arial" w:cs="Arial"/>
          <w:b/>
          <w:sz w:val="24"/>
          <w:szCs w:val="24"/>
        </w:rPr>
        <w:t xml:space="preserve"> 2020</w:t>
      </w:r>
    </w:p>
    <w:p w14:paraId="03C1256C" w14:textId="77777777" w:rsidR="00872977" w:rsidRPr="00E624D8" w:rsidRDefault="00872977" w:rsidP="00872977">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23C5561C" w14:textId="77777777" w:rsidR="00872977" w:rsidRPr="00ED3068" w:rsidRDefault="00872977" w:rsidP="00872977">
      <w:pPr>
        <w:tabs>
          <w:tab w:val="left" w:pos="1985"/>
        </w:tabs>
        <w:rPr>
          <w:rFonts w:ascii="Arial" w:hAnsi="Arial"/>
          <w:color w:val="FF0000"/>
          <w:sz w:val="24"/>
        </w:rPr>
      </w:pPr>
      <w:r w:rsidRPr="00E624D8">
        <w:rPr>
          <w:rFonts w:ascii="Arial" w:hAnsi="Arial"/>
          <w:b/>
          <w:sz w:val="24"/>
        </w:rPr>
        <w:t>Agenda item:</w:t>
      </w:r>
      <w:bookmarkStart w:id="1" w:name="Source"/>
      <w:bookmarkEnd w:id="1"/>
      <w:r w:rsidRPr="00E624D8">
        <w:rPr>
          <w:rFonts w:ascii="Arial" w:hAnsi="Arial"/>
          <w:sz w:val="24"/>
        </w:rPr>
        <w:tab/>
      </w:r>
      <w:r>
        <w:rPr>
          <w:rFonts w:ascii="Arial" w:hAnsi="Arial"/>
          <w:sz w:val="24"/>
        </w:rPr>
        <w:t>8.10.2</w:t>
      </w:r>
    </w:p>
    <w:p w14:paraId="64853AA6" w14:textId="77777777" w:rsidR="00872977" w:rsidRPr="006E610E" w:rsidRDefault="00872977" w:rsidP="00872977">
      <w:pPr>
        <w:tabs>
          <w:tab w:val="left" w:pos="1985"/>
        </w:tabs>
        <w:rPr>
          <w:rFonts w:ascii="Arial" w:hAnsi="Arial"/>
        </w:rPr>
      </w:pPr>
      <w:r w:rsidRPr="00CC27F5">
        <w:rPr>
          <w:rFonts w:ascii="Arial" w:hAnsi="Arial"/>
          <w:b/>
          <w:sz w:val="24"/>
        </w:rPr>
        <w:t xml:space="preserve">Source: </w:t>
      </w:r>
      <w:r w:rsidRPr="00CC27F5">
        <w:rPr>
          <w:rFonts w:ascii="Arial" w:hAnsi="Arial"/>
          <w:b/>
          <w:sz w:val="24"/>
        </w:rPr>
        <w:tab/>
      </w:r>
      <w:r w:rsidRPr="00F4150B">
        <w:rPr>
          <w:rFonts w:ascii="Arial" w:hAnsi="Arial"/>
          <w:sz w:val="24"/>
          <w:szCs w:val="24"/>
        </w:rPr>
        <w:t>Lenovo, Motorola Mobility</w:t>
      </w:r>
    </w:p>
    <w:p w14:paraId="6627E145" w14:textId="77777777" w:rsidR="00872977" w:rsidRPr="0044166C" w:rsidRDefault="00872977" w:rsidP="00872977">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Pr>
          <w:rFonts w:ascii="Arial" w:hAnsi="Arial"/>
        </w:rPr>
        <w:tab/>
      </w:r>
      <w:r w:rsidRPr="00F4150B">
        <w:rPr>
          <w:rFonts w:ascii="Arial" w:hAnsi="Arial"/>
          <w:sz w:val="24"/>
          <w:szCs w:val="24"/>
        </w:rPr>
        <w:t>Enhancements for simultaneous operation in IAB systems</w:t>
      </w:r>
    </w:p>
    <w:p w14:paraId="22FA14A5" w14:textId="77777777" w:rsidR="00872977" w:rsidRPr="00CC27F5" w:rsidRDefault="00872977" w:rsidP="00872977">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Pr>
          <w:rFonts w:ascii="Arial" w:hAnsi="Arial"/>
          <w:sz w:val="24"/>
        </w:rPr>
        <w:t xml:space="preserve"> and Decision</w:t>
      </w:r>
    </w:p>
    <w:p w14:paraId="6EF6CC17" w14:textId="1FA88A99" w:rsidR="00872977" w:rsidRDefault="00872977" w:rsidP="00872977">
      <w:pPr>
        <w:pStyle w:val="Heading1"/>
      </w:pPr>
      <w:r w:rsidRPr="00CC27F5">
        <w:tab/>
        <w:t>Introduction</w:t>
      </w:r>
    </w:p>
    <w:p w14:paraId="0D007982" w14:textId="73FF8D8B" w:rsidR="00872977" w:rsidRDefault="00872977" w:rsidP="00872977">
      <w:r>
        <w:t xml:space="preserve">RAN1 started working on a new WI on enhancements for IAB </w:t>
      </w:r>
      <w:r>
        <w:fldChar w:fldCharType="begin"/>
      </w:r>
      <w:r>
        <w:instrText xml:space="preserve"> REF _Ref30751908 \r \h </w:instrText>
      </w:r>
      <w:r>
        <w:fldChar w:fldCharType="separate"/>
      </w:r>
      <w:r w:rsidR="00FD357E">
        <w:rPr>
          <w:rFonts w:hint="cs"/>
          <w:cs/>
        </w:rPr>
        <w:t>‎</w:t>
      </w:r>
      <w:r w:rsidR="00FD357E">
        <w:t>[1]</w:t>
      </w:r>
      <w:r>
        <w:fldChar w:fldCharType="end"/>
      </w:r>
      <w:r>
        <w:fldChar w:fldCharType="begin"/>
      </w:r>
      <w:r>
        <w:instrText xml:space="preserve"> REF _Ref47520968 \r \h </w:instrText>
      </w:r>
      <w:r>
        <w:fldChar w:fldCharType="separate"/>
      </w:r>
      <w:r w:rsidR="00FD357E">
        <w:rPr>
          <w:rFonts w:hint="cs"/>
          <w:cs/>
        </w:rPr>
        <w:t>‎</w:t>
      </w:r>
      <w:r w:rsidR="00FD357E">
        <w:t>[2]</w:t>
      </w:r>
      <w:r>
        <w:fldChar w:fldCharType="end"/>
      </w:r>
      <w:r>
        <w:t xml:space="preserve"> in RAN1#102-e and reached the following agreements </w:t>
      </w:r>
      <w:r>
        <w:fldChar w:fldCharType="begin"/>
      </w:r>
      <w:r>
        <w:instrText xml:space="preserve"> REF _Ref54186872 \r \h </w:instrText>
      </w:r>
      <w:r>
        <w:fldChar w:fldCharType="separate"/>
      </w:r>
      <w:r w:rsidR="00FD357E">
        <w:rPr>
          <w:rFonts w:hint="cs"/>
          <w:cs/>
        </w:rPr>
        <w:t>‎</w:t>
      </w:r>
      <w:r w:rsidR="00FD357E">
        <w:t>[3]</w:t>
      </w:r>
      <w:r>
        <w:fldChar w:fldCharType="end"/>
      </w:r>
      <w:r>
        <w:t>:</w:t>
      </w:r>
    </w:p>
    <w:tbl>
      <w:tblPr>
        <w:tblStyle w:val="TableGrid"/>
        <w:tblW w:w="0" w:type="auto"/>
        <w:tblLook w:val="04A0" w:firstRow="1" w:lastRow="0" w:firstColumn="1" w:lastColumn="0" w:noHBand="0" w:noVBand="1"/>
      </w:tblPr>
      <w:tblGrid>
        <w:gridCol w:w="9855"/>
      </w:tblGrid>
      <w:tr w:rsidR="00872977" w14:paraId="6005BE9F" w14:textId="77777777" w:rsidTr="00D02502">
        <w:tc>
          <w:tcPr>
            <w:tcW w:w="9855" w:type="dxa"/>
          </w:tcPr>
          <w:p w14:paraId="66421A1C" w14:textId="77777777" w:rsidR="00872977" w:rsidRDefault="00872977" w:rsidP="00D02502">
            <w:pPr>
              <w:rPr>
                <w:b/>
                <w:bCs/>
                <w:szCs w:val="20"/>
              </w:rPr>
            </w:pPr>
            <w:bookmarkStart w:id="3" w:name="_Hlk49269411"/>
            <w:r>
              <w:rPr>
                <w:b/>
                <w:bCs/>
                <w:szCs w:val="20"/>
                <w:highlight w:val="green"/>
              </w:rPr>
              <w:t>Agreement</w:t>
            </w:r>
          </w:p>
          <w:p w14:paraId="10F0929F" w14:textId="77777777" w:rsidR="00872977" w:rsidRDefault="00872977" w:rsidP="00872977">
            <w:pPr>
              <w:numPr>
                <w:ilvl w:val="0"/>
                <w:numId w:val="43"/>
              </w:numPr>
              <w:spacing w:after="0" w:line="240" w:lineRule="auto"/>
              <w:rPr>
                <w:szCs w:val="20"/>
              </w:rPr>
            </w:pPr>
            <w:r>
              <w:rPr>
                <w:szCs w:val="20"/>
              </w:rPr>
              <w:t>Case 7 timing is supported in Rel-17 for IAB-nodes operating in multiplexing scenario Case 2 (simultaneous MT-Rx/DU-Rx)</w:t>
            </w:r>
          </w:p>
          <w:p w14:paraId="78358732" w14:textId="77777777" w:rsidR="00872977" w:rsidRDefault="00872977" w:rsidP="00872977">
            <w:pPr>
              <w:numPr>
                <w:ilvl w:val="0"/>
                <w:numId w:val="44"/>
              </w:numPr>
              <w:spacing w:after="0" w:line="240" w:lineRule="auto"/>
              <w:rPr>
                <w:szCs w:val="20"/>
              </w:rPr>
            </w:pPr>
            <w:r>
              <w:rPr>
                <w:szCs w:val="20"/>
              </w:rPr>
              <w:t>Case 6 timing is supported in Rel-17 for IAB-nodes operating in multiplexing scenario Case 1 (simultaneous MT-Tx/DU-Tx)</w:t>
            </w:r>
          </w:p>
          <w:p w14:paraId="3890742A" w14:textId="77777777" w:rsidR="00872977" w:rsidRDefault="00872977" w:rsidP="00872977">
            <w:pPr>
              <w:numPr>
                <w:ilvl w:val="1"/>
                <w:numId w:val="44"/>
              </w:numPr>
              <w:spacing w:after="0" w:line="240" w:lineRule="auto"/>
              <w:rPr>
                <w:szCs w:val="20"/>
              </w:rPr>
            </w:pPr>
            <w:r>
              <w:rPr>
                <w:szCs w:val="20"/>
              </w:rPr>
              <w:t>RAN1 should strive to minimize specification impact due to this feature</w:t>
            </w:r>
          </w:p>
          <w:p w14:paraId="18C5316C" w14:textId="77777777" w:rsidR="00872977" w:rsidRPr="00B22158" w:rsidRDefault="00872977" w:rsidP="00872977">
            <w:pPr>
              <w:numPr>
                <w:ilvl w:val="0"/>
                <w:numId w:val="44"/>
              </w:numPr>
              <w:spacing w:after="0" w:line="240" w:lineRule="auto"/>
              <w:rPr>
                <w:szCs w:val="20"/>
              </w:rPr>
            </w:pPr>
            <w:r>
              <w:rPr>
                <w:szCs w:val="20"/>
              </w:rPr>
              <w:t>FFS: Whether Case 7 timing is supported in Rel-17 for IAB-nodes operating in multiplexing scenario Case 4 (simultaneous MT-Tx/DU-Rx)</w:t>
            </w:r>
            <w:bookmarkEnd w:id="3"/>
          </w:p>
        </w:tc>
      </w:tr>
    </w:tbl>
    <w:p w14:paraId="576EB10D" w14:textId="77777777" w:rsidR="00872977" w:rsidRDefault="00872977" w:rsidP="00872977"/>
    <w:p w14:paraId="4C8B3104" w14:textId="02FB2CED" w:rsidR="00872977" w:rsidRDefault="00872977" w:rsidP="00872977">
      <w:r>
        <w:t xml:space="preserve">Simultaneous operations </w:t>
      </w:r>
      <w:r w:rsidR="00962CED">
        <w:t xml:space="preserve">cases, as agreed in RAN1#102-e, </w:t>
      </w:r>
      <w:r>
        <w:t>are shown below:</w:t>
      </w:r>
    </w:p>
    <w:p w14:paraId="12E43282" w14:textId="18487A4E" w:rsidR="00872977" w:rsidRDefault="00411873" w:rsidP="00872977">
      <w:pPr>
        <w:keepNext/>
        <w:jc w:val="center"/>
      </w:pPr>
      <w:r w:rsidRPr="00411873">
        <w:rPr>
          <w:noProof/>
        </w:rPr>
        <w:drawing>
          <wp:inline distT="0" distB="0" distL="0" distR="0" wp14:anchorId="06728CDC" wp14:editId="5B34679C">
            <wp:extent cx="4919472" cy="282549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19472" cy="2825496"/>
                    </a:xfrm>
                    <a:prstGeom prst="rect">
                      <a:avLst/>
                    </a:prstGeom>
                    <a:noFill/>
                    <a:ln>
                      <a:noFill/>
                    </a:ln>
                  </pic:spPr>
                </pic:pic>
              </a:graphicData>
            </a:graphic>
          </wp:inline>
        </w:drawing>
      </w:r>
    </w:p>
    <w:p w14:paraId="577266B6" w14:textId="77777777" w:rsidR="00872977" w:rsidRDefault="00872977" w:rsidP="00872977">
      <w:pPr>
        <w:pStyle w:val="Caption"/>
      </w:pPr>
      <w:bookmarkStart w:id="4" w:name="_Ref54309434"/>
      <w:r>
        <w:t>. Simultaneous operations cases for enhanced IAB</w:t>
      </w:r>
      <w:bookmarkEnd w:id="4"/>
    </w:p>
    <w:p w14:paraId="5ADB4AE1" w14:textId="76DFE284" w:rsidR="00872977" w:rsidRPr="00B64FBD" w:rsidRDefault="00872977" w:rsidP="00872977">
      <w:r>
        <w:t xml:space="preserve">In a companion paper </w:t>
      </w:r>
      <w:r>
        <w:fldChar w:fldCharType="begin"/>
      </w:r>
      <w:r>
        <w:instrText xml:space="preserve"> REF _Ref54187073 \r \h </w:instrText>
      </w:r>
      <w:r>
        <w:fldChar w:fldCharType="separate"/>
      </w:r>
      <w:r w:rsidR="00FD357E">
        <w:rPr>
          <w:rFonts w:hint="cs"/>
          <w:cs/>
        </w:rPr>
        <w:t>‎</w:t>
      </w:r>
      <w:r w:rsidR="00FD357E">
        <w:t>[4]</w:t>
      </w:r>
      <w:r>
        <w:fldChar w:fldCharType="end"/>
      </w:r>
      <w:r>
        <w:t xml:space="preserve">, we provide our views on specification of simultaneous operation for an IAB-node’s child and parent links. In this paper, we provide our views on specification of other features for multiplexing and duplexing </w:t>
      </w:r>
      <w:proofErr w:type="spellStart"/>
      <w:r>
        <w:t>enhanacements</w:t>
      </w:r>
      <w:proofErr w:type="spellEnd"/>
      <w:r>
        <w:t>.</w:t>
      </w:r>
    </w:p>
    <w:p w14:paraId="29D46FC2" w14:textId="4B78D83C" w:rsidR="00872977" w:rsidRDefault="00872977" w:rsidP="00872977">
      <w:pPr>
        <w:pStyle w:val="Heading1"/>
        <w:jc w:val="both"/>
      </w:pPr>
      <w:r w:rsidRPr="00CC27F5">
        <w:lastRenderedPageBreak/>
        <w:tab/>
      </w:r>
      <w:r>
        <w:t>Discussion</w:t>
      </w:r>
    </w:p>
    <w:p w14:paraId="55D02D08" w14:textId="31BC4B7B" w:rsidR="00872977" w:rsidRDefault="00872977" w:rsidP="00872977">
      <w:pPr>
        <w:pStyle w:val="Heading2"/>
      </w:pPr>
      <w:r w:rsidRPr="00CC27F5">
        <w:tab/>
      </w:r>
      <w:r>
        <w:t>Timing alignment</w:t>
      </w:r>
    </w:p>
    <w:p w14:paraId="61E8E177" w14:textId="6E9F916B" w:rsidR="00872977" w:rsidRDefault="00872977" w:rsidP="00872977">
      <w:pPr>
        <w:rPr>
          <w:lang w:val="en-GB"/>
        </w:rPr>
      </w:pPr>
      <w:r>
        <w:rPr>
          <w:lang w:val="en-GB"/>
        </w:rPr>
        <w:t xml:space="preserve">Since Case-1 </w:t>
      </w:r>
      <w:r w:rsidR="005303F0">
        <w:rPr>
          <w:lang w:val="en-GB"/>
        </w:rPr>
        <w:t xml:space="preserve">timing alignment </w:t>
      </w:r>
      <w:r>
        <w:rPr>
          <w:lang w:val="en-GB"/>
        </w:rPr>
        <w:t xml:space="preserve">does not specify timing relationships for uplink, IAB nodes in Rel-16 normally follow the legacy timing advance (TA) procedure for uplink transmissions. </w:t>
      </w:r>
      <w:r w:rsidR="005303F0">
        <w:rPr>
          <w:lang w:val="en-GB"/>
        </w:rPr>
        <w:t xml:space="preserve">For an IAB node with one antenna panel/RF frontend </w:t>
      </w:r>
      <w:proofErr w:type="spellStart"/>
      <w:r w:rsidR="005303F0">
        <w:rPr>
          <w:lang w:val="en-GB"/>
        </w:rPr>
        <w:t>conncted</w:t>
      </w:r>
      <w:proofErr w:type="spellEnd"/>
      <w:r w:rsidR="005303F0">
        <w:rPr>
          <w:lang w:val="en-GB"/>
        </w:rPr>
        <w:t xml:space="preserve"> to a baseband unit, symbol boundaries should be aligned for simultaneous </w:t>
      </w:r>
      <w:proofErr w:type="spellStart"/>
      <w:r w:rsidR="005303F0">
        <w:rPr>
          <w:lang w:val="en-GB"/>
        </w:rPr>
        <w:t>transmisisons</w:t>
      </w:r>
      <w:proofErr w:type="spellEnd"/>
      <w:r w:rsidR="005303F0">
        <w:rPr>
          <w:lang w:val="en-GB"/>
        </w:rPr>
        <w:t xml:space="preserve"> (Case-6 timing alignment) and simultaneous receptions (Case-7 timing alignment). Multi-panel scenarios are normally expected to impose less stringent constraints on timing alignment, and hence, timing alignment for Case C</w:t>
      </w:r>
      <w:r w:rsidR="00A11A66">
        <w:rPr>
          <w:lang w:val="en-GB"/>
        </w:rPr>
        <w:t xml:space="preserve"> (Case </w:t>
      </w:r>
      <w:r w:rsidR="005303F0">
        <w:rPr>
          <w:lang w:val="en-GB"/>
        </w:rPr>
        <w:t>3</w:t>
      </w:r>
      <w:r w:rsidR="00A11A66">
        <w:rPr>
          <w:lang w:val="en-GB"/>
        </w:rPr>
        <w:t>)</w:t>
      </w:r>
      <w:r w:rsidR="005303F0">
        <w:rPr>
          <w:lang w:val="en-GB"/>
        </w:rPr>
        <w:t xml:space="preserve"> and Case D</w:t>
      </w:r>
      <w:r w:rsidR="00A11A66">
        <w:rPr>
          <w:lang w:val="en-GB"/>
        </w:rPr>
        <w:t xml:space="preserve"> (Case 4)</w:t>
      </w:r>
      <w:r w:rsidR="008455CC">
        <w:rPr>
          <w:lang w:val="en-GB"/>
        </w:rPr>
        <w:t xml:space="preserve"> duplexing</w:t>
      </w:r>
      <w:r w:rsidR="005303F0">
        <w:rPr>
          <w:lang w:val="en-GB"/>
        </w:rPr>
        <w:t xml:space="preserve"> should be deprioritized.</w:t>
      </w:r>
    </w:p>
    <w:p w14:paraId="7F333CB2" w14:textId="7841B56E" w:rsidR="005303F0" w:rsidRDefault="005303F0" w:rsidP="005303F0">
      <w:pPr>
        <w:pStyle w:val="Proposal"/>
        <w:rPr>
          <w:lang w:val="en-GB"/>
        </w:rPr>
      </w:pPr>
      <w:bookmarkStart w:id="5" w:name="_Toc54334220"/>
      <w:bookmarkStart w:id="6" w:name="_Toc54335451"/>
      <w:bookmarkStart w:id="7" w:name="_Toc54336345"/>
      <w:bookmarkStart w:id="8" w:name="_Toc54337821"/>
      <w:bookmarkStart w:id="9" w:name="_Toc54338578"/>
      <w:bookmarkStart w:id="10" w:name="_Toc54339090"/>
      <w:bookmarkStart w:id="11" w:name="_Toc54339222"/>
      <w:bookmarkStart w:id="12" w:name="_Toc54340303"/>
      <w:bookmarkStart w:id="13" w:name="_Toc54345671"/>
      <w:r>
        <w:rPr>
          <w:lang w:val="en-GB"/>
        </w:rPr>
        <w:t>Deprioritize timing alignment for Case C</w:t>
      </w:r>
      <w:r w:rsidR="00A11A66">
        <w:rPr>
          <w:lang w:val="en-GB"/>
        </w:rPr>
        <w:t xml:space="preserve"> </w:t>
      </w:r>
      <w:r>
        <w:rPr>
          <w:lang w:val="en-GB"/>
        </w:rPr>
        <w:t>and Case D</w:t>
      </w:r>
      <w:r w:rsidR="002B59B6">
        <w:rPr>
          <w:lang w:val="en-GB"/>
        </w:rPr>
        <w:t xml:space="preserve"> duplexing</w:t>
      </w:r>
      <w:r>
        <w:rPr>
          <w:lang w:val="en-GB"/>
        </w:rPr>
        <w:t>.</w:t>
      </w:r>
      <w:bookmarkEnd w:id="5"/>
      <w:bookmarkEnd w:id="6"/>
      <w:bookmarkEnd w:id="7"/>
      <w:bookmarkEnd w:id="8"/>
      <w:bookmarkEnd w:id="9"/>
      <w:bookmarkEnd w:id="10"/>
      <w:bookmarkEnd w:id="11"/>
      <w:bookmarkEnd w:id="12"/>
      <w:bookmarkEnd w:id="13"/>
    </w:p>
    <w:p w14:paraId="350CE7B2" w14:textId="1C46DD03" w:rsidR="00872977" w:rsidRDefault="00872977" w:rsidP="00872977">
      <w:pPr>
        <w:rPr>
          <w:lang w:val="en-GB"/>
        </w:rPr>
      </w:pPr>
      <w:r>
        <w:rPr>
          <w:lang w:val="en-GB"/>
        </w:rPr>
        <w:t xml:space="preserve">It can be shown that in a general multi-hop IAB </w:t>
      </w:r>
      <w:r w:rsidR="002C6F89">
        <w:rPr>
          <w:lang w:val="en-GB"/>
        </w:rPr>
        <w:t>topology</w:t>
      </w:r>
      <w:r>
        <w:rPr>
          <w:lang w:val="en-GB"/>
        </w:rPr>
        <w:t xml:space="preserve"> with arbitrary propagation delays between </w:t>
      </w:r>
      <w:r w:rsidR="00E660E9">
        <w:rPr>
          <w:lang w:val="en-GB"/>
        </w:rPr>
        <w:t xml:space="preserve">adjacent </w:t>
      </w:r>
      <w:r>
        <w:rPr>
          <w:lang w:val="en-GB"/>
        </w:rPr>
        <w:t>IAB nodes, transmission and receptions cannot all be aligned simultaneously because there are not sufficient degrees of freedom. Therefore, applying a transmission timing alignment (Case-6) or reception timing alignment (Case-7) in an IAB node at a time results in misalignment at some other node in the proximity (in a general scenario). Furthermore, provided that signalling is specified to support timing alignment based on Case-6 and Case-7, it can be shown that both cases perform fairly similarly across different scenarios.</w:t>
      </w:r>
    </w:p>
    <w:p w14:paraId="7B6138E7" w14:textId="77777777" w:rsidR="00B16191" w:rsidRDefault="002C6F89" w:rsidP="00872977">
      <w:pPr>
        <w:rPr>
          <w:lang w:val="en-GB"/>
        </w:rPr>
      </w:pPr>
      <w:r>
        <w:rPr>
          <w:lang w:val="en-GB"/>
        </w:rPr>
        <w:t xml:space="preserve">Semi-static and dynamic resource allocations were proposed in the previous meeting, and companies were encouraged to consider different aspects of </w:t>
      </w:r>
      <w:r w:rsidR="00E660E9">
        <w:rPr>
          <w:lang w:val="en-GB"/>
        </w:rPr>
        <w:t>“</w:t>
      </w:r>
      <w:r>
        <w:rPr>
          <w:lang w:val="en-GB"/>
        </w:rPr>
        <w:t>resource partitioning.</w:t>
      </w:r>
      <w:r w:rsidR="00E660E9">
        <w:rPr>
          <w:lang w:val="en-GB"/>
        </w:rPr>
        <w:t>”</w:t>
      </w:r>
      <w:r>
        <w:rPr>
          <w:lang w:val="en-GB"/>
        </w:rPr>
        <w:t xml:space="preserve"> An important aspect of resource partitioning in a general multi-hop scenario </w:t>
      </w:r>
      <w:r w:rsidR="00E660E9">
        <w:rPr>
          <w:lang w:val="en-GB"/>
        </w:rPr>
        <w:t>is that timing of transmissions or receptions may need to be aligned (at the symbol level) differently at different IAB nodes and/or in different slots. Particularly, for an IAB node with a single antenna panel/RF frontend connected to a baseband unit, Case-6 timing alignment should be applied when UL resources are configured for IAB-MT and DL resources are configured for IAB-DU; and conversely, Case-7 timing alignment should be applied when DL resources are configured for IAB-MT and UL resources are configured for IAB-DU.</w:t>
      </w:r>
    </w:p>
    <w:p w14:paraId="4B21733A" w14:textId="507435D3" w:rsidR="00872977" w:rsidRDefault="00E660E9" w:rsidP="00B16191">
      <w:pPr>
        <w:rPr>
          <w:lang w:val="en-GB"/>
        </w:rPr>
      </w:pPr>
      <w:r>
        <w:rPr>
          <w:lang w:val="en-GB"/>
        </w:rPr>
        <w:t>Therefore, we propose to specify timing alignment configuration for IAB nodes.</w:t>
      </w:r>
      <w:r w:rsidR="00B16191" w:rsidRPr="00B16191">
        <w:t xml:space="preserve"> </w:t>
      </w:r>
      <w:r w:rsidR="006C066E">
        <w:t>A timing alignment configuration can be specified for a number of slots, a semi-static scheduled (SPS) channel, and so on. Configurations work well for hard DL/UL resources, but with flexible and/or soft resources, a timing alignment mode may or may not need to be applied at a particular time slot. Hence, low</w:t>
      </w:r>
      <w:r w:rsidR="00962CED">
        <w:t xml:space="preserve">er layer control signal can be further employed to activate or </w:t>
      </w:r>
      <w:proofErr w:type="spellStart"/>
      <w:r w:rsidR="00962CED">
        <w:t>trgigger</w:t>
      </w:r>
      <w:proofErr w:type="spellEnd"/>
      <w:r w:rsidR="00962CED">
        <w:t xml:space="preserve"> a timing alignment mode “locally.”</w:t>
      </w:r>
    </w:p>
    <w:p w14:paraId="5D4E508F" w14:textId="5B1E510D" w:rsidR="00872977" w:rsidRDefault="00872977" w:rsidP="00D60501">
      <w:pPr>
        <w:pStyle w:val="Proposal"/>
      </w:pPr>
      <w:bookmarkStart w:id="14" w:name="_Toc54333407"/>
      <w:bookmarkStart w:id="15" w:name="_Toc54334221"/>
      <w:bookmarkStart w:id="16" w:name="_Toc54335452"/>
      <w:bookmarkStart w:id="17" w:name="_Toc54336346"/>
      <w:bookmarkStart w:id="18" w:name="_Toc54337822"/>
      <w:bookmarkStart w:id="19" w:name="_Toc54338579"/>
      <w:bookmarkStart w:id="20" w:name="_Toc54339091"/>
      <w:bookmarkStart w:id="21" w:name="_Toc54339223"/>
      <w:bookmarkStart w:id="22" w:name="_Toc54340304"/>
      <w:bookmarkStart w:id="23" w:name="_Toc54345672"/>
      <w:r>
        <w:t xml:space="preserve">Support </w:t>
      </w:r>
      <w:r w:rsidR="00E660E9">
        <w:t xml:space="preserve">configuration </w:t>
      </w:r>
      <w:r w:rsidR="00B16191">
        <w:t>and control signaling for applying</w:t>
      </w:r>
      <w:r w:rsidR="00E660E9">
        <w:t xml:space="preserve"> Case-6 and Case-7 timing alignment </w:t>
      </w:r>
      <w:r w:rsidR="00B16191">
        <w:t>at</w:t>
      </w:r>
      <w:r w:rsidR="00E660E9">
        <w:t xml:space="preserve"> enhanced IAB nodes</w:t>
      </w:r>
      <w:r>
        <w:t>.</w:t>
      </w:r>
      <w:bookmarkEnd w:id="14"/>
      <w:bookmarkEnd w:id="15"/>
      <w:bookmarkEnd w:id="16"/>
      <w:bookmarkEnd w:id="17"/>
      <w:bookmarkEnd w:id="18"/>
      <w:bookmarkEnd w:id="19"/>
      <w:bookmarkEnd w:id="20"/>
      <w:bookmarkEnd w:id="21"/>
      <w:bookmarkEnd w:id="22"/>
      <w:bookmarkEnd w:id="23"/>
    </w:p>
    <w:p w14:paraId="185B8715" w14:textId="0A59EE99" w:rsidR="00962CED" w:rsidRDefault="00962CED" w:rsidP="00872977">
      <w:r>
        <w:t>Note that it is desired to support operation of IAB systems with mixed Rel-16 and Rel-17 IAB nodes. Signaling and application of enhanced timing alignment schemes should therefore be transparent to Rel-16 IAB nodes.</w:t>
      </w:r>
    </w:p>
    <w:p w14:paraId="628AC847" w14:textId="77777777" w:rsidR="00872977" w:rsidRDefault="00872977" w:rsidP="00872977">
      <w:r>
        <w:t xml:space="preserve">In order to realize a scheme based on Case-6, an IAB node should align its uplink transmissions with downlink </w:t>
      </w:r>
      <w:proofErr w:type="spellStart"/>
      <w:r>
        <w:t>transimssions</w:t>
      </w:r>
      <w:proofErr w:type="spellEnd"/>
      <w:r>
        <w:t>. Since downlink transmissions are already aligned in Case-6 similar to Case-1, the IAB node needs no additional information to apply Case-6.</w:t>
      </w:r>
    </w:p>
    <w:p w14:paraId="01323166" w14:textId="51701FB8" w:rsidR="00872977" w:rsidRDefault="00872977" w:rsidP="00872977">
      <w:r>
        <w:t xml:space="preserve">However, the IAB node does need additional information for Case-7. Consider the scenario depicted in </w:t>
      </w:r>
      <w:r>
        <w:fldChar w:fldCharType="begin"/>
      </w:r>
      <w:r>
        <w:instrText xml:space="preserve"> REF _Ref47614243 \r \h </w:instrText>
      </w:r>
      <w:r>
        <w:fldChar w:fldCharType="separate"/>
      </w:r>
      <w:r w:rsidR="00FD357E">
        <w:rPr>
          <w:rFonts w:hint="cs"/>
          <w:cs/>
        </w:rPr>
        <w:t>‎</w:t>
      </w:r>
      <w:r w:rsidR="00FD357E">
        <w:t>Figure 2</w:t>
      </w:r>
      <w:r>
        <w:fldChar w:fldCharType="end"/>
      </w:r>
      <w:r>
        <w:t>.</w:t>
      </w:r>
    </w:p>
    <w:p w14:paraId="7D9DD537" w14:textId="77777777" w:rsidR="00872977" w:rsidRDefault="00872977" w:rsidP="00872977">
      <w:pPr>
        <w:keepNext/>
        <w:jc w:val="center"/>
        <w:rPr>
          <w:lang w:val="en-GB"/>
        </w:rPr>
      </w:pPr>
      <w:r w:rsidRPr="00873F9E">
        <w:rPr>
          <w:noProof/>
        </w:rPr>
        <w:drawing>
          <wp:inline distT="0" distB="0" distL="0" distR="0" wp14:anchorId="066E198C" wp14:editId="48D6C0A3">
            <wp:extent cx="4526280" cy="16642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26280" cy="1664208"/>
                    </a:xfrm>
                    <a:prstGeom prst="rect">
                      <a:avLst/>
                    </a:prstGeom>
                    <a:noFill/>
                    <a:ln>
                      <a:noFill/>
                    </a:ln>
                  </pic:spPr>
                </pic:pic>
              </a:graphicData>
            </a:graphic>
          </wp:inline>
        </w:drawing>
      </w:r>
    </w:p>
    <w:p w14:paraId="2B09A3E8" w14:textId="77777777" w:rsidR="00872977" w:rsidRPr="00A67813" w:rsidRDefault="00872977" w:rsidP="00872977">
      <w:pPr>
        <w:pStyle w:val="Caption"/>
      </w:pPr>
      <w:bookmarkStart w:id="24" w:name="_Ref47535681"/>
      <w:bookmarkStart w:id="25" w:name="_Ref47559479"/>
      <w:bookmarkStart w:id="26" w:name="_Ref47614243"/>
      <w:r>
        <w:t xml:space="preserve">. </w:t>
      </w:r>
      <w:r w:rsidRPr="006044DD">
        <w:t>Example</w:t>
      </w:r>
      <w:r>
        <w:t xml:space="preserve"> </w:t>
      </w:r>
      <w:bookmarkEnd w:id="24"/>
      <w:r w:rsidRPr="006044DD">
        <w:t>scenario</w:t>
      </w:r>
      <w:bookmarkEnd w:id="25"/>
      <w:bookmarkEnd w:id="26"/>
    </w:p>
    <w:p w14:paraId="2BE1C324" w14:textId="77777777" w:rsidR="00872977" w:rsidRDefault="00872977" w:rsidP="00872977">
      <w:r>
        <w:lastRenderedPageBreak/>
        <w:t>The goal is for the parent node (PN) and the child node (CN) to transmit signals simultaneously to the IAB node (N) in a way that symbol boundaries are aligned at N. Given that the downlink transmission from PN to N is already determined in Case-7 similar to Case-1, the only degree of freedom is to adjust the uplink transmission time.</w:t>
      </w:r>
    </w:p>
    <w:p w14:paraId="0F07F6FA" w14:textId="77777777" w:rsidR="00872977" w:rsidRDefault="00872977" w:rsidP="00872977">
      <w:r>
        <w:t>Let us define the following notations:</w:t>
      </w:r>
    </w:p>
    <w:p w14:paraId="3F9A7F74" w14:textId="77777777" w:rsidR="00872977" w:rsidRPr="00F4150B" w:rsidRDefault="00070412" w:rsidP="00872977">
      <w:pPr>
        <w:pStyle w:val="ListParagraph"/>
        <w:numPr>
          <w:ilvl w:val="0"/>
          <w:numId w:val="41"/>
        </w:numPr>
        <w:spacing w:before="0" w:after="0"/>
        <w:rPr>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p,u</m:t>
            </m:r>
          </m:sub>
        </m:sSub>
      </m:oMath>
      <w:r w:rsidR="00872977" w:rsidRPr="00F4150B">
        <w:rPr>
          <w:rFonts w:eastAsiaTheme="minorEastAsia"/>
          <w:szCs w:val="20"/>
        </w:rPr>
        <w:t>: the propagation delay between PN and N</w:t>
      </w:r>
    </w:p>
    <w:p w14:paraId="25186C8B" w14:textId="77777777" w:rsidR="00872977" w:rsidRPr="00F4150B" w:rsidRDefault="00070412" w:rsidP="00872977">
      <w:pPr>
        <w:pStyle w:val="ListParagraph"/>
        <w:numPr>
          <w:ilvl w:val="0"/>
          <w:numId w:val="41"/>
        </w:numPr>
        <w:spacing w:before="0" w:after="0"/>
        <w:rPr>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tx,u</m:t>
            </m:r>
          </m:sub>
        </m:sSub>
      </m:oMath>
      <w:r w:rsidR="00872977" w:rsidRPr="00F4150B">
        <w:rPr>
          <w:rFonts w:eastAsiaTheme="minorEastAsia"/>
          <w:szCs w:val="20"/>
        </w:rPr>
        <w:t>: downlink transmission time by PN</w:t>
      </w:r>
    </w:p>
    <w:p w14:paraId="3508DD73" w14:textId="77777777" w:rsidR="00872977" w:rsidRPr="00F4150B" w:rsidRDefault="00070412" w:rsidP="00872977">
      <w:pPr>
        <w:pStyle w:val="ListParagraph"/>
        <w:numPr>
          <w:ilvl w:val="0"/>
          <w:numId w:val="41"/>
        </w:numPr>
        <w:spacing w:before="0" w:after="0"/>
        <w:rPr>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rx,u</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tx,u</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p,u</m:t>
            </m:r>
          </m:sub>
        </m:sSub>
      </m:oMath>
      <w:r w:rsidR="00872977" w:rsidRPr="00F4150B">
        <w:rPr>
          <w:rFonts w:eastAsiaTheme="minorEastAsia"/>
          <w:szCs w:val="20"/>
        </w:rPr>
        <w:t>: downlink reception time at N from PN</w:t>
      </w:r>
    </w:p>
    <w:p w14:paraId="30244D29" w14:textId="77777777" w:rsidR="00872977" w:rsidRPr="00F4150B" w:rsidRDefault="00070412" w:rsidP="00872977">
      <w:pPr>
        <w:pStyle w:val="ListParagraph"/>
        <w:numPr>
          <w:ilvl w:val="0"/>
          <w:numId w:val="41"/>
        </w:numPr>
        <w:spacing w:before="0" w:after="0"/>
        <w:rPr>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p,d</m:t>
            </m:r>
          </m:sub>
        </m:sSub>
      </m:oMath>
      <w:r w:rsidR="00872977" w:rsidRPr="00F4150B">
        <w:rPr>
          <w:rFonts w:eastAsiaTheme="minorEastAsia"/>
          <w:szCs w:val="20"/>
        </w:rPr>
        <w:t>: the propagation delay between CN and N</w:t>
      </w:r>
    </w:p>
    <w:p w14:paraId="7BB0E333" w14:textId="77777777" w:rsidR="00872977" w:rsidRPr="00F4150B" w:rsidRDefault="00070412" w:rsidP="00872977">
      <w:pPr>
        <w:pStyle w:val="ListParagraph"/>
        <w:numPr>
          <w:ilvl w:val="0"/>
          <w:numId w:val="41"/>
        </w:numPr>
        <w:spacing w:before="0" w:after="0"/>
        <w:rPr>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tx,d</m:t>
            </m:r>
          </m:sub>
        </m:sSub>
      </m:oMath>
      <w:r w:rsidR="00872977" w:rsidRPr="00F4150B">
        <w:rPr>
          <w:rFonts w:eastAsiaTheme="minorEastAsia"/>
          <w:szCs w:val="20"/>
        </w:rPr>
        <w:t>: uplink transmission time by CN</w:t>
      </w:r>
    </w:p>
    <w:p w14:paraId="4C091C67" w14:textId="77777777" w:rsidR="00872977" w:rsidRPr="00F4150B" w:rsidRDefault="00070412" w:rsidP="00872977">
      <w:pPr>
        <w:pStyle w:val="ListParagraph"/>
        <w:numPr>
          <w:ilvl w:val="0"/>
          <w:numId w:val="41"/>
        </w:numPr>
        <w:spacing w:before="0" w:after="0"/>
        <w:rPr>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rx,d</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tx,d</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p,d</m:t>
            </m:r>
          </m:sub>
        </m:sSub>
      </m:oMath>
      <w:r w:rsidR="00872977" w:rsidRPr="00F4150B">
        <w:rPr>
          <w:rFonts w:eastAsiaTheme="minorEastAsia"/>
          <w:szCs w:val="20"/>
        </w:rPr>
        <w:t>: uplink reception time at N from CN</w:t>
      </w:r>
    </w:p>
    <w:p w14:paraId="14938572" w14:textId="77777777" w:rsidR="00872977" w:rsidRDefault="00872977" w:rsidP="00872977">
      <w:pPr>
        <w:spacing w:before="120"/>
      </w:pPr>
      <w:r>
        <w:t>A scheme based on Case-7 should set:</w:t>
      </w:r>
    </w:p>
    <w:p w14:paraId="7A731AB6" w14:textId="77777777" w:rsidR="00872977" w:rsidRPr="00780C47" w:rsidRDefault="00070412" w:rsidP="00872977">
      <w:pPr>
        <w:rPr>
          <w:rFonts w:eastAsiaTheme="minorEastAsia"/>
        </w:rPr>
      </w:pPr>
      <m:oMathPara>
        <m:oMath>
          <m:sSub>
            <m:sSubPr>
              <m:ctrlPr>
                <w:rPr>
                  <w:rFonts w:ascii="Cambria Math" w:hAnsi="Cambria Math"/>
                  <w:i/>
                </w:rPr>
              </m:ctrlPr>
            </m:sSubPr>
            <m:e>
              <m:r>
                <w:rPr>
                  <w:rFonts w:ascii="Cambria Math" w:hAnsi="Cambria Math"/>
                </w:rPr>
                <m:t>T</m:t>
              </m:r>
            </m:e>
            <m:sub>
              <m:r>
                <w:rPr>
                  <w:rFonts w:ascii="Cambria Math" w:hAnsi="Cambria Math"/>
                </w:rPr>
                <m:t>rx,d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rx,u</m:t>
              </m:r>
            </m:sub>
          </m:sSub>
          <m:r>
            <w:rPr>
              <w:rFonts w:ascii="Cambria Math" w:hAnsi="Cambria Math"/>
            </w:rPr>
            <m:t xml:space="preserve">   ⇒   </m:t>
          </m:r>
          <m:sSub>
            <m:sSubPr>
              <m:ctrlPr>
                <w:rPr>
                  <w:rFonts w:ascii="Cambria Math" w:hAnsi="Cambria Math"/>
                  <w:i/>
                </w:rPr>
              </m:ctrlPr>
            </m:sSubPr>
            <m:e>
              <m:r>
                <w:rPr>
                  <w:rFonts w:ascii="Cambria Math" w:hAnsi="Cambria Math"/>
                </w:rPr>
                <m:t>T</m:t>
              </m:r>
            </m:e>
            <m:sub>
              <m:r>
                <w:rPr>
                  <w:rFonts w:ascii="Cambria Math" w:hAnsi="Cambria Math"/>
                </w:rPr>
                <m:t>tx,d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tx,u</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p,u</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p,d</m:t>
                  </m:r>
                </m:sub>
              </m:sSub>
            </m:e>
          </m:d>
        </m:oMath>
      </m:oMathPara>
    </w:p>
    <w:p w14:paraId="2CD4B014" w14:textId="5151F889" w:rsidR="00872977" w:rsidRDefault="00872977" w:rsidP="00872977">
      <w:r>
        <w:rPr>
          <w:rFonts w:eastAsiaTheme="minorEastAsia"/>
        </w:rPr>
        <w:t xml:space="preserve">This is the transmission timing that should be applied by CN. We can assume that </w:t>
      </w:r>
      <m:oMath>
        <m:sSub>
          <m:sSubPr>
            <m:ctrlPr>
              <w:rPr>
                <w:rFonts w:ascii="Cambria Math" w:hAnsi="Cambria Math"/>
                <w:i/>
              </w:rPr>
            </m:ctrlPr>
          </m:sSubPr>
          <m:e>
            <m:r>
              <w:rPr>
                <w:rFonts w:ascii="Cambria Math" w:hAnsi="Cambria Math"/>
              </w:rPr>
              <m:t>T</m:t>
            </m:r>
          </m:e>
          <m:sub>
            <m:r>
              <w:rPr>
                <w:rFonts w:ascii="Cambria Math" w:hAnsi="Cambria Math"/>
              </w:rPr>
              <m:t>rx,d</m:t>
            </m:r>
          </m:sub>
        </m:sSub>
      </m:oMath>
      <w:r>
        <w:rPr>
          <w:rFonts w:eastAsiaTheme="minorEastAsia"/>
        </w:rPr>
        <w:t xml:space="preserve"> is already known to CN as Case-1 already aligns all downlink transmission times across PN, N, and CN. However, additional signaling is needed to inform CN of the prorpagation delay term in </w:t>
      </w:r>
      <w:r w:rsidR="00EB2CCA">
        <w:rPr>
          <w:rFonts w:eastAsiaTheme="minorEastAsia"/>
        </w:rPr>
        <w:t xml:space="preserve">the </w:t>
      </w:r>
      <w:r>
        <w:rPr>
          <w:rFonts w:eastAsiaTheme="minorEastAsia"/>
        </w:rPr>
        <w:t xml:space="preserve">round brackets. </w:t>
      </w:r>
    </w:p>
    <w:p w14:paraId="7673C1C2" w14:textId="600B766F" w:rsidR="00872977" w:rsidRDefault="00872977" w:rsidP="00D60501">
      <w:pPr>
        <w:pStyle w:val="Proposal"/>
      </w:pPr>
      <w:bookmarkStart w:id="27" w:name="_Toc54333409"/>
      <w:bookmarkStart w:id="28" w:name="_Toc54334223"/>
      <w:bookmarkStart w:id="29" w:name="_Toc54335454"/>
      <w:bookmarkStart w:id="30" w:name="_Toc54336347"/>
      <w:bookmarkStart w:id="31" w:name="_Toc54337823"/>
      <w:bookmarkStart w:id="32" w:name="_Toc54338580"/>
      <w:bookmarkStart w:id="33" w:name="_Toc54339092"/>
      <w:bookmarkStart w:id="34" w:name="_Toc54339224"/>
      <w:bookmarkStart w:id="35" w:name="_Toc54340305"/>
      <w:bookmarkStart w:id="36" w:name="_Toc54345673"/>
      <w:r>
        <w:t xml:space="preserve">Define signaling to communicate information of the </w:t>
      </w:r>
      <w:r w:rsidR="00B153E8">
        <w:t>parent link</w:t>
      </w:r>
      <w:r>
        <w:t xml:space="preserve"> propagation delay to child IAB node</w:t>
      </w:r>
      <w:r w:rsidR="00E54F4B">
        <w:t>s</w:t>
      </w:r>
      <w:r>
        <w:t>.</w:t>
      </w:r>
      <w:bookmarkEnd w:id="27"/>
      <w:bookmarkEnd w:id="28"/>
      <w:bookmarkEnd w:id="29"/>
      <w:bookmarkEnd w:id="30"/>
      <w:bookmarkEnd w:id="31"/>
      <w:bookmarkEnd w:id="32"/>
      <w:bookmarkEnd w:id="33"/>
      <w:bookmarkEnd w:id="34"/>
      <w:bookmarkEnd w:id="35"/>
      <w:bookmarkEnd w:id="36"/>
    </w:p>
    <w:p w14:paraId="51DD2F27" w14:textId="7C16B7E0" w:rsidR="00872977" w:rsidRDefault="006F10A1" w:rsidP="00872977">
      <w:pPr>
        <w:pStyle w:val="Heading2"/>
      </w:pPr>
      <w:r>
        <w:t>P</w:t>
      </w:r>
      <w:r w:rsidR="00872977">
        <w:t>ower control</w:t>
      </w:r>
    </w:p>
    <w:p w14:paraId="2D66D8CA" w14:textId="7A47EFA4" w:rsidR="00872977" w:rsidRDefault="00872977" w:rsidP="00872977">
      <w:pPr>
        <w:rPr>
          <w:lang w:val="en-GB"/>
        </w:rPr>
      </w:pPr>
      <w:r>
        <w:rPr>
          <w:lang w:val="en-GB"/>
        </w:rPr>
        <w:t xml:space="preserve">When an IAB node performs simultaneous operations in upstream and downstream through a single antenna panel, power imbalance between the two operations should be maintained within a threshold. </w:t>
      </w:r>
      <w:r w:rsidR="00702958">
        <w:rPr>
          <w:lang w:val="en-GB"/>
        </w:rPr>
        <w:t>In Case A (simultaneous Tx)</w:t>
      </w:r>
      <w:r>
        <w:rPr>
          <w:lang w:val="en-GB"/>
        </w:rPr>
        <w:t>, the threshold is determined by the dynamic range of the power amplifier</w:t>
      </w:r>
      <w:r w:rsidR="00702958">
        <w:rPr>
          <w:lang w:val="en-GB"/>
        </w:rPr>
        <w:t>, while in Case B (simultaneous Rx),</w:t>
      </w:r>
      <w:r>
        <w:rPr>
          <w:lang w:val="en-GB"/>
        </w:rPr>
        <w:t xml:space="preserve"> the threshold is determined by the resolution of the AGC. In either case, mechanisms for power control are needed to ensure that stronger signal</w:t>
      </w:r>
      <w:r w:rsidR="00702958">
        <w:rPr>
          <w:lang w:val="en-GB"/>
        </w:rPr>
        <w:t>s</w:t>
      </w:r>
      <w:r>
        <w:rPr>
          <w:lang w:val="en-GB"/>
        </w:rPr>
        <w:t xml:space="preserve"> do not corrupt weaker signal</w:t>
      </w:r>
      <w:r w:rsidR="00702958">
        <w:rPr>
          <w:lang w:val="en-GB"/>
        </w:rPr>
        <w:t>s</w:t>
      </w:r>
      <w:r>
        <w:rPr>
          <w:lang w:val="en-GB"/>
        </w:rPr>
        <w:t>.</w:t>
      </w:r>
    </w:p>
    <w:p w14:paraId="5D978D41" w14:textId="77777777" w:rsidR="00872977" w:rsidRDefault="00872977" w:rsidP="00872977">
      <w:pPr>
        <w:rPr>
          <w:lang w:val="en-GB"/>
        </w:rPr>
      </w:pPr>
      <w:r>
        <w:rPr>
          <w:lang w:val="en-GB"/>
        </w:rPr>
        <w:t>In legacy systems, open-loop and closed-loop power control procedures are specified to ensure balanced received powers from UEs. Since IAB Rel-16 inherits the same procedures, uplink transmit powers of IAB nodes are subject to full control by their respective parent nodes. This, however, can raise issues with simultaneous operation as explained below.</w:t>
      </w:r>
    </w:p>
    <w:p w14:paraId="1A12E895" w14:textId="5FE53BEA" w:rsidR="00872977" w:rsidRDefault="00872977" w:rsidP="00872977">
      <w:pPr>
        <w:rPr>
          <w:lang w:val="en-GB"/>
        </w:rPr>
      </w:pPr>
      <w:r>
        <w:rPr>
          <w:lang w:val="en-GB"/>
        </w:rPr>
        <w:t xml:space="preserve">Consider the example scenario illustrated in </w:t>
      </w:r>
      <w:r>
        <w:rPr>
          <w:lang w:val="en-GB"/>
        </w:rPr>
        <w:fldChar w:fldCharType="begin"/>
      </w:r>
      <w:r>
        <w:rPr>
          <w:lang w:val="en-GB"/>
        </w:rPr>
        <w:instrText xml:space="preserve"> REF _Ref47559479 \r \h </w:instrText>
      </w:r>
      <w:r>
        <w:rPr>
          <w:lang w:val="en-GB"/>
        </w:rPr>
      </w:r>
      <w:r>
        <w:rPr>
          <w:lang w:val="en-GB"/>
        </w:rPr>
        <w:fldChar w:fldCharType="separate"/>
      </w:r>
      <w:r w:rsidR="00FD357E">
        <w:rPr>
          <w:rFonts w:hint="cs"/>
          <w:cs/>
          <w:lang w:val="en-GB"/>
        </w:rPr>
        <w:t>‎</w:t>
      </w:r>
      <w:r w:rsidR="00FD357E">
        <w:rPr>
          <w:lang w:val="en-GB"/>
        </w:rPr>
        <w:t>Figure 2</w:t>
      </w:r>
      <w:r>
        <w:rPr>
          <w:lang w:val="en-GB"/>
        </w:rPr>
        <w:fldChar w:fldCharType="end"/>
      </w:r>
      <w:r>
        <w:rPr>
          <w:lang w:val="en-GB"/>
        </w:rPr>
        <w:t xml:space="preserve">. In that scenario, uplink transmit power of the IAB node (N) is controlled by the parent IAB node (PN). Consider </w:t>
      </w:r>
      <w:r w:rsidR="00FD357E">
        <w:rPr>
          <w:lang w:val="en-GB"/>
        </w:rPr>
        <w:t xml:space="preserve">Case A duplexing </w:t>
      </w:r>
      <w:r>
        <w:rPr>
          <w:lang w:val="en-GB"/>
        </w:rPr>
        <w:t xml:space="preserve">where PN schedules </w:t>
      </w:r>
      <w:r w:rsidR="00FD357E">
        <w:rPr>
          <w:lang w:val="en-GB"/>
        </w:rPr>
        <w:t>a PUSCH for</w:t>
      </w:r>
      <w:r>
        <w:rPr>
          <w:lang w:val="en-GB"/>
        </w:rPr>
        <w:t xml:space="preserve"> N, and N schedules a simultaneous </w:t>
      </w:r>
      <w:r w:rsidR="00FD357E">
        <w:rPr>
          <w:lang w:val="en-GB"/>
        </w:rPr>
        <w:t>PDSCH</w:t>
      </w:r>
      <w:r>
        <w:rPr>
          <w:lang w:val="en-GB"/>
        </w:rPr>
        <w:t xml:space="preserve"> </w:t>
      </w:r>
      <w:r w:rsidR="00FD357E">
        <w:rPr>
          <w:lang w:val="en-GB"/>
        </w:rPr>
        <w:t>for the</w:t>
      </w:r>
      <w:r>
        <w:rPr>
          <w:lang w:val="en-GB"/>
        </w:rPr>
        <w:t xml:space="preserve"> child IAB node (CN). If the instantaneous uplink transmit power by N has a large offset with respect to its target downlink transmit power, N will be compelled to either alter its downlink transmit power or drop the transmission. This may </w:t>
      </w:r>
      <w:r w:rsidR="00FD357E">
        <w:rPr>
          <w:lang w:val="en-GB"/>
        </w:rPr>
        <w:t xml:space="preserve">be caused by a </w:t>
      </w:r>
      <w:r>
        <w:rPr>
          <w:lang w:val="en-GB"/>
        </w:rPr>
        <w:t xml:space="preserve">large power imbalance between upstream and downstream transmissions for N, or </w:t>
      </w:r>
      <w:r w:rsidR="00FD357E">
        <w:rPr>
          <w:lang w:val="en-GB"/>
        </w:rPr>
        <w:t>by</w:t>
      </w:r>
      <w:r>
        <w:rPr>
          <w:lang w:val="en-GB"/>
        </w:rPr>
        <w:t xml:space="preserve"> </w:t>
      </w:r>
      <w:r w:rsidR="00FD357E">
        <w:rPr>
          <w:lang w:val="en-GB"/>
        </w:rPr>
        <w:t xml:space="preserve">a constraint on </w:t>
      </w:r>
      <w:r>
        <w:rPr>
          <w:lang w:val="en-GB"/>
        </w:rPr>
        <w:t>the total transmit power, and so on. However, prior information of the transmit power could help N to decide whether it wants to schedule any simultaneous downstream transmissions in the first place.</w:t>
      </w:r>
    </w:p>
    <w:p w14:paraId="62715A2B" w14:textId="719F009E" w:rsidR="00872977" w:rsidRDefault="00872977" w:rsidP="00872977">
      <w:pPr>
        <w:rPr>
          <w:lang w:val="en-GB"/>
        </w:rPr>
      </w:pPr>
      <w:r>
        <w:rPr>
          <w:lang w:val="en-GB"/>
        </w:rPr>
        <w:t xml:space="preserve">A similar issue may be raised for </w:t>
      </w:r>
      <w:r w:rsidR="00FD357E">
        <w:rPr>
          <w:lang w:val="en-GB"/>
        </w:rPr>
        <w:t>Case B duplexing</w:t>
      </w:r>
      <w:r>
        <w:rPr>
          <w:lang w:val="en-GB"/>
        </w:rPr>
        <w:t xml:space="preserve">. If the IAB node N does not obtain prior knowledge of the received power from its parent node PN, it may not be able to send TPC commands to its child node CN for a simultaneous communication in order to maintain a balanced receive power </w:t>
      </w:r>
      <w:r w:rsidR="00FD357E">
        <w:rPr>
          <w:lang w:val="en-GB"/>
        </w:rPr>
        <w:t xml:space="preserve">for signals received </w:t>
      </w:r>
      <w:r>
        <w:rPr>
          <w:lang w:val="en-GB"/>
        </w:rPr>
        <w:t>from PN and CN.</w:t>
      </w:r>
    </w:p>
    <w:p w14:paraId="4AADD27B" w14:textId="77777777" w:rsidR="00AC3600" w:rsidRDefault="00AC3600" w:rsidP="00AC3600">
      <w:pPr>
        <w:rPr>
          <w:lang w:val="en-GB"/>
        </w:rPr>
      </w:pPr>
      <w:bookmarkStart w:id="37" w:name="p2"/>
      <w:bookmarkStart w:id="38" w:name="p3"/>
      <w:r>
        <w:rPr>
          <w:lang w:val="en-GB"/>
        </w:rPr>
        <w:t xml:space="preserve">Companies were encouraged in the previous meeting to further consider the following aspects related to resource partitioning </w:t>
      </w:r>
      <w:r>
        <w:rPr>
          <w:lang w:val="en-GB"/>
        </w:rPr>
        <w:fldChar w:fldCharType="begin"/>
      </w:r>
      <w:r>
        <w:rPr>
          <w:lang w:val="en-GB"/>
        </w:rPr>
        <w:instrText xml:space="preserve"> REF _Ref54186872 \r \h </w:instrText>
      </w:r>
      <w:r>
        <w:rPr>
          <w:lang w:val="en-GB"/>
        </w:rPr>
      </w:r>
      <w:r>
        <w:rPr>
          <w:lang w:val="en-GB"/>
        </w:rPr>
        <w:fldChar w:fldCharType="separate"/>
      </w:r>
      <w:r>
        <w:rPr>
          <w:rFonts w:hint="cs"/>
          <w:cs/>
          <w:lang w:val="en-GB"/>
        </w:rPr>
        <w:t>‎</w:t>
      </w:r>
      <w:r>
        <w:rPr>
          <w:lang w:val="en-GB"/>
        </w:rPr>
        <w:t>[3]</w:t>
      </w:r>
      <w:r>
        <w:rPr>
          <w:lang w:val="en-GB"/>
        </w:rPr>
        <w:fldChar w:fldCharType="end"/>
      </w:r>
      <w:r>
        <w:rPr>
          <w:lang w:val="en-GB"/>
        </w:rPr>
        <w:t>:</w:t>
      </w:r>
    </w:p>
    <w:tbl>
      <w:tblPr>
        <w:tblStyle w:val="TableGrid"/>
        <w:tblW w:w="0" w:type="auto"/>
        <w:tblLook w:val="04A0" w:firstRow="1" w:lastRow="0" w:firstColumn="1" w:lastColumn="0" w:noHBand="0" w:noVBand="1"/>
      </w:tblPr>
      <w:tblGrid>
        <w:gridCol w:w="9855"/>
      </w:tblGrid>
      <w:tr w:rsidR="00AC3600" w14:paraId="3FB4D9C4" w14:textId="77777777" w:rsidTr="00D02502">
        <w:tc>
          <w:tcPr>
            <w:tcW w:w="9855" w:type="dxa"/>
          </w:tcPr>
          <w:p w14:paraId="09709A3E" w14:textId="77777777" w:rsidR="00AC3600" w:rsidRDefault="00AC3600" w:rsidP="00D02502">
            <w:pPr>
              <w:rPr>
                <w:rFonts w:eastAsia="Calibri" w:cs="Times"/>
                <w:b/>
                <w:szCs w:val="20"/>
              </w:rPr>
            </w:pPr>
            <w:r>
              <w:rPr>
                <w:rFonts w:eastAsia="Calibri" w:cs="Times"/>
                <w:b/>
                <w:szCs w:val="20"/>
              </w:rPr>
              <w:t xml:space="preserve">For companies to further consider: </w:t>
            </w:r>
          </w:p>
          <w:p w14:paraId="3FDA0308" w14:textId="77777777" w:rsidR="00AC3600" w:rsidRPr="00D03CAB" w:rsidRDefault="00AC3600" w:rsidP="00D02502">
            <w:pPr>
              <w:rPr>
                <w:rFonts w:eastAsia="Calibri" w:cs="Times"/>
                <w:szCs w:val="20"/>
              </w:rPr>
            </w:pPr>
            <w:r>
              <w:rPr>
                <w:rFonts w:eastAsia="Calibri" w:cs="Times"/>
                <w:szCs w:val="20"/>
              </w:rPr>
              <w:t xml:space="preserve">Whether the following characteristics of the IAB node implementation will impact the operation of different resource multiplexing cases, including resource partitioning (i.e. identify whether there is a need for potential specification impact/enhancements compared to Rel-16 if the characteristic is or is not </w:t>
            </w:r>
            <w:r w:rsidRPr="00D03CAB">
              <w:rPr>
                <w:rFonts w:eastAsia="Calibri" w:cs="Times"/>
                <w:szCs w:val="20"/>
              </w:rPr>
              <w:t>supported by an IAB node):</w:t>
            </w:r>
          </w:p>
          <w:p w14:paraId="29B320D3" w14:textId="77777777" w:rsidR="00AC3600" w:rsidRPr="00D03CAB" w:rsidRDefault="00AC3600" w:rsidP="00D02502">
            <w:pPr>
              <w:pStyle w:val="ListParagraph"/>
              <w:numPr>
                <w:ilvl w:val="0"/>
                <w:numId w:val="26"/>
              </w:numPr>
              <w:spacing w:before="0" w:after="0" w:line="240" w:lineRule="auto"/>
              <w:rPr>
                <w:rFonts w:eastAsia="Calibri" w:cs="Times"/>
                <w:szCs w:val="20"/>
              </w:rPr>
            </w:pPr>
            <w:r w:rsidRPr="00D03CAB">
              <w:rPr>
                <w:rFonts w:eastAsia="Calibri" w:cs="Times"/>
                <w:szCs w:val="20"/>
              </w:rPr>
              <w:t>Baseband (mis)timing alignment between IAB-MT and IAB-DU</w:t>
            </w:r>
          </w:p>
          <w:p w14:paraId="57FF0D1A" w14:textId="77777777" w:rsidR="00AC3600" w:rsidRPr="00D03CAB" w:rsidRDefault="00AC3600" w:rsidP="00D02502">
            <w:pPr>
              <w:pStyle w:val="ListParagraph"/>
              <w:numPr>
                <w:ilvl w:val="0"/>
                <w:numId w:val="26"/>
              </w:numPr>
              <w:spacing w:before="0" w:after="0" w:line="240" w:lineRule="auto"/>
              <w:rPr>
                <w:rFonts w:eastAsia="Calibri" w:cs="Times"/>
                <w:szCs w:val="20"/>
              </w:rPr>
            </w:pPr>
            <w:r w:rsidRPr="00D03CAB">
              <w:rPr>
                <w:rFonts w:eastAsia="Calibri" w:cs="Times"/>
                <w:szCs w:val="20"/>
              </w:rPr>
              <w:lastRenderedPageBreak/>
              <w:t>Separate vs. shared antenna panels/RF front-end for IAB-MT/IAB-DU</w:t>
            </w:r>
          </w:p>
          <w:p w14:paraId="6EA67F1A" w14:textId="77777777" w:rsidR="00AC3600" w:rsidRPr="00D03CAB" w:rsidRDefault="00AC3600" w:rsidP="00D02502">
            <w:pPr>
              <w:pStyle w:val="ListParagraph"/>
              <w:numPr>
                <w:ilvl w:val="0"/>
                <w:numId w:val="26"/>
              </w:numPr>
              <w:spacing w:before="0" w:after="0" w:line="240" w:lineRule="auto"/>
              <w:rPr>
                <w:rFonts w:eastAsia="Calibri" w:cs="Times"/>
                <w:szCs w:val="20"/>
              </w:rPr>
            </w:pPr>
            <w:r w:rsidRPr="00D03CAB">
              <w:rPr>
                <w:rFonts w:eastAsia="Calibri" w:cs="Times"/>
                <w:szCs w:val="20"/>
              </w:rPr>
              <w:t>Separate vs. shared baseband for IAB-MT/IAB-DU</w:t>
            </w:r>
          </w:p>
          <w:p w14:paraId="0466EE6D" w14:textId="77777777" w:rsidR="00AC3600" w:rsidRPr="00D03CAB" w:rsidRDefault="00AC3600" w:rsidP="00D02502">
            <w:pPr>
              <w:pStyle w:val="ListParagraph"/>
              <w:numPr>
                <w:ilvl w:val="0"/>
                <w:numId w:val="26"/>
              </w:numPr>
              <w:spacing w:before="0" w:after="0" w:line="240" w:lineRule="auto"/>
              <w:rPr>
                <w:rFonts w:eastAsia="Calibri" w:cs="Times"/>
                <w:szCs w:val="20"/>
              </w:rPr>
            </w:pPr>
            <w:r w:rsidRPr="00D03CAB">
              <w:rPr>
                <w:rFonts w:eastAsia="Calibri" w:cs="Times"/>
                <w:szCs w:val="20"/>
              </w:rPr>
              <w:t>Transmitter/receiver implementation</w:t>
            </w:r>
          </w:p>
          <w:p w14:paraId="7BD58750" w14:textId="77777777" w:rsidR="00AC3600" w:rsidRPr="00D03CAB" w:rsidRDefault="00AC3600" w:rsidP="00D02502">
            <w:pPr>
              <w:pStyle w:val="ListParagraph"/>
              <w:numPr>
                <w:ilvl w:val="0"/>
                <w:numId w:val="26"/>
              </w:numPr>
              <w:spacing w:before="0" w:after="0" w:line="240" w:lineRule="auto"/>
              <w:rPr>
                <w:rFonts w:eastAsia="Calibri" w:cs="Times"/>
                <w:szCs w:val="20"/>
              </w:rPr>
            </w:pPr>
            <w:r w:rsidRPr="00D03CAB">
              <w:rPr>
                <w:rFonts w:eastAsia="Calibri" w:cs="Times"/>
                <w:szCs w:val="20"/>
              </w:rPr>
              <w:t>Self-interference cancellation</w:t>
            </w:r>
          </w:p>
          <w:p w14:paraId="49B4FF59" w14:textId="77777777" w:rsidR="00AC3600" w:rsidRPr="004E2463" w:rsidRDefault="00AC3600" w:rsidP="00D02502">
            <w:pPr>
              <w:pStyle w:val="ListParagraph"/>
              <w:numPr>
                <w:ilvl w:val="0"/>
                <w:numId w:val="26"/>
              </w:numPr>
              <w:spacing w:before="0" w:after="0" w:line="240" w:lineRule="auto"/>
              <w:rPr>
                <w:rFonts w:eastAsia="Calibri" w:cs="Times"/>
                <w:szCs w:val="20"/>
              </w:rPr>
            </w:pPr>
            <w:r w:rsidRPr="00E46CF9">
              <w:rPr>
                <w:rFonts w:eastAsia="Calibri" w:cs="Times"/>
                <w:szCs w:val="20"/>
              </w:rPr>
              <w:t>Power control mechanisms</w:t>
            </w:r>
          </w:p>
        </w:tc>
      </w:tr>
    </w:tbl>
    <w:p w14:paraId="18130547" w14:textId="77777777" w:rsidR="00AC3600" w:rsidRDefault="00AC3600" w:rsidP="00AC3600">
      <w:pPr>
        <w:rPr>
          <w:lang w:val="en-GB"/>
        </w:rPr>
      </w:pPr>
    </w:p>
    <w:p w14:paraId="2CBE3CCD" w14:textId="23988B76" w:rsidR="00AC3600" w:rsidRDefault="00AC3600" w:rsidP="00AC3600">
      <w:pPr>
        <w:rPr>
          <w:lang w:val="en-GB"/>
        </w:rPr>
      </w:pPr>
      <w:r>
        <w:rPr>
          <w:lang w:val="en-GB"/>
        </w:rPr>
        <w:t xml:space="preserve">Resource partitioning refers to configuration and signalling that allocates resources to IAB nodes in a way that </w:t>
      </w:r>
      <w:r w:rsidR="00F77866">
        <w:rPr>
          <w:lang w:val="en-GB"/>
        </w:rPr>
        <w:t xml:space="preserve">IAB node </w:t>
      </w:r>
      <w:r>
        <w:rPr>
          <w:lang w:val="en-GB"/>
        </w:rPr>
        <w:t xml:space="preserve">constraints on multiplexing/duplexing, timing alignment, interference, etc. are satisfied. These aspects are discussed </w:t>
      </w:r>
      <w:r w:rsidR="00F77866">
        <w:rPr>
          <w:lang w:val="en-GB"/>
        </w:rPr>
        <w:t>under the agenda item 8.</w:t>
      </w:r>
      <w:r w:rsidR="00A05AAD">
        <w:rPr>
          <w:lang w:val="en-GB"/>
        </w:rPr>
        <w:t>10</w:t>
      </w:r>
      <w:r w:rsidR="00F77866">
        <w:rPr>
          <w:lang w:val="en-GB"/>
        </w:rPr>
        <w:t xml:space="preserve">.1 </w:t>
      </w:r>
      <w:r>
        <w:rPr>
          <w:lang w:val="en-GB"/>
        </w:rPr>
        <w:t xml:space="preserve">in </w:t>
      </w:r>
      <w:r>
        <w:rPr>
          <w:lang w:val="en-GB"/>
        </w:rPr>
        <w:fldChar w:fldCharType="begin"/>
      </w:r>
      <w:r>
        <w:rPr>
          <w:lang w:val="en-GB"/>
        </w:rPr>
        <w:instrText xml:space="preserve"> REF _Ref54187073 \r \h </w:instrText>
      </w:r>
      <w:r>
        <w:rPr>
          <w:lang w:val="en-GB"/>
        </w:rPr>
      </w:r>
      <w:r>
        <w:rPr>
          <w:lang w:val="en-GB"/>
        </w:rPr>
        <w:fldChar w:fldCharType="separate"/>
      </w:r>
      <w:r>
        <w:rPr>
          <w:cs/>
          <w:lang w:val="en-GB"/>
        </w:rPr>
        <w:t>‎</w:t>
      </w:r>
      <w:r>
        <w:rPr>
          <w:lang w:val="en-GB"/>
        </w:rPr>
        <w:t>[4]</w:t>
      </w:r>
      <w:r>
        <w:rPr>
          <w:lang w:val="en-GB"/>
        </w:rPr>
        <w:fldChar w:fldCharType="end"/>
      </w:r>
      <w:r>
        <w:rPr>
          <w:lang w:val="en-GB"/>
        </w:rPr>
        <w:t>. Power control is yet another aspect that we address in this section.</w:t>
      </w:r>
    </w:p>
    <w:p w14:paraId="1440CC68" w14:textId="61399388" w:rsidR="00B718C9" w:rsidRDefault="00F77866" w:rsidP="00B718C9">
      <w:pPr>
        <w:rPr>
          <w:lang w:val="en-GB"/>
        </w:rPr>
      </w:pPr>
      <w:r>
        <w:rPr>
          <w:lang w:val="en-GB"/>
        </w:rPr>
        <w:t>As discussed under 8.</w:t>
      </w:r>
      <w:r w:rsidR="00A05AAD">
        <w:rPr>
          <w:lang w:val="en-GB"/>
        </w:rPr>
        <w:t>10</w:t>
      </w:r>
      <w:r>
        <w:rPr>
          <w:lang w:val="en-GB"/>
        </w:rPr>
        <w:t>.1, semi-static resource configuration (partitioning) provides a reliable means to coordinate on otherwise-complex aspects such as timing alignment, interference management, and so on. Power control in uplink and downlink is another aspect that can be handled by semi-static configurations in</w:t>
      </w:r>
      <w:r w:rsidR="00B718C9">
        <w:rPr>
          <w:lang w:val="en-GB"/>
        </w:rPr>
        <w:t xml:space="preserve"> </w:t>
      </w:r>
      <w:r>
        <w:rPr>
          <w:lang w:val="en-GB"/>
        </w:rPr>
        <w:t xml:space="preserve">addition to lower layer control </w:t>
      </w:r>
      <w:proofErr w:type="spellStart"/>
      <w:r>
        <w:rPr>
          <w:lang w:val="en-GB"/>
        </w:rPr>
        <w:t>signaling</w:t>
      </w:r>
      <w:proofErr w:type="spellEnd"/>
      <w:r>
        <w:rPr>
          <w:lang w:val="en-GB"/>
        </w:rPr>
        <w:t xml:space="preserve">. In this approach, </w:t>
      </w:r>
      <w:r w:rsidR="00B718C9">
        <w:rPr>
          <w:lang w:val="en-GB"/>
        </w:rPr>
        <w:t>power control processes are configured in a semi-persistent manner for each resource partition. This provides an early assessment of transmit and receive powers for IAB nodes on each resource partition so as to allow the IAB nodes to schedule simultaneous operations, signal transmit power control to child nodes, and so on. Such signalling can be controlled by the donor IAB-CU and further complemented by lower-layer signalling (MAC/DCI).</w:t>
      </w:r>
    </w:p>
    <w:p w14:paraId="1BDFC1EC" w14:textId="0EF2855D" w:rsidR="00B718C9" w:rsidRDefault="00B718C9" w:rsidP="00B718C9">
      <w:pPr>
        <w:pStyle w:val="Proposal"/>
      </w:pPr>
      <w:bookmarkStart w:id="39" w:name="_Toc54333410"/>
      <w:bookmarkStart w:id="40" w:name="_Toc54334224"/>
      <w:bookmarkStart w:id="41" w:name="_Toc54335455"/>
      <w:bookmarkStart w:id="42" w:name="_Toc54336348"/>
      <w:bookmarkStart w:id="43" w:name="_Toc54337824"/>
      <w:bookmarkStart w:id="44" w:name="_Toc54338581"/>
      <w:bookmarkStart w:id="45" w:name="_Toc54339093"/>
      <w:bookmarkStart w:id="46" w:name="_Toc54339225"/>
      <w:bookmarkStart w:id="47" w:name="_Toc54340306"/>
      <w:bookmarkStart w:id="48" w:name="_Toc54345674"/>
      <w:r>
        <w:t>Support power control configurations and signaling at least for Case A and Case B duplexing.</w:t>
      </w:r>
      <w:bookmarkEnd w:id="39"/>
      <w:bookmarkEnd w:id="40"/>
      <w:bookmarkEnd w:id="41"/>
      <w:bookmarkEnd w:id="42"/>
      <w:bookmarkEnd w:id="43"/>
      <w:bookmarkEnd w:id="44"/>
      <w:bookmarkEnd w:id="45"/>
      <w:bookmarkEnd w:id="46"/>
      <w:bookmarkEnd w:id="47"/>
      <w:bookmarkEnd w:id="48"/>
    </w:p>
    <w:p w14:paraId="05544859" w14:textId="6BF71054" w:rsidR="00872977" w:rsidRDefault="00872977" w:rsidP="00872977">
      <w:pPr>
        <w:pStyle w:val="Heading2"/>
      </w:pPr>
      <w:r>
        <w:tab/>
        <w:t>Cross-link interference measurements</w:t>
      </w:r>
    </w:p>
    <w:p w14:paraId="121B997B" w14:textId="35654083" w:rsidR="003A6A10" w:rsidRDefault="003A6A10" w:rsidP="003A6A10">
      <w:r>
        <w:t xml:space="preserve">As discussed in </w:t>
      </w:r>
      <w:r>
        <w:fldChar w:fldCharType="begin"/>
      </w:r>
      <w:r>
        <w:instrText xml:space="preserve"> REF _Ref54187073 \r \h </w:instrText>
      </w:r>
      <w:r>
        <w:fldChar w:fldCharType="separate"/>
      </w:r>
      <w:r>
        <w:rPr>
          <w:rFonts w:hint="cs"/>
          <w:cs/>
        </w:rPr>
        <w:t>‎</w:t>
      </w:r>
      <w:r>
        <w:t>[4]</w:t>
      </w:r>
      <w:r>
        <w:fldChar w:fldCharType="end"/>
      </w:r>
      <w:r>
        <w:t>, different types of interference, including cross-link interference (CLI) and self-interference (SI), among adjacent IAB nodes and within an IAB node, can be handled by configuring reference signals that other IAB nodes in the vicinity can measure. These reference signals are naturally CSI-RS for DL resources and SRS for UL resources. This approach works well at least for handling interference among IAB nodes connected to the same IAB donor, because information of these designated CSI-RS/SRS configurations can be provided to all the IAB nodes by the IAB-CU. The case of interference among IAB nodes connected to different IAB donors can be further studied.</w:t>
      </w:r>
      <w:r w:rsidR="00606615" w:rsidRPr="00606615">
        <w:t xml:space="preserve"> </w:t>
      </w:r>
      <w:r w:rsidR="00606615">
        <w:t>Furthermore, CLI where either the aggressor or the victim is a UE can also be handled by existing CLI specifications.</w:t>
      </w:r>
    </w:p>
    <w:p w14:paraId="0D683542" w14:textId="3F341C22" w:rsidR="00872977" w:rsidRDefault="00872977" w:rsidP="00872977">
      <w:pPr>
        <w:rPr>
          <w:lang w:eastAsia="zh-CN"/>
        </w:rPr>
      </w:pPr>
      <w:r>
        <w:rPr>
          <w:lang w:eastAsia="zh-CN"/>
        </w:rPr>
        <w:t>CLI management was specified in Rel-16. Two types of CLI measurements were specified: SRS-RSRP and CLI-RSSI. The configurations specified for CLI Rel-16 are essentially periodic, and adjusting for timing offsets are left to implementation.</w:t>
      </w:r>
    </w:p>
    <w:p w14:paraId="71CFDDEB" w14:textId="7397CA44" w:rsidR="00872977" w:rsidRDefault="00872977" w:rsidP="00872977">
      <w:pPr>
        <w:rPr>
          <w:lang w:eastAsia="zh-CN"/>
        </w:rPr>
      </w:pPr>
      <w:r>
        <w:rPr>
          <w:lang w:eastAsia="zh-CN"/>
        </w:rPr>
        <w:t xml:space="preserve">Given that a typical IAB deployment may allow IAB nodes to be in close proximity compared to a typical cellular system, especially in mobile IAB scenarios where a continuous CLI measurement and a flexible resource allocation for reference signals is needed, several aspects of CLI can be enhanced for application in IAB systems. For example, semi-persistent configurations where IAB nodes can activate or deactivate reference signal transmissions and measurements can be introduced so as to allow multi-hop IAB systems to gain </w:t>
      </w:r>
      <w:r w:rsidR="00606615">
        <w:rPr>
          <w:lang w:eastAsia="zh-CN"/>
        </w:rPr>
        <w:t>“</w:t>
      </w:r>
      <w:r>
        <w:rPr>
          <w:lang w:eastAsia="zh-CN"/>
        </w:rPr>
        <w:t>local</w:t>
      </w:r>
      <w:r w:rsidR="00606615">
        <w:rPr>
          <w:lang w:eastAsia="zh-CN"/>
        </w:rPr>
        <w:t>”</w:t>
      </w:r>
      <w:r>
        <w:rPr>
          <w:lang w:eastAsia="zh-CN"/>
        </w:rPr>
        <w:t xml:space="preserve"> control over measurements and reporting.</w:t>
      </w:r>
    </w:p>
    <w:p w14:paraId="4E81825F" w14:textId="77777777" w:rsidR="00872977" w:rsidRDefault="00872977" w:rsidP="00872977">
      <w:pPr>
        <w:rPr>
          <w:lang w:eastAsia="zh-CN"/>
        </w:rPr>
      </w:pPr>
      <w:r>
        <w:rPr>
          <w:lang w:eastAsia="zh-CN"/>
        </w:rPr>
        <w:t>Another aspect to enhance is adjusting for timing offsets. This was agreed to be left to implementation in CLI Rel-16 in order to avoid excessive signaling between cells for timing adjustments. However, since IAB-DUs transmit SS/PBCH blocks (unlike UEs), the timing obtained by receiving the downlink signals can be used to adjust timing, for example, for measuring SRS from the respective IAB-MTs.</w:t>
      </w:r>
    </w:p>
    <w:p w14:paraId="5973560B" w14:textId="10CE4618" w:rsidR="00872977" w:rsidRDefault="00872977" w:rsidP="00D60501">
      <w:pPr>
        <w:pStyle w:val="Proposal"/>
        <w:rPr>
          <w:lang w:eastAsia="zh-CN"/>
        </w:rPr>
      </w:pPr>
      <w:bookmarkStart w:id="49" w:name="_Toc54333411"/>
      <w:bookmarkStart w:id="50" w:name="_Toc54334225"/>
      <w:bookmarkStart w:id="51" w:name="_Toc54335456"/>
      <w:bookmarkStart w:id="52" w:name="_Toc54336349"/>
      <w:bookmarkStart w:id="53" w:name="_Toc54337825"/>
      <w:bookmarkStart w:id="54" w:name="_Toc54338582"/>
      <w:bookmarkStart w:id="55" w:name="_Toc54339094"/>
      <w:bookmarkStart w:id="56" w:name="_Toc54339226"/>
      <w:bookmarkStart w:id="57" w:name="_Toc54340307"/>
      <w:bookmarkStart w:id="58" w:name="_Toc54345675"/>
      <w:r>
        <w:rPr>
          <w:lang w:eastAsia="zh-CN"/>
        </w:rPr>
        <w:t>Consider enhancements for improving resource management and timing adjustment for CLI measurements in IAB systems.</w:t>
      </w:r>
      <w:bookmarkEnd w:id="49"/>
      <w:bookmarkEnd w:id="50"/>
      <w:bookmarkEnd w:id="51"/>
      <w:bookmarkEnd w:id="52"/>
      <w:bookmarkEnd w:id="53"/>
      <w:bookmarkEnd w:id="54"/>
      <w:bookmarkEnd w:id="55"/>
      <w:bookmarkEnd w:id="56"/>
      <w:bookmarkEnd w:id="57"/>
      <w:bookmarkEnd w:id="58"/>
    </w:p>
    <w:bookmarkEnd w:id="37"/>
    <w:bookmarkEnd w:id="38"/>
    <w:p w14:paraId="38B8D48A" w14:textId="6ADEA09F" w:rsidR="00872977" w:rsidRPr="001B5AA8" w:rsidRDefault="00872977" w:rsidP="00872977">
      <w:pPr>
        <w:pStyle w:val="Heading1"/>
      </w:pPr>
      <w:r w:rsidRPr="001B5AA8">
        <w:tab/>
      </w:r>
      <w:r>
        <w:t>Conclusions</w:t>
      </w:r>
    </w:p>
    <w:p w14:paraId="25BE853B" w14:textId="5463B3AD" w:rsidR="00872977" w:rsidRDefault="00872977" w:rsidP="00872977">
      <w:r>
        <w:t>In this contribution, we discussed other enhancements for simultaneous operation of child and parent links of an IAB-node and made the following proposal</w:t>
      </w:r>
      <w:bookmarkStart w:id="59" w:name="_GoBack"/>
      <w:bookmarkEnd w:id="59"/>
      <w:r>
        <w:t>s:</w:t>
      </w:r>
    </w:p>
    <w:p w14:paraId="6FBCD0E7" w14:textId="77777777" w:rsidR="00875524" w:rsidRDefault="00D60501">
      <w:pPr>
        <w:pStyle w:val="TableofFigures"/>
        <w:tabs>
          <w:tab w:val="left" w:pos="1418"/>
        </w:tabs>
        <w:rPr>
          <w:rFonts w:eastAsiaTheme="minorEastAsia" w:cstheme="minorBidi"/>
          <w:b w:val="0"/>
          <w:bCs w:val="0"/>
          <w:noProof/>
          <w:szCs w:val="22"/>
        </w:rPr>
      </w:pPr>
      <w:r>
        <w:fldChar w:fldCharType="begin"/>
      </w:r>
      <w:r>
        <w:instrText xml:space="preserve"> TOC \n \t "Proposal" \c </w:instrText>
      </w:r>
      <w:r>
        <w:fldChar w:fldCharType="separate"/>
      </w:r>
      <w:r w:rsidR="00875524" w:rsidRPr="003C4C05">
        <w:rPr>
          <w:noProof/>
          <w:lang w:val="en-GB"/>
        </w:rPr>
        <w:t>Proposal 1:</w:t>
      </w:r>
      <w:r w:rsidR="00875524">
        <w:rPr>
          <w:rFonts w:eastAsiaTheme="minorEastAsia" w:cstheme="minorBidi"/>
          <w:b w:val="0"/>
          <w:bCs w:val="0"/>
          <w:noProof/>
          <w:szCs w:val="22"/>
        </w:rPr>
        <w:tab/>
      </w:r>
      <w:r w:rsidR="00875524" w:rsidRPr="003C4C05">
        <w:rPr>
          <w:noProof/>
          <w:lang w:val="en-GB"/>
        </w:rPr>
        <w:t>Deprioritize timing alignment for Case C and Case D duplexing.</w:t>
      </w:r>
    </w:p>
    <w:p w14:paraId="39A721D5" w14:textId="77777777" w:rsidR="00875524" w:rsidRDefault="00875524">
      <w:pPr>
        <w:pStyle w:val="TableofFigures"/>
        <w:tabs>
          <w:tab w:val="left" w:pos="1418"/>
        </w:tabs>
        <w:rPr>
          <w:rFonts w:eastAsiaTheme="minorEastAsia" w:cstheme="minorBidi"/>
          <w:b w:val="0"/>
          <w:bCs w:val="0"/>
          <w:noProof/>
          <w:szCs w:val="22"/>
        </w:rPr>
      </w:pPr>
      <w:r>
        <w:rPr>
          <w:noProof/>
        </w:rPr>
        <w:t>Proposal 2:</w:t>
      </w:r>
      <w:r>
        <w:rPr>
          <w:rFonts w:eastAsiaTheme="minorEastAsia" w:cstheme="minorBidi"/>
          <w:b w:val="0"/>
          <w:bCs w:val="0"/>
          <w:noProof/>
          <w:szCs w:val="22"/>
        </w:rPr>
        <w:tab/>
      </w:r>
      <w:r>
        <w:rPr>
          <w:noProof/>
        </w:rPr>
        <w:t>Support configuration and control signaling for applying Case-6 and Case-7 timing alignment at enhanced IAB nodes.</w:t>
      </w:r>
    </w:p>
    <w:p w14:paraId="5BC9C237" w14:textId="77777777" w:rsidR="00875524" w:rsidRDefault="00875524">
      <w:pPr>
        <w:pStyle w:val="TableofFigures"/>
        <w:tabs>
          <w:tab w:val="left" w:pos="1418"/>
        </w:tabs>
        <w:rPr>
          <w:rFonts w:eastAsiaTheme="minorEastAsia" w:cstheme="minorBidi"/>
          <w:b w:val="0"/>
          <w:bCs w:val="0"/>
          <w:noProof/>
          <w:szCs w:val="22"/>
        </w:rPr>
      </w:pPr>
      <w:r>
        <w:rPr>
          <w:noProof/>
        </w:rPr>
        <w:lastRenderedPageBreak/>
        <w:t>Proposal 3:</w:t>
      </w:r>
      <w:r>
        <w:rPr>
          <w:rFonts w:eastAsiaTheme="minorEastAsia" w:cstheme="minorBidi"/>
          <w:b w:val="0"/>
          <w:bCs w:val="0"/>
          <w:noProof/>
          <w:szCs w:val="22"/>
        </w:rPr>
        <w:tab/>
      </w:r>
      <w:r>
        <w:rPr>
          <w:noProof/>
        </w:rPr>
        <w:t>Define signaling to communicate information of the parent link propagation delay to child IAB nodes.</w:t>
      </w:r>
    </w:p>
    <w:p w14:paraId="662CB003" w14:textId="77777777" w:rsidR="00875524" w:rsidRDefault="00875524">
      <w:pPr>
        <w:pStyle w:val="TableofFigures"/>
        <w:tabs>
          <w:tab w:val="left" w:pos="1418"/>
        </w:tabs>
        <w:rPr>
          <w:rFonts w:eastAsiaTheme="minorEastAsia" w:cstheme="minorBidi"/>
          <w:b w:val="0"/>
          <w:bCs w:val="0"/>
          <w:noProof/>
          <w:szCs w:val="22"/>
        </w:rPr>
      </w:pPr>
      <w:r>
        <w:rPr>
          <w:noProof/>
        </w:rPr>
        <w:t>Proposal 4:</w:t>
      </w:r>
      <w:r>
        <w:rPr>
          <w:rFonts w:eastAsiaTheme="minorEastAsia" w:cstheme="minorBidi"/>
          <w:b w:val="0"/>
          <w:bCs w:val="0"/>
          <w:noProof/>
          <w:szCs w:val="22"/>
        </w:rPr>
        <w:tab/>
      </w:r>
      <w:r>
        <w:rPr>
          <w:noProof/>
        </w:rPr>
        <w:t>Support power control configurations and signaling at least for Case A and Case B duplexing.</w:t>
      </w:r>
    </w:p>
    <w:p w14:paraId="5B6962D7" w14:textId="77777777" w:rsidR="00875524" w:rsidRDefault="00875524">
      <w:pPr>
        <w:pStyle w:val="TableofFigures"/>
        <w:tabs>
          <w:tab w:val="left" w:pos="1418"/>
        </w:tabs>
        <w:rPr>
          <w:rFonts w:eastAsiaTheme="minorEastAsia" w:cstheme="minorBidi"/>
          <w:b w:val="0"/>
          <w:bCs w:val="0"/>
          <w:noProof/>
          <w:szCs w:val="22"/>
        </w:rPr>
      </w:pPr>
      <w:r>
        <w:rPr>
          <w:noProof/>
          <w:lang w:eastAsia="zh-CN"/>
        </w:rPr>
        <w:t>Proposal 5:</w:t>
      </w:r>
      <w:r>
        <w:rPr>
          <w:rFonts w:eastAsiaTheme="minorEastAsia" w:cstheme="minorBidi"/>
          <w:b w:val="0"/>
          <w:bCs w:val="0"/>
          <w:noProof/>
          <w:szCs w:val="22"/>
        </w:rPr>
        <w:tab/>
      </w:r>
      <w:r>
        <w:rPr>
          <w:noProof/>
          <w:lang w:eastAsia="zh-CN"/>
        </w:rPr>
        <w:t>Consider enhancements for improving resource management and timing adjustment for CLI measurements in IAB systems.</w:t>
      </w:r>
    </w:p>
    <w:p w14:paraId="0FF0CD17" w14:textId="7501C6B1" w:rsidR="00D60501" w:rsidRDefault="00D60501" w:rsidP="00D60501">
      <w:r>
        <w:fldChar w:fldCharType="end"/>
      </w:r>
    </w:p>
    <w:p w14:paraId="0C3A75AA" w14:textId="79C4EFFD" w:rsidR="00872977" w:rsidRPr="001B5AA8" w:rsidRDefault="00872977" w:rsidP="00872977">
      <w:pPr>
        <w:pStyle w:val="Heading1"/>
      </w:pPr>
      <w:r>
        <w:rPr>
          <w:lang w:val="en-US"/>
        </w:rPr>
        <w:tab/>
        <w:t>References</w:t>
      </w:r>
    </w:p>
    <w:p w14:paraId="39C0B4C1" w14:textId="77777777" w:rsidR="00872977" w:rsidRDefault="00872977" w:rsidP="00872977">
      <w:pPr>
        <w:pStyle w:val="References"/>
        <w:numPr>
          <w:ilvl w:val="0"/>
          <w:numId w:val="11"/>
        </w:numPr>
      </w:pPr>
      <w:bookmarkStart w:id="60" w:name="_Ref30751908"/>
      <w:bookmarkStart w:id="61" w:name="_Ref30492464"/>
      <w:r w:rsidRPr="00032DAB">
        <w:t>RP-193251</w:t>
      </w:r>
      <w:r>
        <w:t>, “</w:t>
      </w:r>
      <w:r w:rsidRPr="00E421CF">
        <w:t>New WID on Enhancements to Integrated Access and Backhaul</w:t>
      </w:r>
      <w:r>
        <w:t xml:space="preserve">,” Qualcomm, RAN#86, </w:t>
      </w:r>
      <w:proofErr w:type="spellStart"/>
      <w:r>
        <w:t>Sitges</w:t>
      </w:r>
      <w:proofErr w:type="spellEnd"/>
      <w:r>
        <w:t>, Spain, December 2019.</w:t>
      </w:r>
      <w:bookmarkEnd w:id="60"/>
    </w:p>
    <w:p w14:paraId="30E31A38" w14:textId="77777777" w:rsidR="00872977" w:rsidRDefault="00872977" w:rsidP="00872977">
      <w:pPr>
        <w:pStyle w:val="References"/>
        <w:numPr>
          <w:ilvl w:val="0"/>
          <w:numId w:val="11"/>
        </w:numPr>
      </w:pPr>
      <w:bookmarkStart w:id="62" w:name="_Ref47520968"/>
      <w:bookmarkStart w:id="63" w:name="_Ref30491916"/>
      <w:r w:rsidRPr="00900A18">
        <w:t>RP-201293</w:t>
      </w:r>
      <w:r>
        <w:t>, “</w:t>
      </w:r>
      <w:r w:rsidRPr="00E421CF">
        <w:t>New WID on Enhancements to Integrated Access and Backhaul</w:t>
      </w:r>
      <w:r>
        <w:t>,” Qualcomm, RAN#88e, Electronic Meeting, June-July 2020.</w:t>
      </w:r>
      <w:bookmarkEnd w:id="62"/>
    </w:p>
    <w:p w14:paraId="1371A279" w14:textId="77777777" w:rsidR="00872977" w:rsidRDefault="00872977" w:rsidP="00872977">
      <w:pPr>
        <w:pStyle w:val="References"/>
        <w:numPr>
          <w:ilvl w:val="0"/>
          <w:numId w:val="11"/>
        </w:numPr>
      </w:pPr>
      <w:bookmarkStart w:id="64" w:name="_Ref54186872"/>
      <w:r>
        <w:t>RAN1#102-e Chairman’s Notes.</w:t>
      </w:r>
      <w:bookmarkEnd w:id="64"/>
    </w:p>
    <w:p w14:paraId="7CC3CF51" w14:textId="2EAEC4CE" w:rsidR="00F83912" w:rsidRPr="00872977" w:rsidRDefault="00872977" w:rsidP="00872977">
      <w:pPr>
        <w:pStyle w:val="References"/>
        <w:numPr>
          <w:ilvl w:val="0"/>
          <w:numId w:val="11"/>
        </w:numPr>
      </w:pPr>
      <w:bookmarkStart w:id="65" w:name="_Ref54187073"/>
      <w:bookmarkEnd w:id="63"/>
      <w:r w:rsidRPr="00954F94">
        <w:t>R1-2009108</w:t>
      </w:r>
      <w:r>
        <w:t>, “</w:t>
      </w:r>
      <w:r w:rsidRPr="006C7148">
        <w:t>Enhancements to resource multiplexing for IAB</w:t>
      </w:r>
      <w:r>
        <w:t xml:space="preserve">,” </w:t>
      </w:r>
      <w:bookmarkEnd w:id="61"/>
      <w:r>
        <w:t>Lenovo, Motorola Mobility, RAN1#10</w:t>
      </w:r>
      <w:r w:rsidR="00607FB4">
        <w:t>3</w:t>
      </w:r>
      <w:r>
        <w:t xml:space="preserve">-e, Electronic Meeting, </w:t>
      </w:r>
      <w:r w:rsidR="00607FB4">
        <w:t>October/November 2020</w:t>
      </w:r>
      <w:r>
        <w:t>.</w:t>
      </w:r>
      <w:bookmarkEnd w:id="65"/>
    </w:p>
    <w:sectPr w:rsidR="00F83912" w:rsidRPr="00872977" w:rsidSect="00E054B7">
      <w:headerReference w:type="even" r:id="rId10"/>
      <w:footerReference w:type="even" r:id="rId11"/>
      <w:foot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9B47B" w14:textId="77777777" w:rsidR="00070412" w:rsidRDefault="00070412">
      <w:r>
        <w:separator/>
      </w:r>
    </w:p>
  </w:endnote>
  <w:endnote w:type="continuationSeparator" w:id="0">
    <w:p w14:paraId="62874C83" w14:textId="77777777" w:rsidR="00070412" w:rsidRDefault="00070412">
      <w:r>
        <w:continuationSeparator/>
      </w:r>
    </w:p>
  </w:endnote>
  <w:endnote w:type="continuationNotice" w:id="1">
    <w:p w14:paraId="3B8E281E" w14:textId="77777777" w:rsidR="00070412" w:rsidRDefault="000704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78AE7" w14:textId="77777777" w:rsidR="00976E39" w:rsidRDefault="00B67E87" w:rsidP="00F837DD">
    <w:pPr>
      <w:pStyle w:val="Footer"/>
      <w:framePr w:wrap="around" w:vAnchor="text" w:hAnchor="margin" w:xAlign="right" w:y="1"/>
      <w:rPr>
        <w:rStyle w:val="PageNumber"/>
      </w:rPr>
    </w:pPr>
    <w:r>
      <w:rPr>
        <w:rStyle w:val="PageNumber"/>
      </w:rPr>
      <w:fldChar w:fldCharType="begin"/>
    </w:r>
    <w:r w:rsidR="00976E39">
      <w:rPr>
        <w:rStyle w:val="PageNumber"/>
      </w:rPr>
      <w:instrText xml:space="preserve">PAGE  </w:instrText>
    </w:r>
    <w:r>
      <w:rPr>
        <w:rStyle w:val="PageNumber"/>
      </w:rPr>
      <w:fldChar w:fldCharType="end"/>
    </w:r>
  </w:p>
  <w:p w14:paraId="4E88AFDC" w14:textId="77777777" w:rsidR="00976E39" w:rsidRDefault="00976E3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145AE" w14:textId="2DA8EDFF" w:rsidR="00976E39" w:rsidRDefault="00B67E87" w:rsidP="00450D3B">
    <w:pPr>
      <w:pStyle w:val="Footer"/>
      <w:ind w:right="360"/>
    </w:pPr>
    <w:r>
      <w:rPr>
        <w:rStyle w:val="PageNumber"/>
      </w:rPr>
      <w:fldChar w:fldCharType="begin"/>
    </w:r>
    <w:r w:rsidR="00976E39">
      <w:rPr>
        <w:rStyle w:val="PageNumber"/>
      </w:rPr>
      <w:instrText xml:space="preserve"> PAGE </w:instrText>
    </w:r>
    <w:r>
      <w:rPr>
        <w:rStyle w:val="PageNumber"/>
      </w:rPr>
      <w:fldChar w:fldCharType="separate"/>
    </w:r>
    <w:r w:rsidR="007F04E6">
      <w:rPr>
        <w:rStyle w:val="PageNumber"/>
      </w:rPr>
      <w:t>3</w:t>
    </w:r>
    <w:r>
      <w:rPr>
        <w:rStyle w:val="PageNumber"/>
      </w:rPr>
      <w:fldChar w:fldCharType="end"/>
    </w:r>
    <w:r w:rsidR="00976E39">
      <w:rPr>
        <w:rStyle w:val="PageNumber"/>
      </w:rPr>
      <w:t>/</w:t>
    </w:r>
    <w:r>
      <w:rPr>
        <w:rStyle w:val="PageNumber"/>
      </w:rPr>
      <w:fldChar w:fldCharType="begin"/>
    </w:r>
    <w:r w:rsidR="00976E39">
      <w:rPr>
        <w:rStyle w:val="PageNumber"/>
      </w:rPr>
      <w:instrText xml:space="preserve"> NUMPAGES </w:instrText>
    </w:r>
    <w:r>
      <w:rPr>
        <w:rStyle w:val="PageNumber"/>
      </w:rPr>
      <w:fldChar w:fldCharType="separate"/>
    </w:r>
    <w:r w:rsidR="007F04E6">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B4106" w14:textId="77777777" w:rsidR="00070412" w:rsidRDefault="00070412">
      <w:r>
        <w:separator/>
      </w:r>
    </w:p>
  </w:footnote>
  <w:footnote w:type="continuationSeparator" w:id="0">
    <w:p w14:paraId="4F363E7F" w14:textId="77777777" w:rsidR="00070412" w:rsidRDefault="00070412">
      <w:r>
        <w:continuationSeparator/>
      </w:r>
    </w:p>
  </w:footnote>
  <w:footnote w:type="continuationNotice" w:id="1">
    <w:p w14:paraId="32611E49" w14:textId="77777777" w:rsidR="00070412" w:rsidRDefault="000704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0A9B9" w14:textId="77777777" w:rsidR="00976E39" w:rsidRDefault="00976E39">
    <w:r>
      <w:t xml:space="preserve">Page </w:t>
    </w:r>
    <w:r w:rsidR="00B67E87">
      <w:fldChar w:fldCharType="begin"/>
    </w:r>
    <w:r>
      <w:instrText>PAGE</w:instrText>
    </w:r>
    <w:r w:rsidR="00B67E87">
      <w:fldChar w:fldCharType="separate"/>
    </w:r>
    <w:r>
      <w:rPr>
        <w:noProof/>
      </w:rPr>
      <w:t>1</w:t>
    </w:r>
    <w:r w:rsidR="00B67E87">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FE7B35"/>
    <w:multiLevelType w:val="hybridMultilevel"/>
    <w:tmpl w:val="D9A0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D144C"/>
    <w:multiLevelType w:val="hybridMultilevel"/>
    <w:tmpl w:val="238E67A2"/>
    <w:lvl w:ilvl="0" w:tplc="759E91A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00B65"/>
    <w:multiLevelType w:val="hybridMultilevel"/>
    <w:tmpl w:val="C9D6D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E56B1"/>
    <w:multiLevelType w:val="hybridMultilevel"/>
    <w:tmpl w:val="0590AF88"/>
    <w:lvl w:ilvl="0" w:tplc="8CDE8C5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D011D"/>
    <w:multiLevelType w:val="hybridMultilevel"/>
    <w:tmpl w:val="B50C37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7" w15:restartNumberingAfterBreak="0">
    <w:nsid w:val="1FD269EA"/>
    <w:multiLevelType w:val="hybridMultilevel"/>
    <w:tmpl w:val="142A0A40"/>
    <w:lvl w:ilvl="0" w:tplc="DB1C69B8">
      <w:start w:val="1"/>
      <w:numFmt w:val="decimal"/>
      <w:pStyle w:val="Proposal"/>
      <w:lvlText w:val="Proposal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587D22"/>
    <w:multiLevelType w:val="hybridMultilevel"/>
    <w:tmpl w:val="B1684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ED1AD6"/>
    <w:multiLevelType w:val="hybridMultilevel"/>
    <w:tmpl w:val="F8F8D220"/>
    <w:lvl w:ilvl="0" w:tplc="99A002DC">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4E596E"/>
    <w:multiLevelType w:val="multilevel"/>
    <w:tmpl w:val="E41207E4"/>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9346F5"/>
    <w:multiLevelType w:val="hybridMultilevel"/>
    <w:tmpl w:val="E062B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8D1B80"/>
    <w:multiLevelType w:val="hybridMultilevel"/>
    <w:tmpl w:val="CA4EA048"/>
    <w:lvl w:ilvl="0" w:tplc="FDC0631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CA00C7"/>
    <w:multiLevelType w:val="hybridMultilevel"/>
    <w:tmpl w:val="390E25F0"/>
    <w:lvl w:ilvl="0" w:tplc="E15ADA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4211F7"/>
    <w:multiLevelType w:val="hybridMultilevel"/>
    <w:tmpl w:val="A4DAB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23" w15:restartNumberingAfterBreak="0">
    <w:nsid w:val="58161224"/>
    <w:multiLevelType w:val="hybridMultilevel"/>
    <w:tmpl w:val="08529A68"/>
    <w:lvl w:ilvl="0" w:tplc="4CB66500">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24503B"/>
    <w:multiLevelType w:val="hybridMultilevel"/>
    <w:tmpl w:val="39B40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68874E78"/>
    <w:multiLevelType w:val="hybridMultilevel"/>
    <w:tmpl w:val="DD18703E"/>
    <w:lvl w:ilvl="0" w:tplc="4EC443B4">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C505FE3"/>
    <w:multiLevelType w:val="hybridMultilevel"/>
    <w:tmpl w:val="86ECB1C4"/>
    <w:lvl w:ilvl="0" w:tplc="310CECBA">
      <w:start w:val="1"/>
      <w:numFmt w:val="decimal"/>
      <w:lvlText w:val="Figure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E8B66B5"/>
    <w:multiLevelType w:val="hybridMultilevel"/>
    <w:tmpl w:val="E592D996"/>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6"/>
  </w:num>
  <w:num w:numId="3">
    <w:abstractNumId w:val="16"/>
  </w:num>
  <w:num w:numId="4">
    <w:abstractNumId w:val="10"/>
  </w:num>
  <w:num w:numId="5">
    <w:abstractNumId w:val="1"/>
  </w:num>
  <w:num w:numId="6">
    <w:abstractNumId w:val="5"/>
  </w:num>
  <w:num w:numId="7">
    <w:abstractNumId w:val="9"/>
  </w:num>
  <w:num w:numId="8">
    <w:abstractNumId w:val="14"/>
  </w:num>
  <w:num w:numId="9">
    <w:abstractNumId w:val="15"/>
  </w:num>
  <w:num w:numId="10">
    <w:abstractNumId w:val="3"/>
  </w:num>
  <w:num w:numId="11">
    <w:abstractNumId w:val="16"/>
    <w:lvlOverride w:ilvl="0">
      <w:startOverride w:val="1"/>
    </w:lvlOverride>
  </w:num>
  <w:num w:numId="12">
    <w:abstractNumId w:val="20"/>
  </w:num>
  <w:num w:numId="13">
    <w:abstractNumId w:val="11"/>
  </w:num>
  <w:num w:numId="14">
    <w:abstractNumId w:val="19"/>
  </w:num>
  <w:num w:numId="15">
    <w:abstractNumId w:val="4"/>
  </w:num>
  <w:num w:numId="16">
    <w:abstractNumId w:val="12"/>
  </w:num>
  <w:num w:numId="17">
    <w:abstractNumId w:val="29"/>
  </w:num>
  <w:num w:numId="18">
    <w:abstractNumId w:val="26"/>
  </w:num>
  <w:num w:numId="19">
    <w:abstractNumId w:val="17"/>
  </w:num>
  <w:num w:numId="20">
    <w:abstractNumId w:val="23"/>
  </w:num>
  <w:num w:numId="21">
    <w:abstractNumId w:val="29"/>
  </w:num>
  <w:num w:numId="22">
    <w:abstractNumId w:val="0"/>
  </w:num>
  <w:num w:numId="23">
    <w:abstractNumId w:val="22"/>
  </w:num>
  <w:num w:numId="24">
    <w:abstractNumId w:val="24"/>
  </w:num>
  <w:num w:numId="25">
    <w:abstractNumId w:val="21"/>
  </w:num>
  <w:num w:numId="26">
    <w:abstractNumId w:val="25"/>
  </w:num>
  <w:num w:numId="27">
    <w:abstractNumId w:val="29"/>
    <w:lvlOverride w:ilvl="0">
      <w:startOverride w:val="1"/>
    </w:lvlOverride>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22"/>
  </w:num>
  <w:num w:numId="36">
    <w:abstractNumId w:val="24"/>
  </w:num>
  <w:num w:numId="37">
    <w:abstractNumId w:val="7"/>
  </w:num>
  <w:num w:numId="38">
    <w:abstractNumId w:val="7"/>
    <w:lvlOverride w:ilvl="0">
      <w:startOverride w:val="1"/>
    </w:lvlOverride>
  </w:num>
  <w:num w:numId="39">
    <w:abstractNumId w:val="7"/>
  </w:num>
  <w:num w:numId="40">
    <w:abstractNumId w:val="7"/>
    <w:lvlOverride w:ilvl="0">
      <w:startOverride w:val="1"/>
    </w:lvlOverride>
  </w:num>
  <w:num w:numId="41">
    <w:abstractNumId w:val="18"/>
  </w:num>
  <w:num w:numId="42">
    <w:abstractNumId w:val="2"/>
  </w:num>
  <w:num w:numId="43">
    <w:abstractNumId w:val="27"/>
  </w:num>
  <w:num w:numId="44">
    <w:abstractNumId w:val="8"/>
  </w:num>
  <w:num w:numId="45">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ctiveWritingStyle w:appName="MSWord" w:lang="en-GB" w:vendorID="64" w:dllVersion="6" w:nlCheck="1" w:checkStyle="1"/>
  <w:activeWritingStyle w:appName="MSWord" w:lang="en-US" w:vendorID="64" w:dllVersion="6"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2735A"/>
    <w:rsid w:val="000300FE"/>
    <w:rsid w:val="00030F08"/>
    <w:rsid w:val="00030F74"/>
    <w:rsid w:val="000319C1"/>
    <w:rsid w:val="00031EDD"/>
    <w:rsid w:val="00032DAB"/>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173"/>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19CC"/>
    <w:rsid w:val="00062551"/>
    <w:rsid w:val="00062963"/>
    <w:rsid w:val="00062CA8"/>
    <w:rsid w:val="00063E21"/>
    <w:rsid w:val="00063F57"/>
    <w:rsid w:val="0006549C"/>
    <w:rsid w:val="0006633C"/>
    <w:rsid w:val="00066576"/>
    <w:rsid w:val="00066696"/>
    <w:rsid w:val="000667D1"/>
    <w:rsid w:val="00066B79"/>
    <w:rsid w:val="0006739D"/>
    <w:rsid w:val="0006774C"/>
    <w:rsid w:val="00070412"/>
    <w:rsid w:val="000708A9"/>
    <w:rsid w:val="0007140F"/>
    <w:rsid w:val="0007164E"/>
    <w:rsid w:val="000716FB"/>
    <w:rsid w:val="000727E3"/>
    <w:rsid w:val="00072BEC"/>
    <w:rsid w:val="00072EFA"/>
    <w:rsid w:val="000732F1"/>
    <w:rsid w:val="000743A0"/>
    <w:rsid w:val="000743B4"/>
    <w:rsid w:val="00074A64"/>
    <w:rsid w:val="00074BF5"/>
    <w:rsid w:val="00075680"/>
    <w:rsid w:val="00076C21"/>
    <w:rsid w:val="00077EB9"/>
    <w:rsid w:val="000801D8"/>
    <w:rsid w:val="00080783"/>
    <w:rsid w:val="00081052"/>
    <w:rsid w:val="00081546"/>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582"/>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051F"/>
    <w:rsid w:val="000B1B68"/>
    <w:rsid w:val="000B1CD3"/>
    <w:rsid w:val="000B1FBE"/>
    <w:rsid w:val="000B23E2"/>
    <w:rsid w:val="000B245F"/>
    <w:rsid w:val="000B247A"/>
    <w:rsid w:val="000B256B"/>
    <w:rsid w:val="000B3F37"/>
    <w:rsid w:val="000B546F"/>
    <w:rsid w:val="000B58B7"/>
    <w:rsid w:val="000B5E4A"/>
    <w:rsid w:val="000B60DA"/>
    <w:rsid w:val="000B68F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222"/>
    <w:rsid w:val="000C6447"/>
    <w:rsid w:val="000C657C"/>
    <w:rsid w:val="000C764F"/>
    <w:rsid w:val="000D037E"/>
    <w:rsid w:val="000D0C91"/>
    <w:rsid w:val="000D0F9A"/>
    <w:rsid w:val="000D11B1"/>
    <w:rsid w:val="000D148D"/>
    <w:rsid w:val="000D1570"/>
    <w:rsid w:val="000D1610"/>
    <w:rsid w:val="000D1842"/>
    <w:rsid w:val="000D1A08"/>
    <w:rsid w:val="000D1A61"/>
    <w:rsid w:val="000D231C"/>
    <w:rsid w:val="000D2920"/>
    <w:rsid w:val="000D2E6D"/>
    <w:rsid w:val="000D3387"/>
    <w:rsid w:val="000D37FA"/>
    <w:rsid w:val="000D39FA"/>
    <w:rsid w:val="000D41F3"/>
    <w:rsid w:val="000D4324"/>
    <w:rsid w:val="000D4736"/>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6DDE"/>
    <w:rsid w:val="000F7452"/>
    <w:rsid w:val="000F794D"/>
    <w:rsid w:val="00100E41"/>
    <w:rsid w:val="00101489"/>
    <w:rsid w:val="00101ACE"/>
    <w:rsid w:val="00102147"/>
    <w:rsid w:val="00102FE9"/>
    <w:rsid w:val="00103E0E"/>
    <w:rsid w:val="00104058"/>
    <w:rsid w:val="0010405D"/>
    <w:rsid w:val="00104228"/>
    <w:rsid w:val="00104A80"/>
    <w:rsid w:val="00105820"/>
    <w:rsid w:val="00105CEE"/>
    <w:rsid w:val="00105FC2"/>
    <w:rsid w:val="00106117"/>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0B2D"/>
    <w:rsid w:val="00121412"/>
    <w:rsid w:val="00123993"/>
    <w:rsid w:val="0012453C"/>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51A"/>
    <w:rsid w:val="00135829"/>
    <w:rsid w:val="001358F4"/>
    <w:rsid w:val="00135911"/>
    <w:rsid w:val="00135E0A"/>
    <w:rsid w:val="0013612A"/>
    <w:rsid w:val="00136359"/>
    <w:rsid w:val="00136AAD"/>
    <w:rsid w:val="00136EED"/>
    <w:rsid w:val="00137280"/>
    <w:rsid w:val="00137288"/>
    <w:rsid w:val="00137480"/>
    <w:rsid w:val="0014082B"/>
    <w:rsid w:val="001410F1"/>
    <w:rsid w:val="0014161D"/>
    <w:rsid w:val="001418FE"/>
    <w:rsid w:val="00142093"/>
    <w:rsid w:val="0014244B"/>
    <w:rsid w:val="0014371C"/>
    <w:rsid w:val="001437AD"/>
    <w:rsid w:val="00143A51"/>
    <w:rsid w:val="00143FFE"/>
    <w:rsid w:val="0014452E"/>
    <w:rsid w:val="00144F22"/>
    <w:rsid w:val="001459EB"/>
    <w:rsid w:val="001461C2"/>
    <w:rsid w:val="00146540"/>
    <w:rsid w:val="00146E5E"/>
    <w:rsid w:val="0014719D"/>
    <w:rsid w:val="001474D9"/>
    <w:rsid w:val="00147B5F"/>
    <w:rsid w:val="00147D67"/>
    <w:rsid w:val="00147E88"/>
    <w:rsid w:val="0015019F"/>
    <w:rsid w:val="00150577"/>
    <w:rsid w:val="00150616"/>
    <w:rsid w:val="00151516"/>
    <w:rsid w:val="00151805"/>
    <w:rsid w:val="00151D5F"/>
    <w:rsid w:val="001529E0"/>
    <w:rsid w:val="00152BA8"/>
    <w:rsid w:val="00153A6B"/>
    <w:rsid w:val="00153E38"/>
    <w:rsid w:val="001544AB"/>
    <w:rsid w:val="0015452C"/>
    <w:rsid w:val="00154BE2"/>
    <w:rsid w:val="00155593"/>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8EF"/>
    <w:rsid w:val="00167C50"/>
    <w:rsid w:val="00167ECA"/>
    <w:rsid w:val="00172414"/>
    <w:rsid w:val="001724C5"/>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77B"/>
    <w:rsid w:val="00193B10"/>
    <w:rsid w:val="00193D91"/>
    <w:rsid w:val="00193F6D"/>
    <w:rsid w:val="0019403F"/>
    <w:rsid w:val="001943E8"/>
    <w:rsid w:val="00194642"/>
    <w:rsid w:val="0019564C"/>
    <w:rsid w:val="0019573B"/>
    <w:rsid w:val="00196220"/>
    <w:rsid w:val="0019734F"/>
    <w:rsid w:val="001977D0"/>
    <w:rsid w:val="00197FA7"/>
    <w:rsid w:val="001A019F"/>
    <w:rsid w:val="001A0303"/>
    <w:rsid w:val="001A037C"/>
    <w:rsid w:val="001A067A"/>
    <w:rsid w:val="001A0D8D"/>
    <w:rsid w:val="001A3BAB"/>
    <w:rsid w:val="001A3FA5"/>
    <w:rsid w:val="001A4334"/>
    <w:rsid w:val="001A4439"/>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5AA8"/>
    <w:rsid w:val="001B6D3D"/>
    <w:rsid w:val="001B70CF"/>
    <w:rsid w:val="001B7460"/>
    <w:rsid w:val="001B78D5"/>
    <w:rsid w:val="001B7AB3"/>
    <w:rsid w:val="001C0085"/>
    <w:rsid w:val="001C04A8"/>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39E"/>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5A"/>
    <w:rsid w:val="002102DC"/>
    <w:rsid w:val="00210301"/>
    <w:rsid w:val="002106D1"/>
    <w:rsid w:val="00210812"/>
    <w:rsid w:val="00210A2E"/>
    <w:rsid w:val="00210C91"/>
    <w:rsid w:val="002116CA"/>
    <w:rsid w:val="00211895"/>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1DAF"/>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3EA5"/>
    <w:rsid w:val="002562E9"/>
    <w:rsid w:val="00256B8F"/>
    <w:rsid w:val="00257A62"/>
    <w:rsid w:val="002605CB"/>
    <w:rsid w:val="0026075E"/>
    <w:rsid w:val="00260998"/>
    <w:rsid w:val="00261142"/>
    <w:rsid w:val="002612AF"/>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074B"/>
    <w:rsid w:val="00271501"/>
    <w:rsid w:val="002727C8"/>
    <w:rsid w:val="00272FEB"/>
    <w:rsid w:val="002738C9"/>
    <w:rsid w:val="00273B2D"/>
    <w:rsid w:val="00273CFB"/>
    <w:rsid w:val="00274B3C"/>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EDF"/>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AB3"/>
    <w:rsid w:val="002B3BD3"/>
    <w:rsid w:val="002B3D90"/>
    <w:rsid w:val="002B475D"/>
    <w:rsid w:val="002B4B75"/>
    <w:rsid w:val="002B4FE2"/>
    <w:rsid w:val="002B59B6"/>
    <w:rsid w:val="002B7C8F"/>
    <w:rsid w:val="002B7FB1"/>
    <w:rsid w:val="002C0364"/>
    <w:rsid w:val="002C0397"/>
    <w:rsid w:val="002C0779"/>
    <w:rsid w:val="002C138C"/>
    <w:rsid w:val="002C203A"/>
    <w:rsid w:val="002C2FCD"/>
    <w:rsid w:val="002C36BB"/>
    <w:rsid w:val="002C36EB"/>
    <w:rsid w:val="002C3AE4"/>
    <w:rsid w:val="002C4749"/>
    <w:rsid w:val="002C4CB7"/>
    <w:rsid w:val="002C5620"/>
    <w:rsid w:val="002C57BB"/>
    <w:rsid w:val="002C61E0"/>
    <w:rsid w:val="002C6221"/>
    <w:rsid w:val="002C6374"/>
    <w:rsid w:val="002C6F89"/>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2F7D9F"/>
    <w:rsid w:val="0030000D"/>
    <w:rsid w:val="003005AC"/>
    <w:rsid w:val="00300A26"/>
    <w:rsid w:val="00300CD7"/>
    <w:rsid w:val="003011C0"/>
    <w:rsid w:val="0030121F"/>
    <w:rsid w:val="00301890"/>
    <w:rsid w:val="003024DE"/>
    <w:rsid w:val="00302701"/>
    <w:rsid w:val="00302CBE"/>
    <w:rsid w:val="0030305A"/>
    <w:rsid w:val="00303442"/>
    <w:rsid w:val="003044B9"/>
    <w:rsid w:val="00304F48"/>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BED"/>
    <w:rsid w:val="00320F94"/>
    <w:rsid w:val="003230B0"/>
    <w:rsid w:val="00325F5C"/>
    <w:rsid w:val="003268CF"/>
    <w:rsid w:val="00326974"/>
    <w:rsid w:val="00327A0A"/>
    <w:rsid w:val="0033007D"/>
    <w:rsid w:val="0033027D"/>
    <w:rsid w:val="003308C4"/>
    <w:rsid w:val="00330DE8"/>
    <w:rsid w:val="00331EDC"/>
    <w:rsid w:val="00331FF4"/>
    <w:rsid w:val="003323F3"/>
    <w:rsid w:val="0033306E"/>
    <w:rsid w:val="00333DC8"/>
    <w:rsid w:val="00335250"/>
    <w:rsid w:val="0033592C"/>
    <w:rsid w:val="00335B9C"/>
    <w:rsid w:val="00336164"/>
    <w:rsid w:val="0034150F"/>
    <w:rsid w:val="0034298C"/>
    <w:rsid w:val="0034305B"/>
    <w:rsid w:val="00343E84"/>
    <w:rsid w:val="003444EB"/>
    <w:rsid w:val="00344778"/>
    <w:rsid w:val="00344E12"/>
    <w:rsid w:val="00344F78"/>
    <w:rsid w:val="0034511B"/>
    <w:rsid w:val="00345740"/>
    <w:rsid w:val="00346F28"/>
    <w:rsid w:val="003504EC"/>
    <w:rsid w:val="00350996"/>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0C31"/>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546"/>
    <w:rsid w:val="00374804"/>
    <w:rsid w:val="00374B96"/>
    <w:rsid w:val="00374F06"/>
    <w:rsid w:val="00375BD2"/>
    <w:rsid w:val="003762D5"/>
    <w:rsid w:val="003764FA"/>
    <w:rsid w:val="00376A34"/>
    <w:rsid w:val="00376AD6"/>
    <w:rsid w:val="00376C0D"/>
    <w:rsid w:val="0037709A"/>
    <w:rsid w:val="003773C7"/>
    <w:rsid w:val="00377569"/>
    <w:rsid w:val="00377A68"/>
    <w:rsid w:val="00377C91"/>
    <w:rsid w:val="00377CE8"/>
    <w:rsid w:val="003810EA"/>
    <w:rsid w:val="003811F7"/>
    <w:rsid w:val="0038166A"/>
    <w:rsid w:val="0038187D"/>
    <w:rsid w:val="003821E7"/>
    <w:rsid w:val="00382B96"/>
    <w:rsid w:val="00383130"/>
    <w:rsid w:val="003834C7"/>
    <w:rsid w:val="00383D4B"/>
    <w:rsid w:val="00384735"/>
    <w:rsid w:val="003848D9"/>
    <w:rsid w:val="00385614"/>
    <w:rsid w:val="00385DBB"/>
    <w:rsid w:val="00386B71"/>
    <w:rsid w:val="003871D9"/>
    <w:rsid w:val="00387771"/>
    <w:rsid w:val="00387B4D"/>
    <w:rsid w:val="003908C2"/>
    <w:rsid w:val="0039178D"/>
    <w:rsid w:val="00392C0A"/>
    <w:rsid w:val="00392D4A"/>
    <w:rsid w:val="00393367"/>
    <w:rsid w:val="003939F6"/>
    <w:rsid w:val="00393AA5"/>
    <w:rsid w:val="00393B78"/>
    <w:rsid w:val="00393B7F"/>
    <w:rsid w:val="003942A4"/>
    <w:rsid w:val="00394E4F"/>
    <w:rsid w:val="003959A9"/>
    <w:rsid w:val="0039665F"/>
    <w:rsid w:val="00396D81"/>
    <w:rsid w:val="003A0311"/>
    <w:rsid w:val="003A063F"/>
    <w:rsid w:val="003A0F88"/>
    <w:rsid w:val="003A12CF"/>
    <w:rsid w:val="003A1341"/>
    <w:rsid w:val="003A19E0"/>
    <w:rsid w:val="003A1C4F"/>
    <w:rsid w:val="003A1DD5"/>
    <w:rsid w:val="003A336B"/>
    <w:rsid w:val="003A41B3"/>
    <w:rsid w:val="003A42BB"/>
    <w:rsid w:val="003A5125"/>
    <w:rsid w:val="003A590E"/>
    <w:rsid w:val="003A5CA5"/>
    <w:rsid w:val="003A6A10"/>
    <w:rsid w:val="003A6D8E"/>
    <w:rsid w:val="003A7789"/>
    <w:rsid w:val="003A7AF7"/>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8A0"/>
    <w:rsid w:val="003C7CE7"/>
    <w:rsid w:val="003D0246"/>
    <w:rsid w:val="003D09DA"/>
    <w:rsid w:val="003D0A1E"/>
    <w:rsid w:val="003D0AD2"/>
    <w:rsid w:val="003D12AF"/>
    <w:rsid w:val="003D132A"/>
    <w:rsid w:val="003D2339"/>
    <w:rsid w:val="003D26AA"/>
    <w:rsid w:val="003D3577"/>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617"/>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366"/>
    <w:rsid w:val="0040689B"/>
    <w:rsid w:val="00406F4B"/>
    <w:rsid w:val="004073B0"/>
    <w:rsid w:val="004077CC"/>
    <w:rsid w:val="0041093B"/>
    <w:rsid w:val="00410BEC"/>
    <w:rsid w:val="004111BE"/>
    <w:rsid w:val="00411873"/>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5C4"/>
    <w:rsid w:val="004276E3"/>
    <w:rsid w:val="0042795C"/>
    <w:rsid w:val="00427E67"/>
    <w:rsid w:val="00430178"/>
    <w:rsid w:val="00430250"/>
    <w:rsid w:val="004309F8"/>
    <w:rsid w:val="00431843"/>
    <w:rsid w:val="0043198C"/>
    <w:rsid w:val="0043270B"/>
    <w:rsid w:val="00432E20"/>
    <w:rsid w:val="00432F8F"/>
    <w:rsid w:val="0043424B"/>
    <w:rsid w:val="00434364"/>
    <w:rsid w:val="0043480E"/>
    <w:rsid w:val="004352B4"/>
    <w:rsid w:val="004355EB"/>
    <w:rsid w:val="00435602"/>
    <w:rsid w:val="00435635"/>
    <w:rsid w:val="004356FA"/>
    <w:rsid w:val="00435CCF"/>
    <w:rsid w:val="004365C5"/>
    <w:rsid w:val="00437179"/>
    <w:rsid w:val="004371AB"/>
    <w:rsid w:val="00437A07"/>
    <w:rsid w:val="0044035D"/>
    <w:rsid w:val="0044166C"/>
    <w:rsid w:val="00441FE8"/>
    <w:rsid w:val="00442856"/>
    <w:rsid w:val="004429F5"/>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02"/>
    <w:rsid w:val="00450E4C"/>
    <w:rsid w:val="004518D5"/>
    <w:rsid w:val="00451B17"/>
    <w:rsid w:val="00451BEB"/>
    <w:rsid w:val="00451E3C"/>
    <w:rsid w:val="00452891"/>
    <w:rsid w:val="00453465"/>
    <w:rsid w:val="00453DEF"/>
    <w:rsid w:val="004543E4"/>
    <w:rsid w:val="00454539"/>
    <w:rsid w:val="004548E5"/>
    <w:rsid w:val="004549AF"/>
    <w:rsid w:val="00454C27"/>
    <w:rsid w:val="00455B39"/>
    <w:rsid w:val="00456114"/>
    <w:rsid w:val="004562F8"/>
    <w:rsid w:val="00456971"/>
    <w:rsid w:val="00456DBF"/>
    <w:rsid w:val="0045742D"/>
    <w:rsid w:val="004574AB"/>
    <w:rsid w:val="0046027A"/>
    <w:rsid w:val="004607CD"/>
    <w:rsid w:val="004608A9"/>
    <w:rsid w:val="00460958"/>
    <w:rsid w:val="0046110A"/>
    <w:rsid w:val="004612C8"/>
    <w:rsid w:val="004616E5"/>
    <w:rsid w:val="0046194F"/>
    <w:rsid w:val="00461B3E"/>
    <w:rsid w:val="00461E80"/>
    <w:rsid w:val="00462420"/>
    <w:rsid w:val="004627B7"/>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4DBC"/>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2DEA"/>
    <w:rsid w:val="00493063"/>
    <w:rsid w:val="00493A0E"/>
    <w:rsid w:val="00493AC2"/>
    <w:rsid w:val="00493D08"/>
    <w:rsid w:val="004943E3"/>
    <w:rsid w:val="004945CB"/>
    <w:rsid w:val="00494C33"/>
    <w:rsid w:val="00495AA2"/>
    <w:rsid w:val="004961DB"/>
    <w:rsid w:val="00496899"/>
    <w:rsid w:val="00496927"/>
    <w:rsid w:val="00496A97"/>
    <w:rsid w:val="00497E75"/>
    <w:rsid w:val="00497FF8"/>
    <w:rsid w:val="004A04B1"/>
    <w:rsid w:val="004A0C8F"/>
    <w:rsid w:val="004A11C3"/>
    <w:rsid w:val="004A15A9"/>
    <w:rsid w:val="004A201F"/>
    <w:rsid w:val="004A3394"/>
    <w:rsid w:val="004A366E"/>
    <w:rsid w:val="004A3CFF"/>
    <w:rsid w:val="004A4D38"/>
    <w:rsid w:val="004A4E7E"/>
    <w:rsid w:val="004A5312"/>
    <w:rsid w:val="004A57FC"/>
    <w:rsid w:val="004A5A64"/>
    <w:rsid w:val="004A5E0C"/>
    <w:rsid w:val="004A6F8B"/>
    <w:rsid w:val="004A705C"/>
    <w:rsid w:val="004A70E3"/>
    <w:rsid w:val="004A710E"/>
    <w:rsid w:val="004A71A7"/>
    <w:rsid w:val="004A7390"/>
    <w:rsid w:val="004A7FB0"/>
    <w:rsid w:val="004B0372"/>
    <w:rsid w:val="004B038D"/>
    <w:rsid w:val="004B0FC0"/>
    <w:rsid w:val="004B1313"/>
    <w:rsid w:val="004B1C42"/>
    <w:rsid w:val="004B2B31"/>
    <w:rsid w:val="004B2BD5"/>
    <w:rsid w:val="004B3C3F"/>
    <w:rsid w:val="004B3CE9"/>
    <w:rsid w:val="004B4D0A"/>
    <w:rsid w:val="004B566D"/>
    <w:rsid w:val="004B5C0C"/>
    <w:rsid w:val="004B6301"/>
    <w:rsid w:val="004B71E9"/>
    <w:rsid w:val="004C0346"/>
    <w:rsid w:val="004C0B5B"/>
    <w:rsid w:val="004C0F99"/>
    <w:rsid w:val="004C130D"/>
    <w:rsid w:val="004C1E76"/>
    <w:rsid w:val="004C20B1"/>
    <w:rsid w:val="004C255D"/>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63"/>
    <w:rsid w:val="004E2487"/>
    <w:rsid w:val="004E3FD8"/>
    <w:rsid w:val="004E4503"/>
    <w:rsid w:val="004E46BD"/>
    <w:rsid w:val="004E49DC"/>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358"/>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42A"/>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AA5"/>
    <w:rsid w:val="00525CAE"/>
    <w:rsid w:val="00526653"/>
    <w:rsid w:val="00526C8A"/>
    <w:rsid w:val="00527489"/>
    <w:rsid w:val="00527DB2"/>
    <w:rsid w:val="005303F0"/>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B67"/>
    <w:rsid w:val="00570C83"/>
    <w:rsid w:val="00572583"/>
    <w:rsid w:val="00572A3E"/>
    <w:rsid w:val="00572B21"/>
    <w:rsid w:val="00573146"/>
    <w:rsid w:val="005735E8"/>
    <w:rsid w:val="0057380A"/>
    <w:rsid w:val="00573B1B"/>
    <w:rsid w:val="00573BC0"/>
    <w:rsid w:val="00573E29"/>
    <w:rsid w:val="00573F24"/>
    <w:rsid w:val="00575248"/>
    <w:rsid w:val="00575716"/>
    <w:rsid w:val="005758CE"/>
    <w:rsid w:val="00575E94"/>
    <w:rsid w:val="005770BC"/>
    <w:rsid w:val="00577BE7"/>
    <w:rsid w:val="00580025"/>
    <w:rsid w:val="00580760"/>
    <w:rsid w:val="00581367"/>
    <w:rsid w:val="005819D7"/>
    <w:rsid w:val="00582D3E"/>
    <w:rsid w:val="00582E3D"/>
    <w:rsid w:val="005836D0"/>
    <w:rsid w:val="00583766"/>
    <w:rsid w:val="005840E5"/>
    <w:rsid w:val="0058445A"/>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4F5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A0"/>
    <w:rsid w:val="005A50FE"/>
    <w:rsid w:val="005A59CF"/>
    <w:rsid w:val="005A6CB4"/>
    <w:rsid w:val="005A7ECD"/>
    <w:rsid w:val="005A7F72"/>
    <w:rsid w:val="005B097C"/>
    <w:rsid w:val="005B1CC4"/>
    <w:rsid w:val="005B1D3E"/>
    <w:rsid w:val="005B2EB8"/>
    <w:rsid w:val="005B33A1"/>
    <w:rsid w:val="005B4282"/>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6DA7"/>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55A3"/>
    <w:rsid w:val="00606615"/>
    <w:rsid w:val="00606C6F"/>
    <w:rsid w:val="00606FA6"/>
    <w:rsid w:val="00607079"/>
    <w:rsid w:val="00607ADE"/>
    <w:rsid w:val="00607FB4"/>
    <w:rsid w:val="00611C83"/>
    <w:rsid w:val="00612015"/>
    <w:rsid w:val="006122CF"/>
    <w:rsid w:val="0061286E"/>
    <w:rsid w:val="00612C73"/>
    <w:rsid w:val="006133F5"/>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253"/>
    <w:rsid w:val="00623A7F"/>
    <w:rsid w:val="00623C74"/>
    <w:rsid w:val="0062482E"/>
    <w:rsid w:val="00625213"/>
    <w:rsid w:val="00625B24"/>
    <w:rsid w:val="006265D0"/>
    <w:rsid w:val="00626C25"/>
    <w:rsid w:val="006279A7"/>
    <w:rsid w:val="00627BA3"/>
    <w:rsid w:val="00627E44"/>
    <w:rsid w:val="0063027B"/>
    <w:rsid w:val="00630549"/>
    <w:rsid w:val="00630829"/>
    <w:rsid w:val="00631826"/>
    <w:rsid w:val="006326BC"/>
    <w:rsid w:val="006327DF"/>
    <w:rsid w:val="00632A0E"/>
    <w:rsid w:val="00633951"/>
    <w:rsid w:val="00633B5E"/>
    <w:rsid w:val="00633C0A"/>
    <w:rsid w:val="00633CB0"/>
    <w:rsid w:val="0063405E"/>
    <w:rsid w:val="00634767"/>
    <w:rsid w:val="00634B95"/>
    <w:rsid w:val="00635175"/>
    <w:rsid w:val="006352B0"/>
    <w:rsid w:val="00635CC3"/>
    <w:rsid w:val="00636041"/>
    <w:rsid w:val="00636094"/>
    <w:rsid w:val="006365A1"/>
    <w:rsid w:val="006373C7"/>
    <w:rsid w:val="00637E00"/>
    <w:rsid w:val="00640222"/>
    <w:rsid w:val="00640C06"/>
    <w:rsid w:val="00640E17"/>
    <w:rsid w:val="00641061"/>
    <w:rsid w:val="006412CA"/>
    <w:rsid w:val="00641E4B"/>
    <w:rsid w:val="006427D6"/>
    <w:rsid w:val="006428E2"/>
    <w:rsid w:val="00642D10"/>
    <w:rsid w:val="006430B5"/>
    <w:rsid w:val="00644200"/>
    <w:rsid w:val="0064640A"/>
    <w:rsid w:val="006464A6"/>
    <w:rsid w:val="00646C3F"/>
    <w:rsid w:val="006478E6"/>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80F"/>
    <w:rsid w:val="00665229"/>
    <w:rsid w:val="006654E8"/>
    <w:rsid w:val="00665598"/>
    <w:rsid w:val="0066566C"/>
    <w:rsid w:val="0066568F"/>
    <w:rsid w:val="00665C15"/>
    <w:rsid w:val="00665CCE"/>
    <w:rsid w:val="00665F1A"/>
    <w:rsid w:val="00666471"/>
    <w:rsid w:val="00666653"/>
    <w:rsid w:val="006673D8"/>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6FFB"/>
    <w:rsid w:val="00677B01"/>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076"/>
    <w:rsid w:val="006979CD"/>
    <w:rsid w:val="00697FE2"/>
    <w:rsid w:val="006A0B49"/>
    <w:rsid w:val="006A1313"/>
    <w:rsid w:val="006A1C6F"/>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A7C"/>
    <w:rsid w:val="006B1DA2"/>
    <w:rsid w:val="006B1F5F"/>
    <w:rsid w:val="006B2064"/>
    <w:rsid w:val="006B3AD6"/>
    <w:rsid w:val="006B4F5B"/>
    <w:rsid w:val="006B5922"/>
    <w:rsid w:val="006B67DE"/>
    <w:rsid w:val="006B6C94"/>
    <w:rsid w:val="006B6E3E"/>
    <w:rsid w:val="006C066E"/>
    <w:rsid w:val="006C0900"/>
    <w:rsid w:val="006C09DD"/>
    <w:rsid w:val="006C10C0"/>
    <w:rsid w:val="006C12AE"/>
    <w:rsid w:val="006C30B8"/>
    <w:rsid w:val="006C369C"/>
    <w:rsid w:val="006C36E8"/>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A2D"/>
    <w:rsid w:val="006E3B45"/>
    <w:rsid w:val="006E512D"/>
    <w:rsid w:val="006E53A6"/>
    <w:rsid w:val="006E5C3A"/>
    <w:rsid w:val="006E610E"/>
    <w:rsid w:val="006E6FC9"/>
    <w:rsid w:val="006E7093"/>
    <w:rsid w:val="006E7496"/>
    <w:rsid w:val="006E7969"/>
    <w:rsid w:val="006F0104"/>
    <w:rsid w:val="006F0B08"/>
    <w:rsid w:val="006F0C12"/>
    <w:rsid w:val="006F0EB1"/>
    <w:rsid w:val="006F10A1"/>
    <w:rsid w:val="006F1636"/>
    <w:rsid w:val="006F16B4"/>
    <w:rsid w:val="006F2CCB"/>
    <w:rsid w:val="006F2E9D"/>
    <w:rsid w:val="006F314D"/>
    <w:rsid w:val="006F57A2"/>
    <w:rsid w:val="006F59D4"/>
    <w:rsid w:val="006F5CDF"/>
    <w:rsid w:val="006F5FAA"/>
    <w:rsid w:val="006F61B8"/>
    <w:rsid w:val="006F6BE1"/>
    <w:rsid w:val="006F738F"/>
    <w:rsid w:val="006F7E42"/>
    <w:rsid w:val="0070023A"/>
    <w:rsid w:val="00700EC2"/>
    <w:rsid w:val="00700F47"/>
    <w:rsid w:val="00700F6E"/>
    <w:rsid w:val="007014E9"/>
    <w:rsid w:val="0070193E"/>
    <w:rsid w:val="00701F6B"/>
    <w:rsid w:val="00701F87"/>
    <w:rsid w:val="00702958"/>
    <w:rsid w:val="007032B8"/>
    <w:rsid w:val="007036E5"/>
    <w:rsid w:val="0070452B"/>
    <w:rsid w:val="007047A6"/>
    <w:rsid w:val="00704C05"/>
    <w:rsid w:val="007062DD"/>
    <w:rsid w:val="00706D73"/>
    <w:rsid w:val="00706DA9"/>
    <w:rsid w:val="00706E42"/>
    <w:rsid w:val="00707BF4"/>
    <w:rsid w:val="00707C06"/>
    <w:rsid w:val="0071029D"/>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6B6"/>
    <w:rsid w:val="00721E1D"/>
    <w:rsid w:val="00722752"/>
    <w:rsid w:val="00722CD9"/>
    <w:rsid w:val="00723B7C"/>
    <w:rsid w:val="00723E10"/>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79B"/>
    <w:rsid w:val="00741B54"/>
    <w:rsid w:val="007420C9"/>
    <w:rsid w:val="00743B7C"/>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950"/>
    <w:rsid w:val="00755B06"/>
    <w:rsid w:val="0075603B"/>
    <w:rsid w:val="00756C09"/>
    <w:rsid w:val="007570E6"/>
    <w:rsid w:val="00757A61"/>
    <w:rsid w:val="00757C96"/>
    <w:rsid w:val="007600A8"/>
    <w:rsid w:val="0076083D"/>
    <w:rsid w:val="00760D79"/>
    <w:rsid w:val="0076121D"/>
    <w:rsid w:val="007619FB"/>
    <w:rsid w:val="00761C91"/>
    <w:rsid w:val="00762924"/>
    <w:rsid w:val="00762D30"/>
    <w:rsid w:val="00763339"/>
    <w:rsid w:val="00763355"/>
    <w:rsid w:val="00763522"/>
    <w:rsid w:val="00763FE8"/>
    <w:rsid w:val="00764A6B"/>
    <w:rsid w:val="00764E1D"/>
    <w:rsid w:val="00765327"/>
    <w:rsid w:val="007661E2"/>
    <w:rsid w:val="00766AE4"/>
    <w:rsid w:val="00766BFB"/>
    <w:rsid w:val="007678B6"/>
    <w:rsid w:val="00770CF3"/>
    <w:rsid w:val="007721AD"/>
    <w:rsid w:val="007726FB"/>
    <w:rsid w:val="00772D15"/>
    <w:rsid w:val="00772DC3"/>
    <w:rsid w:val="00773141"/>
    <w:rsid w:val="00773D67"/>
    <w:rsid w:val="00774BC1"/>
    <w:rsid w:val="00774E6B"/>
    <w:rsid w:val="00775F11"/>
    <w:rsid w:val="007768F2"/>
    <w:rsid w:val="00776E9E"/>
    <w:rsid w:val="00777126"/>
    <w:rsid w:val="007773CD"/>
    <w:rsid w:val="00777C1A"/>
    <w:rsid w:val="00777C3F"/>
    <w:rsid w:val="00777EE9"/>
    <w:rsid w:val="00780732"/>
    <w:rsid w:val="0078095A"/>
    <w:rsid w:val="0078146E"/>
    <w:rsid w:val="0078165E"/>
    <w:rsid w:val="00781B9A"/>
    <w:rsid w:val="0078243D"/>
    <w:rsid w:val="00783659"/>
    <w:rsid w:val="0078380D"/>
    <w:rsid w:val="00783BCC"/>
    <w:rsid w:val="00784702"/>
    <w:rsid w:val="007847B9"/>
    <w:rsid w:val="00785381"/>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59F5"/>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A7AF0"/>
    <w:rsid w:val="007B0253"/>
    <w:rsid w:val="007B0E3D"/>
    <w:rsid w:val="007B1061"/>
    <w:rsid w:val="007B1306"/>
    <w:rsid w:val="007B1B64"/>
    <w:rsid w:val="007B2638"/>
    <w:rsid w:val="007B2D8B"/>
    <w:rsid w:val="007B3458"/>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CB3"/>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252"/>
    <w:rsid w:val="007E276E"/>
    <w:rsid w:val="007E2B64"/>
    <w:rsid w:val="007E3051"/>
    <w:rsid w:val="007E4238"/>
    <w:rsid w:val="007E43A4"/>
    <w:rsid w:val="007E4E4F"/>
    <w:rsid w:val="007E6477"/>
    <w:rsid w:val="007E686B"/>
    <w:rsid w:val="007E6D46"/>
    <w:rsid w:val="007E6DA8"/>
    <w:rsid w:val="007E73ED"/>
    <w:rsid w:val="007E7A3E"/>
    <w:rsid w:val="007F04E6"/>
    <w:rsid w:val="007F05E0"/>
    <w:rsid w:val="007F0AE2"/>
    <w:rsid w:val="007F0DD3"/>
    <w:rsid w:val="007F163D"/>
    <w:rsid w:val="007F1A2B"/>
    <w:rsid w:val="007F1C1B"/>
    <w:rsid w:val="007F2D82"/>
    <w:rsid w:val="007F2DBB"/>
    <w:rsid w:val="007F2ED4"/>
    <w:rsid w:val="007F31B4"/>
    <w:rsid w:val="007F322D"/>
    <w:rsid w:val="007F3BCA"/>
    <w:rsid w:val="007F3FB0"/>
    <w:rsid w:val="007F4981"/>
    <w:rsid w:val="007F49CD"/>
    <w:rsid w:val="007F4E99"/>
    <w:rsid w:val="007F513A"/>
    <w:rsid w:val="007F5D4A"/>
    <w:rsid w:val="007F6562"/>
    <w:rsid w:val="007F65F2"/>
    <w:rsid w:val="007F757D"/>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0D60"/>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2C9"/>
    <w:rsid w:val="00820759"/>
    <w:rsid w:val="0082081A"/>
    <w:rsid w:val="00820B06"/>
    <w:rsid w:val="00820E25"/>
    <w:rsid w:val="00820FE6"/>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157"/>
    <w:rsid w:val="0083657B"/>
    <w:rsid w:val="00836762"/>
    <w:rsid w:val="00837D87"/>
    <w:rsid w:val="0084059F"/>
    <w:rsid w:val="00840634"/>
    <w:rsid w:val="008412CF"/>
    <w:rsid w:val="00841875"/>
    <w:rsid w:val="00841D09"/>
    <w:rsid w:val="00841E9F"/>
    <w:rsid w:val="00842061"/>
    <w:rsid w:val="00843971"/>
    <w:rsid w:val="00843AFD"/>
    <w:rsid w:val="00843B71"/>
    <w:rsid w:val="00843BDF"/>
    <w:rsid w:val="00844468"/>
    <w:rsid w:val="008444F8"/>
    <w:rsid w:val="00845014"/>
    <w:rsid w:val="0084554A"/>
    <w:rsid w:val="008455CC"/>
    <w:rsid w:val="00845D97"/>
    <w:rsid w:val="00845F51"/>
    <w:rsid w:val="00846069"/>
    <w:rsid w:val="0084637B"/>
    <w:rsid w:val="00846467"/>
    <w:rsid w:val="0084760D"/>
    <w:rsid w:val="00847991"/>
    <w:rsid w:val="008479F4"/>
    <w:rsid w:val="00847C4E"/>
    <w:rsid w:val="0085172A"/>
    <w:rsid w:val="008517E2"/>
    <w:rsid w:val="008535B0"/>
    <w:rsid w:val="00853A21"/>
    <w:rsid w:val="00853BD0"/>
    <w:rsid w:val="008544D2"/>
    <w:rsid w:val="00854983"/>
    <w:rsid w:val="00854DBE"/>
    <w:rsid w:val="00855C75"/>
    <w:rsid w:val="008569DF"/>
    <w:rsid w:val="00856B6B"/>
    <w:rsid w:val="00856E4A"/>
    <w:rsid w:val="00856EEA"/>
    <w:rsid w:val="008579B1"/>
    <w:rsid w:val="00857DB5"/>
    <w:rsid w:val="00857F97"/>
    <w:rsid w:val="0086007E"/>
    <w:rsid w:val="0086037F"/>
    <w:rsid w:val="00860777"/>
    <w:rsid w:val="00860AD4"/>
    <w:rsid w:val="0086119E"/>
    <w:rsid w:val="008614CF"/>
    <w:rsid w:val="00861B0E"/>
    <w:rsid w:val="00861B16"/>
    <w:rsid w:val="00861B41"/>
    <w:rsid w:val="00861DA1"/>
    <w:rsid w:val="00862173"/>
    <w:rsid w:val="008621F7"/>
    <w:rsid w:val="008626B0"/>
    <w:rsid w:val="00864A2A"/>
    <w:rsid w:val="00864E86"/>
    <w:rsid w:val="00865DE1"/>
    <w:rsid w:val="0086711C"/>
    <w:rsid w:val="00870793"/>
    <w:rsid w:val="00871EED"/>
    <w:rsid w:val="00872977"/>
    <w:rsid w:val="008734E7"/>
    <w:rsid w:val="0087404E"/>
    <w:rsid w:val="008744DD"/>
    <w:rsid w:val="00874C48"/>
    <w:rsid w:val="0087504C"/>
    <w:rsid w:val="008751A1"/>
    <w:rsid w:val="00875394"/>
    <w:rsid w:val="00875524"/>
    <w:rsid w:val="00875905"/>
    <w:rsid w:val="00876B38"/>
    <w:rsid w:val="00876C1A"/>
    <w:rsid w:val="00877149"/>
    <w:rsid w:val="00877FA3"/>
    <w:rsid w:val="008810FA"/>
    <w:rsid w:val="0088124B"/>
    <w:rsid w:val="008813B7"/>
    <w:rsid w:val="00882A4C"/>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87C39"/>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EAA"/>
    <w:rsid w:val="00895F27"/>
    <w:rsid w:val="008970B5"/>
    <w:rsid w:val="008971D9"/>
    <w:rsid w:val="008A0473"/>
    <w:rsid w:val="008A16AE"/>
    <w:rsid w:val="008A23DF"/>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7C0"/>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39B0"/>
    <w:rsid w:val="008C436D"/>
    <w:rsid w:val="008C4853"/>
    <w:rsid w:val="008C48F2"/>
    <w:rsid w:val="008C5040"/>
    <w:rsid w:val="008C5BE7"/>
    <w:rsid w:val="008C74CC"/>
    <w:rsid w:val="008C7C3C"/>
    <w:rsid w:val="008C7F77"/>
    <w:rsid w:val="008D095D"/>
    <w:rsid w:val="008D0EB5"/>
    <w:rsid w:val="008D13DC"/>
    <w:rsid w:val="008D1980"/>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56A"/>
    <w:rsid w:val="008E3BCB"/>
    <w:rsid w:val="008E3BEB"/>
    <w:rsid w:val="008E3D50"/>
    <w:rsid w:val="008E412D"/>
    <w:rsid w:val="008E4145"/>
    <w:rsid w:val="008E451A"/>
    <w:rsid w:val="008E455C"/>
    <w:rsid w:val="008E4C61"/>
    <w:rsid w:val="008E4E8B"/>
    <w:rsid w:val="008E5867"/>
    <w:rsid w:val="008E5D5A"/>
    <w:rsid w:val="008E6240"/>
    <w:rsid w:val="008E6D2D"/>
    <w:rsid w:val="008E6E01"/>
    <w:rsid w:val="008E76F3"/>
    <w:rsid w:val="008E7A59"/>
    <w:rsid w:val="008E7FDA"/>
    <w:rsid w:val="008F01AB"/>
    <w:rsid w:val="008F09AF"/>
    <w:rsid w:val="008F23C7"/>
    <w:rsid w:val="008F2A4E"/>
    <w:rsid w:val="008F2EB2"/>
    <w:rsid w:val="008F3DC9"/>
    <w:rsid w:val="008F4107"/>
    <w:rsid w:val="008F4807"/>
    <w:rsid w:val="008F4BFE"/>
    <w:rsid w:val="008F4F27"/>
    <w:rsid w:val="008F56B5"/>
    <w:rsid w:val="008F594D"/>
    <w:rsid w:val="008F595E"/>
    <w:rsid w:val="008F62E5"/>
    <w:rsid w:val="008F7697"/>
    <w:rsid w:val="008F7AEE"/>
    <w:rsid w:val="00900A18"/>
    <w:rsid w:val="00900BAA"/>
    <w:rsid w:val="00901845"/>
    <w:rsid w:val="00901AAA"/>
    <w:rsid w:val="0090242C"/>
    <w:rsid w:val="00902740"/>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4A5"/>
    <w:rsid w:val="00911E1A"/>
    <w:rsid w:val="009123B9"/>
    <w:rsid w:val="00912DDD"/>
    <w:rsid w:val="00913F4C"/>
    <w:rsid w:val="0091404B"/>
    <w:rsid w:val="0091423A"/>
    <w:rsid w:val="00914307"/>
    <w:rsid w:val="00914370"/>
    <w:rsid w:val="00914CA0"/>
    <w:rsid w:val="00914DE2"/>
    <w:rsid w:val="0091537E"/>
    <w:rsid w:val="00915989"/>
    <w:rsid w:val="00915DE0"/>
    <w:rsid w:val="009167FB"/>
    <w:rsid w:val="00916CCF"/>
    <w:rsid w:val="00920236"/>
    <w:rsid w:val="00920B65"/>
    <w:rsid w:val="00920BC8"/>
    <w:rsid w:val="00920D4C"/>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93E"/>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1D2A"/>
    <w:rsid w:val="00951FFF"/>
    <w:rsid w:val="009520A6"/>
    <w:rsid w:val="009526F7"/>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1EF"/>
    <w:rsid w:val="009612F1"/>
    <w:rsid w:val="00961B8B"/>
    <w:rsid w:val="00961BF6"/>
    <w:rsid w:val="00961D3F"/>
    <w:rsid w:val="00962AA0"/>
    <w:rsid w:val="00962CB3"/>
    <w:rsid w:val="00962CED"/>
    <w:rsid w:val="00963164"/>
    <w:rsid w:val="00963275"/>
    <w:rsid w:val="0096347D"/>
    <w:rsid w:val="00963CD6"/>
    <w:rsid w:val="009646FA"/>
    <w:rsid w:val="009654F0"/>
    <w:rsid w:val="009667FB"/>
    <w:rsid w:val="00966C9A"/>
    <w:rsid w:val="00967B12"/>
    <w:rsid w:val="00967EA6"/>
    <w:rsid w:val="00970E7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6E39"/>
    <w:rsid w:val="009773CE"/>
    <w:rsid w:val="0097780F"/>
    <w:rsid w:val="009778AB"/>
    <w:rsid w:val="00981CB6"/>
    <w:rsid w:val="00982AB4"/>
    <w:rsid w:val="00983061"/>
    <w:rsid w:val="0098312F"/>
    <w:rsid w:val="00983223"/>
    <w:rsid w:val="00984206"/>
    <w:rsid w:val="0098511E"/>
    <w:rsid w:val="00985135"/>
    <w:rsid w:val="0098541D"/>
    <w:rsid w:val="00985C9A"/>
    <w:rsid w:val="009866CE"/>
    <w:rsid w:val="009879B5"/>
    <w:rsid w:val="00990010"/>
    <w:rsid w:val="00990732"/>
    <w:rsid w:val="00990C1F"/>
    <w:rsid w:val="00991820"/>
    <w:rsid w:val="00991C57"/>
    <w:rsid w:val="00991F39"/>
    <w:rsid w:val="00992464"/>
    <w:rsid w:val="009930C0"/>
    <w:rsid w:val="00994344"/>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A7FE7"/>
    <w:rsid w:val="009B003C"/>
    <w:rsid w:val="009B0DFC"/>
    <w:rsid w:val="009B114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FF1"/>
    <w:rsid w:val="009E1546"/>
    <w:rsid w:val="009E1726"/>
    <w:rsid w:val="009E18DB"/>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3DC"/>
    <w:rsid w:val="009F3CC3"/>
    <w:rsid w:val="009F3F25"/>
    <w:rsid w:val="009F42FA"/>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AAD"/>
    <w:rsid w:val="00A05B8C"/>
    <w:rsid w:val="00A05CB6"/>
    <w:rsid w:val="00A05F8B"/>
    <w:rsid w:val="00A066E7"/>
    <w:rsid w:val="00A0678E"/>
    <w:rsid w:val="00A06EE7"/>
    <w:rsid w:val="00A07654"/>
    <w:rsid w:val="00A07B16"/>
    <w:rsid w:val="00A07DCC"/>
    <w:rsid w:val="00A07FA3"/>
    <w:rsid w:val="00A10B48"/>
    <w:rsid w:val="00A11A66"/>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997"/>
    <w:rsid w:val="00A20D0A"/>
    <w:rsid w:val="00A2104B"/>
    <w:rsid w:val="00A210E9"/>
    <w:rsid w:val="00A213B0"/>
    <w:rsid w:val="00A21AAA"/>
    <w:rsid w:val="00A21FEA"/>
    <w:rsid w:val="00A224A1"/>
    <w:rsid w:val="00A23979"/>
    <w:rsid w:val="00A23DD3"/>
    <w:rsid w:val="00A2470A"/>
    <w:rsid w:val="00A2481C"/>
    <w:rsid w:val="00A25FDF"/>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47B7B"/>
    <w:rsid w:val="00A5044D"/>
    <w:rsid w:val="00A50B00"/>
    <w:rsid w:val="00A50C99"/>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2F30"/>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5795"/>
    <w:rsid w:val="00A760AD"/>
    <w:rsid w:val="00A7634B"/>
    <w:rsid w:val="00A7647C"/>
    <w:rsid w:val="00A76A52"/>
    <w:rsid w:val="00A76BA5"/>
    <w:rsid w:val="00A7735F"/>
    <w:rsid w:val="00A80709"/>
    <w:rsid w:val="00A817F3"/>
    <w:rsid w:val="00A81DCD"/>
    <w:rsid w:val="00A8221B"/>
    <w:rsid w:val="00A82D80"/>
    <w:rsid w:val="00A82F10"/>
    <w:rsid w:val="00A83213"/>
    <w:rsid w:val="00A83430"/>
    <w:rsid w:val="00A8389D"/>
    <w:rsid w:val="00A83BF1"/>
    <w:rsid w:val="00A84298"/>
    <w:rsid w:val="00A842D6"/>
    <w:rsid w:val="00A844C6"/>
    <w:rsid w:val="00A8523D"/>
    <w:rsid w:val="00A853A6"/>
    <w:rsid w:val="00A905F1"/>
    <w:rsid w:val="00A90CE4"/>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3CB1"/>
    <w:rsid w:val="00AA49B7"/>
    <w:rsid w:val="00AA61DD"/>
    <w:rsid w:val="00AA630A"/>
    <w:rsid w:val="00AA64F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00"/>
    <w:rsid w:val="00AC367D"/>
    <w:rsid w:val="00AC3727"/>
    <w:rsid w:val="00AC4379"/>
    <w:rsid w:val="00AC4D53"/>
    <w:rsid w:val="00AC4E7D"/>
    <w:rsid w:val="00AC52F4"/>
    <w:rsid w:val="00AC55D6"/>
    <w:rsid w:val="00AC6071"/>
    <w:rsid w:val="00AC62C7"/>
    <w:rsid w:val="00AC63F4"/>
    <w:rsid w:val="00AC7483"/>
    <w:rsid w:val="00AC755E"/>
    <w:rsid w:val="00AC7BC4"/>
    <w:rsid w:val="00AC7E9D"/>
    <w:rsid w:val="00AD067C"/>
    <w:rsid w:val="00AD163D"/>
    <w:rsid w:val="00AD1744"/>
    <w:rsid w:val="00AD1B03"/>
    <w:rsid w:val="00AD1D48"/>
    <w:rsid w:val="00AD1DFE"/>
    <w:rsid w:val="00AD1F3F"/>
    <w:rsid w:val="00AD2C1A"/>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1D7"/>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00"/>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5A9"/>
    <w:rsid w:val="00B05688"/>
    <w:rsid w:val="00B05A41"/>
    <w:rsid w:val="00B06241"/>
    <w:rsid w:val="00B07988"/>
    <w:rsid w:val="00B07EDA"/>
    <w:rsid w:val="00B11AC8"/>
    <w:rsid w:val="00B11C22"/>
    <w:rsid w:val="00B11E9A"/>
    <w:rsid w:val="00B13818"/>
    <w:rsid w:val="00B13C59"/>
    <w:rsid w:val="00B14939"/>
    <w:rsid w:val="00B14DDF"/>
    <w:rsid w:val="00B14E6C"/>
    <w:rsid w:val="00B14F21"/>
    <w:rsid w:val="00B151C6"/>
    <w:rsid w:val="00B153E8"/>
    <w:rsid w:val="00B15CC4"/>
    <w:rsid w:val="00B16191"/>
    <w:rsid w:val="00B1741F"/>
    <w:rsid w:val="00B17793"/>
    <w:rsid w:val="00B17D79"/>
    <w:rsid w:val="00B17F5F"/>
    <w:rsid w:val="00B20057"/>
    <w:rsid w:val="00B208A5"/>
    <w:rsid w:val="00B209B5"/>
    <w:rsid w:val="00B20E2B"/>
    <w:rsid w:val="00B21CA7"/>
    <w:rsid w:val="00B21D24"/>
    <w:rsid w:val="00B22651"/>
    <w:rsid w:val="00B22CE2"/>
    <w:rsid w:val="00B23216"/>
    <w:rsid w:val="00B23960"/>
    <w:rsid w:val="00B23C80"/>
    <w:rsid w:val="00B24165"/>
    <w:rsid w:val="00B2484E"/>
    <w:rsid w:val="00B24C37"/>
    <w:rsid w:val="00B24F49"/>
    <w:rsid w:val="00B25064"/>
    <w:rsid w:val="00B255A7"/>
    <w:rsid w:val="00B25A70"/>
    <w:rsid w:val="00B25F9A"/>
    <w:rsid w:val="00B263DD"/>
    <w:rsid w:val="00B265B9"/>
    <w:rsid w:val="00B27080"/>
    <w:rsid w:val="00B272D3"/>
    <w:rsid w:val="00B27F0A"/>
    <w:rsid w:val="00B31F85"/>
    <w:rsid w:val="00B3245C"/>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4FBD"/>
    <w:rsid w:val="00B65956"/>
    <w:rsid w:val="00B65E54"/>
    <w:rsid w:val="00B660A0"/>
    <w:rsid w:val="00B67D22"/>
    <w:rsid w:val="00B67E87"/>
    <w:rsid w:val="00B70068"/>
    <w:rsid w:val="00B701B4"/>
    <w:rsid w:val="00B70288"/>
    <w:rsid w:val="00B7049B"/>
    <w:rsid w:val="00B70EDB"/>
    <w:rsid w:val="00B718C9"/>
    <w:rsid w:val="00B71A5D"/>
    <w:rsid w:val="00B71F17"/>
    <w:rsid w:val="00B72444"/>
    <w:rsid w:val="00B7260F"/>
    <w:rsid w:val="00B737C7"/>
    <w:rsid w:val="00B74A0D"/>
    <w:rsid w:val="00B74FBD"/>
    <w:rsid w:val="00B75180"/>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6D0"/>
    <w:rsid w:val="00B9086A"/>
    <w:rsid w:val="00B915BE"/>
    <w:rsid w:val="00B91AD7"/>
    <w:rsid w:val="00B91DBA"/>
    <w:rsid w:val="00B92037"/>
    <w:rsid w:val="00B92189"/>
    <w:rsid w:val="00B93093"/>
    <w:rsid w:val="00B93392"/>
    <w:rsid w:val="00B93412"/>
    <w:rsid w:val="00B93453"/>
    <w:rsid w:val="00B93664"/>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38E"/>
    <w:rsid w:val="00BA44AB"/>
    <w:rsid w:val="00BA48E0"/>
    <w:rsid w:val="00BA5EFB"/>
    <w:rsid w:val="00BA659A"/>
    <w:rsid w:val="00BA6874"/>
    <w:rsid w:val="00BA68C1"/>
    <w:rsid w:val="00BA6E74"/>
    <w:rsid w:val="00BA715B"/>
    <w:rsid w:val="00BA79BC"/>
    <w:rsid w:val="00BA7EB0"/>
    <w:rsid w:val="00BB022B"/>
    <w:rsid w:val="00BB0528"/>
    <w:rsid w:val="00BB07FA"/>
    <w:rsid w:val="00BB0D69"/>
    <w:rsid w:val="00BB1D67"/>
    <w:rsid w:val="00BB214E"/>
    <w:rsid w:val="00BB23BD"/>
    <w:rsid w:val="00BB301E"/>
    <w:rsid w:val="00BB3F4C"/>
    <w:rsid w:val="00BB5260"/>
    <w:rsid w:val="00BB5FEA"/>
    <w:rsid w:val="00BB724B"/>
    <w:rsid w:val="00BB72E6"/>
    <w:rsid w:val="00BB77DC"/>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5C95"/>
    <w:rsid w:val="00BC6D8F"/>
    <w:rsid w:val="00BC7ADB"/>
    <w:rsid w:val="00BC7DB0"/>
    <w:rsid w:val="00BD082C"/>
    <w:rsid w:val="00BD0942"/>
    <w:rsid w:val="00BD0A3A"/>
    <w:rsid w:val="00BD0FC4"/>
    <w:rsid w:val="00BD1151"/>
    <w:rsid w:val="00BD13D0"/>
    <w:rsid w:val="00BD140B"/>
    <w:rsid w:val="00BD233E"/>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3FE8"/>
    <w:rsid w:val="00BE40F3"/>
    <w:rsid w:val="00BE65B3"/>
    <w:rsid w:val="00BE69FE"/>
    <w:rsid w:val="00BE742D"/>
    <w:rsid w:val="00BE779A"/>
    <w:rsid w:val="00BE7D51"/>
    <w:rsid w:val="00BF0487"/>
    <w:rsid w:val="00BF0ACA"/>
    <w:rsid w:val="00BF0FD5"/>
    <w:rsid w:val="00BF10D2"/>
    <w:rsid w:val="00BF116C"/>
    <w:rsid w:val="00BF120B"/>
    <w:rsid w:val="00BF19D1"/>
    <w:rsid w:val="00BF22EE"/>
    <w:rsid w:val="00BF2AF0"/>
    <w:rsid w:val="00BF31CB"/>
    <w:rsid w:val="00BF4881"/>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BF0"/>
    <w:rsid w:val="00C04D46"/>
    <w:rsid w:val="00C050A5"/>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A5"/>
    <w:rsid w:val="00C11FE5"/>
    <w:rsid w:val="00C11FF6"/>
    <w:rsid w:val="00C122BF"/>
    <w:rsid w:val="00C124C4"/>
    <w:rsid w:val="00C12D59"/>
    <w:rsid w:val="00C138F6"/>
    <w:rsid w:val="00C13AD5"/>
    <w:rsid w:val="00C13C8A"/>
    <w:rsid w:val="00C14FE4"/>
    <w:rsid w:val="00C15135"/>
    <w:rsid w:val="00C17D89"/>
    <w:rsid w:val="00C20049"/>
    <w:rsid w:val="00C2068D"/>
    <w:rsid w:val="00C206C4"/>
    <w:rsid w:val="00C20D6F"/>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4E0B"/>
    <w:rsid w:val="00C3566B"/>
    <w:rsid w:val="00C35A2B"/>
    <w:rsid w:val="00C35B23"/>
    <w:rsid w:val="00C35BE3"/>
    <w:rsid w:val="00C36064"/>
    <w:rsid w:val="00C36BFA"/>
    <w:rsid w:val="00C37050"/>
    <w:rsid w:val="00C37D75"/>
    <w:rsid w:val="00C4018E"/>
    <w:rsid w:val="00C40FA9"/>
    <w:rsid w:val="00C41332"/>
    <w:rsid w:val="00C419A3"/>
    <w:rsid w:val="00C41B56"/>
    <w:rsid w:val="00C41D2B"/>
    <w:rsid w:val="00C4248E"/>
    <w:rsid w:val="00C42A8C"/>
    <w:rsid w:val="00C444D9"/>
    <w:rsid w:val="00C44500"/>
    <w:rsid w:val="00C447FB"/>
    <w:rsid w:val="00C45B4A"/>
    <w:rsid w:val="00C46095"/>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D3B"/>
    <w:rsid w:val="00C60EC1"/>
    <w:rsid w:val="00C61F3D"/>
    <w:rsid w:val="00C620E3"/>
    <w:rsid w:val="00C62997"/>
    <w:rsid w:val="00C62B6B"/>
    <w:rsid w:val="00C62DEF"/>
    <w:rsid w:val="00C62F42"/>
    <w:rsid w:val="00C633AB"/>
    <w:rsid w:val="00C64849"/>
    <w:rsid w:val="00C65F58"/>
    <w:rsid w:val="00C661CD"/>
    <w:rsid w:val="00C66571"/>
    <w:rsid w:val="00C667F6"/>
    <w:rsid w:val="00C66941"/>
    <w:rsid w:val="00C66B7F"/>
    <w:rsid w:val="00C66C4B"/>
    <w:rsid w:val="00C66E0C"/>
    <w:rsid w:val="00C67420"/>
    <w:rsid w:val="00C679BA"/>
    <w:rsid w:val="00C70551"/>
    <w:rsid w:val="00C7094D"/>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3FEB"/>
    <w:rsid w:val="00C84103"/>
    <w:rsid w:val="00C8567F"/>
    <w:rsid w:val="00C8572A"/>
    <w:rsid w:val="00C85784"/>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3F84"/>
    <w:rsid w:val="00CA5DA1"/>
    <w:rsid w:val="00CA60CC"/>
    <w:rsid w:val="00CA68EC"/>
    <w:rsid w:val="00CA7692"/>
    <w:rsid w:val="00CA7769"/>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3F83"/>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C58"/>
    <w:rsid w:val="00CD7F7D"/>
    <w:rsid w:val="00CD7FA5"/>
    <w:rsid w:val="00CE0112"/>
    <w:rsid w:val="00CE03B6"/>
    <w:rsid w:val="00CE05F2"/>
    <w:rsid w:val="00CE078A"/>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8A2"/>
    <w:rsid w:val="00D03CAB"/>
    <w:rsid w:val="00D03FC3"/>
    <w:rsid w:val="00D04FC8"/>
    <w:rsid w:val="00D05BC3"/>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1FD2"/>
    <w:rsid w:val="00D22050"/>
    <w:rsid w:val="00D22D38"/>
    <w:rsid w:val="00D22EE4"/>
    <w:rsid w:val="00D22F97"/>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0BF"/>
    <w:rsid w:val="00D422E4"/>
    <w:rsid w:val="00D423C9"/>
    <w:rsid w:val="00D4277B"/>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194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501"/>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5A2"/>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635"/>
    <w:rsid w:val="00D74977"/>
    <w:rsid w:val="00D75843"/>
    <w:rsid w:val="00D75999"/>
    <w:rsid w:val="00D76E83"/>
    <w:rsid w:val="00D8036A"/>
    <w:rsid w:val="00D81307"/>
    <w:rsid w:val="00D81FF1"/>
    <w:rsid w:val="00D820F3"/>
    <w:rsid w:val="00D822CA"/>
    <w:rsid w:val="00D84268"/>
    <w:rsid w:val="00D84515"/>
    <w:rsid w:val="00D84824"/>
    <w:rsid w:val="00D84F73"/>
    <w:rsid w:val="00D8666C"/>
    <w:rsid w:val="00D86B3B"/>
    <w:rsid w:val="00D876BB"/>
    <w:rsid w:val="00D8778A"/>
    <w:rsid w:val="00D87E21"/>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96F51"/>
    <w:rsid w:val="00DA019E"/>
    <w:rsid w:val="00DA0590"/>
    <w:rsid w:val="00DA0F8E"/>
    <w:rsid w:val="00DA0FC0"/>
    <w:rsid w:val="00DA1176"/>
    <w:rsid w:val="00DA12A3"/>
    <w:rsid w:val="00DA1985"/>
    <w:rsid w:val="00DA1B85"/>
    <w:rsid w:val="00DA1D80"/>
    <w:rsid w:val="00DA1E0F"/>
    <w:rsid w:val="00DA2046"/>
    <w:rsid w:val="00DA2597"/>
    <w:rsid w:val="00DA2BCC"/>
    <w:rsid w:val="00DA2E53"/>
    <w:rsid w:val="00DA3048"/>
    <w:rsid w:val="00DA30FB"/>
    <w:rsid w:val="00DA39C6"/>
    <w:rsid w:val="00DA3F00"/>
    <w:rsid w:val="00DA5C40"/>
    <w:rsid w:val="00DA631B"/>
    <w:rsid w:val="00DA6B8E"/>
    <w:rsid w:val="00DA7074"/>
    <w:rsid w:val="00DA727D"/>
    <w:rsid w:val="00DA773F"/>
    <w:rsid w:val="00DA7BC7"/>
    <w:rsid w:val="00DB0564"/>
    <w:rsid w:val="00DB1382"/>
    <w:rsid w:val="00DB1539"/>
    <w:rsid w:val="00DB2014"/>
    <w:rsid w:val="00DB21E6"/>
    <w:rsid w:val="00DB220E"/>
    <w:rsid w:val="00DB2369"/>
    <w:rsid w:val="00DB2559"/>
    <w:rsid w:val="00DB272C"/>
    <w:rsid w:val="00DB35C7"/>
    <w:rsid w:val="00DB39DE"/>
    <w:rsid w:val="00DB405C"/>
    <w:rsid w:val="00DB4322"/>
    <w:rsid w:val="00DB4489"/>
    <w:rsid w:val="00DB4699"/>
    <w:rsid w:val="00DB4CA0"/>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5C23"/>
    <w:rsid w:val="00DC60E1"/>
    <w:rsid w:val="00DC6A94"/>
    <w:rsid w:val="00DC76BA"/>
    <w:rsid w:val="00DD132F"/>
    <w:rsid w:val="00DD1521"/>
    <w:rsid w:val="00DD1C2F"/>
    <w:rsid w:val="00DD1ED7"/>
    <w:rsid w:val="00DD242B"/>
    <w:rsid w:val="00DD278D"/>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562C"/>
    <w:rsid w:val="00DE67B4"/>
    <w:rsid w:val="00DE6DAE"/>
    <w:rsid w:val="00DE7524"/>
    <w:rsid w:val="00DF02EC"/>
    <w:rsid w:val="00DF098C"/>
    <w:rsid w:val="00DF1249"/>
    <w:rsid w:val="00DF24B9"/>
    <w:rsid w:val="00DF2DA0"/>
    <w:rsid w:val="00DF2EEE"/>
    <w:rsid w:val="00DF32AF"/>
    <w:rsid w:val="00DF3E4D"/>
    <w:rsid w:val="00DF42F3"/>
    <w:rsid w:val="00DF46CF"/>
    <w:rsid w:val="00DF4D70"/>
    <w:rsid w:val="00DF4DBC"/>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22"/>
    <w:rsid w:val="00E222AC"/>
    <w:rsid w:val="00E224C9"/>
    <w:rsid w:val="00E229F7"/>
    <w:rsid w:val="00E22A2D"/>
    <w:rsid w:val="00E22EE3"/>
    <w:rsid w:val="00E23416"/>
    <w:rsid w:val="00E2391F"/>
    <w:rsid w:val="00E242E6"/>
    <w:rsid w:val="00E24E3D"/>
    <w:rsid w:val="00E250DB"/>
    <w:rsid w:val="00E2596F"/>
    <w:rsid w:val="00E2636F"/>
    <w:rsid w:val="00E263E4"/>
    <w:rsid w:val="00E26A77"/>
    <w:rsid w:val="00E271F0"/>
    <w:rsid w:val="00E30155"/>
    <w:rsid w:val="00E304DE"/>
    <w:rsid w:val="00E3069F"/>
    <w:rsid w:val="00E306A2"/>
    <w:rsid w:val="00E307C5"/>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1CF"/>
    <w:rsid w:val="00E42782"/>
    <w:rsid w:val="00E42CC0"/>
    <w:rsid w:val="00E42FB4"/>
    <w:rsid w:val="00E441CF"/>
    <w:rsid w:val="00E4455B"/>
    <w:rsid w:val="00E446BF"/>
    <w:rsid w:val="00E44ECD"/>
    <w:rsid w:val="00E45136"/>
    <w:rsid w:val="00E452D0"/>
    <w:rsid w:val="00E45A9D"/>
    <w:rsid w:val="00E45B6C"/>
    <w:rsid w:val="00E45DC1"/>
    <w:rsid w:val="00E460A1"/>
    <w:rsid w:val="00E467AB"/>
    <w:rsid w:val="00E46CF9"/>
    <w:rsid w:val="00E47284"/>
    <w:rsid w:val="00E47BD9"/>
    <w:rsid w:val="00E47FBB"/>
    <w:rsid w:val="00E5141B"/>
    <w:rsid w:val="00E515A3"/>
    <w:rsid w:val="00E517D0"/>
    <w:rsid w:val="00E52471"/>
    <w:rsid w:val="00E52F76"/>
    <w:rsid w:val="00E53FAB"/>
    <w:rsid w:val="00E5413F"/>
    <w:rsid w:val="00E541D0"/>
    <w:rsid w:val="00E543CA"/>
    <w:rsid w:val="00E54EC5"/>
    <w:rsid w:val="00E54F4B"/>
    <w:rsid w:val="00E55335"/>
    <w:rsid w:val="00E55D2A"/>
    <w:rsid w:val="00E57FA4"/>
    <w:rsid w:val="00E60ADA"/>
    <w:rsid w:val="00E61C29"/>
    <w:rsid w:val="00E624D8"/>
    <w:rsid w:val="00E62EED"/>
    <w:rsid w:val="00E63DB3"/>
    <w:rsid w:val="00E63F2E"/>
    <w:rsid w:val="00E645DC"/>
    <w:rsid w:val="00E649A5"/>
    <w:rsid w:val="00E6523D"/>
    <w:rsid w:val="00E65967"/>
    <w:rsid w:val="00E65EF0"/>
    <w:rsid w:val="00E660E9"/>
    <w:rsid w:val="00E668E2"/>
    <w:rsid w:val="00E6767F"/>
    <w:rsid w:val="00E67F22"/>
    <w:rsid w:val="00E7048B"/>
    <w:rsid w:val="00E705E5"/>
    <w:rsid w:val="00E70B0C"/>
    <w:rsid w:val="00E713AC"/>
    <w:rsid w:val="00E71EFF"/>
    <w:rsid w:val="00E72246"/>
    <w:rsid w:val="00E722AC"/>
    <w:rsid w:val="00E723D3"/>
    <w:rsid w:val="00E725B6"/>
    <w:rsid w:val="00E7370D"/>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42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EE4"/>
    <w:rsid w:val="00EA20F1"/>
    <w:rsid w:val="00EA2730"/>
    <w:rsid w:val="00EA42BA"/>
    <w:rsid w:val="00EA4F96"/>
    <w:rsid w:val="00EA531A"/>
    <w:rsid w:val="00EA54BC"/>
    <w:rsid w:val="00EA589B"/>
    <w:rsid w:val="00EA73FE"/>
    <w:rsid w:val="00EA7499"/>
    <w:rsid w:val="00EA74E3"/>
    <w:rsid w:val="00EA7744"/>
    <w:rsid w:val="00EB178A"/>
    <w:rsid w:val="00EB2435"/>
    <w:rsid w:val="00EB2A33"/>
    <w:rsid w:val="00EB2CCA"/>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6EF"/>
    <w:rsid w:val="00ED19F8"/>
    <w:rsid w:val="00ED1FB7"/>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862"/>
    <w:rsid w:val="00EE2AAB"/>
    <w:rsid w:val="00EE3354"/>
    <w:rsid w:val="00EE3A54"/>
    <w:rsid w:val="00EE459C"/>
    <w:rsid w:val="00EE62B4"/>
    <w:rsid w:val="00EF0E50"/>
    <w:rsid w:val="00EF1FE3"/>
    <w:rsid w:val="00EF20FD"/>
    <w:rsid w:val="00EF220D"/>
    <w:rsid w:val="00EF2337"/>
    <w:rsid w:val="00EF2439"/>
    <w:rsid w:val="00EF2A75"/>
    <w:rsid w:val="00EF3A4A"/>
    <w:rsid w:val="00EF3B82"/>
    <w:rsid w:val="00EF3D43"/>
    <w:rsid w:val="00EF3E49"/>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4351"/>
    <w:rsid w:val="00F154C5"/>
    <w:rsid w:val="00F15744"/>
    <w:rsid w:val="00F15A4F"/>
    <w:rsid w:val="00F16565"/>
    <w:rsid w:val="00F165FE"/>
    <w:rsid w:val="00F16BB1"/>
    <w:rsid w:val="00F17E62"/>
    <w:rsid w:val="00F20046"/>
    <w:rsid w:val="00F206FE"/>
    <w:rsid w:val="00F209E0"/>
    <w:rsid w:val="00F20EE3"/>
    <w:rsid w:val="00F21048"/>
    <w:rsid w:val="00F2112D"/>
    <w:rsid w:val="00F21654"/>
    <w:rsid w:val="00F218EF"/>
    <w:rsid w:val="00F21B93"/>
    <w:rsid w:val="00F21EC3"/>
    <w:rsid w:val="00F22F88"/>
    <w:rsid w:val="00F23178"/>
    <w:rsid w:val="00F2357F"/>
    <w:rsid w:val="00F24A57"/>
    <w:rsid w:val="00F24F4D"/>
    <w:rsid w:val="00F25139"/>
    <w:rsid w:val="00F25166"/>
    <w:rsid w:val="00F2589C"/>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7D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9EB"/>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367"/>
    <w:rsid w:val="00F548C8"/>
    <w:rsid w:val="00F54986"/>
    <w:rsid w:val="00F55A3B"/>
    <w:rsid w:val="00F563B2"/>
    <w:rsid w:val="00F56848"/>
    <w:rsid w:val="00F56FA3"/>
    <w:rsid w:val="00F5765A"/>
    <w:rsid w:val="00F57A26"/>
    <w:rsid w:val="00F57A55"/>
    <w:rsid w:val="00F57C72"/>
    <w:rsid w:val="00F60802"/>
    <w:rsid w:val="00F611F0"/>
    <w:rsid w:val="00F61564"/>
    <w:rsid w:val="00F61614"/>
    <w:rsid w:val="00F6190D"/>
    <w:rsid w:val="00F61D1B"/>
    <w:rsid w:val="00F61FDE"/>
    <w:rsid w:val="00F62BB8"/>
    <w:rsid w:val="00F63DE6"/>
    <w:rsid w:val="00F64966"/>
    <w:rsid w:val="00F65A43"/>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6F2"/>
    <w:rsid w:val="00F72E2E"/>
    <w:rsid w:val="00F74491"/>
    <w:rsid w:val="00F74A7A"/>
    <w:rsid w:val="00F75AE8"/>
    <w:rsid w:val="00F75B83"/>
    <w:rsid w:val="00F7625A"/>
    <w:rsid w:val="00F76408"/>
    <w:rsid w:val="00F77029"/>
    <w:rsid w:val="00F77866"/>
    <w:rsid w:val="00F77CFA"/>
    <w:rsid w:val="00F80D8F"/>
    <w:rsid w:val="00F80E30"/>
    <w:rsid w:val="00F81E4A"/>
    <w:rsid w:val="00F81F25"/>
    <w:rsid w:val="00F82A4B"/>
    <w:rsid w:val="00F837DD"/>
    <w:rsid w:val="00F83912"/>
    <w:rsid w:val="00F83C07"/>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382C"/>
    <w:rsid w:val="00F9419F"/>
    <w:rsid w:val="00F94683"/>
    <w:rsid w:val="00F9495D"/>
    <w:rsid w:val="00F94C7E"/>
    <w:rsid w:val="00F95013"/>
    <w:rsid w:val="00F9529E"/>
    <w:rsid w:val="00F95439"/>
    <w:rsid w:val="00F95663"/>
    <w:rsid w:val="00F9597B"/>
    <w:rsid w:val="00F96226"/>
    <w:rsid w:val="00F9632D"/>
    <w:rsid w:val="00F9650D"/>
    <w:rsid w:val="00F967D4"/>
    <w:rsid w:val="00F97645"/>
    <w:rsid w:val="00F976DD"/>
    <w:rsid w:val="00F9794E"/>
    <w:rsid w:val="00F97B15"/>
    <w:rsid w:val="00FA029F"/>
    <w:rsid w:val="00FA0509"/>
    <w:rsid w:val="00FA0E7C"/>
    <w:rsid w:val="00FA1D8F"/>
    <w:rsid w:val="00FA1E61"/>
    <w:rsid w:val="00FA2B5A"/>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0D2"/>
    <w:rsid w:val="00FD22B6"/>
    <w:rsid w:val="00FD2475"/>
    <w:rsid w:val="00FD2751"/>
    <w:rsid w:val="00FD282A"/>
    <w:rsid w:val="00FD2A71"/>
    <w:rsid w:val="00FD357E"/>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593"/>
    <w:rsid w:val="00FF5929"/>
    <w:rsid w:val="00FF6227"/>
    <w:rsid w:val="00FF62EF"/>
    <w:rsid w:val="00FF68C4"/>
    <w:rsid w:val="00FF6D3E"/>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0D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0D69"/>
    <w:pPr>
      <w:spacing w:after="160" w:line="259" w:lineRule="auto"/>
    </w:pPr>
    <w:rPr>
      <w:rFonts w:ascii="Times New Roman" w:eastAsiaTheme="minorHAnsi" w:hAnsi="Times New Roman" w:cstheme="minorBidi"/>
      <w:szCs w:val="22"/>
      <w:lang w:eastAsia="en-US"/>
    </w:rPr>
  </w:style>
  <w:style w:type="paragraph" w:styleId="Heading1">
    <w:name w:val="heading 1"/>
    <w:next w:val="Normal"/>
    <w:qFormat/>
    <w:rsid w:val="005B4282"/>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5B4282"/>
    <w:pPr>
      <w:numPr>
        <w:ilvl w:val="1"/>
      </w:numPr>
      <w:pBdr>
        <w:top w:val="none" w:sz="0" w:space="0" w:color="auto"/>
      </w:pBdr>
      <w:spacing w:before="180"/>
      <w:outlineLvl w:val="1"/>
    </w:pPr>
    <w:rPr>
      <w:sz w:val="32"/>
    </w:rPr>
  </w:style>
  <w:style w:type="paragraph" w:styleId="Heading3">
    <w:name w:val="heading 3"/>
    <w:basedOn w:val="Heading2"/>
    <w:next w:val="Normal"/>
    <w:qFormat/>
    <w:rsid w:val="005B4282"/>
    <w:pPr>
      <w:numPr>
        <w:ilvl w:val="2"/>
      </w:numPr>
      <w:spacing w:before="120"/>
      <w:outlineLvl w:val="2"/>
    </w:pPr>
    <w:rPr>
      <w:sz w:val="28"/>
    </w:rPr>
  </w:style>
  <w:style w:type="paragraph" w:styleId="Heading4">
    <w:name w:val="heading 4"/>
    <w:aliases w:val="h4"/>
    <w:basedOn w:val="Heading3"/>
    <w:next w:val="Normal"/>
    <w:qFormat/>
    <w:rsid w:val="005B4282"/>
    <w:pPr>
      <w:numPr>
        <w:ilvl w:val="3"/>
      </w:numPr>
      <w:outlineLvl w:val="3"/>
    </w:pPr>
    <w:rPr>
      <w:sz w:val="24"/>
    </w:rPr>
  </w:style>
  <w:style w:type="paragraph" w:styleId="Heading5">
    <w:name w:val="heading 5"/>
    <w:basedOn w:val="Heading4"/>
    <w:next w:val="Normal"/>
    <w:qFormat/>
    <w:rsid w:val="005B4282"/>
    <w:pPr>
      <w:numPr>
        <w:ilvl w:val="4"/>
      </w:numPr>
      <w:outlineLvl w:val="4"/>
    </w:pPr>
    <w:rPr>
      <w:sz w:val="22"/>
    </w:rPr>
  </w:style>
  <w:style w:type="paragraph" w:styleId="Heading6">
    <w:name w:val="heading 6"/>
    <w:basedOn w:val="H6"/>
    <w:next w:val="Normal"/>
    <w:qFormat/>
    <w:rsid w:val="005B4282"/>
    <w:pPr>
      <w:numPr>
        <w:ilvl w:val="5"/>
      </w:numPr>
      <w:outlineLvl w:val="5"/>
    </w:pPr>
  </w:style>
  <w:style w:type="paragraph" w:styleId="Heading7">
    <w:name w:val="heading 7"/>
    <w:basedOn w:val="H6"/>
    <w:next w:val="Normal"/>
    <w:qFormat/>
    <w:rsid w:val="005B4282"/>
    <w:pPr>
      <w:numPr>
        <w:ilvl w:val="6"/>
      </w:numPr>
      <w:outlineLvl w:val="6"/>
    </w:pPr>
  </w:style>
  <w:style w:type="paragraph" w:styleId="Heading8">
    <w:name w:val="heading 8"/>
    <w:basedOn w:val="Heading1"/>
    <w:next w:val="Normal"/>
    <w:qFormat/>
    <w:rsid w:val="005B4282"/>
    <w:pPr>
      <w:numPr>
        <w:ilvl w:val="7"/>
      </w:numPr>
      <w:outlineLvl w:val="7"/>
    </w:pPr>
  </w:style>
  <w:style w:type="paragraph" w:styleId="Heading9">
    <w:name w:val="heading 9"/>
    <w:basedOn w:val="Heading8"/>
    <w:next w:val="Normal"/>
    <w:qFormat/>
    <w:rsid w:val="005B4282"/>
    <w:pPr>
      <w:numPr>
        <w:ilvl w:val="8"/>
      </w:numPr>
      <w:outlineLvl w:val="8"/>
    </w:pPr>
  </w:style>
  <w:style w:type="character" w:default="1" w:styleId="DefaultParagraphFont">
    <w:name w:val="Default Paragraph Font"/>
    <w:uiPriority w:val="1"/>
    <w:semiHidden/>
    <w:unhideWhenUsed/>
    <w:rsid w:val="00BB0D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0D69"/>
  </w:style>
  <w:style w:type="paragraph" w:styleId="TOC8">
    <w:name w:val="toc 8"/>
    <w:basedOn w:val="TOC1"/>
    <w:semiHidden/>
    <w:rsid w:val="005B4282"/>
    <w:pPr>
      <w:spacing w:before="180"/>
      <w:ind w:left="2693" w:hanging="2693"/>
    </w:pPr>
    <w:rPr>
      <w:b/>
    </w:rPr>
  </w:style>
  <w:style w:type="paragraph" w:styleId="TOC1">
    <w:name w:val="toc 1"/>
    <w:semiHidden/>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semiHidden/>
    <w:rsid w:val="005B4282"/>
    <w:pPr>
      <w:ind w:left="1134" w:hanging="1134"/>
    </w:pPr>
  </w:style>
  <w:style w:type="paragraph" w:styleId="TOC2">
    <w:name w:val="toc 2"/>
    <w:basedOn w:val="TOC1"/>
    <w:semiHidden/>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spacing w:after="0"/>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spacing w:after="0"/>
      <w:ind w:left="454" w:hanging="454"/>
    </w:pPr>
    <w:rPr>
      <w:sz w:val="16"/>
    </w:rPr>
  </w:style>
  <w:style w:type="paragraph" w:customStyle="1" w:styleId="TAH">
    <w:name w:val="TAH"/>
    <w:basedOn w:val="TAC"/>
    <w:link w:val="TAHCar"/>
    <w:rsid w:val="005B4282"/>
    <w:rPr>
      <w:b/>
    </w:rPr>
  </w:style>
  <w:style w:type="paragraph" w:customStyle="1" w:styleId="TAC">
    <w:name w:val="TAC"/>
    <w:basedOn w:val="TAL"/>
    <w:link w:val="TACChar"/>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pPr>
      <w:spacing w:after="0"/>
    </w:pPr>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pPr>
      <w:spacing w:after="0"/>
    </w:pPr>
  </w:style>
  <w:style w:type="paragraph" w:customStyle="1" w:styleId="EW">
    <w:name w:val="EW"/>
    <w:basedOn w:val="EX"/>
    <w:rsid w:val="005B4282"/>
    <w:pPr>
      <w:spacing w:after="0"/>
    </w:pPr>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rsid w:val="005B4282"/>
    <w:pPr>
      <w:keepNext/>
      <w:keepLines/>
      <w:spacing w:before="60"/>
      <w:jc w:val="center"/>
    </w:pPr>
    <w:rPr>
      <w:rFonts w:ascii="Arial" w:hAnsi="Arial"/>
      <w:b/>
    </w:rPr>
  </w:style>
  <w:style w:type="paragraph" w:customStyle="1" w:styleId="NF">
    <w:name w:val="NF"/>
    <w:basedOn w:val="NO"/>
    <w:rsid w:val="005B4282"/>
    <w:pPr>
      <w:keepNext/>
      <w:spacing w:after="0"/>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rsid w:val="005B4282"/>
    <w:pPr>
      <w:keepNext/>
      <w:keepLines/>
      <w:spacing w:after="0"/>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rsid w:val="005B4282"/>
  </w:style>
  <w:style w:type="paragraph" w:customStyle="1" w:styleId="B2">
    <w:name w:val="B2"/>
    <w:basedOn w:val="List2"/>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lang w:eastAsia="zh-CN"/>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C60D3B"/>
    <w:pPr>
      <w:numPr>
        <w:numId w:val="17"/>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spacing w:after="0"/>
    </w:pPr>
    <w:rPr>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spacing w:before="100" w:beforeAutospacing="1" w:after="100" w:afterAutospacing="1"/>
    </w:pPr>
    <w:rPr>
      <w:sz w:val="24"/>
      <w:szCs w:val="24"/>
      <w:lang w:eastAsia="zh-CN"/>
    </w:rPr>
  </w:style>
  <w:style w:type="character" w:customStyle="1" w:styleId="B10">
    <w:name w:val="B1 (文字)"/>
    <w:link w:val="B1"/>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51173"/>
    <w:pPr>
      <w:spacing w:before="120" w:after="120"/>
      <w:ind w:left="720"/>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eastAsia="Times New Roman" w:hAnsi="Arial"/>
      <w:b/>
      <w:lang w:val="en-GB" w:eastAsia="en-US"/>
    </w:rPr>
  </w:style>
  <w:style w:type="character" w:customStyle="1" w:styleId="TACChar">
    <w:name w:val="TAC Char"/>
    <w:link w:val="TAC"/>
    <w:locked/>
    <w:rsid w:val="00404024"/>
    <w:rPr>
      <w:rFonts w:ascii="Arial" w:eastAsia="Times New Roman" w:hAnsi="Arial"/>
      <w:sz w:val="18"/>
      <w:lang w:val="en-GB" w:eastAsia="en-US"/>
    </w:rPr>
  </w:style>
  <w:style w:type="character" w:customStyle="1" w:styleId="TAHCar">
    <w:name w:val="TAH Car"/>
    <w:link w:val="TAH"/>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imes New Roman" w:eastAsia="Times New Roman" w:hAnsi="Times New Roman"/>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uiPriority w:val="99"/>
    <w:rsid w:val="00F9419F"/>
    <w:pPr>
      <w:numPr>
        <w:numId w:val="3"/>
      </w:numPr>
      <w:snapToGrid w:val="0"/>
      <w:spacing w:after="60"/>
      <w:jc w:val="both"/>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qFormat/>
    <w:rsid w:val="006055A3"/>
    <w:pPr>
      <w:numPr>
        <w:numId w:val="28"/>
      </w:numPr>
      <w:ind w:left="0" w:firstLine="0"/>
    </w:pPr>
    <w:rPr>
      <w:b/>
    </w:rPr>
  </w:style>
  <w:style w:type="paragraph" w:styleId="TableofFigures">
    <w:name w:val="table of figures"/>
    <w:basedOn w:val="Normal"/>
    <w:next w:val="Normal"/>
    <w:uiPriority w:val="99"/>
    <w:unhideWhenUsed/>
    <w:rsid w:val="00D60501"/>
    <w:pPr>
      <w:tabs>
        <w:tab w:val="left" w:pos="1080"/>
      </w:tabs>
    </w:pPr>
    <w:rPr>
      <w:rFonts w:cs="Times New Roman"/>
      <w:b/>
      <w:bCs/>
      <w:szCs w:val="24"/>
    </w:rPr>
  </w:style>
  <w:style w:type="character" w:customStyle="1" w:styleId="ProposalChar">
    <w:name w:val="Proposal Char"/>
    <w:basedOn w:val="DefaultParagraphFont"/>
    <w:link w:val="Proposal"/>
    <w:rsid w:val="006055A3"/>
    <w:rPr>
      <w:rFonts w:asciiTheme="minorHAnsi" w:eastAsiaTheme="minorHAnsi" w:hAnsiTheme="minorHAnsi" w:cstheme="minorBid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92A27-34FD-4F9C-8873-55B647075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2007</Words>
  <Characters>11442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2020-10-24T04:45:00Z</dcterms:created>
  <dcterms:modified xsi:type="dcterms:W3CDTF">2020-10-24T04:46:00Z</dcterms:modified>
</cp:coreProperties>
</file>