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4A37B" w14:textId="6BA2B0F5" w:rsidR="005D30DC" w:rsidRPr="00E6118C" w:rsidRDefault="005D30DC" w:rsidP="005D30DC">
      <w:pPr>
        <w:pStyle w:val="aff3"/>
        <w:snapToGrid w:val="0"/>
        <w:ind w:left="2384" w:hangingChars="993" w:hanging="2384"/>
        <w:rPr>
          <w:rFonts w:ascii="Arial" w:hAnsi="Arial" w:cs="Arial"/>
          <w:b/>
          <w:bCs/>
          <w:sz w:val="24"/>
          <w:szCs w:val="24"/>
          <w:lang w:val="en-GB"/>
        </w:rPr>
      </w:pPr>
      <w:bookmarkStart w:id="0" w:name="OLE_LINK2"/>
      <w:bookmarkStart w:id="1" w:name="OLE_LINK3"/>
      <w:r w:rsidRPr="00E6118C">
        <w:rPr>
          <w:rFonts w:ascii="Arial" w:hAnsi="Arial" w:cs="Arial"/>
          <w:b/>
          <w:bCs/>
          <w:sz w:val="24"/>
          <w:szCs w:val="24"/>
          <w:lang w:val="en-GB"/>
        </w:rPr>
        <w:t>3GPP TSG RAN WG1 #103-e</w:t>
      </w:r>
      <w:r w:rsidRPr="00E6118C">
        <w:rPr>
          <w:rFonts w:ascii="Arial" w:hAnsi="Arial" w:cs="Arial"/>
          <w:b/>
          <w:bCs/>
          <w:sz w:val="24"/>
          <w:szCs w:val="24"/>
          <w:lang w:val="en-GB"/>
        </w:rPr>
        <w:tab/>
      </w:r>
      <w:r w:rsidRPr="00E6118C">
        <w:rPr>
          <w:rFonts w:ascii="Arial" w:hAnsi="Arial" w:cs="Arial"/>
          <w:b/>
          <w:bCs/>
          <w:sz w:val="24"/>
          <w:szCs w:val="24"/>
          <w:lang w:val="en-GB"/>
        </w:rPr>
        <w:tab/>
      </w:r>
      <w:r w:rsidRPr="00E6118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792924" w:rsidRPr="00792924">
        <w:rPr>
          <w:rFonts w:ascii="Arial" w:hAnsi="Arial" w:cs="Arial"/>
          <w:b/>
          <w:bCs/>
          <w:sz w:val="24"/>
          <w:szCs w:val="24"/>
          <w:lang w:val="en-GB"/>
        </w:rPr>
        <w:t>R1-2008946</w:t>
      </w:r>
      <w:bookmarkStart w:id="2" w:name="_GoBack"/>
      <w:bookmarkEnd w:id="2"/>
    </w:p>
    <w:p w14:paraId="0DB08ED0" w14:textId="77777777" w:rsidR="005D30DC" w:rsidRDefault="005D30DC" w:rsidP="005D30DC">
      <w:pPr>
        <w:pStyle w:val="aff3"/>
        <w:snapToGrid w:val="0"/>
        <w:ind w:left="2384" w:hangingChars="993" w:hanging="2384"/>
        <w:rPr>
          <w:rFonts w:ascii="Arial" w:hAnsi="Arial" w:cs="Arial"/>
          <w:b/>
          <w:bCs/>
          <w:sz w:val="24"/>
          <w:szCs w:val="24"/>
          <w:lang w:val="en-GB"/>
        </w:rPr>
      </w:pPr>
      <w:proofErr w:type="gramStart"/>
      <w:r w:rsidRPr="00E6118C">
        <w:rPr>
          <w:rFonts w:ascii="Arial" w:hAnsi="Arial" w:cs="Arial"/>
          <w:b/>
          <w:bCs/>
          <w:sz w:val="24"/>
          <w:szCs w:val="24"/>
          <w:lang w:val="en-GB"/>
        </w:rPr>
        <w:t>e-Meeting</w:t>
      </w:r>
      <w:proofErr w:type="gramEnd"/>
      <w:r w:rsidRPr="00E6118C">
        <w:rPr>
          <w:rFonts w:ascii="Arial" w:hAnsi="Arial" w:cs="Arial"/>
          <w:b/>
          <w:bCs/>
          <w:sz w:val="24"/>
          <w:szCs w:val="24"/>
          <w:lang w:val="en-GB"/>
        </w:rPr>
        <w:t>, October 26th – November 13th, 2020</w:t>
      </w:r>
    </w:p>
    <w:p w14:paraId="317E1240" w14:textId="77777777" w:rsidR="006A6600" w:rsidRPr="005D30DC"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7371FBC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9D34FA">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95787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DA788F">
        <w:rPr>
          <w:rFonts w:ascii="Arial" w:eastAsiaTheme="minorEastAsia" w:hAnsi="Arial" w:cs="Arial" w:hint="eastAsia"/>
          <w:b/>
          <w:bCs/>
          <w:sz w:val="24"/>
          <w:szCs w:val="24"/>
          <w:lang w:val="en-GB" w:eastAsia="zh-CN"/>
        </w:rPr>
        <w:t>beam</w:t>
      </w:r>
      <w:r w:rsidR="00DA788F">
        <w:rPr>
          <w:rFonts w:ascii="Arial" w:eastAsiaTheme="minorEastAsia" w:hAnsi="Arial" w:cs="Arial"/>
          <w:b/>
          <w:bCs/>
          <w:sz w:val="24"/>
          <w:szCs w:val="24"/>
          <w:lang w:val="en-GB" w:eastAsia="zh-CN"/>
        </w:rPr>
        <w:t xml:space="preserve"> management for </w:t>
      </w:r>
      <w:r>
        <w:rPr>
          <w:rFonts w:ascii="Arial" w:eastAsiaTheme="minorEastAsia" w:hAnsi="Arial" w:cs="Arial" w:hint="eastAsia"/>
          <w:b/>
          <w:bCs/>
          <w:sz w:val="24"/>
          <w:szCs w:val="24"/>
          <w:lang w:val="en-GB" w:eastAsia="zh-CN"/>
        </w:rPr>
        <w:t>multi-</w:t>
      </w:r>
      <w:r w:rsidR="00AD6ACF">
        <w:rPr>
          <w:rFonts w:ascii="Arial" w:eastAsiaTheme="minorEastAsia" w:hAnsi="Arial" w:cs="Arial"/>
          <w:b/>
          <w:bCs/>
          <w:sz w:val="24"/>
          <w:szCs w:val="24"/>
          <w:lang w:val="en-GB" w:eastAsia="zh-CN"/>
        </w:rPr>
        <w:t>TRP</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5A42C03" w:rsidR="00570E42" w:rsidRDefault="000F7931"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102e meeting [1], agreements on beam management for multi-TRP were achieved as:</w:t>
      </w:r>
    </w:p>
    <w:p w14:paraId="1E756020" w14:textId="77777777" w:rsidR="000F7931" w:rsidRDefault="000F7931" w:rsidP="000F7931">
      <w:pPr>
        <w:spacing w:after="0"/>
        <w:rPr>
          <w:rFonts w:cs="Times"/>
          <w:lang w:eastAsia="ko-KR"/>
        </w:rPr>
      </w:pPr>
      <w:r>
        <w:rPr>
          <w:rStyle w:val="ab"/>
          <w:rFonts w:cs="Times"/>
          <w:color w:val="000000"/>
          <w:highlight w:val="green"/>
        </w:rPr>
        <w:t>Agreement</w:t>
      </w:r>
    </w:p>
    <w:p w14:paraId="17F5720F" w14:textId="77777777" w:rsidR="000F7931" w:rsidRDefault="000F7931" w:rsidP="000F7931">
      <w:pPr>
        <w:spacing w:after="0"/>
        <w:rPr>
          <w:rFonts w:cs="Times"/>
        </w:rPr>
      </w:pPr>
      <w:r>
        <w:rPr>
          <w:rStyle w:val="msoins2"/>
          <w:rFonts w:cs="Times"/>
          <w:color w:val="000000"/>
        </w:rPr>
        <w:t>For L1-RSRP, consider measurement / reporting enhancement to facilitate inter-TRP beam pairing</w:t>
      </w:r>
      <w:r>
        <w:rPr>
          <w:rFonts w:cs="Times"/>
          <w:color w:val="000000"/>
        </w:rPr>
        <w:t xml:space="preserve"> </w:t>
      </w:r>
    </w:p>
    <w:p w14:paraId="3E257966" w14:textId="77777777" w:rsidR="000F7931" w:rsidRDefault="000F7931" w:rsidP="000F7931">
      <w:pPr>
        <w:pStyle w:val="a7"/>
        <w:numPr>
          <w:ilvl w:val="0"/>
          <w:numId w:val="21"/>
        </w:numPr>
        <w:spacing w:after="0"/>
        <w:contextualSpacing w:val="0"/>
        <w:jc w:val="both"/>
        <w:rPr>
          <w:rFonts w:cs="Times"/>
        </w:rPr>
      </w:pPr>
      <w:r>
        <w:rPr>
          <w:rFonts w:cs="Times"/>
        </w:rPr>
        <w:t>Option-1: Group-based reporting,  </w:t>
      </w:r>
    </w:p>
    <w:p w14:paraId="3EAF10A0" w14:textId="77777777" w:rsidR="000F7931" w:rsidRDefault="000F7931" w:rsidP="000F7931">
      <w:pPr>
        <w:pStyle w:val="a7"/>
        <w:numPr>
          <w:ilvl w:val="1"/>
          <w:numId w:val="21"/>
        </w:numPr>
        <w:spacing w:after="0"/>
        <w:contextualSpacing w:val="0"/>
        <w:jc w:val="both"/>
        <w:rPr>
          <w:rFonts w:cs="Times"/>
        </w:rPr>
      </w:pPr>
      <w:r>
        <w:rPr>
          <w:rFonts w:cs="Times"/>
        </w:rPr>
        <w:t>e.g., beam restriction to facilitate inter-TRP pairing.</w:t>
      </w:r>
    </w:p>
    <w:p w14:paraId="561F4147" w14:textId="6398FE69" w:rsidR="000F7931" w:rsidRPr="000F7931" w:rsidRDefault="000F7931" w:rsidP="000F7931">
      <w:pPr>
        <w:pStyle w:val="a7"/>
        <w:numPr>
          <w:ilvl w:val="0"/>
          <w:numId w:val="21"/>
        </w:numPr>
        <w:spacing w:after="0"/>
        <w:contextualSpacing w:val="0"/>
        <w:jc w:val="both"/>
        <w:rPr>
          <w:rFonts w:cs="Times"/>
        </w:rPr>
      </w:pPr>
      <w:r>
        <w:rPr>
          <w:rFonts w:cs="Times"/>
        </w:rPr>
        <w:t>Option-2: Non-group-based reporting</w:t>
      </w:r>
    </w:p>
    <w:p w14:paraId="08183768" w14:textId="77777777" w:rsidR="000F7931" w:rsidRDefault="000F7931" w:rsidP="000F7931">
      <w:pPr>
        <w:spacing w:after="0"/>
        <w:rPr>
          <w:rFonts w:cs="Times"/>
          <w:lang w:eastAsia="ko-KR"/>
        </w:rPr>
      </w:pPr>
      <w:r>
        <w:rPr>
          <w:rStyle w:val="ab"/>
          <w:rFonts w:cs="Times"/>
          <w:color w:val="000000"/>
          <w:highlight w:val="green"/>
        </w:rPr>
        <w:t>Agreement</w:t>
      </w:r>
    </w:p>
    <w:p w14:paraId="241258DD" w14:textId="77777777" w:rsidR="000F7931" w:rsidRDefault="000F7931" w:rsidP="000F7931">
      <w:pPr>
        <w:spacing w:after="0"/>
        <w:rPr>
          <w:rStyle w:val="msoins2"/>
          <w:color w:val="000000"/>
        </w:rPr>
      </w:pPr>
      <w:r>
        <w:rPr>
          <w:rStyle w:val="msoins2"/>
          <w:rFonts w:cs="Times"/>
        </w:rPr>
        <w:t>Evaluate and study at least but not limited to the following issues for multi-beam enhancement</w:t>
      </w:r>
    </w:p>
    <w:p w14:paraId="6EE7E615" w14:textId="77777777" w:rsidR="000F7931" w:rsidRDefault="000F7931" w:rsidP="000F7931">
      <w:pPr>
        <w:pStyle w:val="a7"/>
        <w:numPr>
          <w:ilvl w:val="0"/>
          <w:numId w:val="21"/>
        </w:numPr>
        <w:spacing w:after="0"/>
        <w:contextualSpacing w:val="0"/>
        <w:jc w:val="both"/>
        <w:rPr>
          <w:szCs w:val="24"/>
        </w:rPr>
      </w:pPr>
      <w:r>
        <w:rPr>
          <w:rFonts w:cs="Times"/>
        </w:rPr>
        <w:t>Issue 1: Consideration of inter-beam interference</w:t>
      </w:r>
    </w:p>
    <w:p w14:paraId="51729EA0" w14:textId="77777777" w:rsidR="000F7931" w:rsidRDefault="000F7931" w:rsidP="000F7931">
      <w:pPr>
        <w:pStyle w:val="a7"/>
        <w:numPr>
          <w:ilvl w:val="0"/>
          <w:numId w:val="21"/>
        </w:numPr>
        <w:spacing w:after="0"/>
        <w:contextualSpacing w:val="0"/>
        <w:jc w:val="both"/>
        <w:rPr>
          <w:rFonts w:cs="Times"/>
        </w:rPr>
      </w:pPr>
      <w:r>
        <w:rPr>
          <w:rFonts w:cs="Times"/>
        </w:rPr>
        <w:t>Issue 2: For group-based reporting, increased number of groups and/or beams per group</w:t>
      </w:r>
    </w:p>
    <w:p w14:paraId="353C48A7" w14:textId="77777777" w:rsidR="000F7931" w:rsidRDefault="000F7931" w:rsidP="000F7931">
      <w:pPr>
        <w:pStyle w:val="a7"/>
        <w:numPr>
          <w:ilvl w:val="0"/>
          <w:numId w:val="21"/>
        </w:numPr>
        <w:spacing w:after="0"/>
        <w:contextualSpacing w:val="0"/>
        <w:jc w:val="both"/>
        <w:rPr>
          <w:rFonts w:cs="Times"/>
        </w:rPr>
      </w:pPr>
      <w:r>
        <w:rPr>
          <w:rFonts w:cs="Times"/>
        </w:rPr>
        <w:t>Issue 3: UE Rx panel related beam measurement/report</w:t>
      </w:r>
    </w:p>
    <w:p w14:paraId="191B7D61" w14:textId="5CF289D6" w:rsidR="000F7931" w:rsidRPr="000F7931" w:rsidRDefault="000F7931" w:rsidP="000F7931">
      <w:pPr>
        <w:pStyle w:val="a7"/>
        <w:numPr>
          <w:ilvl w:val="1"/>
          <w:numId w:val="21"/>
        </w:numPr>
        <w:spacing w:after="0"/>
        <w:contextualSpacing w:val="0"/>
        <w:jc w:val="both"/>
        <w:rPr>
          <w:rFonts w:cs="Times"/>
        </w:rPr>
      </w:pPr>
      <w:r>
        <w:rPr>
          <w:rFonts w:cs="Times"/>
        </w:rPr>
        <w:t>NOTE: “UE panel” is used for discussion purpose only</w:t>
      </w:r>
    </w:p>
    <w:p w14:paraId="4EA5BD2A" w14:textId="77777777" w:rsidR="000F7931" w:rsidRDefault="000F7931" w:rsidP="000F7931">
      <w:pPr>
        <w:spacing w:after="0"/>
        <w:rPr>
          <w:rFonts w:cs="Times"/>
          <w:lang w:eastAsia="ko-KR"/>
        </w:rPr>
      </w:pPr>
      <w:r>
        <w:rPr>
          <w:rStyle w:val="ab"/>
          <w:rFonts w:cs="Times"/>
          <w:color w:val="000000"/>
          <w:highlight w:val="green"/>
        </w:rPr>
        <w:t>Agreement</w:t>
      </w:r>
    </w:p>
    <w:p w14:paraId="4756E6AC" w14:textId="77777777" w:rsidR="000F7931" w:rsidRDefault="000F7931" w:rsidP="000F7931">
      <w:pPr>
        <w:pStyle w:val="a7"/>
        <w:numPr>
          <w:ilvl w:val="0"/>
          <w:numId w:val="21"/>
        </w:numPr>
        <w:spacing w:after="0"/>
        <w:contextualSpacing w:val="0"/>
        <w:jc w:val="both"/>
        <w:rPr>
          <w:rFonts w:cs="Times"/>
        </w:rPr>
      </w:pPr>
      <w:r>
        <w:rPr>
          <w:rFonts w:cs="Times"/>
        </w:rPr>
        <w:t>Evaluate enhancement to enable per-TRP based beam failure recovery starting with Rel-15/16 BFR as the baseline.</w:t>
      </w:r>
    </w:p>
    <w:p w14:paraId="6BDC3C55" w14:textId="77777777" w:rsidR="000F7931" w:rsidRDefault="000F7931" w:rsidP="000F7931">
      <w:pPr>
        <w:pStyle w:val="a7"/>
        <w:numPr>
          <w:ilvl w:val="0"/>
          <w:numId w:val="21"/>
        </w:numPr>
        <w:spacing w:after="0"/>
        <w:contextualSpacing w:val="0"/>
        <w:jc w:val="both"/>
        <w:rPr>
          <w:rFonts w:cs="Times"/>
        </w:rPr>
      </w:pPr>
      <w:r>
        <w:rPr>
          <w:rFonts w:cs="Times"/>
        </w:rPr>
        <w:t>Consider following potential enhancement aspects to enable per-TRP based beam failure recovery </w:t>
      </w:r>
    </w:p>
    <w:p w14:paraId="7B037FA3" w14:textId="77777777" w:rsidR="000F7931" w:rsidRDefault="000F7931" w:rsidP="000F7931">
      <w:pPr>
        <w:pStyle w:val="a7"/>
        <w:numPr>
          <w:ilvl w:val="1"/>
          <w:numId w:val="21"/>
        </w:numPr>
        <w:spacing w:after="0"/>
        <w:contextualSpacing w:val="0"/>
        <w:jc w:val="both"/>
        <w:rPr>
          <w:rFonts w:cs="Times"/>
        </w:rPr>
      </w:pPr>
      <w:r>
        <w:rPr>
          <w:rFonts w:cs="Times"/>
        </w:rPr>
        <w:t>Issue 1: TRP-specific BFD</w:t>
      </w:r>
    </w:p>
    <w:p w14:paraId="50448CAC" w14:textId="77777777" w:rsidR="000F7931" w:rsidRDefault="000F7931" w:rsidP="000F7931">
      <w:pPr>
        <w:pStyle w:val="a7"/>
        <w:numPr>
          <w:ilvl w:val="1"/>
          <w:numId w:val="21"/>
        </w:numPr>
        <w:spacing w:after="0"/>
        <w:contextualSpacing w:val="0"/>
        <w:jc w:val="both"/>
        <w:rPr>
          <w:rFonts w:cs="Times"/>
        </w:rPr>
      </w:pPr>
      <w:r>
        <w:rPr>
          <w:rFonts w:cs="Times"/>
        </w:rPr>
        <w:t>Issue 2: TRP-specific new candidate beam identification</w:t>
      </w:r>
    </w:p>
    <w:p w14:paraId="70D57115" w14:textId="77777777" w:rsidR="000F7931" w:rsidRDefault="000F7931" w:rsidP="000F7931">
      <w:pPr>
        <w:pStyle w:val="a7"/>
        <w:numPr>
          <w:ilvl w:val="1"/>
          <w:numId w:val="21"/>
        </w:numPr>
        <w:spacing w:after="0"/>
        <w:contextualSpacing w:val="0"/>
        <w:jc w:val="both"/>
        <w:rPr>
          <w:rFonts w:cs="Times"/>
        </w:rPr>
      </w:pPr>
      <w:r>
        <w:rPr>
          <w:rFonts w:cs="Times"/>
        </w:rPr>
        <w:t>Issue 3: TRP-specific BFRQ</w:t>
      </w:r>
    </w:p>
    <w:p w14:paraId="47602139" w14:textId="77777777" w:rsidR="000F7931" w:rsidRDefault="000F7931" w:rsidP="000F7931">
      <w:pPr>
        <w:pStyle w:val="a7"/>
        <w:numPr>
          <w:ilvl w:val="1"/>
          <w:numId w:val="21"/>
        </w:numPr>
        <w:spacing w:after="0"/>
        <w:contextualSpacing w:val="0"/>
        <w:jc w:val="both"/>
        <w:rPr>
          <w:rFonts w:cs="Times"/>
        </w:rPr>
      </w:pPr>
      <w:r>
        <w:rPr>
          <w:rFonts w:cs="Times"/>
        </w:rPr>
        <w:t>Issue 4: gNB response enhancement</w:t>
      </w:r>
    </w:p>
    <w:p w14:paraId="4DE76571" w14:textId="252BE994" w:rsidR="000F7931" w:rsidRDefault="000F7931" w:rsidP="000F7931">
      <w:pPr>
        <w:pStyle w:val="a7"/>
        <w:numPr>
          <w:ilvl w:val="1"/>
          <w:numId w:val="21"/>
        </w:numPr>
        <w:spacing w:after="0"/>
        <w:contextualSpacing w:val="0"/>
        <w:jc w:val="both"/>
        <w:rPr>
          <w:rFonts w:cs="Times"/>
        </w:rPr>
      </w:pPr>
      <w:r>
        <w:rPr>
          <w:rFonts w:cs="Times"/>
        </w:rPr>
        <w:t>Issue 5: UE behavior on QCL/spatial relation assumption/UL power control for DL and UL channels/RSs after receiving gNB response</w:t>
      </w:r>
    </w:p>
    <w:p w14:paraId="4B1E7DEA" w14:textId="722039C4"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FA6B9A">
        <w:rPr>
          <w:rFonts w:eastAsiaTheme="minorEastAsia"/>
          <w:color w:val="000000" w:themeColor="text1"/>
          <w:sz w:val="22"/>
          <w:szCs w:val="22"/>
          <w:lang w:val="en-US" w:eastAsia="zh-CN"/>
        </w:rPr>
        <w:t xml:space="preserve">TRP-specific beam failure recovery </w:t>
      </w:r>
      <w:r w:rsidR="003E602B">
        <w:rPr>
          <w:rFonts w:eastAsiaTheme="minorEastAsia"/>
          <w:color w:val="000000" w:themeColor="text1"/>
          <w:sz w:val="22"/>
          <w:szCs w:val="22"/>
          <w:lang w:val="en-US" w:eastAsia="zh-CN"/>
        </w:rPr>
        <w:t>for multi-TRP</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1BF2B132" w14:textId="6B9B7B6C" w:rsidR="00CC643E" w:rsidRDefault="00404540"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Beam failure recovery was introduced as a good scheme to reduce the latency for beam management. And in current framework, one set of beam failure detection RS, new candidate beam RS are defined or determined for beam failure procedure. </w:t>
      </w:r>
      <w:r w:rsidR="00A10253">
        <w:rPr>
          <w:rFonts w:eastAsiaTheme="minorEastAsia"/>
          <w:color w:val="000000" w:themeColor="text1"/>
          <w:sz w:val="22"/>
          <w:szCs w:val="22"/>
          <w:lang w:val="en-US" w:eastAsia="zh-CN"/>
        </w:rPr>
        <w:t xml:space="preserve">While for multi-TRP based transmission, only one beam failure procedure may not be efficient enough, especially in case of one TRP failed. </w:t>
      </w:r>
      <w:r w:rsidR="00DB0DE4">
        <w:rPr>
          <w:rFonts w:eastAsiaTheme="minorEastAsia"/>
          <w:color w:val="000000" w:themeColor="text1"/>
          <w:sz w:val="22"/>
          <w:szCs w:val="22"/>
          <w:lang w:val="en-US" w:eastAsia="zh-CN"/>
        </w:rPr>
        <w:t xml:space="preserve">So TRP-specific beam failure recovery </w:t>
      </w:r>
      <w:r w:rsidR="00A10253">
        <w:rPr>
          <w:rFonts w:eastAsiaTheme="minorEastAsia"/>
          <w:color w:val="000000" w:themeColor="text1"/>
          <w:sz w:val="22"/>
          <w:szCs w:val="22"/>
          <w:lang w:val="en-US" w:eastAsia="zh-CN"/>
        </w:rPr>
        <w:t xml:space="preserve">was proposed, which can reduce the latency. </w:t>
      </w:r>
      <w:r w:rsidR="00DB0DE4">
        <w:rPr>
          <w:rFonts w:eastAsiaTheme="minorEastAsia"/>
          <w:color w:val="000000" w:themeColor="text1"/>
          <w:sz w:val="22"/>
          <w:szCs w:val="22"/>
          <w:lang w:val="en-US" w:eastAsia="zh-CN"/>
        </w:rPr>
        <w:t>And Rel-16 Scell BFR procedure can be considered as a starting point for TRP-specific BFR design.</w:t>
      </w:r>
    </w:p>
    <w:p w14:paraId="38EFBA71" w14:textId="6D198C61" w:rsidR="00DB0DE4" w:rsidRDefault="00DB0DE4"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Firstly, considering TRP-specific BFD and new candidate beam, a</w:t>
      </w:r>
      <w:r w:rsidR="00CC643E">
        <w:rPr>
          <w:rFonts w:eastAsiaTheme="minorEastAsia"/>
          <w:color w:val="000000" w:themeColor="text1"/>
          <w:sz w:val="22"/>
          <w:szCs w:val="22"/>
          <w:lang w:val="en-US" w:eastAsia="zh-CN"/>
        </w:rPr>
        <w:t xml:space="preserve"> straightforward way is to introduce separate set of BFD and </w:t>
      </w:r>
      <w:r>
        <w:rPr>
          <w:rFonts w:eastAsiaTheme="minorEastAsia"/>
          <w:color w:val="000000" w:themeColor="text1"/>
          <w:sz w:val="22"/>
          <w:szCs w:val="22"/>
          <w:lang w:val="en-US" w:eastAsia="zh-CN"/>
        </w:rPr>
        <w:t xml:space="preserve">corresponding </w:t>
      </w:r>
      <w:r w:rsidR="00CC643E">
        <w:rPr>
          <w:rFonts w:eastAsiaTheme="minorEastAsia"/>
          <w:color w:val="000000" w:themeColor="text1"/>
          <w:sz w:val="22"/>
          <w:szCs w:val="22"/>
          <w:lang w:val="en-US" w:eastAsia="zh-CN"/>
        </w:rPr>
        <w:t xml:space="preserve">new candidate beam RS for each TRP separately, </w:t>
      </w:r>
      <w:r>
        <w:rPr>
          <w:rFonts w:eastAsiaTheme="minorEastAsia"/>
          <w:color w:val="000000" w:themeColor="text1"/>
          <w:sz w:val="22"/>
          <w:szCs w:val="22"/>
          <w:lang w:val="en-US" w:eastAsia="zh-CN"/>
        </w:rPr>
        <w:t xml:space="preserve">and beam failure detection is detected in each set, if one set is failed, new beam is detected in corresponding set of new candidate beam. </w:t>
      </w:r>
      <w:r w:rsidR="007F4896">
        <w:rPr>
          <w:rFonts w:eastAsiaTheme="minorEastAsia"/>
          <w:color w:val="000000" w:themeColor="text1"/>
          <w:sz w:val="22"/>
          <w:szCs w:val="22"/>
          <w:lang w:val="en-US" w:eastAsia="zh-CN"/>
        </w:rPr>
        <w:t xml:space="preserve">And in current spec, BFD RS may not be configured, and UE will derive corresponding RS from the RS indicated by TCI-state </w:t>
      </w:r>
      <w:r w:rsidR="003D2C20">
        <w:rPr>
          <w:rFonts w:eastAsiaTheme="minorEastAsia"/>
          <w:color w:val="000000" w:themeColor="text1"/>
          <w:sz w:val="22"/>
          <w:szCs w:val="22"/>
          <w:lang w:val="en-US" w:eastAsia="zh-CN"/>
        </w:rPr>
        <w:t>for CORESETs. And in case of TRP-specific BFR, configuration or UE determination on the separate sets of BFD RS should be designed.</w:t>
      </w:r>
    </w:p>
    <w:p w14:paraId="23A8F0C5" w14:textId="5E15AED4" w:rsidR="00DB0DE4" w:rsidRDefault="00DB0DE4"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Secondly, regarding TRP-specific BFRQ, PUCCH-BFR agreed for Scell BFR can be reused as a starting point </w:t>
      </w: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 xml:space="preserve">t least for TRP-specific BFRQ in Scell. And for Pcell, </w:t>
      </w:r>
      <w:r w:rsidR="00664106">
        <w:rPr>
          <w:rFonts w:eastAsiaTheme="minorEastAsia"/>
          <w:color w:val="000000" w:themeColor="text1"/>
          <w:sz w:val="22"/>
          <w:szCs w:val="22"/>
          <w:lang w:val="en-US" w:eastAsia="zh-CN"/>
        </w:rPr>
        <w:t>in case of single TRP failure, there is no need to use PRACH for beam failure recovery request, PUCCH on the Pcell is efficient. And the priority of PUCCHs for normal Scell-BFRQ and TRP-specific BFRQ should be further studied.</w:t>
      </w:r>
      <w:r>
        <w:rPr>
          <w:rFonts w:eastAsiaTheme="minorEastAsia"/>
          <w:color w:val="000000" w:themeColor="text1"/>
          <w:sz w:val="22"/>
          <w:szCs w:val="22"/>
          <w:lang w:val="en-US" w:eastAsia="zh-CN"/>
        </w:rPr>
        <w:t xml:space="preserve"> </w:t>
      </w:r>
    </w:p>
    <w:p w14:paraId="00E0D529" w14:textId="180804BB" w:rsidR="00B20632" w:rsidRDefault="00B20632"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Thirdly, considering gNB response, </w:t>
      </w:r>
      <w:r>
        <w:rPr>
          <w:rFonts w:eastAsiaTheme="minorEastAsia" w:hint="eastAsia"/>
          <w:color w:val="000000" w:themeColor="text1"/>
          <w:sz w:val="22"/>
          <w:szCs w:val="22"/>
          <w:lang w:val="en-US" w:eastAsia="zh-CN"/>
        </w:rPr>
        <w:t>UE</w:t>
      </w:r>
      <w:r>
        <w:rPr>
          <w:rFonts w:eastAsiaTheme="minorEastAsia"/>
          <w:color w:val="000000" w:themeColor="text1"/>
          <w:sz w:val="22"/>
          <w:szCs w:val="22"/>
          <w:lang w:val="en-US" w:eastAsia="zh-CN"/>
        </w:rPr>
        <w:t xml:space="preserve"> can monitor PDCCH in the CORESETs associated to the failed TRP with new beam.</w:t>
      </w:r>
    </w:p>
    <w:p w14:paraId="435D3660" w14:textId="3E8757F4" w:rsidR="00DB0DE4" w:rsidRDefault="00913DD3"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Furthermore,</w:t>
      </w:r>
      <w:r w:rsidR="00DB0DE4">
        <w:rPr>
          <w:rFonts w:eastAsiaTheme="minorEastAsia"/>
          <w:color w:val="000000" w:themeColor="text1"/>
          <w:sz w:val="22"/>
          <w:szCs w:val="22"/>
          <w:lang w:val="en-US" w:eastAsia="zh-CN"/>
        </w:rPr>
        <w:t xml:space="preserve"> the relationship between TRP-specific BFR and </w:t>
      </w:r>
      <w:r>
        <w:rPr>
          <w:rFonts w:eastAsiaTheme="minorEastAsia"/>
          <w:color w:val="000000" w:themeColor="text1"/>
          <w:sz w:val="22"/>
          <w:szCs w:val="22"/>
          <w:lang w:val="en-US" w:eastAsia="zh-CN"/>
        </w:rPr>
        <w:t xml:space="preserve">normal BFR procedure should be further studied, for example, during the procedure of TRP-specific BFR </w:t>
      </w:r>
      <w:r>
        <w:rPr>
          <w:rFonts w:eastAsiaTheme="minorEastAsia" w:hint="eastAsia"/>
          <w:color w:val="000000" w:themeColor="text1"/>
          <w:sz w:val="22"/>
          <w:szCs w:val="22"/>
          <w:lang w:val="en-US" w:eastAsia="zh-CN"/>
        </w:rPr>
        <w:t>for</w:t>
      </w:r>
      <w:r>
        <w:rPr>
          <w:rFonts w:eastAsiaTheme="minorEastAsia"/>
          <w:color w:val="000000" w:themeColor="text1"/>
          <w:sz w:val="22"/>
          <w:szCs w:val="22"/>
          <w:lang w:val="en-US" w:eastAsia="zh-CN"/>
        </w:rPr>
        <w:t xml:space="preserve"> one TRP, if the other TRP is also failed, the UE behavior should be clarified.</w:t>
      </w:r>
    </w:p>
    <w:p w14:paraId="65E1D42F" w14:textId="0C9C7534" w:rsidR="007F2B16" w:rsidRDefault="00BD73E7" w:rsidP="0095370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00BA3029" w:rsidRPr="00D373F8">
        <w:rPr>
          <w:rFonts w:eastAsiaTheme="minorEastAsia" w:hint="eastAsia"/>
          <w:b/>
          <w:i/>
          <w:sz w:val="22"/>
          <w:szCs w:val="22"/>
          <w:lang w:val="en-US" w:eastAsia="zh-CN"/>
        </w:rPr>
        <w:t>:</w:t>
      </w:r>
      <w:r w:rsidR="00BA3029">
        <w:rPr>
          <w:rFonts w:eastAsiaTheme="minorEastAsia" w:hint="eastAsia"/>
          <w:b/>
          <w:i/>
          <w:sz w:val="22"/>
          <w:szCs w:val="22"/>
          <w:lang w:val="en-US" w:eastAsia="zh-CN"/>
        </w:rPr>
        <w:t xml:space="preserve"> </w:t>
      </w:r>
      <w:r w:rsidR="007F4896">
        <w:rPr>
          <w:rFonts w:eastAsiaTheme="minorEastAsia"/>
          <w:b/>
          <w:i/>
          <w:sz w:val="22"/>
          <w:szCs w:val="22"/>
          <w:lang w:val="en-US" w:eastAsia="zh-CN"/>
        </w:rPr>
        <w:t>Separate</w:t>
      </w:r>
      <w:r w:rsidR="003D2C20">
        <w:rPr>
          <w:rFonts w:eastAsiaTheme="minorEastAsia"/>
          <w:b/>
          <w:i/>
          <w:sz w:val="22"/>
          <w:szCs w:val="22"/>
          <w:lang w:val="en-US" w:eastAsia="zh-CN"/>
        </w:rPr>
        <w:t xml:space="preserve"> sets of BFD and corresponding new candidate beam RS sets should be introduced for TRP-specific BFR, and new beam is identified in the </w:t>
      </w:r>
      <w:r w:rsidR="00E567DD">
        <w:rPr>
          <w:rFonts w:eastAsiaTheme="minorEastAsia"/>
          <w:b/>
          <w:i/>
          <w:sz w:val="22"/>
          <w:szCs w:val="22"/>
          <w:lang w:val="en-US" w:eastAsia="zh-CN"/>
        </w:rPr>
        <w:t xml:space="preserve">RS </w:t>
      </w:r>
      <w:r w:rsidR="003D2C20">
        <w:rPr>
          <w:rFonts w:eastAsiaTheme="minorEastAsia"/>
          <w:b/>
          <w:i/>
          <w:sz w:val="22"/>
          <w:szCs w:val="22"/>
          <w:lang w:val="en-US" w:eastAsia="zh-CN"/>
        </w:rPr>
        <w:t xml:space="preserve">set corresponding to failed TRP.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A5FA55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5F1">
        <w:rPr>
          <w:rFonts w:eastAsia="宋体"/>
          <w:color w:val="000000" w:themeColor="text1"/>
          <w:sz w:val="22"/>
          <w:szCs w:val="22"/>
          <w:lang w:eastAsia="zh-CN"/>
        </w:rPr>
        <w:t>beam management for multi-TRP</w:t>
      </w:r>
      <w:r>
        <w:rPr>
          <w:rFonts w:eastAsia="宋体" w:hint="eastAsia"/>
          <w:color w:val="000000" w:themeColor="text1"/>
          <w:sz w:val="22"/>
          <w:szCs w:val="22"/>
          <w:lang w:eastAsia="zh-CN"/>
        </w:rPr>
        <w:t>, and we proposed that:</w:t>
      </w:r>
    </w:p>
    <w:p w14:paraId="59AAE495" w14:textId="77777777" w:rsidR="00E567DD" w:rsidRDefault="00E567DD" w:rsidP="00E567DD">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Separate sets of BFD and corresponding new candidate beam RS sets should be introduced for TRP-specific BFR, and new beam is identified in the RS set corresponding to failed TRP.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D0F96C2" w14:textId="3E1FE8C0" w:rsidR="00A10253" w:rsidRPr="00D14EAE" w:rsidRDefault="00D14EAE" w:rsidP="007F4896">
      <w:pPr>
        <w:pStyle w:val="a7"/>
        <w:numPr>
          <w:ilvl w:val="0"/>
          <w:numId w:val="2"/>
        </w:numPr>
        <w:spacing w:after="0"/>
        <w:rPr>
          <w:rFonts w:eastAsia="宋体"/>
          <w:color w:val="000000"/>
          <w:lang w:eastAsia="zh-CN"/>
        </w:rPr>
      </w:pPr>
      <w:r w:rsidRPr="00D14EAE">
        <w:rPr>
          <w:rFonts w:eastAsia="宋体"/>
          <w:color w:val="000000"/>
          <w:lang w:eastAsia="zh-CN"/>
        </w:rPr>
        <w:t>Chairman’s notes, RAN1#102-e, August 17th – 28th, 2020.</w:t>
      </w:r>
    </w:p>
    <w:sectPr w:rsidR="00A10253" w:rsidRPr="00D14EAE"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A9B34" w14:textId="77777777" w:rsidR="005C255B" w:rsidRPr="00D733E0" w:rsidRDefault="005C255B" w:rsidP="00D400AF">
      <w:pPr>
        <w:spacing w:after="0"/>
        <w:rPr>
          <w:rFonts w:ascii="Arial" w:eastAsia="宋体" w:hAnsi="Arial" w:cs="Arial"/>
          <w:color w:val="0000FF"/>
          <w:kern w:val="2"/>
          <w:lang w:val="en-US" w:eastAsia="zh-CN"/>
        </w:rPr>
      </w:pPr>
      <w:r>
        <w:separator/>
      </w:r>
    </w:p>
  </w:endnote>
  <w:endnote w:type="continuationSeparator" w:id="0">
    <w:p w14:paraId="099ACB9D" w14:textId="77777777" w:rsidR="005C255B" w:rsidRPr="00D733E0" w:rsidRDefault="005C255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43B9D10" w:rsidR="007F4896" w:rsidRPr="007A56A3" w:rsidRDefault="007F489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92924" w:rsidRPr="00792924">
          <w:rPr>
            <w:noProof/>
            <w:sz w:val="21"/>
            <w:lang w:val="zh-CN" w:eastAsia="zh-CN"/>
          </w:rPr>
          <w:t>2</w:t>
        </w:r>
        <w:r w:rsidRPr="007A56A3">
          <w:rPr>
            <w:sz w:val="21"/>
          </w:rPr>
          <w:fldChar w:fldCharType="end"/>
        </w:r>
      </w:p>
    </w:sdtContent>
  </w:sdt>
  <w:p w14:paraId="55D08AE3" w14:textId="77777777" w:rsidR="007F4896" w:rsidRDefault="007F489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9E757" w14:textId="77777777" w:rsidR="005C255B" w:rsidRPr="00D733E0" w:rsidRDefault="005C255B" w:rsidP="00D400AF">
      <w:pPr>
        <w:spacing w:after="0"/>
        <w:rPr>
          <w:rFonts w:ascii="Arial" w:eastAsia="宋体" w:hAnsi="Arial" w:cs="Arial"/>
          <w:color w:val="0000FF"/>
          <w:kern w:val="2"/>
          <w:lang w:val="en-US" w:eastAsia="zh-CN"/>
        </w:rPr>
      </w:pPr>
      <w:r>
        <w:separator/>
      </w:r>
    </w:p>
  </w:footnote>
  <w:footnote w:type="continuationSeparator" w:id="0">
    <w:p w14:paraId="43FC8F90" w14:textId="77777777" w:rsidR="005C255B" w:rsidRPr="00D733E0" w:rsidRDefault="005C255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9"/>
  </w:num>
  <w:num w:numId="6">
    <w:abstractNumId w:val="1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8"/>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4"/>
  </w:num>
  <w:num w:numId="18">
    <w:abstractNumId w:val="11"/>
  </w:num>
  <w:num w:numId="19">
    <w:abstractNumId w:val="9"/>
  </w:num>
  <w:num w:numId="20">
    <w:abstractNumId w:val="13"/>
  </w:num>
  <w:num w:numId="21">
    <w:abstractNumId w:val="16"/>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2C20"/>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5856"/>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55B"/>
    <w:rsid w:val="005C2D6F"/>
    <w:rsid w:val="005C363C"/>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924"/>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9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4DF7F-2B4B-4620-BBBE-B2B09A546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1995</TotalTime>
  <Pages>2</Pages>
  <Words>589</Words>
  <Characters>3362</Characters>
  <Application>Microsoft Office Word</Application>
  <DocSecurity>0</DocSecurity>
  <Lines>28</Lines>
  <Paragraphs>7</Paragraphs>
  <ScaleCrop>false</ScaleCrop>
  <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116</cp:revision>
  <dcterms:created xsi:type="dcterms:W3CDTF">2019-09-25T05:48:00Z</dcterms:created>
  <dcterms:modified xsi:type="dcterms:W3CDTF">2020-10-22T05:37:00Z</dcterms:modified>
</cp:coreProperties>
</file>