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7EBB77DB"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314659">
        <w:rPr>
          <w:rFonts w:ascii="Times New Roman" w:eastAsiaTheme="minorHAnsi" w:hAnsi="Times New Roman"/>
          <w:b/>
          <w:bCs/>
          <w:sz w:val="24"/>
          <w:szCs w:val="28"/>
          <w:lang w:val="en-US"/>
        </w:rPr>
        <w:t>3</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B54CEF" w:rsidRPr="00B54CEF">
        <w:rPr>
          <w:rFonts w:ascii="Times New Roman" w:eastAsiaTheme="minorHAnsi" w:hAnsi="Times New Roman" w:cstheme="minorBidi"/>
          <w:b/>
          <w:bCs/>
          <w:sz w:val="24"/>
          <w:szCs w:val="28"/>
          <w:lang w:val="en-US"/>
        </w:rPr>
        <w:t>R1-2008492</w:t>
      </w:r>
    </w:p>
    <w:p w14:paraId="421A1909" w14:textId="46C26A9D"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October</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D05AD5">
        <w:rPr>
          <w:rFonts w:ascii="Times New Roman" w:eastAsiaTheme="minorHAnsi" w:hAnsi="Times New Roman"/>
          <w:b/>
          <w:bCs/>
          <w:sz w:val="24"/>
          <w:szCs w:val="28"/>
          <w:lang w:val="en-US"/>
        </w:rPr>
        <w:t>November</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13</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7866EDD"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8.5.</w:t>
      </w:r>
      <w:r w:rsidR="00F45FCF">
        <w:rPr>
          <w:rFonts w:ascii="Times New Roman" w:hAnsi="Times New Roman"/>
          <w:b/>
          <w:bCs/>
          <w:sz w:val="22"/>
          <w:szCs w:val="22"/>
          <w:lang w:val="en-US"/>
        </w:rPr>
        <w:t>4</w:t>
      </w:r>
    </w:p>
    <w:p w14:paraId="5BD454BF" w14:textId="77777777"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 Inc.</w:t>
      </w:r>
    </w:p>
    <w:p w14:paraId="7BC40CBC" w14:textId="22A93580"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F45FCF">
        <w:rPr>
          <w:rFonts w:ascii="Times New Roman" w:hAnsi="Times New Roman" w:cs="Times New Roman"/>
          <w:b/>
          <w:bCs/>
        </w:rPr>
        <w:t>Discussion on positioning failure and mobility modeling</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971240D" w14:textId="671930E4" w:rsidR="006D1277" w:rsidRDefault="00791D39" w:rsidP="002978E0">
      <w:r>
        <w:t>In RAN1#102e, the following agreement was made.</w:t>
      </w:r>
    </w:p>
    <w:tbl>
      <w:tblPr>
        <w:tblStyle w:val="TableGrid"/>
        <w:tblW w:w="0" w:type="auto"/>
        <w:tblLook w:val="04A0" w:firstRow="1" w:lastRow="0" w:firstColumn="1" w:lastColumn="0" w:noHBand="0" w:noVBand="1"/>
      </w:tblPr>
      <w:tblGrid>
        <w:gridCol w:w="9350"/>
      </w:tblGrid>
      <w:tr w:rsidR="00791D39" w14:paraId="75CB61CB" w14:textId="77777777" w:rsidTr="001B7E13">
        <w:trPr>
          <w:trHeight w:val="3878"/>
        </w:trPr>
        <w:tc>
          <w:tcPr>
            <w:tcW w:w="9350" w:type="dxa"/>
          </w:tcPr>
          <w:p w14:paraId="16738F1A" w14:textId="77777777" w:rsidR="00791D39" w:rsidRDefault="00791D39" w:rsidP="00791D39">
            <w:pPr>
              <w:rPr>
                <w:u w:val="single"/>
                <w:lang w:eastAsia="x-none"/>
              </w:rPr>
            </w:pPr>
            <w:r>
              <w:rPr>
                <w:u w:val="single"/>
                <w:lang w:eastAsia="x-none"/>
              </w:rPr>
              <w:t>Conclusion:</w:t>
            </w:r>
          </w:p>
          <w:p w14:paraId="3B65DC39" w14:textId="77777777" w:rsidR="00791D39" w:rsidRDefault="00791D39" w:rsidP="00791D39">
            <w:pPr>
              <w:rPr>
                <w:lang w:eastAsia="x-none"/>
              </w:rPr>
            </w:pPr>
            <w:r>
              <w:rPr>
                <w:lang w:eastAsia="x-none"/>
              </w:rPr>
              <w:t>For UE mobility, the details of the optional mobility model are left to companies.</w:t>
            </w:r>
          </w:p>
          <w:p w14:paraId="195B7A14" w14:textId="77777777" w:rsidR="000B78A5" w:rsidRDefault="000B78A5" w:rsidP="00791D39">
            <w:pPr>
              <w:rPr>
                <w:lang w:eastAsia="x-none"/>
              </w:rPr>
            </w:pPr>
          </w:p>
          <w:p w14:paraId="656702B7" w14:textId="77777777" w:rsidR="000B78A5" w:rsidRDefault="000B78A5" w:rsidP="000B78A5">
            <w:pPr>
              <w:rPr>
                <w:lang w:eastAsia="x-none"/>
              </w:rPr>
            </w:pPr>
            <w:r>
              <w:rPr>
                <w:highlight w:val="green"/>
                <w:lang w:eastAsia="x-none"/>
              </w:rPr>
              <w:t>Agreement:</w:t>
            </w:r>
          </w:p>
          <w:p w14:paraId="3BE02230" w14:textId="77777777" w:rsidR="000B78A5" w:rsidRDefault="000B78A5" w:rsidP="000B78A5">
            <w:pPr>
              <w:numPr>
                <w:ilvl w:val="0"/>
                <w:numId w:val="4"/>
              </w:numPr>
              <w:rPr>
                <w:lang w:eastAsia="x-none"/>
              </w:rPr>
            </w:pPr>
            <w:r>
              <w:rPr>
                <w:lang w:eastAsia="x-none"/>
              </w:rPr>
              <w:t>For reducing NR positioning latency, more efficient signaling &amp; procedures will be investigated to enable a device to request and report positioning information, which may include, but not limited to, the following aspects:</w:t>
            </w:r>
          </w:p>
          <w:p w14:paraId="208C6102" w14:textId="77777777" w:rsidR="000B78A5" w:rsidRDefault="000B78A5" w:rsidP="000B78A5">
            <w:pPr>
              <w:numPr>
                <w:ilvl w:val="1"/>
                <w:numId w:val="4"/>
              </w:numPr>
              <w:rPr>
                <w:lang w:eastAsia="x-none"/>
              </w:rPr>
            </w:pPr>
            <w:r>
              <w:rPr>
                <w:lang w:eastAsia="x-none"/>
              </w:rPr>
              <w:t>DL PRS/UL SRS configuration, activation or triggering.</w:t>
            </w:r>
          </w:p>
          <w:p w14:paraId="44724DD6" w14:textId="77777777" w:rsidR="000B78A5" w:rsidRDefault="000B78A5" w:rsidP="000B78A5">
            <w:pPr>
              <w:numPr>
                <w:ilvl w:val="1"/>
                <w:numId w:val="4"/>
              </w:numPr>
              <w:rPr>
                <w:lang w:eastAsia="x-none"/>
              </w:rPr>
            </w:pPr>
            <w:r>
              <w:rPr>
                <w:lang w:eastAsia="x-none"/>
              </w:rPr>
              <w:t>The request for positioning information (the assistance data, etc.).</w:t>
            </w:r>
          </w:p>
          <w:p w14:paraId="7020E8D9" w14:textId="77777777" w:rsidR="000B78A5" w:rsidRDefault="000B78A5" w:rsidP="000B78A5">
            <w:pPr>
              <w:numPr>
                <w:ilvl w:val="1"/>
                <w:numId w:val="4"/>
              </w:numPr>
              <w:rPr>
                <w:lang w:eastAsia="x-none"/>
              </w:rPr>
            </w:pPr>
            <w:r>
              <w:rPr>
                <w:lang w:eastAsia="x-none"/>
              </w:rPr>
              <w:t>The report of positioning information (the measurement report, etc.).</w:t>
            </w:r>
          </w:p>
          <w:p w14:paraId="3991D26E" w14:textId="77777777" w:rsidR="000B78A5" w:rsidRDefault="000B78A5" w:rsidP="000B78A5">
            <w:pPr>
              <w:numPr>
                <w:ilvl w:val="0"/>
                <w:numId w:val="4"/>
              </w:numPr>
              <w:rPr>
                <w:lang w:eastAsia="x-none"/>
              </w:rPr>
            </w:pPr>
            <w:r>
              <w:rPr>
                <w:lang w:eastAsia="x-none"/>
              </w:rPr>
              <w:t xml:space="preserve">Note: It is not within RAN1 scope to analyze positioning architecture enhancements to enable such more efficient signaling &amp; procedures. </w:t>
            </w:r>
          </w:p>
          <w:p w14:paraId="1B509572" w14:textId="77777777" w:rsidR="000B78A5" w:rsidRDefault="000B78A5" w:rsidP="00791D39">
            <w:pPr>
              <w:numPr>
                <w:ilvl w:val="0"/>
                <w:numId w:val="4"/>
              </w:numPr>
              <w:rPr>
                <w:lang w:eastAsia="x-none"/>
              </w:rPr>
            </w:pPr>
            <w:r>
              <w:rPr>
                <w:lang w:eastAsia="x-none"/>
              </w:rPr>
              <w:t>Note: RAN1 does not make any assumptions on whether the LCS architecture specified in TS 23.273 is enhanced or not.</w:t>
            </w:r>
          </w:p>
          <w:p w14:paraId="5661822A" w14:textId="29F0F0BF" w:rsidR="00BF3792" w:rsidRDefault="00BF3792">
            <w:pPr>
              <w:rPr>
                <w:lang w:eastAsia="x-none"/>
              </w:rPr>
            </w:pPr>
          </w:p>
        </w:tc>
      </w:tr>
    </w:tbl>
    <w:p w14:paraId="54A4D572" w14:textId="77777777" w:rsidR="00C049AF" w:rsidRDefault="00C049AF" w:rsidP="002978E0"/>
    <w:p w14:paraId="7BD778DD" w14:textId="05882FF7" w:rsidR="00836A18" w:rsidRDefault="002978E0" w:rsidP="002978E0">
      <w:r>
        <w:t xml:space="preserve">In this contribution, </w:t>
      </w:r>
      <w:r w:rsidR="00BF4CC3">
        <w:t xml:space="preserve">a general concept of positioning failure and modeling of mobility are described. </w:t>
      </w:r>
      <w:r w:rsidR="00840BAF">
        <w:t>The purpose of introduction of model for mobility</w:t>
      </w:r>
      <w:r w:rsidR="0039380D">
        <w:t xml:space="preserve"> to assist alignment among companies during evaluation of mobility for positioning</w:t>
      </w:r>
      <w:r w:rsidR="00840BAF">
        <w:t>.</w:t>
      </w:r>
    </w:p>
    <w:p w14:paraId="3D36FD9B" w14:textId="2F64FC6C" w:rsidR="00C5087E" w:rsidRDefault="00C5087E" w:rsidP="0031366C">
      <w:pPr>
        <w:pStyle w:val="Heading1"/>
        <w:pBdr>
          <w:top w:val="single" w:sz="12" w:space="5" w:color="auto"/>
        </w:pBdr>
        <w:spacing w:after="120"/>
        <w:rPr>
          <w:rFonts w:ascii="Times New Roman" w:hAnsi="Times New Roman"/>
          <w:szCs w:val="32"/>
        </w:rPr>
      </w:pPr>
      <w:r>
        <w:rPr>
          <w:rFonts w:ascii="Times New Roman" w:hAnsi="Times New Roman"/>
          <w:szCs w:val="32"/>
        </w:rPr>
        <w:t>Positioning failure</w:t>
      </w:r>
    </w:p>
    <w:p w14:paraId="60CEB691" w14:textId="3F7A93E3" w:rsidR="00CE3FE6" w:rsidRPr="005B032A" w:rsidRDefault="00771FB6" w:rsidP="00CE3FE6">
      <w:pPr>
        <w:rPr>
          <w:noProof/>
        </w:rPr>
      </w:pPr>
      <w:r>
        <w:t xml:space="preserve"> </w:t>
      </w:r>
      <w:r w:rsidR="00CE3FE6" w:rsidRPr="005B032A">
        <w:t xml:space="preserve">From the Rel-17 targets, positioning requirements consists of components in both spatial dimension (e.g. horizontal, vertical) and temporal dimension (latency for determining positioning). In this regard, the positioning error can be interpreted as the inability </w:t>
      </w:r>
      <w:r w:rsidR="00CE3FE6">
        <w:t>to</w:t>
      </w:r>
      <w:r w:rsidR="00CE3FE6" w:rsidRPr="005B032A">
        <w:t xml:space="preserve"> </w:t>
      </w:r>
      <w:r w:rsidR="00CE3FE6" w:rsidRPr="005B032A">
        <w:rPr>
          <w:noProof/>
        </w:rPr>
        <w:t>perform positioning measur</w:t>
      </w:r>
      <w:r w:rsidR="00CE3FE6">
        <w:rPr>
          <w:noProof/>
        </w:rPr>
        <w:t>e</w:t>
      </w:r>
      <w:r w:rsidR="00CE3FE6" w:rsidRPr="005B032A">
        <w:rPr>
          <w:noProof/>
        </w:rPr>
        <w:t>men</w:t>
      </w:r>
      <w:r w:rsidR="00CE3FE6">
        <w:rPr>
          <w:noProof/>
        </w:rPr>
        <w:t>t</w:t>
      </w:r>
      <w:r w:rsidR="00CE3FE6" w:rsidRPr="005B032A">
        <w:rPr>
          <w:noProof/>
        </w:rPr>
        <w:t xml:space="preserve"> within a given accuracy and within a time constraint. </w:t>
      </w:r>
    </w:p>
    <w:p w14:paraId="6949CD1F" w14:textId="551A0B4F" w:rsidR="00C23168" w:rsidRPr="00862DCA" w:rsidRDefault="0064018B" w:rsidP="00CE3FE6">
      <w:r>
        <w:rPr>
          <w:noProof/>
        </w:rPr>
        <w:t xml:space="preserve"> </w:t>
      </w:r>
      <w:r w:rsidR="00CE3FE6" w:rsidRPr="005B032A">
        <w:rPr>
          <w:noProof/>
        </w:rPr>
        <w:t xml:space="preserve">Based on the defination provided in SID, a similar interpretation can be used for modeling integrity as a function of location accuracy and timeliness for determining the </w:t>
      </w:r>
      <w:r w:rsidR="00CE3FE6">
        <w:rPr>
          <w:noProof/>
        </w:rPr>
        <w:t>UE position</w:t>
      </w:r>
      <w:r w:rsidR="00CE3FE6" w:rsidRPr="005B032A">
        <w:rPr>
          <w:noProof/>
        </w:rPr>
        <w:t xml:space="preserve">. </w:t>
      </w:r>
      <w:r w:rsidR="00CE3FE6" w:rsidRPr="005B032A">
        <w:t xml:space="preserve">As an example, </w:t>
      </w:r>
      <w:r w:rsidR="00CE3FE6">
        <w:t>considering an</w:t>
      </w:r>
      <w:r w:rsidR="00CE3FE6" w:rsidRPr="005B032A">
        <w:t xml:space="preserve"> actual position of </w:t>
      </w:r>
      <w:r w:rsidR="00CE3FE6">
        <w:t>a</w:t>
      </w:r>
      <w:r w:rsidR="00CE3FE6" w:rsidRPr="005B032A">
        <w:t xml:space="preserve"> </w:t>
      </w:r>
      <w:r w:rsidR="00CE3FE6">
        <w:t>UE</w:t>
      </w:r>
      <w:r w:rsidR="00CE3FE6" w:rsidRPr="005B032A">
        <w:t xml:space="preserve"> </w:t>
      </w:r>
      <w:r w:rsidR="00CE3FE6">
        <w:t xml:space="preserve">given by </w:t>
      </w:r>
      <w:r w:rsidR="00CE3FE6" w:rsidRPr="005B032A">
        <w:t>P and the positio</w:t>
      </w:r>
      <w:r w:rsidR="00CE3FE6">
        <w:t>n</w:t>
      </w:r>
      <w:r w:rsidR="00CE3FE6" w:rsidRPr="005B032A">
        <w:t xml:space="preserve"> determined when using a positioning method </w:t>
      </w:r>
      <w:r w:rsidR="00CE3FE6">
        <w:t>i given by</w:t>
      </w:r>
      <w:r w:rsidR="00CE3FE6" w:rsidRPr="005B032A">
        <w:t xml:space="preserve"> </w:t>
      </w:r>
      <w:r w:rsidR="00CE3FE6">
        <w:t>P</w:t>
      </w:r>
      <w:r w:rsidR="00CE3FE6">
        <w:rPr>
          <w:vertAlign w:val="subscript"/>
        </w:rPr>
        <w:t>i</w:t>
      </w:r>
      <w:r w:rsidR="00CE3FE6" w:rsidRPr="005B032A">
        <w:t xml:space="preserve">, the positioning </w:t>
      </w:r>
      <w:r w:rsidR="00E03CC5">
        <w:t xml:space="preserve">error </w:t>
      </w:r>
      <w:r w:rsidR="00CE3FE6" w:rsidRPr="005B032A">
        <w:t xml:space="preserve">can be calculated as </w:t>
      </w:r>
      <w:r w:rsidR="00C23168">
        <w:t>R</w:t>
      </w:r>
      <w:r w:rsidR="00CE3FE6" w:rsidRPr="005B032A">
        <w:t xml:space="preserve"> = </w:t>
      </w:r>
      <w:r w:rsidR="00CE3FE6">
        <w:t>|P</w:t>
      </w:r>
      <w:r w:rsidR="00CE3FE6">
        <w:rPr>
          <w:vertAlign w:val="subscript"/>
        </w:rPr>
        <w:t>i</w:t>
      </w:r>
      <w:r w:rsidR="00CE3FE6" w:rsidRPr="005B032A" w:rsidDel="008F0E48">
        <w:t xml:space="preserve"> </w:t>
      </w:r>
      <w:r w:rsidR="00CE3FE6" w:rsidRPr="005B032A">
        <w:t xml:space="preserve"> </w:t>
      </w:r>
      <w:r w:rsidR="00CE3FE6">
        <w:t xml:space="preserve">– </w:t>
      </w:r>
      <w:r w:rsidR="00CE3FE6" w:rsidRPr="005B032A">
        <w:t>P</w:t>
      </w:r>
      <w:r w:rsidR="00CE3FE6">
        <w:t>|</w:t>
      </w:r>
      <w:r w:rsidR="00862DCA" w:rsidRPr="00862DCA">
        <w:t>.</w:t>
      </w:r>
      <w:r w:rsidR="00862DCA">
        <w:t xml:space="preserve"> </w:t>
      </w:r>
      <w:r w:rsidR="00CE3FE6" w:rsidRPr="005B032A">
        <w:t xml:space="preserve">For a positioning service provided to an LCS client, the positioning error can be determined </w:t>
      </w:r>
      <w:r w:rsidR="00CE3FE6">
        <w:t>as</w:t>
      </w:r>
      <w:r w:rsidR="00CE3FE6" w:rsidRPr="005B032A">
        <w:t xml:space="preserve"> </w:t>
      </w:r>
      <w:bookmarkStart w:id="1" w:name="_Hlk53690868"/>
      <w:r w:rsidR="00C23168">
        <w:t>R</w:t>
      </w:r>
      <w:r w:rsidR="00CE3FE6" w:rsidRPr="005B032A">
        <w:t xml:space="preserve">’ = </w:t>
      </w:r>
      <w:r w:rsidR="00CE3FE6">
        <w:t>|P</w:t>
      </w:r>
      <w:r w:rsidR="00C23168">
        <w:rPr>
          <w:vertAlign w:val="subscript"/>
        </w:rPr>
        <w:t>AL</w:t>
      </w:r>
      <w:r w:rsidR="00CE3FE6" w:rsidRPr="005B032A" w:rsidDel="008F0E48">
        <w:t xml:space="preserve"> </w:t>
      </w:r>
      <w:r w:rsidR="00CE3FE6">
        <w:t>–</w:t>
      </w:r>
      <w:r w:rsidR="00CE3FE6" w:rsidRPr="005B032A">
        <w:t xml:space="preserve"> P</w:t>
      </w:r>
      <w:r w:rsidR="00CE3FE6">
        <w:t>|</w:t>
      </w:r>
      <w:bookmarkEnd w:id="1"/>
      <w:r w:rsidR="00CE3FE6" w:rsidRPr="005B032A">
        <w:t xml:space="preserve">, where </w:t>
      </w:r>
      <w:r w:rsidR="00CE3FE6">
        <w:t>P</w:t>
      </w:r>
      <w:r w:rsidR="00C23168">
        <w:rPr>
          <w:vertAlign w:val="subscript"/>
        </w:rPr>
        <w:t>AL</w:t>
      </w:r>
      <w:r w:rsidR="00CE3FE6" w:rsidRPr="005B032A" w:rsidDel="008F0E48">
        <w:t xml:space="preserve"> </w:t>
      </w:r>
      <w:r w:rsidR="00CE3FE6" w:rsidRPr="005B032A">
        <w:t>is the position</w:t>
      </w:r>
      <w:r w:rsidR="00CE3FE6">
        <w:t>ing</w:t>
      </w:r>
      <w:r w:rsidR="00CE3FE6" w:rsidRPr="005B032A">
        <w:t xml:space="preserve"> </w:t>
      </w:r>
      <w:r w:rsidR="00CE3FE6">
        <w:t xml:space="preserve">information </w:t>
      </w:r>
      <w:r w:rsidR="00CE3FE6" w:rsidRPr="005B032A">
        <w:t>tolerated by the application</w:t>
      </w:r>
      <w:r w:rsidR="00C23168">
        <w:t xml:space="preserve"> </w:t>
      </w:r>
      <w:r w:rsidR="00862DCA">
        <w:t>and is</w:t>
      </w:r>
      <w:r w:rsidR="00C23168">
        <w:t xml:space="preserve"> within the alert limit (AL)</w:t>
      </w:r>
      <w:r w:rsidR="00CE3FE6" w:rsidRPr="005B032A">
        <w:t xml:space="preserve">. </w:t>
      </w:r>
      <w:r w:rsidR="00C23168">
        <w:t xml:space="preserve">For further bounding the </w:t>
      </w:r>
      <w:r w:rsidR="00C23168">
        <w:lastRenderedPageBreak/>
        <w:t xml:space="preserve">positioning error, </w:t>
      </w:r>
      <w:r w:rsidR="00400EFE">
        <w:t xml:space="preserve">the </w:t>
      </w:r>
      <w:r w:rsidR="00C23168">
        <w:t xml:space="preserve">statistical upper bound of the UE position </w:t>
      </w:r>
      <w:r w:rsidR="00400EFE">
        <w:t>represented by the protection limit (PL),</w:t>
      </w:r>
      <w:r w:rsidR="00C23168">
        <w:rPr>
          <w:vertAlign w:val="subscript"/>
        </w:rPr>
        <w:t xml:space="preserve"> </w:t>
      </w:r>
      <w:r w:rsidR="00C23168">
        <w:t xml:space="preserve">can be included </w:t>
      </w:r>
      <w:r w:rsidR="00400EFE">
        <w:t>when determining the positioning error as R</w:t>
      </w:r>
      <w:r w:rsidR="00400EFE" w:rsidRPr="00C23168">
        <w:t>’</w:t>
      </w:r>
      <w:r w:rsidR="00400EFE">
        <w:t>’</w:t>
      </w:r>
      <w:r w:rsidR="00400EFE" w:rsidRPr="00C23168">
        <w:t xml:space="preserve"> = |</w:t>
      </w:r>
      <w:bookmarkStart w:id="2" w:name="_Hlk53691194"/>
      <w:r w:rsidR="00400EFE" w:rsidRPr="00C23168">
        <w:t>P</w:t>
      </w:r>
      <w:r w:rsidR="00400EFE">
        <w:rPr>
          <w:vertAlign w:val="subscript"/>
        </w:rPr>
        <w:t>P</w:t>
      </w:r>
      <w:r w:rsidR="00400EFE" w:rsidRPr="00C23168">
        <w:rPr>
          <w:vertAlign w:val="subscript"/>
        </w:rPr>
        <w:t>L</w:t>
      </w:r>
      <w:bookmarkEnd w:id="2"/>
      <w:r w:rsidR="00400EFE" w:rsidRPr="00C23168">
        <w:t xml:space="preserve"> – P|</w:t>
      </w:r>
      <w:r w:rsidR="00400EFE">
        <w:t xml:space="preserve">. </w:t>
      </w:r>
    </w:p>
    <w:p w14:paraId="35FF57A3" w14:textId="5C301C73" w:rsidR="003665F4" w:rsidRDefault="00CE3FE6" w:rsidP="00CE3FE6">
      <w:r>
        <w:t>F</w:t>
      </w:r>
      <w:r w:rsidRPr="005B032A">
        <w:t xml:space="preserve">or ensuring integrity it is necessary for the positioning error incurred when using a positioning method is within the error tolerated by the application, </w:t>
      </w:r>
      <w:bookmarkStart w:id="3" w:name="_Hlk53694335"/>
      <w:r w:rsidR="007F5931">
        <w:t xml:space="preserve">R &lt; </w:t>
      </w:r>
      <w:r w:rsidR="00400EFE">
        <w:t>R’’</w:t>
      </w:r>
      <w:r w:rsidRPr="005B032A">
        <w:t xml:space="preserve"> </w:t>
      </w:r>
      <w:r w:rsidR="007F5931">
        <w:rPr>
          <w:rFonts w:cs="Arial"/>
        </w:rPr>
        <w:t>&lt;</w:t>
      </w:r>
      <w:r w:rsidRPr="005B032A">
        <w:t xml:space="preserve"> </w:t>
      </w:r>
      <w:r w:rsidR="00400EFE">
        <w:t>R</w:t>
      </w:r>
      <w:r w:rsidRPr="005B032A">
        <w:t>’</w:t>
      </w:r>
      <w:bookmarkEnd w:id="3"/>
      <w:r w:rsidRPr="005B032A">
        <w:t>. Typically, this condition can be considered as the expected</w:t>
      </w:r>
      <w:r w:rsidR="007F5931">
        <w:t>/nominal</w:t>
      </w:r>
      <w:r w:rsidRPr="005B032A">
        <w:t xml:space="preserve"> operation for positioning. In the event of a failure where the </w:t>
      </w:r>
      <w:r w:rsidR="003665F4">
        <w:t xml:space="preserve">determined </w:t>
      </w:r>
      <w:r w:rsidRPr="005B032A">
        <w:t xml:space="preserve">positioning </w:t>
      </w:r>
      <w:r w:rsidR="007F5931">
        <w:t>information</w:t>
      </w:r>
      <w:r w:rsidRPr="005B032A">
        <w:t xml:space="preserve"> </w:t>
      </w:r>
      <w:r w:rsidR="00A279CA">
        <w:t xml:space="preserve">exceeds the </w:t>
      </w:r>
      <w:r w:rsidR="003665F4">
        <w:t xml:space="preserve">error </w:t>
      </w:r>
      <w:r w:rsidRPr="005B032A">
        <w:t xml:space="preserve">tolerated by the application (i.e. </w:t>
      </w:r>
      <w:r w:rsidR="00A279CA">
        <w:t>R</w:t>
      </w:r>
      <w:r w:rsidRPr="005B032A">
        <w:t xml:space="preserve"> </w:t>
      </w:r>
      <w:r>
        <w:rPr>
          <w:rFonts w:cs="Arial"/>
        </w:rPr>
        <w:t>&gt;</w:t>
      </w:r>
      <w:r w:rsidRPr="005B032A">
        <w:t xml:space="preserve"> </w:t>
      </w:r>
      <w:r w:rsidR="00A279CA">
        <w:t>R</w:t>
      </w:r>
      <w:r w:rsidR="007F5931">
        <w:t>’</w:t>
      </w:r>
      <w:r w:rsidR="00862DCA">
        <w:t xml:space="preserve"> when P</w:t>
      </w:r>
      <w:r w:rsidR="007F5931">
        <w:rPr>
          <w:vertAlign w:val="subscript"/>
        </w:rPr>
        <w:t>i</w:t>
      </w:r>
      <w:r w:rsidR="00862DCA">
        <w:rPr>
          <w:vertAlign w:val="subscript"/>
        </w:rPr>
        <w:t xml:space="preserve">  </w:t>
      </w:r>
      <w:r w:rsidR="00862DCA">
        <w:t>&gt; P</w:t>
      </w:r>
      <w:r w:rsidR="00862DCA">
        <w:rPr>
          <w:vertAlign w:val="subscript"/>
        </w:rPr>
        <w:t>AL</w:t>
      </w:r>
      <w:r w:rsidR="00862DCA">
        <w:t xml:space="preserve"> </w:t>
      </w:r>
      <w:r w:rsidR="00A279CA">
        <w:t xml:space="preserve"> or </w:t>
      </w:r>
      <w:r w:rsidR="007F5931">
        <w:t>R’’</w:t>
      </w:r>
      <w:r w:rsidR="007F5931" w:rsidRPr="005B032A">
        <w:t xml:space="preserve"> </w:t>
      </w:r>
      <w:r w:rsidR="007F5931">
        <w:rPr>
          <w:rFonts w:cs="Arial"/>
        </w:rPr>
        <w:t>&gt;</w:t>
      </w:r>
      <w:r w:rsidR="007F5931" w:rsidRPr="005B032A">
        <w:t xml:space="preserve"> </w:t>
      </w:r>
      <w:r w:rsidR="007F5931">
        <w:t>R’ when P</w:t>
      </w:r>
      <w:r w:rsidR="007F5931">
        <w:rPr>
          <w:vertAlign w:val="subscript"/>
        </w:rPr>
        <w:t xml:space="preserve">PL  </w:t>
      </w:r>
      <w:r w:rsidR="007F5931">
        <w:t>&gt; P</w:t>
      </w:r>
      <w:r w:rsidR="007F5931">
        <w:rPr>
          <w:vertAlign w:val="subscript"/>
        </w:rPr>
        <w:t>AL</w:t>
      </w:r>
      <w:r w:rsidRPr="005B032A">
        <w:t>), as per the requirement for integrity, it is necessary for the application</w:t>
      </w:r>
      <w:r w:rsidR="00E57D97">
        <w:t xml:space="preserve"> or </w:t>
      </w:r>
      <w:r w:rsidRPr="005B032A">
        <w:t xml:space="preserve">LCS client to be provided with alert/warning messages. </w:t>
      </w:r>
      <w:r w:rsidR="003665F4">
        <w:t>In addition, even in the case when the determined positioning information is within the error tolerated by the application but exceeds the protection limit (i.e. R’’ &lt; R</w:t>
      </w:r>
      <w:r w:rsidR="003665F4" w:rsidRPr="005B032A">
        <w:t xml:space="preserve"> </w:t>
      </w:r>
      <w:r w:rsidR="003665F4">
        <w:rPr>
          <w:rFonts w:cs="Arial"/>
        </w:rPr>
        <w:t>&lt;</w:t>
      </w:r>
      <w:r w:rsidR="003665F4" w:rsidRPr="005B032A">
        <w:t xml:space="preserve"> </w:t>
      </w:r>
      <w:r w:rsidR="003665F4">
        <w:t>R’), an alert message should be triggered to the application for indicating that the positioning information is misleading or the protection limit is no longer valid.</w:t>
      </w:r>
    </w:p>
    <w:p w14:paraId="2CECD820" w14:textId="40A798B4" w:rsidR="00C23168" w:rsidRDefault="00CE3FE6" w:rsidP="00CE3FE6">
      <w:r>
        <w:t>The design objective of positioning service, which may be to minimize the probability of positioning failure when using a positioning method i, is given by min[ F</w:t>
      </w:r>
      <w:r>
        <w:rPr>
          <w:vertAlign w:val="subscript"/>
        </w:rPr>
        <w:t>i</w:t>
      </w:r>
      <w:r>
        <w:t xml:space="preserve"> ]= min[ Pr(</w:t>
      </w:r>
      <w:r w:rsidR="007F5931">
        <w:t>R</w:t>
      </w:r>
      <w:r w:rsidRPr="005B032A">
        <w:t xml:space="preserve"> </w:t>
      </w:r>
      <w:r>
        <w:rPr>
          <w:rFonts w:cs="Arial"/>
        </w:rPr>
        <w:t>&gt;</w:t>
      </w:r>
      <w:r w:rsidRPr="005B032A">
        <w:t xml:space="preserve"> </w:t>
      </w:r>
      <w:r w:rsidR="007F5931">
        <w:t>R</w:t>
      </w:r>
      <w:r w:rsidRPr="005B032A">
        <w:t>’</w:t>
      </w:r>
      <w:r>
        <w:t>) ]. The probability of positioning failure can be modelled</w:t>
      </w:r>
      <w:r w:rsidR="006B6B36">
        <w:t xml:space="preserve"> as a function or error sources and time</w:t>
      </w:r>
      <w:r>
        <w:t xml:space="preserve"> as F</w:t>
      </w:r>
      <w:r>
        <w:rPr>
          <w:vertAlign w:val="subscript"/>
        </w:rPr>
        <w:t>i</w:t>
      </w:r>
      <w:r>
        <w:t xml:space="preserve"> = f(</w:t>
      </w:r>
      <w:r w:rsidR="006B6B36">
        <w:t>E</w:t>
      </w:r>
      <w:r w:rsidR="006B6B36">
        <w:rPr>
          <w:vertAlign w:val="subscript"/>
        </w:rPr>
        <w:t>c</w:t>
      </w:r>
      <w:r>
        <w:t>,</w:t>
      </w:r>
      <w:r w:rsidR="006B6B36">
        <w:t xml:space="preserve"> E</w:t>
      </w:r>
      <w:r w:rsidR="006B6B36">
        <w:rPr>
          <w:vertAlign w:val="subscript"/>
        </w:rPr>
        <w:t>tx</w:t>
      </w:r>
      <w:r w:rsidR="006B6B36">
        <w:t xml:space="preserve"> , E</w:t>
      </w:r>
      <w:r w:rsidR="006B6B36">
        <w:rPr>
          <w:vertAlign w:val="subscript"/>
        </w:rPr>
        <w:t xml:space="preserve">ex </w:t>
      </w:r>
      <w:r w:rsidR="0001301C">
        <w:rPr>
          <w:vertAlign w:val="subscript"/>
        </w:rPr>
        <w:t xml:space="preserve">, </w:t>
      </w:r>
      <w:r w:rsidR="006B6B36">
        <w:t>E</w:t>
      </w:r>
      <w:r w:rsidR="006B6B36">
        <w:rPr>
          <w:vertAlign w:val="subscript"/>
        </w:rPr>
        <w:t>ue ,</w:t>
      </w:r>
      <w:r>
        <w:t xml:space="preserve">T), where </w:t>
      </w:r>
      <w:r w:rsidR="006B6B36">
        <w:t>E</w:t>
      </w:r>
      <w:r w:rsidR="006B6B36">
        <w:rPr>
          <w:vertAlign w:val="subscript"/>
        </w:rPr>
        <w:t xml:space="preserve">c </w:t>
      </w:r>
      <w:r w:rsidR="006B6B36">
        <w:t>is the faults/errors in the correction data, E</w:t>
      </w:r>
      <w:r w:rsidR="006B6B36">
        <w:rPr>
          <w:vertAlign w:val="subscript"/>
        </w:rPr>
        <w:t xml:space="preserve">tx </w:t>
      </w:r>
      <w:r w:rsidR="006B6B36">
        <w:t>is the faults in transmitting data to UE, E</w:t>
      </w:r>
      <w:r w:rsidR="006B6B36">
        <w:rPr>
          <w:vertAlign w:val="subscript"/>
        </w:rPr>
        <w:t xml:space="preserve">ex </w:t>
      </w:r>
      <w:r w:rsidR="006B6B36">
        <w:t>represents the external feared events, E</w:t>
      </w:r>
      <w:r w:rsidR="006B6B36">
        <w:rPr>
          <w:vertAlign w:val="subscript"/>
        </w:rPr>
        <w:t xml:space="preserve">ue </w:t>
      </w:r>
      <w:r w:rsidR="006B6B36">
        <w:t xml:space="preserve">represents the faults in UE </w:t>
      </w:r>
      <w:r>
        <w:t xml:space="preserve">and T is the time duration for determining the UE position. </w:t>
      </w:r>
    </w:p>
    <w:p w14:paraId="06526A14" w14:textId="1AA4520F" w:rsidR="00CE3FE6" w:rsidRPr="0034754B" w:rsidRDefault="00CE3FE6" w:rsidP="00CE3FE6">
      <w:r>
        <w:t xml:space="preserve">In the case when different positioning methods are used, the overall probability of positioning failure can be approximated as </w:t>
      </w:r>
      <w:r>
        <w:rPr>
          <w:rFonts w:cs="Arial"/>
        </w:rPr>
        <w:t>(</w:t>
      </w:r>
      <w:r>
        <w:t>F</w:t>
      </w:r>
      <w:r>
        <w:rPr>
          <w:vertAlign w:val="subscript"/>
        </w:rPr>
        <w:t>i</w:t>
      </w:r>
      <w:r>
        <w:t>)</w:t>
      </w:r>
      <w:r>
        <w:rPr>
          <w:vertAlign w:val="superscript"/>
        </w:rPr>
        <w:t>n</w:t>
      </w:r>
      <w:r>
        <w:t xml:space="preserve"> where n is the number of different positioning methods applied. From the model, it can be inferred that to minimize the positioning failure and consequently, to ensure integrity, either the probability of failure of a given positioning method should be minimized or multiple positioning methods should be applied.  </w:t>
      </w:r>
    </w:p>
    <w:p w14:paraId="249C815C" w14:textId="653B6BDA" w:rsidR="00EE4A51" w:rsidRDefault="00CE3FE6" w:rsidP="00C5087E">
      <w:r w:rsidRPr="005B032A">
        <w:t xml:space="preserve">In general, the tolerated error may vary depending on the application/use case, where it can be assumed that safety related use cases may have more stringent integrity requirements. In real deployments, it is possible for the performance of a positioning method to degrade and impact the positioning </w:t>
      </w:r>
      <w:r>
        <w:t xml:space="preserve">accuracy </w:t>
      </w:r>
      <w:r w:rsidRPr="005B032A">
        <w:t xml:space="preserve">due to the </w:t>
      </w:r>
      <w:r w:rsidR="0001301C">
        <w:t>activation of faults within the</w:t>
      </w:r>
      <w:r w:rsidRPr="005B032A">
        <w:t xml:space="preserve"> </w:t>
      </w:r>
      <w:r w:rsidR="0001301C">
        <w:t xml:space="preserve">error sources. </w:t>
      </w:r>
      <w:r w:rsidRPr="005B032A">
        <w:t xml:space="preserve">In these cases, a mechanism to </w:t>
      </w:r>
      <w:r w:rsidR="0001301C">
        <w:t>detect and report the activation of faults in different error sources in the end-to-end positioning system, including the RAN and UE, should be studied.</w:t>
      </w:r>
      <w:r w:rsidR="005836E8">
        <w:t xml:space="preserve"> Impact of positioning failure on report or request procedure for positioning information should also be investigated.</w:t>
      </w:r>
      <w:r w:rsidR="0001301C">
        <w:t xml:space="preserve"> For </w:t>
      </w:r>
      <w:r w:rsidRPr="005B032A">
        <w:t>identif</w:t>
      </w:r>
      <w:r w:rsidR="0001301C">
        <w:t>ying</w:t>
      </w:r>
      <w:r w:rsidRPr="005B032A">
        <w:t xml:space="preserve"> the presence of positioning erro</w:t>
      </w:r>
      <w:r w:rsidR="00EE4A51">
        <w:t>r</w:t>
      </w:r>
      <w:r w:rsidRPr="005B032A">
        <w:t xml:space="preserve"> </w:t>
      </w:r>
      <w:r w:rsidR="0001301C">
        <w:t xml:space="preserve">a technique to </w:t>
      </w:r>
      <w:r w:rsidRPr="005B032A">
        <w:t xml:space="preserve">validate the </w:t>
      </w:r>
      <w:r>
        <w:t xml:space="preserve">determined </w:t>
      </w:r>
      <w:r w:rsidRPr="005B032A">
        <w:t xml:space="preserve">positioning </w:t>
      </w:r>
      <w:r>
        <w:t>information</w:t>
      </w:r>
      <w:r w:rsidRPr="005B032A">
        <w:t xml:space="preserve"> </w:t>
      </w:r>
      <w:r w:rsidR="00EE4A51">
        <w:t xml:space="preserve">on a timely basis </w:t>
      </w:r>
      <w:r w:rsidRPr="005B032A">
        <w:t xml:space="preserve">with respect to </w:t>
      </w:r>
      <w:r>
        <w:t xml:space="preserve">an alternative/reference positioning information </w:t>
      </w:r>
      <w:r w:rsidRPr="005B032A">
        <w:t xml:space="preserve">may be </w:t>
      </w:r>
      <w:r>
        <w:t xml:space="preserve">considered. </w:t>
      </w:r>
    </w:p>
    <w:p w14:paraId="7161D26F" w14:textId="72128B94" w:rsidR="00C96730" w:rsidRPr="001B7E13" w:rsidRDefault="00C96730" w:rsidP="00C5087E">
      <w:pPr>
        <w:rPr>
          <w:b/>
          <w:bCs/>
        </w:rPr>
      </w:pPr>
      <w:r w:rsidRPr="001B7E13">
        <w:rPr>
          <w:b/>
          <w:bCs/>
        </w:rPr>
        <w:t>Proposal 1 : Impact of positioning failure</w:t>
      </w:r>
      <w:r w:rsidR="001F3AAA" w:rsidRPr="001B7E13">
        <w:rPr>
          <w:b/>
          <w:bCs/>
        </w:rPr>
        <w:t xml:space="preserve"> on positioning accuracy and latency</w:t>
      </w:r>
      <w:r w:rsidRPr="001B7E13">
        <w:rPr>
          <w:b/>
          <w:bCs/>
        </w:rPr>
        <w:t xml:space="preserve"> should be investigated</w:t>
      </w:r>
    </w:p>
    <w:p w14:paraId="6BAAFFC3" w14:textId="30E08E0A" w:rsidR="0031366C" w:rsidRDefault="0031366C" w:rsidP="0031366C">
      <w:pPr>
        <w:pStyle w:val="Heading1"/>
        <w:pBdr>
          <w:top w:val="single" w:sz="12" w:space="5" w:color="auto"/>
        </w:pBdr>
        <w:spacing w:after="120"/>
        <w:rPr>
          <w:rFonts w:ascii="Times New Roman" w:hAnsi="Times New Roman"/>
          <w:szCs w:val="32"/>
        </w:rPr>
      </w:pPr>
      <w:r>
        <w:rPr>
          <w:rFonts w:ascii="Times New Roman" w:hAnsi="Times New Roman"/>
          <w:szCs w:val="32"/>
        </w:rPr>
        <w:t>Mobility modelling</w:t>
      </w:r>
      <w:r w:rsidR="002033C5">
        <w:rPr>
          <w:rFonts w:ascii="Times New Roman" w:hAnsi="Times New Roman"/>
          <w:szCs w:val="32"/>
        </w:rPr>
        <w:t xml:space="preserve"> using constant velocity model</w:t>
      </w:r>
    </w:p>
    <w:p w14:paraId="4669036E" w14:textId="0A2782BC" w:rsidR="0031366C" w:rsidRDefault="0031366C" w:rsidP="0031366C">
      <w:r>
        <w:t xml:space="preserve"> </w:t>
      </w:r>
      <w:r w:rsidR="00243583">
        <w:t>In RAN1 analysis, mobility is included as part of the evaluation assumptions</w:t>
      </w:r>
      <w:r w:rsidR="004851D6">
        <w:t xml:space="preserve"> [1]</w:t>
      </w:r>
      <w:r w:rsidR="00243583">
        <w:t xml:space="preserve">. </w:t>
      </w:r>
      <w:r>
        <w:t>In target tracking, state-space based model is used to model maneuvering objects. Considering future evaluations involving automobile, trains or drones, the mobility model assumed in the evaluation should be forward-compatible. The state space model captures velocity and cartesian coordinates of UE</w:t>
      </w:r>
      <w:r w:rsidR="001D61C5">
        <w:t xml:space="preserve"> [2]</w:t>
      </w:r>
      <w:r>
        <w:t xml:space="preserve">. In this contribution, nearly constant velocity and coordinated turn model is introduced. </w:t>
      </w:r>
    </w:p>
    <w:p w14:paraId="28CF277C" w14:textId="77777777" w:rsidR="008A508A" w:rsidRDefault="008A508A" w:rsidP="0031366C"/>
    <w:p w14:paraId="26AD8731" w14:textId="4418D3FD" w:rsidR="0031366C" w:rsidRDefault="0031366C" w:rsidP="0031366C">
      <w:r w:rsidRPr="00184416">
        <w:rPr>
          <w:u w:val="single"/>
        </w:rPr>
        <w:lastRenderedPageBreak/>
        <w:t>Constant velocity model</w:t>
      </w:r>
    </w:p>
    <w:p w14:paraId="6A2836A5" w14:textId="77777777" w:rsidR="0031366C" w:rsidRDefault="0031366C" w:rsidP="0031366C">
      <w:r>
        <w:t xml:space="preserve">The nearly constant velocity model, in which a UE moves in one direction at constant speed, can be expressed as follows </w:t>
      </w:r>
      <w:r>
        <w:fldChar w:fldCharType="begin"/>
      </w:r>
      <w:r>
        <w:instrText xml:space="preserve"> REF _Ref47444213 \r \h </w:instrText>
      </w:r>
      <w:r>
        <w:fldChar w:fldCharType="separate"/>
      </w:r>
      <w:r>
        <w:t>[3]</w:t>
      </w:r>
      <w:r>
        <w:fldChar w:fldCharType="end"/>
      </w:r>
      <w:r>
        <w:t xml:space="preserve"> : </w:t>
      </w:r>
    </w:p>
    <w:p w14:paraId="23C53B99" w14:textId="77777777" w:rsidR="0031366C" w:rsidRDefault="0031366C" w:rsidP="0031366C">
      <w:pPr>
        <w:jc w:val="right"/>
      </w:pPr>
      <m:oMath>
        <m:r>
          <m:rPr>
            <m:sty m:val="bi"/>
          </m:rPr>
          <w:rPr>
            <w:rFonts w:ascii="Cambria Math" w:hAnsi="Cambria Math"/>
          </w:rPr>
          <m:t>x</m:t>
        </m:r>
        <m:d>
          <m:dPr>
            <m:ctrlPr>
              <w:rPr>
                <w:rFonts w:ascii="Cambria Math" w:hAnsi="Cambria Math"/>
                <w:i/>
              </w:rPr>
            </m:ctrlPr>
          </m:dPr>
          <m:e>
            <m:r>
              <w:rPr>
                <w:rFonts w:ascii="Cambria Math" w:hAnsi="Cambria Math"/>
              </w:rPr>
              <m:t>k+1</m:t>
            </m:r>
          </m:e>
        </m:d>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T</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T</m:t>
                  </m:r>
                </m:e>
              </m:mr>
              <m:mr>
                <m:e>
                  <m:r>
                    <w:rPr>
                      <w:rFonts w:ascii="Cambria Math" w:hAnsi="Cambria Math"/>
                    </w:rPr>
                    <m:t>0</m:t>
                  </m:r>
                </m:e>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e>
              </m:mr>
            </m:m>
          </m:e>
        </m:d>
        <m:r>
          <m:rPr>
            <m:sty m:val="bi"/>
          </m:rP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2</m:t>
                      </m:r>
                    </m:den>
                  </m:f>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T</m:t>
                  </m:r>
                </m:e>
                <m:e>
                  <m:r>
                    <w:rPr>
                      <w:rFonts w:ascii="Cambria Math" w:hAnsi="Cambria Math"/>
                    </w:rPr>
                    <m:t>0</m:t>
                  </m:r>
                </m:e>
              </m:mr>
              <m:mr>
                <m:e>
                  <m:r>
                    <w:rPr>
                      <w:rFonts w:ascii="Cambria Math" w:hAnsi="Cambria Math"/>
                    </w:rPr>
                    <m:t>0</m:t>
                  </m:r>
                </m:e>
                <m:e>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2</m:t>
                      </m:r>
                    </m:den>
                  </m:f>
                </m:e>
              </m:mr>
              <m:mr>
                <m:e>
                  <m:r>
                    <w:rPr>
                      <w:rFonts w:ascii="Cambria Math" w:hAnsi="Cambria Math"/>
                    </w:rPr>
                    <m:t>0</m:t>
                  </m:r>
                </m:e>
                <m:e>
                  <m:r>
                    <w:rPr>
                      <w:rFonts w:ascii="Cambria Math" w:hAnsi="Cambria Math"/>
                    </w:rPr>
                    <m:t>T</m:t>
                  </m:r>
                </m:e>
              </m:mr>
            </m:m>
          </m:e>
        </m:d>
        <m:r>
          <m:rPr>
            <m:sty m:val="bi"/>
          </m:rPr>
          <w:rPr>
            <w:rFonts w:ascii="Cambria Math" w:hAnsi="Cambria Math"/>
          </w:rPr>
          <m:t>v</m:t>
        </m:r>
        <m:r>
          <w:rPr>
            <w:rFonts w:ascii="Cambria Math" w:hAnsi="Cambria Math"/>
          </w:rPr>
          <m:t>(k)</m:t>
        </m:r>
      </m:oMath>
      <w:r>
        <w:t xml:space="preserve"> </w:t>
      </w:r>
      <w:r>
        <w:tab/>
      </w:r>
      <w:r>
        <w:tab/>
      </w:r>
      <w:r>
        <w:tab/>
      </w:r>
      <w:r>
        <w:tab/>
        <w:t>(1)</w:t>
      </w:r>
    </w:p>
    <w:p w14:paraId="608C2662" w14:textId="77777777" w:rsidR="0031366C" w:rsidRDefault="0031366C" w:rsidP="0031366C">
      <w:r>
        <w:t xml:space="preserve">where </w:t>
      </w:r>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x</m:t>
                      </m:r>
                    </m:e>
                    <m:e>
                      <m:acc>
                        <m:accPr>
                          <m:chr m:val="̇"/>
                          <m:ctrlPr>
                            <w:rPr>
                              <w:rFonts w:ascii="Cambria Math" w:hAnsi="Cambria Math"/>
                              <w:i/>
                            </w:rPr>
                          </m:ctrlPr>
                        </m:accPr>
                        <m:e>
                          <m:r>
                            <w:rPr>
                              <w:rFonts w:ascii="Cambria Math" w:hAnsi="Cambria Math"/>
                            </w:rPr>
                            <m:t>x</m:t>
                          </m:r>
                        </m:e>
                      </m:acc>
                      <m:ctrlPr>
                        <w:rPr>
                          <w:rFonts w:ascii="Cambria Math" w:eastAsia="Cambria Math" w:hAnsi="Cambria Math" w:cs="Cambria Math"/>
                          <w:i/>
                        </w:rPr>
                      </m:ctrlPr>
                    </m:e>
                    <m:e>
                      <m:r>
                        <w:rPr>
                          <w:rFonts w:ascii="Cambria Math" w:eastAsia="Cambria Math" w:hAnsi="Cambria Math" w:cs="Cambria Math"/>
                        </w:rPr>
                        <m:t>y</m:t>
                      </m:r>
                    </m:e>
                    <m:e>
                      <m:acc>
                        <m:accPr>
                          <m:chr m:val="̇"/>
                          <m:ctrlPr>
                            <w:rPr>
                              <w:rFonts w:ascii="Cambria Math" w:hAnsi="Cambria Math"/>
                              <w:i/>
                            </w:rPr>
                          </m:ctrlPr>
                        </m:accPr>
                        <m:e>
                          <m:r>
                            <w:rPr>
                              <w:rFonts w:ascii="Cambria Math" w:hAnsi="Cambria Math"/>
                            </w:rPr>
                            <m:t>y</m:t>
                          </m:r>
                        </m:e>
                      </m:acc>
                    </m:e>
                  </m:mr>
                </m:m>
              </m:e>
            </m:d>
          </m:e>
          <m:sup>
            <m:r>
              <w:rPr>
                <w:rFonts w:ascii="Cambria Math" w:hAnsi="Cambria Math"/>
              </w:rPr>
              <m:t>T</m:t>
            </m:r>
          </m:sup>
        </m:sSup>
      </m:oMath>
      <w:r>
        <w:t xml:space="preserve">, with Cartesian coordinates given by </w:t>
      </w:r>
      <m:oMath>
        <m:r>
          <w:rPr>
            <w:rFonts w:ascii="Cambria Math" w:hAnsi="Cambria Math"/>
          </w:rPr>
          <m:t>x</m:t>
        </m:r>
      </m:oMath>
      <w:r>
        <w:t xml:space="preserve"> and </w:t>
      </w:r>
      <m:oMath>
        <m:r>
          <w:rPr>
            <w:rFonts w:ascii="Cambria Math" w:hAnsi="Cambria Math"/>
          </w:rPr>
          <m:t>y</m:t>
        </m:r>
      </m:oMath>
      <w:r>
        <w:t xml:space="preserve">, respectively. Sample time in the mobility model is given by </w:t>
      </w:r>
      <m:oMath>
        <m:r>
          <w:rPr>
            <w:rFonts w:ascii="Cambria Math" w:hAnsi="Cambria Math"/>
          </w:rPr>
          <m:t>T</m:t>
        </m:r>
      </m:oMath>
      <w:r>
        <w:t xml:space="preserve"> in the equation above. Velocity in each direction are given by </w:t>
      </w:r>
      <m:oMath>
        <m:acc>
          <m:accPr>
            <m:chr m:val="̇"/>
            <m:ctrlPr>
              <w:rPr>
                <w:rFonts w:ascii="Cambria Math" w:hAnsi="Cambria Math"/>
                <w:i/>
              </w:rPr>
            </m:ctrlPr>
          </m:accPr>
          <m:e>
            <m:r>
              <w:rPr>
                <w:rFonts w:ascii="Cambria Math" w:hAnsi="Cambria Math"/>
              </w:rPr>
              <m:t>x</m:t>
            </m:r>
          </m:e>
        </m:acc>
      </m:oMath>
      <w:r>
        <w:t xml:space="preserve"> and </w:t>
      </w:r>
      <m:oMath>
        <m:acc>
          <m:accPr>
            <m:chr m:val="̇"/>
            <m:ctrlPr>
              <w:rPr>
                <w:rFonts w:ascii="Cambria Math" w:hAnsi="Cambria Math"/>
                <w:i/>
              </w:rPr>
            </m:ctrlPr>
          </m:accPr>
          <m:e>
            <m:r>
              <w:rPr>
                <w:rFonts w:ascii="Cambria Math" w:hAnsi="Cambria Math"/>
              </w:rPr>
              <m:t>y</m:t>
            </m:r>
          </m:e>
        </m:acc>
      </m:oMath>
      <w:r>
        <w:t xml:space="preserve">. Unpredictable disturbances in the mobility model are given </w:t>
      </w:r>
      <m:oMath>
        <m:r>
          <m:rPr>
            <m:sty m:val="bi"/>
          </m:rPr>
          <w:rPr>
            <w:rFonts w:ascii="Cambria Math" w:hAnsi="Cambria Math"/>
          </w:rPr>
          <m:t>v</m:t>
        </m:r>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e>
                      <m:sSub>
                        <m:sSubPr>
                          <m:ctrlPr>
                            <w:rPr>
                              <w:rFonts w:ascii="Cambria Math" w:hAnsi="Cambria Math"/>
                              <w:i/>
                            </w:rPr>
                          </m:ctrlPr>
                        </m:sSubPr>
                        <m:e>
                          <m:r>
                            <w:rPr>
                              <w:rFonts w:ascii="Cambria Math" w:hAnsi="Cambria Math"/>
                            </w:rPr>
                            <m:t>v</m:t>
                          </m:r>
                        </m:e>
                        <m:sub>
                          <m:r>
                            <w:rPr>
                              <w:rFonts w:ascii="Cambria Math" w:hAnsi="Cambria Math"/>
                            </w:rPr>
                            <m:t>1</m:t>
                          </m:r>
                        </m:sub>
                      </m:sSub>
                    </m:e>
                  </m:mr>
                </m:m>
              </m:e>
            </m:d>
          </m:e>
          <m:sup>
            <m:r>
              <w:rPr>
                <w:rFonts w:ascii="Cambria Math" w:hAnsi="Cambria Math"/>
              </w:rPr>
              <m:t>T</m:t>
            </m:r>
          </m:sup>
        </m:sSup>
      </m:oMath>
      <w:r>
        <w:t xml:space="preserve"> where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AWGN with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e>
        </m:d>
        <m:r>
          <w:rPr>
            <w:rFonts w:ascii="Cambria Math" w:hAnsi="Cambria Math"/>
          </w:rPr>
          <m:t>=0</m:t>
        </m:r>
      </m:oMath>
      <w:r>
        <w:t xml:space="preserve"> and </w:t>
      </w:r>
      <m:oMath>
        <m:r>
          <w:rPr>
            <w:rFonts w:ascii="Cambria Math" w:hAnsi="Cambria Math"/>
          </w:rPr>
          <m:t>var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oMath>
      <w:r>
        <w:t xml:space="preserve">. </w:t>
      </w:r>
    </w:p>
    <w:p w14:paraId="2FD07F12" w14:textId="77777777" w:rsidR="0031366C" w:rsidRPr="00184416" w:rsidRDefault="0031366C" w:rsidP="0031366C">
      <w:pPr>
        <w:rPr>
          <w:u w:val="single"/>
        </w:rPr>
      </w:pPr>
      <w:r w:rsidRPr="00184416">
        <w:rPr>
          <w:u w:val="single"/>
        </w:rPr>
        <w:t>Coordinated turn model</w:t>
      </w:r>
    </w:p>
    <w:p w14:paraId="75C107C6" w14:textId="77777777" w:rsidR="0031366C" w:rsidRDefault="0031366C" w:rsidP="0031366C">
      <w:r>
        <w:t xml:space="preserve"> The coordinated model with a constant turn rate </w:t>
      </w:r>
      <m:oMath>
        <m:r>
          <m:rPr>
            <m:sty m:val="p"/>
          </m:rPr>
          <w:rPr>
            <w:rFonts w:ascii="Cambria Math" w:hAnsi="Cambria Math"/>
          </w:rPr>
          <m:t>Ω</m:t>
        </m:r>
      </m:oMath>
      <w:r>
        <w:t xml:space="preserve"> (radians per sec) can be expressed as follows :</w:t>
      </w:r>
    </w:p>
    <w:p w14:paraId="7BD187C1" w14:textId="07895792" w:rsidR="0031366C" w:rsidRDefault="0031366C" w:rsidP="001B7E13">
      <w:pPr>
        <w:jc w:val="center"/>
      </w:pPr>
      <w:r>
        <w:t xml:space="preserve"> </w:t>
      </w:r>
      <m:oMath>
        <m:r>
          <m:rPr>
            <m:sty m:val="bi"/>
          </m:rPr>
          <w:rPr>
            <w:rFonts w:ascii="Cambria Math" w:hAnsi="Cambria Math"/>
          </w:rPr>
          <m:t>x</m:t>
        </m:r>
        <m:d>
          <m:dPr>
            <m:ctrlPr>
              <w:rPr>
                <w:rFonts w:ascii="Cambria Math" w:hAnsi="Cambria Math"/>
                <w:i/>
              </w:rPr>
            </m:ctrlPr>
          </m:dPr>
          <m:e>
            <m:r>
              <w:rPr>
                <w:rFonts w:ascii="Cambria Math" w:hAnsi="Cambria Math"/>
              </w:rPr>
              <m:t>k+1</m:t>
            </m:r>
          </m:e>
        </m:d>
        <m:r>
          <w:rPr>
            <w:rFonts w:ascii="Cambria Math" w:hAns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hAnsi="Cambria Math"/>
                    </w:rPr>
                    <m:t>1</m:t>
                  </m:r>
                </m:e>
                <m:e>
                  <m:f>
                    <m:fPr>
                      <m:ctrlPr>
                        <w:rPr>
                          <w:rFonts w:ascii="Cambria Math" w:hAnsi="Cambria Math"/>
                          <w:i/>
                        </w:rPr>
                      </m:ctrlPr>
                    </m:fPr>
                    <m:num>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r>
                                <w:rPr>
                                  <w:rFonts w:ascii="Cambria Math" w:hAnsi="Cambria Math"/>
                                </w:rPr>
                                <m:t>T</m:t>
                              </m:r>
                            </m:e>
                          </m:d>
                        </m:e>
                      </m:func>
                      <m:ctrlPr>
                        <w:rPr>
                          <w:rFonts w:ascii="Cambria Math" w:hAnsi="Cambria Math"/>
                        </w:rPr>
                      </m:ctrlPr>
                    </m:num>
                    <m:den>
                      <m:r>
                        <m:rPr>
                          <m:sty m:val="p"/>
                        </m:rPr>
                        <w:rPr>
                          <w:rFonts w:ascii="Cambria Math" w:hAnsi="Cambria Math"/>
                        </w:rPr>
                        <m:t>Ω</m:t>
                      </m:r>
                    </m:den>
                  </m:f>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m:t>
                  </m:r>
                  <m:f>
                    <m:fPr>
                      <m:ctrlPr>
                        <w:rPr>
                          <w:rFonts w:ascii="Cambria Math" w:hAnsi="Cambria Math"/>
                          <w:i/>
                        </w:rPr>
                      </m:ctrlPr>
                    </m:fPr>
                    <m:num>
                      <m:func>
                        <m:funcPr>
                          <m:ctrlPr>
                            <w:rPr>
                              <w:rFonts w:ascii="Cambria Math" w:hAnsi="Cambria Math"/>
                            </w:rPr>
                          </m:ctrlPr>
                        </m:funcPr>
                        <m:fName>
                          <m:r>
                            <m:rPr>
                              <m:sty m:val="p"/>
                            </m:rPr>
                            <w:rPr>
                              <w:rFonts w:ascii="Cambria Math" w:hAnsi="Cambria Math"/>
                            </w:rPr>
                            <m:t>1-cos</m:t>
                          </m:r>
                        </m:fName>
                        <m:e>
                          <m:d>
                            <m:dPr>
                              <m:ctrlPr>
                                <w:rPr>
                                  <w:rFonts w:ascii="Cambria Math" w:hAnsi="Cambria Math"/>
                                  <w:i/>
                                </w:rPr>
                              </m:ctrlPr>
                            </m:dPr>
                            <m:e>
                              <m:r>
                                <m:rPr>
                                  <m:sty m:val="p"/>
                                </m:rPr>
                                <w:rPr>
                                  <w:rFonts w:ascii="Cambria Math" w:hAnsi="Cambria Math"/>
                                </w:rPr>
                                <m:t>Ω</m:t>
                              </m:r>
                              <m:r>
                                <w:rPr>
                                  <w:rFonts w:ascii="Cambria Math" w:hAnsi="Cambria Math"/>
                                </w:rPr>
                                <m:t>T</m:t>
                              </m:r>
                            </m:e>
                          </m:d>
                        </m:e>
                      </m:func>
                      <m:ctrlPr>
                        <w:rPr>
                          <w:rFonts w:ascii="Cambria Math" w:hAnsi="Cambria Math"/>
                        </w:rPr>
                      </m:ctrlPr>
                    </m:num>
                    <m:den>
                      <m:r>
                        <m:rPr>
                          <m:sty m:val="p"/>
                        </m:rPr>
                        <w:rPr>
                          <w:rFonts w:ascii="Cambria Math" w:hAnsi="Cambria Math"/>
                        </w:rPr>
                        <m:t>Ω</m:t>
                      </m:r>
                    </m:den>
                  </m:f>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r>
                            <w:rPr>
                              <w:rFonts w:ascii="Cambria Math" w:hAnsi="Cambria Math"/>
                            </w:rPr>
                            <m:t>T</m:t>
                          </m:r>
                        </m:e>
                      </m:d>
                    </m:e>
                  </m:func>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r>
                            <w:rPr>
                              <w:rFonts w:ascii="Cambria Math" w:hAnsi="Cambria Math"/>
                            </w:rPr>
                            <m:t>T</m:t>
                          </m:r>
                        </m:e>
                      </m:d>
                    </m:e>
                  </m:func>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f>
                    <m:fPr>
                      <m:ctrlPr>
                        <w:rPr>
                          <w:rFonts w:ascii="Cambria Math" w:hAnsi="Cambria Math"/>
                          <w:i/>
                        </w:rPr>
                      </m:ctrlPr>
                    </m:fPr>
                    <m:num>
                      <m:func>
                        <m:funcPr>
                          <m:ctrlPr>
                            <w:rPr>
                              <w:rFonts w:ascii="Cambria Math" w:hAnsi="Cambria Math"/>
                            </w:rPr>
                          </m:ctrlPr>
                        </m:funcPr>
                        <m:fName>
                          <m:r>
                            <m:rPr>
                              <m:sty m:val="p"/>
                            </m:rPr>
                            <w:rPr>
                              <w:rFonts w:ascii="Cambria Math" w:hAnsi="Cambria Math"/>
                            </w:rPr>
                            <m:t>1-cos</m:t>
                          </m:r>
                        </m:fName>
                        <m:e>
                          <m:d>
                            <m:dPr>
                              <m:ctrlPr>
                                <w:rPr>
                                  <w:rFonts w:ascii="Cambria Math" w:hAnsi="Cambria Math"/>
                                  <w:i/>
                                </w:rPr>
                              </m:ctrlPr>
                            </m:dPr>
                            <m:e>
                              <m:r>
                                <m:rPr>
                                  <m:sty m:val="p"/>
                                </m:rPr>
                                <w:rPr>
                                  <w:rFonts w:ascii="Cambria Math" w:hAnsi="Cambria Math"/>
                                </w:rPr>
                                <m:t>Ω</m:t>
                              </m:r>
                              <m:r>
                                <w:rPr>
                                  <w:rFonts w:ascii="Cambria Math" w:hAnsi="Cambria Math"/>
                                </w:rPr>
                                <m:t>T</m:t>
                              </m:r>
                            </m:e>
                          </m:d>
                        </m:e>
                      </m:func>
                      <m:ctrlPr>
                        <w:rPr>
                          <w:rFonts w:ascii="Cambria Math" w:hAnsi="Cambria Math"/>
                        </w:rPr>
                      </m:ctrlPr>
                    </m:num>
                    <m:den>
                      <m:r>
                        <m:rPr>
                          <m:sty m:val="p"/>
                        </m:rPr>
                        <w:rPr>
                          <w:rFonts w:ascii="Cambria Math" w:hAnsi="Cambria Math"/>
                        </w:rPr>
                        <m:t>Ω</m:t>
                      </m:r>
                    </m:den>
                  </m:f>
                </m:e>
                <m:e>
                  <m:r>
                    <w:rPr>
                      <w:rFonts w:ascii="Cambria Math" w:hAnsi="Cambria Math"/>
                    </w:rPr>
                    <m:t>1</m:t>
                  </m:r>
                  <m:ctrlPr>
                    <w:rPr>
                      <w:rFonts w:ascii="Cambria Math" w:eastAsia="Cambria Math" w:hAnsi="Cambria Math" w:cs="Cambria Math"/>
                      <w:i/>
                    </w:rPr>
                  </m:ctrlPr>
                </m:e>
                <m:e>
                  <m:f>
                    <m:fPr>
                      <m:ctrlPr>
                        <w:rPr>
                          <w:rFonts w:ascii="Cambria Math" w:hAnsi="Cambria Math"/>
                          <w:i/>
                        </w:rPr>
                      </m:ctrlPr>
                    </m:fPr>
                    <m:num>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r>
                                <w:rPr>
                                  <w:rFonts w:ascii="Cambria Math" w:hAnsi="Cambria Math"/>
                                </w:rPr>
                                <m:t>T</m:t>
                              </m:r>
                            </m:e>
                          </m:d>
                        </m:e>
                      </m:func>
                      <m:ctrlPr>
                        <w:rPr>
                          <w:rFonts w:ascii="Cambria Math" w:hAnsi="Cambria Math"/>
                        </w:rPr>
                      </m:ctrlPr>
                    </m:num>
                    <m:den>
                      <m:r>
                        <m:rPr>
                          <m:sty m:val="p"/>
                        </m:rPr>
                        <w:rPr>
                          <w:rFonts w:ascii="Cambria Math" w:hAnsi="Cambria Math"/>
                        </w:rPr>
                        <m:t>Ω</m:t>
                      </m:r>
                    </m:den>
                  </m:f>
                </m:e>
                <m:e>
                  <m:r>
                    <w:rPr>
                      <w:rFonts w:ascii="Cambria Math" w:hAnsi="Cambria Math"/>
                    </w:rPr>
                    <m:t>0</m:t>
                  </m:r>
                  <m:ctrlPr>
                    <w:rPr>
                      <w:rFonts w:ascii="Cambria Math" w:eastAsia="Cambria Math" w:hAnsi="Cambria Math" w:cs="Cambria Math"/>
                      <w:i/>
                    </w:rPr>
                  </m:ctrlPr>
                </m:e>
              </m:mr>
              <m:mr>
                <m:e>
                  <m:r>
                    <w:rPr>
                      <w:rFonts w:ascii="Cambria Math" w:hAnsi="Cambria Math"/>
                    </w:rPr>
                    <m:t>0</m:t>
                  </m:r>
                </m:e>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r>
                            <w:rPr>
                              <w:rFonts w:ascii="Cambria Math" w:hAnsi="Cambria Math"/>
                            </w:rPr>
                            <m:t>T</m:t>
                          </m:r>
                        </m:e>
                      </m:d>
                    </m:e>
                  </m:func>
                </m:e>
                <m:e>
                  <m:r>
                    <w:rPr>
                      <w:rFonts w:ascii="Cambria Math" w:hAnsi="Cambria Math"/>
                    </w:rPr>
                    <m:t>0</m:t>
                  </m:r>
                  <m:ctrlPr>
                    <w:rPr>
                      <w:rFonts w:ascii="Cambria Math" w:eastAsia="Cambria Math" w:hAnsi="Cambria Math" w:cs="Cambria Math"/>
                      <w:i/>
                    </w:rPr>
                  </m:ctrlPr>
                </m:e>
                <m:e>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r>
                            <w:rPr>
                              <w:rFonts w:ascii="Cambria Math" w:hAnsi="Cambria Math"/>
                            </w:rPr>
                            <m:t>T</m:t>
                          </m:r>
                        </m:e>
                      </m:d>
                    </m:e>
                  </m:func>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r>
          <m:rPr>
            <m:sty m:val="bi"/>
          </m:rP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2</m:t>
                      </m:r>
                    </m:den>
                  </m:f>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2</m:t>
                      </m:r>
                    </m:den>
                  </m:f>
                </m:e>
                <m:e>
                  <m:r>
                    <w:rPr>
                      <w:rFonts w:ascii="Cambria Math" w:hAnsi="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T</m:t>
                  </m:r>
                </m:e>
                <m:e>
                  <m:r>
                    <w:rPr>
                      <w:rFonts w:ascii="Cambria Math" w:hAnsi="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T</m:t>
                  </m:r>
                </m:e>
              </m:mr>
            </m:m>
          </m:e>
        </m:d>
        <m:r>
          <m:rPr>
            <m:sty m:val="bi"/>
          </m:rPr>
          <w:rPr>
            <w:rFonts w:ascii="Cambria Math" w:hAnsi="Cambria Math"/>
          </w:rPr>
          <m:t>v</m:t>
        </m:r>
        <m:r>
          <w:rPr>
            <w:rFonts w:ascii="Cambria Math" w:hAnsi="Cambria Math"/>
          </w:rPr>
          <m:t>(k)</m:t>
        </m:r>
      </m:oMath>
      <w:r>
        <w:t xml:space="preserve"> </w:t>
      </w:r>
      <w:r>
        <w:tab/>
      </w:r>
      <w:r>
        <w:tab/>
        <w:t>(2)</w:t>
      </w:r>
    </w:p>
    <w:p w14:paraId="534D52F6" w14:textId="77777777" w:rsidR="0031366C" w:rsidRDefault="0031366C" w:rsidP="0031366C">
      <w:r>
        <w:t xml:space="preserve">Where </w:t>
      </w:r>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hAnsi="Cambria Math"/>
                        </w:rPr>
                        <m:t>x</m:t>
                      </m:r>
                    </m:e>
                    <m:e>
                      <m:acc>
                        <m:accPr>
                          <m:chr m:val="̇"/>
                          <m:ctrlPr>
                            <w:rPr>
                              <w:rFonts w:ascii="Cambria Math" w:hAnsi="Cambria Math"/>
                              <w:i/>
                            </w:rPr>
                          </m:ctrlPr>
                        </m:accPr>
                        <m:e>
                          <m:r>
                            <w:rPr>
                              <w:rFonts w:ascii="Cambria Math" w:hAnsi="Cambria Math"/>
                            </w:rPr>
                            <m:t>x</m:t>
                          </m:r>
                        </m:e>
                      </m:acc>
                      <m:ctrlPr>
                        <w:rPr>
                          <w:rFonts w:ascii="Cambria Math" w:eastAsia="Cambria Math" w:hAnsi="Cambria Math" w:cs="Cambria Math"/>
                          <w:i/>
                        </w:rPr>
                      </m:ctrlPr>
                    </m:e>
                    <m:e>
                      <m:r>
                        <w:rPr>
                          <w:rFonts w:ascii="Cambria Math" w:eastAsia="Cambria Math" w:hAnsi="Cambria Math" w:cs="Cambria Math"/>
                        </w:rPr>
                        <m:t>y</m:t>
                      </m:r>
                    </m:e>
                    <m:e>
                      <m:acc>
                        <m:accPr>
                          <m:chr m:val="̇"/>
                          <m:ctrlPr>
                            <w:rPr>
                              <w:rFonts w:ascii="Cambria Math" w:hAnsi="Cambria Math"/>
                              <w:i/>
                            </w:rPr>
                          </m:ctrlPr>
                        </m:accPr>
                        <m:e>
                          <m:r>
                            <w:rPr>
                              <w:rFonts w:ascii="Cambria Math" w:hAnsi="Cambria Math"/>
                            </w:rPr>
                            <m:t>y</m:t>
                          </m:r>
                        </m:e>
                      </m:acc>
                      <m:ctrlPr>
                        <w:rPr>
                          <w:rFonts w:ascii="Cambria Math" w:eastAsia="Cambria Math" w:hAnsi="Cambria Math" w:cs="Cambria Math"/>
                          <w:i/>
                        </w:rPr>
                      </m:ctrlPr>
                    </m:e>
                    <m:e>
                      <m:r>
                        <m:rPr>
                          <m:sty m:val="p"/>
                        </m:rPr>
                        <w:rPr>
                          <w:rFonts w:ascii="Cambria Math" w:hAnsi="Cambria Math"/>
                        </w:rPr>
                        <m:t>Ω</m:t>
                      </m:r>
                    </m:e>
                  </m:mr>
                </m:m>
              </m:e>
            </m:d>
          </m:e>
          <m:sup>
            <m:r>
              <w:rPr>
                <w:rFonts w:ascii="Cambria Math" w:hAnsi="Cambria Math"/>
              </w:rPr>
              <m:t>T</m:t>
            </m:r>
          </m:sup>
        </m:sSup>
      </m:oMath>
      <w:r>
        <w:t xml:space="preserve">, and </w:t>
      </w:r>
      <m:oMath>
        <m:r>
          <m:rPr>
            <m:sty m:val="bi"/>
          </m:rPr>
          <w:rPr>
            <w:rFonts w:ascii="Cambria Math" w:hAnsi="Cambria Math"/>
          </w:rPr>
          <m:t>v</m:t>
        </m:r>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v</m:t>
                          </m:r>
                        </m:e>
                        <m:sub>
                          <m:r>
                            <w:rPr>
                              <w:rFonts w:ascii="Cambria Math" w:hAnsi="Cambria Math"/>
                            </w:rPr>
                            <m:t>1</m:t>
                          </m:r>
                        </m:sub>
                      </m:sSub>
                    </m:e>
                    <m:e>
                      <m:sSub>
                        <m:sSubPr>
                          <m:ctrlPr>
                            <w:rPr>
                              <w:rFonts w:ascii="Cambria Math" w:hAnsi="Cambria Math"/>
                              <w:i/>
                            </w:rPr>
                          </m:ctrlPr>
                        </m:sSubPr>
                        <m:e>
                          <m:r>
                            <w:rPr>
                              <w:rFonts w:ascii="Cambria Math" w:hAnsi="Cambria Math"/>
                            </w:rPr>
                            <m:t>v</m:t>
                          </m:r>
                        </m:e>
                        <m:sub>
                          <m:r>
                            <w:rPr>
                              <w:rFonts w:ascii="Cambria Math" w:hAnsi="Cambria Math"/>
                            </w:rPr>
                            <m:t>2</m:t>
                          </m:r>
                        </m:sub>
                      </m:sSub>
                    </m:e>
                  </m:mr>
                </m:m>
              </m:e>
            </m:d>
          </m:e>
          <m:sup>
            <m:r>
              <w:rPr>
                <w:rFonts w:ascii="Cambria Math" w:hAnsi="Cambria Math"/>
              </w:rPr>
              <m:t>T</m:t>
            </m:r>
          </m:sup>
        </m:sSup>
      </m:oMath>
      <w:r>
        <w:t xml:space="preserve">, where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models unpredictable disturbance in the model, and is AWGN with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e>
        </m:d>
        <m:r>
          <w:rPr>
            <w:rFonts w:ascii="Cambria Math" w:hAnsi="Cambria Math"/>
          </w:rPr>
          <m:t>=0</m:t>
        </m:r>
      </m:oMath>
      <w:r>
        <w:t xml:space="preserve"> and </w:t>
      </w:r>
      <m:oMath>
        <m:r>
          <w:rPr>
            <w:rFonts w:ascii="Cambria Math" w:hAnsi="Cambria Math"/>
          </w:rPr>
          <m:t>var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oMath>
      <w:r>
        <w:t>.</w:t>
      </w:r>
    </w:p>
    <w:p w14:paraId="0B5BC6FA" w14:textId="28A056FD" w:rsidR="0031366C" w:rsidRDefault="0031366C" w:rsidP="0031366C">
      <w:r>
        <w:t>Considering that the agreed speed for UE is 3km/h</w:t>
      </w:r>
      <w:r w:rsidR="00C9769D">
        <w:t>r</w:t>
      </w:r>
      <w:r>
        <w:t>, we propose to adopt 3km/h for velocity. For the coordinated turn model, considering that in the IIoT scenario, UE may make sharp turn to go around equipment or shelves, 30 degrees per second may be a suitable value for turn rate.</w:t>
      </w:r>
    </w:p>
    <w:p w14:paraId="61119B9C" w14:textId="77777777" w:rsidR="0031366C" w:rsidRDefault="0031366C" w:rsidP="0031366C">
      <w:r>
        <w:t>In addition, UE in practical environment may switch between models, i.e., move in one direction uniformly for a certain duration and turn 90 degrees. Movement of automated guided vehicles (AGV) may be pre-programmed and move in constant manner, e.g., move straight for X seconds and turn 90 degrees, and continue moving straight for Y seconds. Companies should disclose switching patterns between 2 models above. For this reason, the following proposal is made.</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45BEB1C4" w14:textId="155CDD41" w:rsidR="0079265C" w:rsidRDefault="0079265C" w:rsidP="001B7E13">
      <w:r>
        <w:t xml:space="preserve">The following </w:t>
      </w:r>
      <w:r w:rsidR="00AC0645">
        <w:t xml:space="preserve">proposal is </w:t>
      </w:r>
      <w:r>
        <w:t>made in this contribution.</w:t>
      </w:r>
    </w:p>
    <w:p w14:paraId="5AF3BB20" w14:textId="77777777" w:rsidR="00E516DC" w:rsidRPr="00BC41D0" w:rsidRDefault="00E516DC" w:rsidP="00E516DC">
      <w:pPr>
        <w:rPr>
          <w:b/>
          <w:bCs/>
        </w:rPr>
      </w:pPr>
      <w:r w:rsidRPr="00BC41D0">
        <w:rPr>
          <w:b/>
          <w:bCs/>
        </w:rPr>
        <w:t>Proposal 1 : Impact of positioning failure on positioning accuracy and latency should be investigated</w:t>
      </w:r>
    </w:p>
    <w:p w14:paraId="17906593" w14:textId="77777777" w:rsidR="00CE691C" w:rsidRPr="00BC41D0" w:rsidRDefault="00CE691C" w:rsidP="00CE691C">
      <w:pPr>
        <w:rPr>
          <w:b/>
          <w:bCs/>
          <w:sz w:val="28"/>
          <w:szCs w:val="28"/>
          <w:lang w:val="en-GB" w:eastAsia="zh-CN"/>
        </w:rPr>
      </w:pPr>
      <w:r w:rsidRPr="00BC41D0">
        <w:rPr>
          <w:b/>
          <w:bCs/>
          <w:sz w:val="28"/>
          <w:szCs w:val="28"/>
          <w:lang w:val="en-GB" w:eastAsia="zh-CN"/>
        </w:rPr>
        <w:t>Reference</w:t>
      </w:r>
    </w:p>
    <w:p w14:paraId="67EDDC12" w14:textId="7FAB0F0A" w:rsidR="00153B4A" w:rsidRDefault="00CE691C" w:rsidP="008D5C8E">
      <w:pPr>
        <w:rPr>
          <w:rFonts w:ascii="Times New Roman" w:hAnsi="Times New Roman" w:cs="Times New Roman"/>
          <w:sz w:val="20"/>
          <w:szCs w:val="20"/>
          <w:lang w:eastAsia="zh-CN"/>
        </w:rPr>
      </w:pPr>
      <w:r w:rsidRPr="00BC41D0">
        <w:rPr>
          <w:rFonts w:ascii="Times New Roman" w:hAnsi="Times New Roman" w:cs="Times New Roman"/>
          <w:sz w:val="20"/>
          <w:szCs w:val="20"/>
          <w:lang w:eastAsia="zh-CN"/>
        </w:rPr>
        <w:t>[1] RAN1 Chairman’s notes, RAN1#102e, Aug., 2020.</w:t>
      </w:r>
    </w:p>
    <w:p w14:paraId="1C517DE4" w14:textId="77777777" w:rsidR="00153B4A" w:rsidRPr="00DA1980" w:rsidRDefault="00153B4A" w:rsidP="001B7E13">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lang w:eastAsia="zh-CN"/>
        </w:rPr>
        <w:lastRenderedPageBreak/>
        <w:t xml:space="preserve">[2] </w:t>
      </w:r>
      <w:bookmarkStart w:id="4" w:name="_Ref47444213"/>
      <w:r>
        <w:rPr>
          <w:rFonts w:ascii="Times New Roman" w:hAnsi="Times New Roman" w:cs="Times New Roman"/>
          <w:sz w:val="20"/>
          <w:szCs w:val="20"/>
        </w:rPr>
        <w:t>Y. Bar-Shalom, X. R. Li and T. Kirubarjan, “</w:t>
      </w:r>
      <w:r w:rsidRPr="00B40532">
        <w:rPr>
          <w:rFonts w:ascii="Times New Roman" w:hAnsi="Times New Roman" w:cs="Times New Roman"/>
          <w:sz w:val="20"/>
          <w:szCs w:val="20"/>
        </w:rPr>
        <w:t>Estimation with Applications to Tracking and Navigation: Theory Algorithms and Software</w:t>
      </w:r>
      <w:r>
        <w:rPr>
          <w:rFonts w:ascii="Times New Roman" w:hAnsi="Times New Roman" w:cs="Times New Roman"/>
          <w:sz w:val="20"/>
          <w:szCs w:val="20"/>
        </w:rPr>
        <w:t>,” Wiley-Interscience, New York, NY, 2001.</w:t>
      </w:r>
      <w:bookmarkEnd w:id="4"/>
    </w:p>
    <w:p w14:paraId="4FD8E6FD" w14:textId="7D574534" w:rsidR="00153B4A" w:rsidRPr="001B7E13" w:rsidRDefault="00153B4A" w:rsidP="00403690">
      <w:pPr>
        <w:rPr>
          <w:lang w:eastAsia="zh-CN"/>
        </w:rPr>
      </w:pPr>
    </w:p>
    <w:p w14:paraId="2B66EA38" w14:textId="39FD05DF" w:rsidR="00C5622C" w:rsidRPr="00403690" w:rsidRDefault="00C5622C">
      <w:pPr>
        <w:rPr>
          <w:lang w:val="en-GB" w:eastAsia="zh-CN"/>
        </w:rPr>
      </w:pPr>
    </w:p>
    <w:sectPr w:rsidR="00C5622C" w:rsidRPr="004036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1805"/>
    <w:rsid w:val="0001301C"/>
    <w:rsid w:val="00024B0C"/>
    <w:rsid w:val="000B78A5"/>
    <w:rsid w:val="00103FA9"/>
    <w:rsid w:val="00121034"/>
    <w:rsid w:val="00153B4A"/>
    <w:rsid w:val="00155495"/>
    <w:rsid w:val="00155FA2"/>
    <w:rsid w:val="001A2D80"/>
    <w:rsid w:val="001B7E13"/>
    <w:rsid w:val="001D5444"/>
    <w:rsid w:val="001D61C5"/>
    <w:rsid w:val="001D7277"/>
    <w:rsid w:val="001F3AAA"/>
    <w:rsid w:val="002033C5"/>
    <w:rsid w:val="00243583"/>
    <w:rsid w:val="002965B7"/>
    <w:rsid w:val="002978E0"/>
    <w:rsid w:val="0031366C"/>
    <w:rsid w:val="00314659"/>
    <w:rsid w:val="003346F0"/>
    <w:rsid w:val="003665F4"/>
    <w:rsid w:val="00387AB3"/>
    <w:rsid w:val="0039380D"/>
    <w:rsid w:val="003D1F7E"/>
    <w:rsid w:val="00400EFE"/>
    <w:rsid w:val="00403690"/>
    <w:rsid w:val="004379D0"/>
    <w:rsid w:val="00442B2D"/>
    <w:rsid w:val="004851D6"/>
    <w:rsid w:val="00486D48"/>
    <w:rsid w:val="004B5D08"/>
    <w:rsid w:val="005836E8"/>
    <w:rsid w:val="00633AC8"/>
    <w:rsid w:val="0064018B"/>
    <w:rsid w:val="006B6B36"/>
    <w:rsid w:val="006D1277"/>
    <w:rsid w:val="006D78F4"/>
    <w:rsid w:val="007151C1"/>
    <w:rsid w:val="00771FB6"/>
    <w:rsid w:val="00791D39"/>
    <w:rsid w:val="0079265C"/>
    <w:rsid w:val="007F5931"/>
    <w:rsid w:val="00805FE8"/>
    <w:rsid w:val="00836A18"/>
    <w:rsid w:val="00840BAF"/>
    <w:rsid w:val="00862DCA"/>
    <w:rsid w:val="008A508A"/>
    <w:rsid w:val="008C4E46"/>
    <w:rsid w:val="008D5C8E"/>
    <w:rsid w:val="00914B0A"/>
    <w:rsid w:val="00932BCE"/>
    <w:rsid w:val="00A279CA"/>
    <w:rsid w:val="00AC0645"/>
    <w:rsid w:val="00AC452E"/>
    <w:rsid w:val="00B54CEF"/>
    <w:rsid w:val="00BF3792"/>
    <w:rsid w:val="00BF4CC3"/>
    <w:rsid w:val="00C049AF"/>
    <w:rsid w:val="00C23168"/>
    <w:rsid w:val="00C2437C"/>
    <w:rsid w:val="00C34396"/>
    <w:rsid w:val="00C5087E"/>
    <w:rsid w:val="00C5622C"/>
    <w:rsid w:val="00C650F2"/>
    <w:rsid w:val="00C96730"/>
    <w:rsid w:val="00C96D4A"/>
    <w:rsid w:val="00C9769D"/>
    <w:rsid w:val="00CA0497"/>
    <w:rsid w:val="00CA67B2"/>
    <w:rsid w:val="00CE3FE6"/>
    <w:rsid w:val="00CE691C"/>
    <w:rsid w:val="00D05AD5"/>
    <w:rsid w:val="00DC78C0"/>
    <w:rsid w:val="00E03CC5"/>
    <w:rsid w:val="00E516DC"/>
    <w:rsid w:val="00E57D97"/>
    <w:rsid w:val="00ED7393"/>
    <w:rsid w:val="00EE4A51"/>
    <w:rsid w:val="00F26F9F"/>
    <w:rsid w:val="00F45F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6F0"/>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9DB721-665B-4555-A45C-1079B6DE5239}">
  <ds:schemaRefs>
    <ds:schemaRef ds:uri="http://schemas.microsoft.com/sharepoint/v3/contenttype/forms"/>
  </ds:schemaRefs>
</ds:datastoreItem>
</file>

<file path=customXml/itemProps2.xml><?xml version="1.0" encoding="utf-8"?>
<ds:datastoreItem xmlns:ds="http://schemas.openxmlformats.org/officeDocument/2006/customXml" ds:itemID="{CB474C80-3535-44FB-902D-DC6275A5A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FD9AAC-6681-4A9F-B323-E7EC62548F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73</cp:revision>
  <dcterms:created xsi:type="dcterms:W3CDTF">2020-10-13T06:31:00Z</dcterms:created>
  <dcterms:modified xsi:type="dcterms:W3CDTF">2020-10-16T23:03:00Z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