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7EB47" w14:textId="7BA030BE" w:rsidR="005359C8" w:rsidRPr="00D74B92" w:rsidRDefault="005359C8" w:rsidP="005359C8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2006C7" wp14:editId="7FB0F9A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8BC4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103-e</w:t>
      </w:r>
      <w:r w:rsidRPr="00D74B92">
        <w:rPr>
          <w:rFonts w:ascii="Arial" w:hAnsi="Arial" w:cs="Arial"/>
          <w:b/>
          <w:kern w:val="2"/>
          <w:lang w:eastAsia="zh-CN"/>
        </w:rPr>
        <w:tab/>
        <w:t>R1-</w:t>
      </w:r>
      <w:r>
        <w:rPr>
          <w:rFonts w:ascii="Arial" w:hAnsi="Arial" w:cs="Arial"/>
          <w:b/>
          <w:kern w:val="2"/>
          <w:lang w:eastAsia="zh-CN"/>
        </w:rPr>
        <w:t>200</w:t>
      </w:r>
      <w:r w:rsidR="008737E2">
        <w:rPr>
          <w:rFonts w:ascii="Arial" w:hAnsi="Arial" w:cs="Arial"/>
          <w:b/>
          <w:kern w:val="2"/>
          <w:lang w:eastAsia="zh-CN"/>
        </w:rPr>
        <w:t>7907</w:t>
      </w:r>
    </w:p>
    <w:p w14:paraId="3CEA0073" w14:textId="77777777" w:rsidR="005359C8" w:rsidRPr="007F5EC6" w:rsidRDefault="005359C8" w:rsidP="005359C8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 xml:space="preserve">e-Meeting, Oct 26 – Nov 13, </w:t>
      </w:r>
      <w:r w:rsidRPr="00D74B92">
        <w:rPr>
          <w:rFonts w:ascii="Arial" w:hAnsi="Arial" w:cs="Arial"/>
          <w:b/>
          <w:kern w:val="2"/>
          <w:lang w:eastAsia="zh-CN"/>
        </w:rPr>
        <w:t>20</w:t>
      </w:r>
      <w:r>
        <w:rPr>
          <w:rFonts w:ascii="Arial" w:hAnsi="Arial" w:cs="Arial"/>
          <w:b/>
          <w:kern w:val="2"/>
          <w:lang w:eastAsia="zh-CN"/>
        </w:rPr>
        <w:t>20</w:t>
      </w:r>
    </w:p>
    <w:p w14:paraId="1F80D947" w14:textId="38F8837C" w:rsidR="00D3578E" w:rsidRPr="00D74B92" w:rsidRDefault="00D3578E" w:rsidP="00D3578E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8.5.1</w:t>
      </w:r>
    </w:p>
    <w:p w14:paraId="2D1C36FC" w14:textId="77777777" w:rsidR="00D3578E" w:rsidRPr="007F5EC6" w:rsidRDefault="00D3578E" w:rsidP="00D3578E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2E763DBF" w14:textId="0B72C5A0" w:rsidR="00D3578E" w:rsidRPr="00D74B92" w:rsidRDefault="00D3578E" w:rsidP="00D3578E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 xml:space="preserve">Remaining Issues on Evaluation Assumptions   </w:t>
      </w:r>
    </w:p>
    <w:p w14:paraId="092BA291" w14:textId="77777777" w:rsidR="00D3578E" w:rsidRPr="00D74B92" w:rsidRDefault="00D3578E" w:rsidP="00D3578E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 xml:space="preserve">Discussion and decision </w:t>
      </w:r>
    </w:p>
    <w:p w14:paraId="6D3E3880" w14:textId="77777777" w:rsidR="00D3578E" w:rsidRDefault="00D3578E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21B18E5" w14:textId="66F78E64" w:rsidR="00C12B1C" w:rsidRDefault="001C5EEC" w:rsidP="00CB4A48">
      <w:pPr>
        <w:spacing w:beforeLines="50" w:before="120"/>
      </w:pPr>
      <w:bookmarkStart w:id="2" w:name="_Hlk46823115"/>
      <w:r>
        <w:rPr>
          <w:lang w:val="en-GB"/>
        </w:rPr>
        <w:t xml:space="preserve">In </w:t>
      </w:r>
      <w:r w:rsidR="00AE3CF4" w:rsidRPr="009B1429">
        <w:rPr>
          <w:lang w:val="en-GB"/>
        </w:rPr>
        <w:t xml:space="preserve">RAN1#101-e, the </w:t>
      </w:r>
      <w:r w:rsidR="00AE3CF4" w:rsidRPr="008102BA">
        <w:rPr>
          <w:lang w:val="en-GB"/>
        </w:rPr>
        <w:t xml:space="preserve">InF-SH and InF-DH </w:t>
      </w:r>
      <w:r w:rsidR="00AE3CF4" w:rsidRPr="009D675A">
        <w:rPr>
          <w:lang w:val="en-GB"/>
        </w:rPr>
        <w:t xml:space="preserve">have been agreed </w:t>
      </w:r>
      <w:r w:rsidR="00945EDF" w:rsidRPr="009D675A">
        <w:rPr>
          <w:lang w:val="en-GB"/>
        </w:rPr>
        <w:t xml:space="preserve">as </w:t>
      </w:r>
      <w:r w:rsidR="00AE3CF4" w:rsidRPr="009D675A">
        <w:rPr>
          <w:lang w:val="en-GB"/>
        </w:rPr>
        <w:t xml:space="preserve">the baseline </w:t>
      </w:r>
      <w:r>
        <w:rPr>
          <w:lang w:val="en-GB"/>
        </w:rPr>
        <w:t xml:space="preserve">IIOT </w:t>
      </w:r>
      <w:r w:rsidR="00AE3CF4" w:rsidRPr="009D675A">
        <w:rPr>
          <w:lang w:val="en-GB"/>
        </w:rPr>
        <w:t xml:space="preserve">scenarios for the purpose of </w:t>
      </w:r>
      <w:r w:rsidR="00AE3CF4" w:rsidRPr="009D675A">
        <w:t xml:space="preserve">defining the </w:t>
      </w:r>
      <w:r w:rsidR="00E24C75">
        <w:t xml:space="preserve">associated </w:t>
      </w:r>
      <w:r w:rsidR="00AE3CF4" w:rsidRPr="009D675A">
        <w:t xml:space="preserve">channel models, parameters and modelling techniques </w:t>
      </w:r>
      <w:r w:rsidR="00E24C75">
        <w:t xml:space="preserve">needed to perform </w:t>
      </w:r>
      <w:r w:rsidR="00AE3CF4" w:rsidRPr="009D675A">
        <w:t xml:space="preserve">the </w:t>
      </w:r>
      <w:r w:rsidR="00E24C75">
        <w:t xml:space="preserve">studies and positioning </w:t>
      </w:r>
      <w:r w:rsidR="00AE3CF4" w:rsidRPr="009D675A">
        <w:t>performance evaluations</w:t>
      </w:r>
      <w:r w:rsidR="009D675A" w:rsidRPr="009D675A">
        <w:t xml:space="preserve"> [1]</w:t>
      </w:r>
      <w:r w:rsidR="006E093F">
        <w:t xml:space="preserve"> [2]</w:t>
      </w:r>
      <w:r w:rsidR="00AE3CF4" w:rsidRPr="009D675A">
        <w:t xml:space="preserve">. </w:t>
      </w:r>
      <w:r w:rsidR="00C12B1C">
        <w:t xml:space="preserve">In [3], additional remaining parameters have been resolved. </w:t>
      </w:r>
      <w:r w:rsidR="00501B64">
        <w:t xml:space="preserve">Some of the agreements are listed below. </w:t>
      </w:r>
    </w:p>
    <w:p w14:paraId="20F22EFD" w14:textId="77777777" w:rsidR="00C12B1C" w:rsidRDefault="00C12B1C" w:rsidP="00C12B1C">
      <w:pPr>
        <w:ind w:left="425"/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06015470" w14:textId="77777777" w:rsidR="00C12B1C" w:rsidRDefault="00C12B1C" w:rsidP="00C12B1C">
      <w:pPr>
        <w:ind w:left="425"/>
        <w:rPr>
          <w:lang w:eastAsia="x-none"/>
        </w:rPr>
      </w:pPr>
      <w:r>
        <w:rPr>
          <w:lang w:eastAsia="x-none"/>
        </w:rPr>
        <w:t>PRS/SRS resource utilization is the metric used to evaluate network efficiency</w:t>
      </w:r>
    </w:p>
    <w:p w14:paraId="7C110CD3" w14:textId="77777777" w:rsidR="00C12B1C" w:rsidRDefault="00C12B1C" w:rsidP="00C12B1C">
      <w:pPr>
        <w:numPr>
          <w:ilvl w:val="0"/>
          <w:numId w:val="25"/>
        </w:numPr>
        <w:autoSpaceDE/>
        <w:autoSpaceDN/>
        <w:adjustRightInd/>
        <w:snapToGrid/>
        <w:spacing w:after="0"/>
        <w:ind w:left="1145"/>
        <w:jc w:val="left"/>
        <w:rPr>
          <w:lang w:eastAsia="x-none"/>
        </w:rPr>
      </w:pPr>
      <w:r>
        <w:rPr>
          <w:lang w:eastAsia="x-none"/>
        </w:rPr>
        <w:t>FFS: what is included in resource utilization, e.g. PRS/SRS/MG configurations, beam sweeping assumptions</w:t>
      </w:r>
    </w:p>
    <w:p w14:paraId="04C0C4F3" w14:textId="23038D5F" w:rsidR="00C12B1C" w:rsidRDefault="00C12B1C" w:rsidP="00C12B1C">
      <w:pPr>
        <w:ind w:left="425"/>
        <w:rPr>
          <w:u w:val="single"/>
          <w:lang w:eastAsia="x-none"/>
        </w:rPr>
      </w:pPr>
      <w:r>
        <w:rPr>
          <w:u w:val="single"/>
          <w:lang w:eastAsia="x-none"/>
        </w:rPr>
        <w:t>Conclusion:</w:t>
      </w:r>
    </w:p>
    <w:p w14:paraId="72505C3E" w14:textId="77777777" w:rsidR="00C12B1C" w:rsidRDefault="00C12B1C" w:rsidP="00C12B1C">
      <w:pPr>
        <w:ind w:left="425"/>
        <w:rPr>
          <w:lang w:eastAsia="x-none"/>
        </w:rPr>
      </w:pPr>
      <w:r>
        <w:rPr>
          <w:lang w:eastAsia="x-none"/>
        </w:rPr>
        <w:t>RAN1 will not define additional optional values for UE and gNB antenna heights for evaluations.</w:t>
      </w:r>
    </w:p>
    <w:p w14:paraId="75C12340" w14:textId="77777777" w:rsidR="00C12B1C" w:rsidRDefault="00C12B1C" w:rsidP="00C12B1C">
      <w:pPr>
        <w:ind w:left="425"/>
        <w:rPr>
          <w:u w:val="single"/>
          <w:lang w:val="en-GB" w:eastAsia="x-none"/>
        </w:rPr>
      </w:pPr>
      <w:r>
        <w:rPr>
          <w:u w:val="single"/>
          <w:lang w:eastAsia="x-none"/>
        </w:rPr>
        <w:t>Conclusion:</w:t>
      </w:r>
    </w:p>
    <w:p w14:paraId="0D723880" w14:textId="77777777" w:rsidR="00C12B1C" w:rsidRDefault="00C12B1C" w:rsidP="00C12B1C">
      <w:pPr>
        <w:ind w:left="425"/>
        <w:rPr>
          <w:lang w:eastAsia="x-none"/>
        </w:rPr>
      </w:pPr>
      <w:r>
        <w:rPr>
          <w:lang w:eastAsia="x-none"/>
        </w:rPr>
        <w:t>RAN1 will not define additional details for the optional UE antenna configuration of 4 UE panels for evaluations.</w:t>
      </w:r>
    </w:p>
    <w:p w14:paraId="5E7A57BA" w14:textId="77777777" w:rsidR="00C12B1C" w:rsidRDefault="00C12B1C" w:rsidP="00C12B1C">
      <w:pPr>
        <w:ind w:left="425"/>
        <w:rPr>
          <w:u w:val="single"/>
          <w:lang w:eastAsia="x-none"/>
        </w:rPr>
      </w:pPr>
      <w:r>
        <w:rPr>
          <w:u w:val="single"/>
          <w:lang w:eastAsia="x-none"/>
        </w:rPr>
        <w:t>Conclusion:</w:t>
      </w:r>
    </w:p>
    <w:p w14:paraId="16846C64" w14:textId="77777777" w:rsidR="00C12B1C" w:rsidRDefault="00C12B1C" w:rsidP="00C12B1C">
      <w:pPr>
        <w:ind w:left="425"/>
        <w:rPr>
          <w:lang w:eastAsia="x-none"/>
        </w:rPr>
      </w:pPr>
      <w:r>
        <w:rPr>
          <w:lang w:eastAsia="x-none"/>
        </w:rPr>
        <w:t>For power consumption evaluation, it is up to each company to detail their methodology (including power model) for evaluation.</w:t>
      </w:r>
    </w:p>
    <w:p w14:paraId="0A82F4AD" w14:textId="77777777" w:rsidR="00C12B1C" w:rsidRDefault="00C12B1C" w:rsidP="00C12B1C">
      <w:pPr>
        <w:ind w:left="425"/>
        <w:rPr>
          <w:u w:val="single"/>
          <w:lang w:eastAsia="x-none"/>
        </w:rPr>
      </w:pPr>
      <w:r>
        <w:rPr>
          <w:u w:val="single"/>
          <w:lang w:eastAsia="x-none"/>
        </w:rPr>
        <w:t>Conclusion:</w:t>
      </w:r>
    </w:p>
    <w:p w14:paraId="5CF13C3B" w14:textId="77777777" w:rsidR="00C12B1C" w:rsidRDefault="00C12B1C" w:rsidP="00C12B1C">
      <w:pPr>
        <w:ind w:left="425"/>
        <w:rPr>
          <w:lang w:eastAsia="x-none"/>
        </w:rPr>
      </w:pPr>
      <w:r>
        <w:rPr>
          <w:lang w:eastAsia="x-none"/>
        </w:rPr>
        <w:t>For UE mobility, the details of the optional mobility model are left to companies.</w:t>
      </w:r>
    </w:p>
    <w:bookmarkEnd w:id="2"/>
    <w:p w14:paraId="1F7AECFC" w14:textId="2C9E495B" w:rsidR="004A4C41" w:rsidRPr="009B1429" w:rsidRDefault="00501B64" w:rsidP="009B1429">
      <w:pPr>
        <w:spacing w:beforeLines="50" w:before="120"/>
        <w:rPr>
          <w:lang w:val="en-GB"/>
        </w:rPr>
      </w:pPr>
      <w:r>
        <w:rPr>
          <w:lang w:val="en-GB"/>
        </w:rPr>
        <w:t xml:space="preserve">In the summary provided in [4], </w:t>
      </w:r>
      <w:r w:rsidR="002416AE">
        <w:rPr>
          <w:lang w:val="en-GB"/>
        </w:rPr>
        <w:t xml:space="preserve">some </w:t>
      </w:r>
      <w:r>
        <w:rPr>
          <w:lang w:val="en-GB"/>
        </w:rPr>
        <w:t xml:space="preserve">proposals remain without resolutions. In this contribution, we provide our views on these remaining proposals. </w:t>
      </w:r>
      <w:r w:rsidR="009B1429">
        <w:rPr>
          <w:lang w:val="en-GB"/>
        </w:rPr>
        <w:t xml:space="preserve"> </w:t>
      </w:r>
    </w:p>
    <w:p w14:paraId="0AABC6BA" w14:textId="77777777" w:rsidR="004A4C41" w:rsidRDefault="004A4C41" w:rsidP="00CB4A48">
      <w:pPr>
        <w:spacing w:beforeLines="50" w:before="120"/>
        <w:rPr>
          <w:lang w:val="en-GB"/>
        </w:rPr>
      </w:pPr>
    </w:p>
    <w:p w14:paraId="60AD246C" w14:textId="05EEDB7D" w:rsidR="00501B64" w:rsidRDefault="00817C94" w:rsidP="00493C77">
      <w:pPr>
        <w:pStyle w:val="Heading1"/>
      </w:pPr>
      <w:r>
        <w:t>Discussion</w:t>
      </w:r>
      <w:r w:rsidR="00501B64">
        <w:t>s</w:t>
      </w:r>
    </w:p>
    <w:p w14:paraId="35954F20" w14:textId="37199FB3" w:rsidR="00816E9B" w:rsidRPr="00D74B92" w:rsidRDefault="00501B64" w:rsidP="00501B64">
      <w:pPr>
        <w:pStyle w:val="Heading2"/>
      </w:pPr>
      <w:r>
        <w:t>Power C</w:t>
      </w:r>
      <w:r w:rsidR="00150AD1">
        <w:t>o</w:t>
      </w:r>
      <w:r>
        <w:t>nsumption</w:t>
      </w:r>
      <w:r w:rsidR="00817C94">
        <w:t xml:space="preserve"> </w:t>
      </w:r>
      <w:r w:rsidR="00CB4A48">
        <w:t xml:space="preserve"> </w:t>
      </w:r>
    </w:p>
    <w:p w14:paraId="44565517" w14:textId="14F46F1A" w:rsidR="00501B64" w:rsidRPr="00501B64" w:rsidRDefault="00501B64" w:rsidP="00501B64">
      <w:pPr>
        <w:rPr>
          <w:lang w:eastAsia="x-none"/>
        </w:rPr>
      </w:pPr>
      <w:bookmarkStart w:id="3" w:name="_Ref129681832"/>
      <w:r w:rsidRPr="00501B64">
        <w:rPr>
          <w:lang w:eastAsia="x-none"/>
        </w:rPr>
        <w:t>On the power consumption modeling, we have the following agreement:</w:t>
      </w:r>
    </w:p>
    <w:p w14:paraId="79578C33" w14:textId="77777777" w:rsidR="00501B64" w:rsidRDefault="00501B64" w:rsidP="00501B64">
      <w:pPr>
        <w:ind w:left="425"/>
        <w:rPr>
          <w:lang w:eastAsia="x-none"/>
        </w:rPr>
      </w:pPr>
      <w:r>
        <w:rPr>
          <w:lang w:eastAsia="x-none"/>
        </w:rPr>
        <w:t>PRS/SRS resource utilization is the metric used to evaluate network efficiency</w:t>
      </w:r>
    </w:p>
    <w:p w14:paraId="2EAA8334" w14:textId="77777777" w:rsidR="00501B64" w:rsidRDefault="00501B64" w:rsidP="00501B64">
      <w:pPr>
        <w:numPr>
          <w:ilvl w:val="0"/>
          <w:numId w:val="25"/>
        </w:numPr>
        <w:autoSpaceDE/>
        <w:autoSpaceDN/>
        <w:adjustRightInd/>
        <w:snapToGrid/>
        <w:spacing w:after="0"/>
        <w:ind w:left="1145"/>
        <w:jc w:val="left"/>
        <w:rPr>
          <w:lang w:eastAsia="x-none"/>
        </w:rPr>
      </w:pPr>
      <w:r>
        <w:rPr>
          <w:lang w:eastAsia="x-none"/>
        </w:rPr>
        <w:t>FFS: what is included in resource utilization, e.g. PRS/SRS/MG configurations, beam sweeping assumptions</w:t>
      </w:r>
    </w:p>
    <w:p w14:paraId="22778AB6" w14:textId="02B3CCF6" w:rsidR="00501B64" w:rsidRDefault="00501B64" w:rsidP="008F3998">
      <w:pPr>
        <w:rPr>
          <w:lang w:val="en-IN"/>
        </w:rPr>
      </w:pPr>
    </w:p>
    <w:p w14:paraId="05EB858E" w14:textId="3C69FC04" w:rsidR="000E271F" w:rsidRDefault="00150AD1" w:rsidP="00150AD1">
      <w:pPr>
        <w:rPr>
          <w:rFonts w:eastAsia="Malgun Gothic"/>
        </w:rPr>
      </w:pPr>
      <w:r w:rsidRPr="00150AD1">
        <w:rPr>
          <w:lang w:val="en-IN"/>
        </w:rPr>
        <w:t xml:space="preserve">The above agreements have left open many details for further studies such as </w:t>
      </w:r>
      <w:r>
        <w:rPr>
          <w:lang w:val="en-IN"/>
        </w:rPr>
        <w:t xml:space="preserve">the </w:t>
      </w:r>
      <w:r w:rsidR="00F46FCD">
        <w:rPr>
          <w:lang w:val="en-IN"/>
        </w:rPr>
        <w:t xml:space="preserve">traffic types, </w:t>
      </w:r>
      <w:r>
        <w:rPr>
          <w:lang w:val="en-IN"/>
        </w:rPr>
        <w:t xml:space="preserve">PRS/SRS configurations, DRX and MG configuration, beam sweeping or beam forming, etc. </w:t>
      </w:r>
      <w:r w:rsidR="0087667B">
        <w:rPr>
          <w:lang w:val="en-IN"/>
        </w:rPr>
        <w:t>The above agreement does not include aspects related to Idle/Inactive states. T</w:t>
      </w:r>
      <w:r w:rsidR="00F46FCD">
        <w:rPr>
          <w:lang w:val="en-IN"/>
        </w:rPr>
        <w:t xml:space="preserve">he details of further </w:t>
      </w:r>
      <w:r w:rsidR="00F46FCD" w:rsidRPr="009709E8">
        <w:rPr>
          <w:rFonts w:eastAsia="Malgun Gothic"/>
        </w:rPr>
        <w:t xml:space="preserve">study of RRC Idle/Inactive positioning </w:t>
      </w:r>
      <w:r w:rsidR="00F46FCD">
        <w:rPr>
          <w:rFonts w:eastAsia="Malgun Gothic"/>
        </w:rPr>
        <w:t xml:space="preserve">has not been initiated </w:t>
      </w:r>
      <w:r w:rsidR="0087667B">
        <w:rPr>
          <w:rFonts w:eastAsia="Malgun Gothic"/>
        </w:rPr>
        <w:t xml:space="preserve">in the previous meeting. However, it has significant implications on the </w:t>
      </w:r>
      <w:r w:rsidR="00F46FCD">
        <w:rPr>
          <w:rFonts w:eastAsia="Malgun Gothic"/>
        </w:rPr>
        <w:t xml:space="preserve">UE </w:t>
      </w:r>
      <w:r w:rsidR="00F46FCD" w:rsidRPr="009709E8">
        <w:rPr>
          <w:rFonts w:eastAsia="Malgun Gothic"/>
        </w:rPr>
        <w:t xml:space="preserve">power consumption evaluation </w:t>
      </w:r>
      <w:r w:rsidR="00F46FCD">
        <w:rPr>
          <w:rFonts w:eastAsia="Malgun Gothic"/>
        </w:rPr>
        <w:t>model. The</w:t>
      </w:r>
      <w:r w:rsidR="0087667B">
        <w:rPr>
          <w:rFonts w:eastAsia="Malgun Gothic"/>
        </w:rPr>
        <w:t xml:space="preserve"> FFS </w:t>
      </w:r>
      <w:r w:rsidR="00F46FCD">
        <w:rPr>
          <w:rFonts w:eastAsia="Malgun Gothic"/>
        </w:rPr>
        <w:t>aspects</w:t>
      </w:r>
      <w:r w:rsidR="0087667B">
        <w:rPr>
          <w:rFonts w:eastAsia="Malgun Gothic"/>
        </w:rPr>
        <w:t xml:space="preserve"> include beam sweeping assumptions which can be understood as </w:t>
      </w:r>
      <w:r w:rsidR="00F46FCD">
        <w:rPr>
          <w:rFonts w:eastAsia="Malgun Gothic"/>
        </w:rPr>
        <w:t>beam forming or beam sweeping</w:t>
      </w:r>
      <w:r w:rsidR="0087667B">
        <w:rPr>
          <w:rFonts w:eastAsia="Malgun Gothic"/>
        </w:rPr>
        <w:t xml:space="preserve"> configurations and/or operational modes. Unfortunately, this involves det</w:t>
      </w:r>
      <w:r w:rsidR="00F46FCD">
        <w:rPr>
          <w:rFonts w:eastAsia="Malgun Gothic"/>
        </w:rPr>
        <w:t>ail</w:t>
      </w:r>
      <w:r w:rsidR="0087667B">
        <w:rPr>
          <w:rFonts w:eastAsia="Malgun Gothic"/>
        </w:rPr>
        <w:t xml:space="preserve">ing </w:t>
      </w:r>
      <w:r w:rsidR="00F46FCD">
        <w:rPr>
          <w:rFonts w:eastAsia="Malgun Gothic"/>
        </w:rPr>
        <w:t xml:space="preserve">network </w:t>
      </w:r>
      <w:r w:rsidR="0087667B">
        <w:rPr>
          <w:rFonts w:eastAsia="Malgun Gothic"/>
        </w:rPr>
        <w:t xml:space="preserve">operational </w:t>
      </w:r>
      <w:r w:rsidR="00F46FCD">
        <w:rPr>
          <w:rFonts w:eastAsia="Malgun Gothic"/>
        </w:rPr>
        <w:t>configurations</w:t>
      </w:r>
      <w:r w:rsidR="0087667B">
        <w:rPr>
          <w:rFonts w:eastAsia="Malgun Gothic"/>
        </w:rPr>
        <w:t xml:space="preserve"> that may or may not be realistic</w:t>
      </w:r>
      <w:r w:rsidR="00F46FCD">
        <w:rPr>
          <w:rFonts w:eastAsia="Malgun Gothic"/>
        </w:rPr>
        <w:t>.</w:t>
      </w:r>
      <w:r w:rsidR="0087667B">
        <w:rPr>
          <w:rFonts w:eastAsia="Malgun Gothic"/>
        </w:rPr>
        <w:t xml:space="preserve"> </w:t>
      </w:r>
      <w:r w:rsidR="0087667B">
        <w:rPr>
          <w:rFonts w:eastAsia="Malgun Gothic"/>
        </w:rPr>
        <w:lastRenderedPageBreak/>
        <w:t xml:space="preserve">Given the large number of configurations that need to be listed and agreed upon, and </w:t>
      </w:r>
      <w:r w:rsidR="00F46FCD">
        <w:rPr>
          <w:rFonts w:eastAsia="Malgun Gothic"/>
        </w:rPr>
        <w:t xml:space="preserve">the </w:t>
      </w:r>
      <w:r w:rsidR="002D5CB8">
        <w:rPr>
          <w:rFonts w:eastAsia="Malgun Gothic"/>
        </w:rPr>
        <w:t>tight study phase schedule, such an effort may be too time consuming.</w:t>
      </w:r>
      <w:r w:rsidR="000E271F">
        <w:rPr>
          <w:rFonts w:eastAsia="Malgun Gothic"/>
        </w:rPr>
        <w:t xml:space="preserve"> As summarized above, there is the following conclusion from the last meeting: </w:t>
      </w:r>
    </w:p>
    <w:p w14:paraId="2427015D" w14:textId="77777777" w:rsidR="000E271F" w:rsidRPr="000E271F" w:rsidRDefault="000E271F" w:rsidP="000E271F">
      <w:pPr>
        <w:ind w:left="425"/>
        <w:rPr>
          <w:i/>
          <w:iCs/>
          <w:u w:val="single"/>
          <w:lang w:eastAsia="x-none"/>
        </w:rPr>
      </w:pPr>
      <w:r w:rsidRPr="000E271F">
        <w:rPr>
          <w:i/>
          <w:iCs/>
          <w:u w:val="single"/>
          <w:lang w:eastAsia="x-none"/>
        </w:rPr>
        <w:t>Conclusion:</w:t>
      </w:r>
    </w:p>
    <w:p w14:paraId="076C24AE" w14:textId="77777777" w:rsidR="000E271F" w:rsidRPr="000E271F" w:rsidRDefault="000E271F" w:rsidP="000E271F">
      <w:pPr>
        <w:ind w:left="425"/>
        <w:rPr>
          <w:i/>
          <w:iCs/>
          <w:lang w:eastAsia="x-none"/>
        </w:rPr>
      </w:pPr>
      <w:r w:rsidRPr="000E271F">
        <w:rPr>
          <w:i/>
          <w:iCs/>
          <w:lang w:eastAsia="x-none"/>
        </w:rPr>
        <w:t>For power consumption evaluation, it is up to each company to detail their methodology (including power model) for evaluation.</w:t>
      </w:r>
    </w:p>
    <w:p w14:paraId="5F859EB9" w14:textId="6B77A992" w:rsidR="000E271F" w:rsidRDefault="000E271F" w:rsidP="00150AD1">
      <w:pPr>
        <w:rPr>
          <w:rFonts w:eastAsia="Malgun Gothic"/>
        </w:rPr>
      </w:pPr>
      <w:r>
        <w:rPr>
          <w:rFonts w:eastAsia="Malgun Gothic"/>
        </w:rPr>
        <w:t xml:space="preserve">Due to the possible contradictory </w:t>
      </w:r>
      <w:r w:rsidR="00337881">
        <w:rPr>
          <w:rFonts w:eastAsia="Malgun Gothic"/>
        </w:rPr>
        <w:t xml:space="preserve">between the Conclusion and Agreement, </w:t>
      </w:r>
      <w:r w:rsidR="00A641B4">
        <w:rPr>
          <w:rFonts w:eastAsia="Malgun Gothic"/>
        </w:rPr>
        <w:t xml:space="preserve">where it was concluded that it is up to each company to detail their methodology and in the agreement, it seems to be left for further FFS, </w:t>
      </w:r>
      <w:r w:rsidR="00337881">
        <w:rPr>
          <w:rFonts w:eastAsia="Malgun Gothic"/>
        </w:rPr>
        <w:t>some clarifications may be required.</w:t>
      </w:r>
    </w:p>
    <w:p w14:paraId="30DBD4C8" w14:textId="44B360A8" w:rsidR="00F46FCD" w:rsidRPr="00F46FCD" w:rsidRDefault="00F46FCD" w:rsidP="00F46FCD">
      <w:r>
        <w:rPr>
          <w:b/>
          <w:bCs/>
        </w:rPr>
        <w:t xml:space="preserve">Proposal 1: </w:t>
      </w:r>
      <w:r w:rsidRPr="00F46FCD">
        <w:t>The study of the UE power consumption should allow flexibility for each company to detail their methodology for evaluation.</w:t>
      </w:r>
    </w:p>
    <w:p w14:paraId="1B648564" w14:textId="77777777" w:rsidR="00F46FCD" w:rsidRPr="00F46FCD" w:rsidRDefault="00F46FCD" w:rsidP="00150AD1">
      <w:pPr>
        <w:rPr>
          <w:b/>
          <w:bCs/>
          <w:lang w:val="en-IN"/>
        </w:rPr>
      </w:pPr>
    </w:p>
    <w:p w14:paraId="595FFB4C" w14:textId="77777777" w:rsidR="00501B64" w:rsidRDefault="00501B64" w:rsidP="00501B64">
      <w:pPr>
        <w:pStyle w:val="Heading2"/>
      </w:pPr>
      <w:r>
        <w:t>Clutter parameters for InF</w:t>
      </w:r>
    </w:p>
    <w:p w14:paraId="5982CB00" w14:textId="5AF431B6" w:rsidR="00501B64" w:rsidRDefault="004B3036" w:rsidP="004B3036">
      <w:r>
        <w:t>It has also been proposed</w:t>
      </w:r>
      <w:r w:rsidR="0087667B">
        <w:t xml:space="preserve"> in</w:t>
      </w:r>
      <w:r>
        <w:t xml:space="preserve"> [4] </w:t>
      </w:r>
      <w:r w:rsidR="00501B64">
        <w:t>to add an additional clutter parameter setting</w:t>
      </w:r>
      <w:r>
        <w:t xml:space="preserve"> of</w:t>
      </w:r>
      <w:r w:rsidR="00501B64">
        <w:t xml:space="preserve"> </w:t>
      </w:r>
      <w:r w:rsidR="00E2704F">
        <w:t>{</w:t>
      </w:r>
      <w:r w:rsidR="00501B64">
        <w:t xml:space="preserve">60%, 6m, 2m} to be evaluated. </w:t>
      </w:r>
      <w:r>
        <w:t>This is in order to include deployment scenario where NLOS is more prevalent. Current agreement captured in [1] has the following:</w:t>
      </w:r>
    </w:p>
    <w:p w14:paraId="4F095441" w14:textId="1D31EF9B" w:rsidR="00E2704F" w:rsidRPr="00E2704F" w:rsidRDefault="00E2704F" w:rsidP="00E2704F">
      <w:pPr>
        <w:pStyle w:val="TAL"/>
        <w:ind w:left="425"/>
        <w:rPr>
          <w:rFonts w:ascii="Times New Roman" w:hAnsi="Times New Roman"/>
          <w:sz w:val="22"/>
          <w:szCs w:val="22"/>
        </w:rPr>
      </w:pPr>
      <w:r w:rsidRPr="00E2704F">
        <w:rPr>
          <w:rFonts w:ascii="Times New Roman" w:hAnsi="Times New Roman"/>
          <w:sz w:val="22"/>
          <w:szCs w:val="22"/>
        </w:rPr>
        <w:t>Low clutter density: {20%, 2m, 10m}</w:t>
      </w:r>
    </w:p>
    <w:p w14:paraId="33F228DE" w14:textId="77777777" w:rsidR="00E2704F" w:rsidRPr="00E2704F" w:rsidRDefault="00E2704F" w:rsidP="00E2704F">
      <w:pPr>
        <w:pStyle w:val="TAL"/>
        <w:ind w:left="425"/>
        <w:rPr>
          <w:rFonts w:ascii="Times New Roman" w:hAnsi="Times New Roman"/>
          <w:sz w:val="22"/>
          <w:szCs w:val="22"/>
        </w:rPr>
      </w:pPr>
      <w:r w:rsidRPr="00E2704F">
        <w:rPr>
          <w:rFonts w:ascii="Times New Roman" w:hAnsi="Times New Roman"/>
          <w:sz w:val="22"/>
          <w:szCs w:val="22"/>
        </w:rPr>
        <w:t>High clutter density:</w:t>
      </w:r>
    </w:p>
    <w:p w14:paraId="6C168BA9" w14:textId="6FAE065D" w:rsidR="00E2704F" w:rsidRPr="00E2704F" w:rsidRDefault="00E2704F" w:rsidP="00E2704F">
      <w:pPr>
        <w:pStyle w:val="TAL"/>
        <w:numPr>
          <w:ilvl w:val="0"/>
          <w:numId w:val="30"/>
        </w:numPr>
        <w:ind w:left="1145"/>
        <w:rPr>
          <w:rFonts w:ascii="Times New Roman" w:hAnsi="Times New Roman"/>
          <w:sz w:val="22"/>
          <w:szCs w:val="22"/>
          <w:lang w:eastAsia="x-none"/>
        </w:rPr>
      </w:pPr>
      <w:r w:rsidRPr="00E2704F">
        <w:rPr>
          <w:rFonts w:ascii="Times New Roman" w:hAnsi="Times New Roman"/>
          <w:sz w:val="22"/>
          <w:szCs w:val="22"/>
        </w:rPr>
        <w:t>Baseline): {40%, 2m, 2m} for fixed UE antenna height and gNB antenna height</w:t>
      </w:r>
    </w:p>
    <w:p w14:paraId="37F8C962" w14:textId="6AE6C925" w:rsidR="00E2704F" w:rsidRPr="00E2704F" w:rsidRDefault="00E2704F" w:rsidP="00E2704F">
      <w:pPr>
        <w:pStyle w:val="TAL"/>
        <w:numPr>
          <w:ilvl w:val="0"/>
          <w:numId w:val="30"/>
        </w:numPr>
        <w:ind w:left="1145"/>
        <w:rPr>
          <w:rFonts w:ascii="Times New Roman" w:hAnsi="Times New Roman"/>
          <w:sz w:val="22"/>
          <w:szCs w:val="22"/>
          <w:lang w:eastAsia="x-none"/>
        </w:rPr>
      </w:pPr>
      <w:r w:rsidRPr="00E2704F">
        <w:rPr>
          <w:rFonts w:ascii="Times New Roman" w:hAnsi="Times New Roman"/>
          <w:sz w:val="22"/>
          <w:szCs w:val="22"/>
        </w:rPr>
        <w:t>(Optional): {40%, 3m, 5m}</w:t>
      </w:r>
    </w:p>
    <w:p w14:paraId="5E527929" w14:textId="32BF81BC" w:rsidR="00E2704F" w:rsidRPr="00E2704F" w:rsidRDefault="00E2704F" w:rsidP="00E2704F">
      <w:pPr>
        <w:pStyle w:val="TAL"/>
        <w:numPr>
          <w:ilvl w:val="0"/>
          <w:numId w:val="30"/>
        </w:numPr>
        <w:ind w:left="1145"/>
        <w:rPr>
          <w:rFonts w:ascii="Times New Roman" w:hAnsi="Times New Roman"/>
          <w:sz w:val="22"/>
          <w:szCs w:val="22"/>
          <w:lang w:eastAsia="x-none"/>
        </w:rPr>
      </w:pPr>
      <w:r w:rsidRPr="00E2704F">
        <w:rPr>
          <w:rFonts w:ascii="Times New Roman" w:hAnsi="Times New Roman"/>
          <w:sz w:val="22"/>
          <w:szCs w:val="22"/>
        </w:rPr>
        <w:t>(Optional): {60%, 6m, 2m}</w:t>
      </w:r>
    </w:p>
    <w:p w14:paraId="78F75887" w14:textId="5E72370E" w:rsidR="004B3036" w:rsidRDefault="004B3036" w:rsidP="004B3036"/>
    <w:p w14:paraId="5EB70AEC" w14:textId="43E7C1E7" w:rsidR="00E2704F" w:rsidRDefault="00E2704F" w:rsidP="004B3036">
      <w:r>
        <w:t xml:space="preserve">Companies’ evaluations have already begun, and some </w:t>
      </w:r>
      <w:r w:rsidR="0087667B">
        <w:t xml:space="preserve">may </w:t>
      </w:r>
      <w:r>
        <w:t xml:space="preserve">have already included the scenario {60%, 6m, 2m} </w:t>
      </w:r>
      <w:r w:rsidR="0087667B">
        <w:t xml:space="preserve">in their simulations and evaluations. After all, this has been agreed </w:t>
      </w:r>
      <w:r>
        <w:t>as a valid high clutter scenario. Hence, in our view, no new agreement is needed to include this scenario.</w:t>
      </w:r>
    </w:p>
    <w:p w14:paraId="5525C07C" w14:textId="1632DE6D" w:rsidR="00E2704F" w:rsidRDefault="00E2704F" w:rsidP="00E2704F">
      <w:r>
        <w:rPr>
          <w:b/>
          <w:bCs/>
        </w:rPr>
        <w:t xml:space="preserve">Observation 1: </w:t>
      </w:r>
      <w:r w:rsidRPr="00F46FCD">
        <w:t>The</w:t>
      </w:r>
      <w:r>
        <w:t>re is no further ne</w:t>
      </w:r>
      <w:r w:rsidR="00366E7E">
        <w:t>ed</w:t>
      </w:r>
      <w:r>
        <w:t xml:space="preserve"> to modify the existing agreement on the high clutter density scenarios in TR38.857.</w:t>
      </w:r>
    </w:p>
    <w:p w14:paraId="7773568B" w14:textId="7C611DE3" w:rsidR="00501B64" w:rsidRPr="00B501EE" w:rsidRDefault="00501B64" w:rsidP="00E2704F">
      <w:pPr>
        <w:pStyle w:val="Heading2"/>
        <w:numPr>
          <w:ilvl w:val="0"/>
          <w:numId w:val="0"/>
        </w:numPr>
      </w:pPr>
    </w:p>
    <w:p w14:paraId="1ECC16D2" w14:textId="77777777" w:rsidR="00501B64" w:rsidRDefault="00501B64" w:rsidP="00501B64">
      <w:pPr>
        <w:pStyle w:val="Heading2"/>
      </w:pPr>
      <w:r>
        <w:t>Blockage model and MPE</w:t>
      </w:r>
    </w:p>
    <w:p w14:paraId="169447BD" w14:textId="11302D45" w:rsidR="00501B64" w:rsidRDefault="007B405B" w:rsidP="007B405B">
      <w:r>
        <w:t xml:space="preserve">It has also been proposed </w:t>
      </w:r>
      <w:r w:rsidR="00501B64" w:rsidRPr="007B405B">
        <w:t>to add hand blockage and MPE impact in the scenarios</w:t>
      </w:r>
      <w:r>
        <w:t xml:space="preserve"> [4]:</w:t>
      </w:r>
    </w:p>
    <w:p w14:paraId="799F8512" w14:textId="3E0BED60" w:rsidR="007B405B" w:rsidRPr="007B405B" w:rsidRDefault="007B405B" w:rsidP="007B405B">
      <w:pPr>
        <w:pStyle w:val="ListParagraph"/>
        <w:numPr>
          <w:ilvl w:val="0"/>
          <w:numId w:val="30"/>
        </w:numPr>
        <w:rPr>
          <w:rFonts w:ascii="Times New Roman" w:eastAsia="Times" w:hAnsi="Times New Roman"/>
          <w:bCs/>
          <w:i/>
          <w:iCs/>
        </w:rPr>
      </w:pPr>
      <w:r w:rsidRPr="007B405B">
        <w:rPr>
          <w:rFonts w:ascii="Times New Roman" w:eastAsia="Times" w:hAnsi="Times New Roman"/>
          <w:bCs/>
          <w:i/>
          <w:iCs/>
        </w:rPr>
        <w:t>Proposal 3: To model the effect of hand- and body-blockage a loss of [10] dB is applied to a randomly selected UE panel; larger values, e.g. [20] dB or [30] dB can also be considered. This power reduction is applicable to handheld UEs at FR2 frequencies, such as tools in indoor factory scenarios.</w:t>
      </w:r>
    </w:p>
    <w:p w14:paraId="3F8346C2" w14:textId="5B0F547F" w:rsidR="007B405B" w:rsidRPr="007B405B" w:rsidRDefault="007B405B" w:rsidP="007B405B">
      <w:pPr>
        <w:pStyle w:val="ListParagraph"/>
        <w:numPr>
          <w:ilvl w:val="0"/>
          <w:numId w:val="30"/>
        </w:numPr>
        <w:rPr>
          <w:rFonts w:ascii="Times New Roman" w:hAnsi="Times New Roman"/>
          <w:bCs/>
          <w:i/>
          <w:iCs/>
          <w:lang w:val="en-US"/>
        </w:rPr>
      </w:pPr>
      <w:r w:rsidRPr="007B405B">
        <w:rPr>
          <w:rFonts w:ascii="Times New Roman" w:eastAsia="Times" w:hAnsi="Times New Roman"/>
          <w:bCs/>
          <w:i/>
          <w:iCs/>
          <w:lang w:val="en-US"/>
        </w:rPr>
        <w:t>Proposal 4: To model the effect of the MPE issue a transmit power reduction of [10] dB is applied to a randomly selected UE panel. This transmit power reduction is applicable to handheld UEs when performing UL-based positioning at FR2 frequencies, such as tools in indoor factory (InF) scenarios.</w:t>
      </w:r>
    </w:p>
    <w:p w14:paraId="62E49C3A" w14:textId="1F33AA17" w:rsidR="00337881" w:rsidRDefault="000E271F" w:rsidP="00337881">
      <w:pPr>
        <w:rPr>
          <w:lang w:eastAsia="x-none"/>
        </w:rPr>
      </w:pPr>
      <w:r>
        <w:t xml:space="preserve">The above proposals were intended to study the effects of power reductions adverse effects on the positioning accuracy and latency. </w:t>
      </w:r>
      <w:r w:rsidR="00337881">
        <w:t>However, from past 3GPP studies, agreeing on the hand blockage model and power reductions are not the expertise of RAN1. Furthermore, we have agreed that f</w:t>
      </w:r>
      <w:r w:rsidR="00337881">
        <w:rPr>
          <w:lang w:eastAsia="x-none"/>
        </w:rPr>
        <w:t xml:space="preserve">or power consumption evaluation, it is up to each company to detail their methodology (including power model) for evaluation. </w:t>
      </w:r>
      <w:r w:rsidR="00A641B4">
        <w:rPr>
          <w:lang w:eastAsia="x-none"/>
        </w:rPr>
        <w:t>Since each proponent consideration could be vastly different</w:t>
      </w:r>
      <w:r w:rsidR="00337881">
        <w:rPr>
          <w:lang w:eastAsia="x-none"/>
        </w:rPr>
        <w:t>, depending on the proponent, the hand blockage and power reduction should be left up proponent company to clarify the adopted model in their studies.</w:t>
      </w:r>
    </w:p>
    <w:p w14:paraId="1CC84698" w14:textId="06A98EE3" w:rsidR="00337881" w:rsidRDefault="007B405B" w:rsidP="00337881">
      <w:pPr>
        <w:rPr>
          <w:lang w:eastAsia="x-none"/>
        </w:rPr>
      </w:pPr>
      <w:r>
        <w:rPr>
          <w:b/>
          <w:bCs/>
        </w:rPr>
        <w:lastRenderedPageBreak/>
        <w:t xml:space="preserve">Proposal 2: </w:t>
      </w:r>
      <w:r w:rsidR="00337881">
        <w:rPr>
          <w:lang w:eastAsia="x-none"/>
        </w:rPr>
        <w:t>For hand blockage losses and/or transmit power reduction, it is up to each company to detail their methodology (including power model) for evaluation.</w:t>
      </w:r>
      <w:r w:rsidR="00A641B4">
        <w:rPr>
          <w:lang w:eastAsia="x-none"/>
        </w:rPr>
        <w:t xml:space="preserve"> </w:t>
      </w:r>
    </w:p>
    <w:p w14:paraId="5C73AF7A" w14:textId="4A4901CC" w:rsidR="00E04B59" w:rsidRDefault="00E04B59" w:rsidP="00337881">
      <w:pPr>
        <w:rPr>
          <w:lang w:eastAsia="ja-JP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492BD64B" w14:textId="423D1E5C" w:rsidR="007B405B" w:rsidRDefault="007B405B" w:rsidP="007B405B">
      <w:bookmarkStart w:id="4" w:name="_Ref124589665"/>
      <w:bookmarkStart w:id="5" w:name="_Ref71620620"/>
      <w:bookmarkStart w:id="6" w:name="_Ref124671424"/>
      <w:r>
        <w:rPr>
          <w:b/>
          <w:bCs/>
        </w:rPr>
        <w:t xml:space="preserve">Proposal 1: </w:t>
      </w:r>
      <w:r w:rsidRPr="00F46FCD">
        <w:t>The study of the UE power consumption should allow flexibility for each company to detail their methodology for evaluation.</w:t>
      </w:r>
    </w:p>
    <w:p w14:paraId="6891DE1C" w14:textId="7140D1D5" w:rsidR="007B405B" w:rsidRDefault="007B405B" w:rsidP="007B405B">
      <w:r>
        <w:rPr>
          <w:b/>
          <w:bCs/>
        </w:rPr>
        <w:t xml:space="preserve">Observation 1: </w:t>
      </w:r>
      <w:r w:rsidRPr="00F46FCD">
        <w:t>The</w:t>
      </w:r>
      <w:r>
        <w:t>re is no further ne</w:t>
      </w:r>
      <w:r w:rsidR="00A641B4">
        <w:t xml:space="preserve">ed </w:t>
      </w:r>
      <w:r>
        <w:t>to modify the existing agreement on the high clutter density scenarios in TR38.857.</w:t>
      </w:r>
    </w:p>
    <w:p w14:paraId="1EA4E6E0" w14:textId="77777777" w:rsidR="00337881" w:rsidRDefault="00337881" w:rsidP="00337881">
      <w:pPr>
        <w:rPr>
          <w:lang w:eastAsia="x-none"/>
        </w:rPr>
      </w:pPr>
      <w:r>
        <w:rPr>
          <w:b/>
          <w:bCs/>
        </w:rPr>
        <w:t xml:space="preserve">Proposal 2: </w:t>
      </w:r>
      <w:r>
        <w:rPr>
          <w:lang w:eastAsia="x-none"/>
        </w:rPr>
        <w:t>For hand blockage losses and/or transmit power reduction, it is up to each company to detail their methodology (including power model) for evaluation.</w:t>
      </w:r>
    </w:p>
    <w:p w14:paraId="3DC27867" w14:textId="77777777" w:rsidR="007B405B" w:rsidRPr="00F46FCD" w:rsidRDefault="007B405B" w:rsidP="007B405B"/>
    <w:p w14:paraId="7FC07457" w14:textId="77777777" w:rsidR="007B405B" w:rsidRDefault="007B405B" w:rsidP="007F5EC6">
      <w:pPr>
        <w:pStyle w:val="Heading1"/>
        <w:numPr>
          <w:ilvl w:val="0"/>
          <w:numId w:val="0"/>
        </w:numPr>
        <w:ind w:left="432" w:hanging="432"/>
      </w:pPr>
    </w:p>
    <w:p w14:paraId="410E44E3" w14:textId="31C8CF2B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7991111B" w14:textId="77777777" w:rsidR="009D675A" w:rsidRPr="00337881" w:rsidRDefault="009D675A" w:rsidP="009D675A">
      <w:pPr>
        <w:pStyle w:val="References"/>
        <w:wordWrap w:val="0"/>
        <w:rPr>
          <w:sz w:val="22"/>
          <w:szCs w:val="22"/>
        </w:rPr>
      </w:pPr>
      <w:bookmarkStart w:id="7" w:name="_Hlk46823147"/>
      <w:bookmarkStart w:id="8" w:name="_Ref167612875"/>
      <w:bookmarkStart w:id="9" w:name="_Ref167612671"/>
      <w:bookmarkStart w:id="10" w:name="_Ref6672460"/>
      <w:bookmarkStart w:id="11" w:name="_Ref6596326"/>
      <w:bookmarkEnd w:id="4"/>
      <w:bookmarkEnd w:id="5"/>
      <w:bookmarkEnd w:id="6"/>
      <w:r w:rsidRPr="00337881">
        <w:rPr>
          <w:sz w:val="22"/>
          <w:szCs w:val="22"/>
        </w:rPr>
        <w:t xml:space="preserve">TR38.857, “Study on NR Positioning Enhancements.” </w:t>
      </w:r>
    </w:p>
    <w:bookmarkEnd w:id="7"/>
    <w:p w14:paraId="432D403A" w14:textId="52A4DE8F" w:rsidR="006E093F" w:rsidRPr="00337881" w:rsidRDefault="006E093F" w:rsidP="006E093F">
      <w:pPr>
        <w:pStyle w:val="References"/>
        <w:wordWrap w:val="0"/>
        <w:rPr>
          <w:sz w:val="22"/>
          <w:szCs w:val="22"/>
        </w:rPr>
      </w:pPr>
      <w:r w:rsidRPr="00337881">
        <w:rPr>
          <w:sz w:val="22"/>
          <w:szCs w:val="22"/>
        </w:rPr>
        <w:t>Chairman’s Notes, RAN1#101-e.</w:t>
      </w:r>
    </w:p>
    <w:p w14:paraId="6EC3DDD1" w14:textId="6E9B00B5" w:rsidR="00C12B1C" w:rsidRPr="00337881" w:rsidRDefault="00C12B1C" w:rsidP="00C12B1C">
      <w:pPr>
        <w:pStyle w:val="References"/>
        <w:wordWrap w:val="0"/>
        <w:rPr>
          <w:sz w:val="22"/>
          <w:szCs w:val="22"/>
        </w:rPr>
      </w:pPr>
      <w:r w:rsidRPr="00337881">
        <w:rPr>
          <w:sz w:val="22"/>
          <w:szCs w:val="22"/>
        </w:rPr>
        <w:t>Chairman’s Notes, RAN1#102-e.</w:t>
      </w:r>
    </w:p>
    <w:p w14:paraId="306E75A7" w14:textId="778C7B5D" w:rsidR="00C12B1C" w:rsidRPr="00337881" w:rsidRDefault="00C12B1C" w:rsidP="00C12B1C">
      <w:pPr>
        <w:pStyle w:val="References"/>
        <w:rPr>
          <w:sz w:val="22"/>
          <w:szCs w:val="22"/>
        </w:rPr>
      </w:pPr>
      <w:r w:rsidRPr="00337881">
        <w:rPr>
          <w:sz w:val="22"/>
          <w:szCs w:val="22"/>
          <w:lang w:eastAsia="x-none"/>
        </w:rPr>
        <w:t>R1-2007367</w:t>
      </w:r>
      <w:r w:rsidRPr="00337881">
        <w:rPr>
          <w:sz w:val="22"/>
          <w:szCs w:val="22"/>
        </w:rPr>
        <w:t>, “FL summary for additional scenarios for evaluation of NR positioning enhancements</w:t>
      </w:r>
      <w:r w:rsidRPr="00337881">
        <w:rPr>
          <w:sz w:val="22"/>
          <w:szCs w:val="22"/>
        </w:rPr>
        <w:tab/>
        <w:t>Moderator (Ericsson).</w:t>
      </w:r>
    </w:p>
    <w:p w14:paraId="5922E60B" w14:textId="77777777" w:rsidR="00BC6E70" w:rsidRPr="00337881" w:rsidRDefault="00BC6E70" w:rsidP="006E093F">
      <w:pPr>
        <w:pStyle w:val="References"/>
        <w:numPr>
          <w:ilvl w:val="0"/>
          <w:numId w:val="0"/>
        </w:numPr>
        <w:rPr>
          <w:color w:val="000000" w:themeColor="text1"/>
          <w:sz w:val="22"/>
          <w:szCs w:val="22"/>
        </w:rPr>
      </w:pPr>
    </w:p>
    <w:bookmarkEnd w:id="3"/>
    <w:bookmarkEnd w:id="8"/>
    <w:bookmarkEnd w:id="9"/>
    <w:bookmarkEnd w:id="10"/>
    <w:bookmarkEnd w:id="11"/>
    <w:p w14:paraId="367CF0F0" w14:textId="507A8A9C" w:rsidR="00F62478" w:rsidRPr="007F5EC6" w:rsidRDefault="00F62478" w:rsidP="00446E80">
      <w:pPr>
        <w:pStyle w:val="References"/>
        <w:numPr>
          <w:ilvl w:val="0"/>
          <w:numId w:val="0"/>
        </w:numPr>
      </w:pP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C70AF" w14:textId="77777777" w:rsidR="00871924" w:rsidRDefault="00871924">
      <w:r>
        <w:separator/>
      </w:r>
    </w:p>
  </w:endnote>
  <w:endnote w:type="continuationSeparator" w:id="0">
    <w:p w14:paraId="672AFD36" w14:textId="77777777" w:rsidR="00871924" w:rsidRDefault="0087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415BC" w14:textId="77777777" w:rsidR="00871924" w:rsidRDefault="00871924">
      <w:r>
        <w:separator/>
      </w:r>
    </w:p>
  </w:footnote>
  <w:footnote w:type="continuationSeparator" w:id="0">
    <w:p w14:paraId="5F19D54F" w14:textId="77777777" w:rsidR="00871924" w:rsidRDefault="00871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713CB"/>
    <w:multiLevelType w:val="hybridMultilevel"/>
    <w:tmpl w:val="F40647B2"/>
    <w:lvl w:ilvl="0" w:tplc="0158C7A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1B52"/>
    <w:multiLevelType w:val="hybridMultilevel"/>
    <w:tmpl w:val="B8FE65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A7086A"/>
    <w:multiLevelType w:val="hybridMultilevel"/>
    <w:tmpl w:val="DBE8E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9B3842"/>
    <w:multiLevelType w:val="hybridMultilevel"/>
    <w:tmpl w:val="396666A0"/>
    <w:lvl w:ilvl="0" w:tplc="9E14CB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35494"/>
    <w:multiLevelType w:val="hybridMultilevel"/>
    <w:tmpl w:val="E15C132A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D670F"/>
    <w:multiLevelType w:val="hybridMultilevel"/>
    <w:tmpl w:val="3F82C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10553"/>
    <w:multiLevelType w:val="hybridMultilevel"/>
    <w:tmpl w:val="2708B71A"/>
    <w:lvl w:ilvl="0" w:tplc="97B22FA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5E07AC"/>
    <w:multiLevelType w:val="hybridMultilevel"/>
    <w:tmpl w:val="6E04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BB34C0"/>
    <w:multiLevelType w:val="hybridMultilevel"/>
    <w:tmpl w:val="E7484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708FA"/>
    <w:multiLevelType w:val="hybridMultilevel"/>
    <w:tmpl w:val="1F045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7744"/>
    <w:multiLevelType w:val="multilevel"/>
    <w:tmpl w:val="431077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8E384B"/>
    <w:multiLevelType w:val="hybridMultilevel"/>
    <w:tmpl w:val="B742E0EA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6761E"/>
    <w:multiLevelType w:val="multilevel"/>
    <w:tmpl w:val="56E6761E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A6F229F"/>
    <w:multiLevelType w:val="hybridMultilevel"/>
    <w:tmpl w:val="928A4800"/>
    <w:lvl w:ilvl="0" w:tplc="9E14CB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C7123"/>
    <w:multiLevelType w:val="hybridMultilevel"/>
    <w:tmpl w:val="4264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C22AB"/>
    <w:multiLevelType w:val="hybridMultilevel"/>
    <w:tmpl w:val="4DF2AA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6C04BF"/>
    <w:multiLevelType w:val="hybridMultilevel"/>
    <w:tmpl w:val="63DECC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5534DF"/>
    <w:multiLevelType w:val="hybridMultilevel"/>
    <w:tmpl w:val="F51CE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05D43"/>
    <w:multiLevelType w:val="hybridMultilevel"/>
    <w:tmpl w:val="C46CD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35660"/>
    <w:multiLevelType w:val="multilevel"/>
    <w:tmpl w:val="7D4356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2"/>
  </w:num>
  <w:num w:numId="4">
    <w:abstractNumId w:val="11"/>
  </w:num>
  <w:num w:numId="5">
    <w:abstractNumId w:val="26"/>
  </w:num>
  <w:num w:numId="6">
    <w:abstractNumId w:val="15"/>
  </w:num>
  <w:num w:numId="7">
    <w:abstractNumId w:val="6"/>
  </w:num>
  <w:num w:numId="8">
    <w:abstractNumId w:val="27"/>
  </w:num>
  <w:num w:numId="9">
    <w:abstractNumId w:val="21"/>
  </w:num>
  <w:num w:numId="10">
    <w:abstractNumId w:val="25"/>
  </w:num>
  <w:num w:numId="11">
    <w:abstractNumId w:val="1"/>
  </w:num>
  <w:num w:numId="12">
    <w:abstractNumId w:val="23"/>
  </w:num>
  <w:num w:numId="13">
    <w:abstractNumId w:val="3"/>
  </w:num>
  <w:num w:numId="14">
    <w:abstractNumId w:val="24"/>
  </w:num>
  <w:num w:numId="15">
    <w:abstractNumId w:val="7"/>
  </w:num>
  <w:num w:numId="16">
    <w:abstractNumId w:val="12"/>
  </w:num>
  <w:num w:numId="17">
    <w:abstractNumId w:val="1"/>
  </w:num>
  <w:num w:numId="18">
    <w:abstractNumId w:val="16"/>
  </w:num>
  <w:num w:numId="19">
    <w:abstractNumId w:val="19"/>
  </w:num>
  <w:num w:numId="20">
    <w:abstractNumId w:val="20"/>
  </w:num>
  <w:num w:numId="21">
    <w:abstractNumId w:val="2"/>
  </w:num>
  <w:num w:numId="22">
    <w:abstractNumId w:val="4"/>
  </w:num>
  <w:num w:numId="23">
    <w:abstractNumId w:val="18"/>
  </w:num>
  <w:num w:numId="24">
    <w:abstractNumId w:val="13"/>
  </w:num>
  <w:num w:numId="25">
    <w:abstractNumId w:val="5"/>
  </w:num>
  <w:num w:numId="26">
    <w:abstractNumId w:val="9"/>
  </w:num>
  <w:num w:numId="27">
    <w:abstractNumId w:val="17"/>
  </w:num>
  <w:num w:numId="28">
    <w:abstractNumId w:val="28"/>
  </w:num>
  <w:num w:numId="29">
    <w:abstractNumId w:val="14"/>
  </w:num>
  <w:num w:numId="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6FF4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CA7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39CE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C5C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659"/>
    <w:rsid w:val="000D0811"/>
    <w:rsid w:val="000D0E4E"/>
    <w:rsid w:val="000D113C"/>
    <w:rsid w:val="000D12D1"/>
    <w:rsid w:val="000D159A"/>
    <w:rsid w:val="000D16FF"/>
    <w:rsid w:val="000D1796"/>
    <w:rsid w:val="000D22CC"/>
    <w:rsid w:val="000D2746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391"/>
    <w:rsid w:val="000E18DF"/>
    <w:rsid w:val="000E271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C9C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BAC"/>
    <w:rsid w:val="00130F5A"/>
    <w:rsid w:val="001314A8"/>
    <w:rsid w:val="0013160D"/>
    <w:rsid w:val="001321D3"/>
    <w:rsid w:val="00132FAA"/>
    <w:rsid w:val="00133535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AD1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CF3"/>
    <w:rsid w:val="001572C1"/>
    <w:rsid w:val="001577D8"/>
    <w:rsid w:val="00157FC3"/>
    <w:rsid w:val="00160739"/>
    <w:rsid w:val="00161FE4"/>
    <w:rsid w:val="0016271E"/>
    <w:rsid w:val="00162D7A"/>
    <w:rsid w:val="001633C3"/>
    <w:rsid w:val="00163537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AD6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85A"/>
    <w:rsid w:val="001A5C71"/>
    <w:rsid w:val="001A673E"/>
    <w:rsid w:val="001A7763"/>
    <w:rsid w:val="001B0525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C02"/>
    <w:rsid w:val="001C3EE9"/>
    <w:rsid w:val="001C3FA4"/>
    <w:rsid w:val="001C40F9"/>
    <w:rsid w:val="001C40FC"/>
    <w:rsid w:val="001C41B6"/>
    <w:rsid w:val="001C458B"/>
    <w:rsid w:val="001C50F9"/>
    <w:rsid w:val="001C599F"/>
    <w:rsid w:val="001C5D4F"/>
    <w:rsid w:val="001C5EEC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5D0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E7B77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33A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3BE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0F51"/>
    <w:rsid w:val="002416AE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124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03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550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CB8"/>
    <w:rsid w:val="002D5E53"/>
    <w:rsid w:val="002D72CC"/>
    <w:rsid w:val="002E0038"/>
    <w:rsid w:val="002E0319"/>
    <w:rsid w:val="002E09B2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881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6E7E"/>
    <w:rsid w:val="00367441"/>
    <w:rsid w:val="00367B1D"/>
    <w:rsid w:val="00367C9F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670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3B76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F8D"/>
    <w:rsid w:val="004344C7"/>
    <w:rsid w:val="00435274"/>
    <w:rsid w:val="004352AD"/>
    <w:rsid w:val="0043545D"/>
    <w:rsid w:val="0043547E"/>
    <w:rsid w:val="00435C16"/>
    <w:rsid w:val="00435FE2"/>
    <w:rsid w:val="00436916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6E80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3F2D"/>
    <w:rsid w:val="004A4045"/>
    <w:rsid w:val="004A436E"/>
    <w:rsid w:val="004A4715"/>
    <w:rsid w:val="004A4C4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3036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68F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4BC4"/>
    <w:rsid w:val="004F517A"/>
    <w:rsid w:val="004F5479"/>
    <w:rsid w:val="004F6C73"/>
    <w:rsid w:val="004F7528"/>
    <w:rsid w:val="004F7BCA"/>
    <w:rsid w:val="004F7D89"/>
    <w:rsid w:val="00501981"/>
    <w:rsid w:val="00501A85"/>
    <w:rsid w:val="00501B64"/>
    <w:rsid w:val="00501BB3"/>
    <w:rsid w:val="005021DD"/>
    <w:rsid w:val="005026CA"/>
    <w:rsid w:val="00502B72"/>
    <w:rsid w:val="00502FB1"/>
    <w:rsid w:val="0050376D"/>
    <w:rsid w:val="00504009"/>
    <w:rsid w:val="00504BC1"/>
    <w:rsid w:val="00504FE3"/>
    <w:rsid w:val="00505134"/>
    <w:rsid w:val="00505C04"/>
    <w:rsid w:val="00506853"/>
    <w:rsid w:val="005076EC"/>
    <w:rsid w:val="00507BB1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71F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48CF"/>
    <w:rsid w:val="00535079"/>
    <w:rsid w:val="005359C8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6A7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080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490"/>
    <w:rsid w:val="005C0A1E"/>
    <w:rsid w:val="005C1F42"/>
    <w:rsid w:val="005C28FA"/>
    <w:rsid w:val="005C40F4"/>
    <w:rsid w:val="005C43BE"/>
    <w:rsid w:val="005C44F3"/>
    <w:rsid w:val="005C4BBD"/>
    <w:rsid w:val="005C6D3C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19D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380D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685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8EB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57C"/>
    <w:rsid w:val="00633878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5B30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658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56A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206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93F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333"/>
    <w:rsid w:val="006E799D"/>
    <w:rsid w:val="006F0593"/>
    <w:rsid w:val="006F1064"/>
    <w:rsid w:val="006F1B76"/>
    <w:rsid w:val="006F1EB7"/>
    <w:rsid w:val="006F1FFC"/>
    <w:rsid w:val="006F272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045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79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405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55F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57B6"/>
    <w:rsid w:val="007D7175"/>
    <w:rsid w:val="007D7ADE"/>
    <w:rsid w:val="007E02A5"/>
    <w:rsid w:val="007E061F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BA"/>
    <w:rsid w:val="00810D3C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382"/>
    <w:rsid w:val="008274BF"/>
    <w:rsid w:val="00830DC3"/>
    <w:rsid w:val="0083149F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E95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1924"/>
    <w:rsid w:val="00872AA7"/>
    <w:rsid w:val="00872D3F"/>
    <w:rsid w:val="008733AA"/>
    <w:rsid w:val="008733E4"/>
    <w:rsid w:val="008737E2"/>
    <w:rsid w:val="00873F15"/>
    <w:rsid w:val="00874096"/>
    <w:rsid w:val="008756A4"/>
    <w:rsid w:val="00875793"/>
    <w:rsid w:val="00875F73"/>
    <w:rsid w:val="0087667B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4BA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3998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427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36B"/>
    <w:rsid w:val="009204C5"/>
    <w:rsid w:val="009215DD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A9E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5EDF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4D98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3B0B"/>
    <w:rsid w:val="009A4869"/>
    <w:rsid w:val="009A6A6B"/>
    <w:rsid w:val="009A7DAA"/>
    <w:rsid w:val="009B03F6"/>
    <w:rsid w:val="009B1429"/>
    <w:rsid w:val="009B1EF9"/>
    <w:rsid w:val="009B23F7"/>
    <w:rsid w:val="009B24E0"/>
    <w:rsid w:val="009B26AC"/>
    <w:rsid w:val="009B37E2"/>
    <w:rsid w:val="009B44A3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75A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656"/>
    <w:rsid w:val="009F3FB5"/>
    <w:rsid w:val="009F4129"/>
    <w:rsid w:val="009F521F"/>
    <w:rsid w:val="009F5356"/>
    <w:rsid w:val="009F553C"/>
    <w:rsid w:val="009F59F8"/>
    <w:rsid w:val="009F7720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6FDA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A3"/>
    <w:rsid w:val="00A41278"/>
    <w:rsid w:val="00A428FB"/>
    <w:rsid w:val="00A4376F"/>
    <w:rsid w:val="00A43FD0"/>
    <w:rsid w:val="00A44919"/>
    <w:rsid w:val="00A4549F"/>
    <w:rsid w:val="00A454CD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1B4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4A7A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2C9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3CF4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00D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6C1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779"/>
    <w:rsid w:val="00BC39DB"/>
    <w:rsid w:val="00BC3A32"/>
    <w:rsid w:val="00BC3B07"/>
    <w:rsid w:val="00BC4343"/>
    <w:rsid w:val="00BC46EF"/>
    <w:rsid w:val="00BC4A0D"/>
    <w:rsid w:val="00BC6BC1"/>
    <w:rsid w:val="00BC6E70"/>
    <w:rsid w:val="00BC6FD6"/>
    <w:rsid w:val="00BC77C5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66C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1C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4E18"/>
    <w:rsid w:val="00C352B3"/>
    <w:rsid w:val="00C3654C"/>
    <w:rsid w:val="00C3658D"/>
    <w:rsid w:val="00C36BF5"/>
    <w:rsid w:val="00C36DBC"/>
    <w:rsid w:val="00C376BA"/>
    <w:rsid w:val="00C3787F"/>
    <w:rsid w:val="00C37F9B"/>
    <w:rsid w:val="00C40373"/>
    <w:rsid w:val="00C4082D"/>
    <w:rsid w:val="00C40AE6"/>
    <w:rsid w:val="00C411AF"/>
    <w:rsid w:val="00C411EC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4845"/>
    <w:rsid w:val="00C95854"/>
    <w:rsid w:val="00C959FD"/>
    <w:rsid w:val="00C95D24"/>
    <w:rsid w:val="00C95E77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4A48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6F19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5F24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6F29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78E"/>
    <w:rsid w:val="00D35A62"/>
    <w:rsid w:val="00D36234"/>
    <w:rsid w:val="00D36371"/>
    <w:rsid w:val="00D41005"/>
    <w:rsid w:val="00D4146E"/>
    <w:rsid w:val="00D41CC4"/>
    <w:rsid w:val="00D437D8"/>
    <w:rsid w:val="00D437EF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006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CF4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090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B59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4C75"/>
    <w:rsid w:val="00E25F89"/>
    <w:rsid w:val="00E26009"/>
    <w:rsid w:val="00E26387"/>
    <w:rsid w:val="00E2704F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25A"/>
    <w:rsid w:val="00E36A1B"/>
    <w:rsid w:val="00E37DDE"/>
    <w:rsid w:val="00E40949"/>
    <w:rsid w:val="00E40C38"/>
    <w:rsid w:val="00E416F4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6FB5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1DA3"/>
    <w:rsid w:val="00EA2226"/>
    <w:rsid w:val="00EA2483"/>
    <w:rsid w:val="00EA26FC"/>
    <w:rsid w:val="00EA3B5A"/>
    <w:rsid w:val="00EA410E"/>
    <w:rsid w:val="00EA43A6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BB3"/>
    <w:rsid w:val="00ED5FE4"/>
    <w:rsid w:val="00ED6FAD"/>
    <w:rsid w:val="00ED71C5"/>
    <w:rsid w:val="00EE0473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C82"/>
    <w:rsid w:val="00EF63D1"/>
    <w:rsid w:val="00EF6513"/>
    <w:rsid w:val="00EF6683"/>
    <w:rsid w:val="00EF6CAC"/>
    <w:rsid w:val="00EF6DA5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6FCD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77B"/>
    <w:rsid w:val="00F60BE9"/>
    <w:rsid w:val="00F61FD8"/>
    <w:rsid w:val="00F62478"/>
    <w:rsid w:val="00F62DBF"/>
    <w:rsid w:val="00F641FC"/>
    <w:rsid w:val="00F64338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2E9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325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CEF25A20-3142-471F-9641-09FFAFEFB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EA43A6"/>
    <w:pPr>
      <w:overflowPunct w:val="0"/>
      <w:snapToGrid/>
      <w:spacing w:before="120"/>
      <w:textAlignment w:val="baseline"/>
    </w:pPr>
    <w:rPr>
      <w:sz w:val="20"/>
      <w:szCs w:val="20"/>
    </w:rPr>
  </w:style>
  <w:style w:type="character" w:customStyle="1" w:styleId="3GPPTextChar">
    <w:name w:val="3GPP Text Char"/>
    <w:link w:val="3GPPText"/>
    <w:rsid w:val="00EA43A6"/>
  </w:style>
  <w:style w:type="paragraph" w:customStyle="1" w:styleId="EQ">
    <w:name w:val="EQ"/>
    <w:basedOn w:val="Normal"/>
    <w:next w:val="Normal"/>
    <w:qFormat/>
    <w:rsid w:val="00507BB1"/>
    <w:pPr>
      <w:keepLines/>
      <w:tabs>
        <w:tab w:val="center" w:pos="4536"/>
        <w:tab w:val="right" w:pos="9639"/>
      </w:tabs>
      <w:autoSpaceDE/>
      <w:autoSpaceDN/>
      <w:adjustRightInd/>
      <w:snapToGrid/>
      <w:spacing w:after="180"/>
      <w:jc w:val="left"/>
    </w:pPr>
    <w:rPr>
      <w:rFonts w:eastAsia="Malgun Gothic"/>
      <w:noProof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07BB1"/>
    <w:rPr>
      <w:b/>
    </w:rPr>
  </w:style>
  <w:style w:type="paragraph" w:customStyle="1" w:styleId="TAC">
    <w:name w:val="TAC"/>
    <w:basedOn w:val="Normal"/>
    <w:link w:val="TACChar"/>
    <w:rsid w:val="00507BB1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507BB1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507BB1"/>
    <w:rPr>
      <w:rFonts w:ascii="Arial" w:eastAsia="Malgun Gothic" w:hAnsi="Arial"/>
      <w:b/>
      <w:lang w:val="en-GB"/>
    </w:rPr>
  </w:style>
  <w:style w:type="character" w:customStyle="1" w:styleId="TACChar">
    <w:name w:val="TAC Char"/>
    <w:link w:val="TAC"/>
    <w:rsid w:val="00507BB1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507BB1"/>
    <w:rPr>
      <w:rFonts w:ascii="Arial" w:eastAsia="Malgun Gothic" w:hAnsi="Arial"/>
      <w:b/>
      <w:sz w:val="18"/>
      <w:lang w:val="en-GB"/>
    </w:rPr>
  </w:style>
  <w:style w:type="paragraph" w:customStyle="1" w:styleId="TAL">
    <w:name w:val="TAL"/>
    <w:basedOn w:val="Normal"/>
    <w:link w:val="TALChar"/>
    <w:qFormat/>
    <w:rsid w:val="00BC3779"/>
    <w:pPr>
      <w:keepNext/>
      <w:keepLines/>
      <w:autoSpaceDE/>
      <w:autoSpaceDN/>
      <w:adjustRightInd/>
      <w:snapToGrid/>
      <w:spacing w:after="0"/>
      <w:jc w:val="left"/>
    </w:pPr>
    <w:rPr>
      <w:rFonts w:ascii="Arial" w:eastAsia="MS Mincho" w:hAnsi="Arial"/>
      <w:sz w:val="18"/>
      <w:szCs w:val="20"/>
      <w:lang w:eastAsia="zh-CN"/>
    </w:rPr>
  </w:style>
  <w:style w:type="character" w:customStyle="1" w:styleId="TALChar">
    <w:name w:val="TAL Char"/>
    <w:link w:val="TAL"/>
    <w:locked/>
    <w:rsid w:val="00BC3779"/>
    <w:rPr>
      <w:rFonts w:ascii="Arial" w:eastAsia="MS Mincho" w:hAnsi="Arial"/>
      <w:sz w:val="18"/>
      <w:lang w:eastAsia="zh-CN"/>
    </w:rPr>
  </w:style>
  <w:style w:type="paragraph" w:customStyle="1" w:styleId="B1">
    <w:name w:val="B1"/>
    <w:basedOn w:val="List"/>
    <w:link w:val="B10"/>
    <w:qFormat/>
    <w:rsid w:val="00DB1006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4"/>
      <w:szCs w:val="20"/>
      <w:lang w:eastAsia="zh-CN"/>
    </w:rPr>
  </w:style>
  <w:style w:type="paragraph" w:customStyle="1" w:styleId="B2">
    <w:name w:val="B2"/>
    <w:basedOn w:val="List2"/>
    <w:link w:val="B2Char"/>
    <w:qFormat/>
    <w:rsid w:val="00DB100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MS Mincho"/>
      <w:sz w:val="24"/>
      <w:szCs w:val="20"/>
      <w:lang w:eastAsia="zh-CN"/>
    </w:rPr>
  </w:style>
  <w:style w:type="character" w:customStyle="1" w:styleId="B10">
    <w:name w:val="B1 (文字)"/>
    <w:link w:val="B1"/>
    <w:qFormat/>
    <w:rsid w:val="00DB1006"/>
    <w:rPr>
      <w:rFonts w:eastAsia="MS Mincho"/>
      <w:sz w:val="24"/>
      <w:lang w:eastAsia="zh-CN"/>
    </w:rPr>
  </w:style>
  <w:style w:type="character" w:customStyle="1" w:styleId="B2Char">
    <w:name w:val="B2 Char"/>
    <w:link w:val="B2"/>
    <w:qFormat/>
    <w:rsid w:val="00DB1006"/>
    <w:rPr>
      <w:rFonts w:eastAsia="MS Mincho"/>
      <w:sz w:val="24"/>
      <w:lang w:eastAsia="zh-CN"/>
    </w:rPr>
  </w:style>
  <w:style w:type="character" w:customStyle="1" w:styleId="normaltextrun">
    <w:name w:val="normaltextrun"/>
    <w:qFormat/>
    <w:rsid w:val="00DB1006"/>
  </w:style>
  <w:style w:type="character" w:customStyle="1" w:styleId="spellingerror">
    <w:name w:val="spellingerror"/>
    <w:qFormat/>
    <w:rsid w:val="00DB1006"/>
  </w:style>
  <w:style w:type="paragraph" w:styleId="List2">
    <w:name w:val="List 2"/>
    <w:basedOn w:val="Normal"/>
    <w:semiHidden/>
    <w:unhideWhenUsed/>
    <w:rsid w:val="00DB1006"/>
    <w:pPr>
      <w:ind w:left="720" w:hanging="360"/>
      <w:contextualSpacing/>
    </w:pPr>
  </w:style>
  <w:style w:type="paragraph" w:styleId="ListNumber">
    <w:name w:val="List Number"/>
    <w:basedOn w:val="List"/>
    <w:rsid w:val="00501B64"/>
    <w:pPr>
      <w:numPr>
        <w:numId w:val="26"/>
      </w:numPr>
      <w:autoSpaceDE/>
      <w:autoSpaceDN/>
      <w:adjustRightInd/>
      <w:snapToGrid/>
      <w:spacing w:line="259" w:lineRule="auto"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7E817-8054-49E1-AB45-29681D71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Brian Classon</cp:lastModifiedBy>
  <cp:revision>4</cp:revision>
  <cp:lastPrinted>2007-06-18T22:08:00Z</cp:lastPrinted>
  <dcterms:created xsi:type="dcterms:W3CDTF">2020-10-16T19:02:00Z</dcterms:created>
  <dcterms:modified xsi:type="dcterms:W3CDTF">2020-10-16T22:13:00Z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