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AEA" w:rsidP="0754A965" w:rsidRDefault="5776ED18" w14:paraId="6F7A967E" w14:textId="72821ED0">
      <w:pPr>
        <w:spacing w:after="0" w:line="240" w:lineRule="auto"/>
        <w:rPr>
          <w:rFonts w:ascii="Calibri" w:hAnsi="Calibri" w:eastAsia="Calibri" w:cs="Calibri"/>
          <w:b/>
          <w:bCs/>
          <w:sz w:val="32"/>
          <w:szCs w:val="32"/>
        </w:rPr>
      </w:pPr>
      <w:r w:rsidRPr="3DE43BBB">
        <w:rPr>
          <w:rFonts w:ascii="Calibri" w:hAnsi="Calibri" w:eastAsia="Calibri" w:cs="Calibri"/>
          <w:b/>
          <w:bCs/>
          <w:sz w:val="32"/>
          <w:szCs w:val="32"/>
        </w:rPr>
        <w:t xml:space="preserve">3GPP TSG RAN WG1 </w:t>
      </w:r>
      <w:r w:rsidRPr="3DE43BBB" w:rsidR="08CDEF23">
        <w:rPr>
          <w:rFonts w:ascii="Calibri" w:hAnsi="Calibri" w:eastAsia="Calibri" w:cs="Calibri"/>
          <w:b/>
          <w:bCs/>
          <w:sz w:val="32"/>
          <w:szCs w:val="32"/>
        </w:rPr>
        <w:t xml:space="preserve">Meeting </w:t>
      </w:r>
      <w:r w:rsidRPr="3DE43BBB">
        <w:rPr>
          <w:rFonts w:ascii="Calibri" w:hAnsi="Calibri" w:eastAsia="Calibri" w:cs="Calibri"/>
          <w:b/>
          <w:bCs/>
          <w:sz w:val="32"/>
          <w:szCs w:val="32"/>
        </w:rPr>
        <w:t>#10</w:t>
      </w:r>
      <w:r w:rsidRPr="3DE43BBB" w:rsidR="1E07B1D9">
        <w:rPr>
          <w:rFonts w:ascii="Calibri" w:hAnsi="Calibri" w:eastAsia="Calibri" w:cs="Calibri"/>
          <w:b/>
          <w:bCs/>
          <w:sz w:val="32"/>
          <w:szCs w:val="32"/>
        </w:rPr>
        <w:t>3</w:t>
      </w:r>
      <w:r w:rsidRPr="3DE43BBB">
        <w:rPr>
          <w:rFonts w:ascii="Calibri" w:hAnsi="Calibri" w:eastAsia="Calibri" w:cs="Calibri"/>
          <w:b/>
          <w:bCs/>
          <w:sz w:val="32"/>
          <w:szCs w:val="32"/>
        </w:rPr>
        <w:t>-e                                       R1-</w:t>
      </w:r>
      <w:r w:rsidRPr="3DE43BBB" w:rsidR="7860B39E">
        <w:rPr>
          <w:rFonts w:ascii="Calibri" w:hAnsi="Calibri" w:eastAsia="Calibri" w:cs="Calibri"/>
          <w:b/>
          <w:bCs/>
          <w:sz w:val="32"/>
          <w:szCs w:val="32"/>
        </w:rPr>
        <w:t>200</w:t>
      </w:r>
      <w:r w:rsidR="002B18D3">
        <w:rPr>
          <w:rFonts w:ascii="Calibri" w:hAnsi="Calibri" w:eastAsia="Calibri" w:cs="Calibri"/>
          <w:b/>
          <w:bCs/>
          <w:sz w:val="32"/>
          <w:szCs w:val="32"/>
        </w:rPr>
        <w:t>7889</w:t>
      </w:r>
      <w:bookmarkStart w:name="_GoBack" w:id="0"/>
      <w:bookmarkEnd w:id="0"/>
    </w:p>
    <w:p w:rsidR="006D6AEA" w:rsidP="4C164814" w:rsidRDefault="08CDEF23" w14:paraId="176B7E0B" w14:textId="52AF1014">
      <w:pPr>
        <w:spacing w:after="0" w:line="240" w:lineRule="auto"/>
        <w:rPr>
          <w:rFonts w:ascii="Calibri" w:hAnsi="Calibri" w:eastAsia="Calibri" w:cs="Calibri"/>
          <w:sz w:val="32"/>
          <w:szCs w:val="32"/>
        </w:rPr>
      </w:pPr>
      <w:r w:rsidRPr="3DE43BBB">
        <w:rPr>
          <w:rFonts w:ascii="Calibri" w:hAnsi="Calibri" w:eastAsia="Calibri" w:cs="Calibri"/>
          <w:b/>
          <w:bCs/>
          <w:sz w:val="32"/>
          <w:szCs w:val="32"/>
        </w:rPr>
        <w:t>Online</w:t>
      </w:r>
      <w:r w:rsidRPr="3DE43BBB" w:rsidR="5776ED18">
        <w:rPr>
          <w:rFonts w:ascii="Calibri" w:hAnsi="Calibri" w:eastAsia="Calibri" w:cs="Calibri"/>
          <w:b/>
          <w:bCs/>
          <w:sz w:val="32"/>
          <w:szCs w:val="32"/>
        </w:rPr>
        <w:t xml:space="preserve">, </w:t>
      </w:r>
      <w:r w:rsidRPr="3DE43BBB" w:rsidR="7DCC89D4">
        <w:rPr>
          <w:rFonts w:ascii="Calibri" w:hAnsi="Calibri" w:eastAsia="Calibri" w:cs="Calibri"/>
          <w:b/>
          <w:bCs/>
          <w:sz w:val="32"/>
          <w:szCs w:val="32"/>
        </w:rPr>
        <w:t>26</w:t>
      </w:r>
      <w:r w:rsidRPr="3DE43BBB" w:rsidR="1E0B104C">
        <w:rPr>
          <w:rFonts w:ascii="Calibri" w:hAnsi="Calibri" w:eastAsia="Calibri" w:cs="Calibri"/>
          <w:b/>
          <w:bCs/>
          <w:sz w:val="32"/>
          <w:szCs w:val="32"/>
          <w:vertAlign w:val="superscript"/>
        </w:rPr>
        <w:t>th</w:t>
      </w:r>
      <w:r w:rsidRPr="3DE43BBB" w:rsidR="1E0B104C">
        <w:rPr>
          <w:rFonts w:ascii="Calibri" w:hAnsi="Calibri" w:eastAsia="Calibri" w:cs="Calibri"/>
          <w:b/>
          <w:bCs/>
          <w:sz w:val="32"/>
          <w:szCs w:val="32"/>
        </w:rPr>
        <w:t xml:space="preserve"> </w:t>
      </w:r>
      <w:r w:rsidRPr="3DE43BBB" w:rsidR="0A43D39F">
        <w:rPr>
          <w:rFonts w:ascii="Calibri" w:hAnsi="Calibri" w:eastAsia="Calibri" w:cs="Calibri"/>
          <w:b/>
          <w:bCs/>
          <w:sz w:val="32"/>
          <w:szCs w:val="32"/>
        </w:rPr>
        <w:t xml:space="preserve">October </w:t>
      </w:r>
      <w:r w:rsidRPr="3DE43BBB" w:rsidR="1E0B104C">
        <w:rPr>
          <w:rFonts w:ascii="Calibri" w:hAnsi="Calibri" w:eastAsia="Calibri" w:cs="Calibri"/>
          <w:b/>
          <w:bCs/>
          <w:sz w:val="32"/>
          <w:szCs w:val="32"/>
        </w:rPr>
        <w:t xml:space="preserve">– </w:t>
      </w:r>
      <w:r w:rsidRPr="3DE43BBB" w:rsidR="279E22AB">
        <w:rPr>
          <w:rFonts w:ascii="Calibri" w:hAnsi="Calibri" w:eastAsia="Calibri" w:cs="Calibri"/>
          <w:b/>
          <w:bCs/>
          <w:sz w:val="32"/>
          <w:szCs w:val="32"/>
        </w:rPr>
        <w:t>13</w:t>
      </w:r>
      <w:r w:rsidRPr="3DE43BBB" w:rsidR="1E0B104C">
        <w:rPr>
          <w:rFonts w:ascii="Calibri" w:hAnsi="Calibri" w:eastAsia="Calibri" w:cs="Calibri"/>
          <w:b/>
          <w:bCs/>
          <w:sz w:val="32"/>
          <w:szCs w:val="32"/>
          <w:vertAlign w:val="superscript"/>
        </w:rPr>
        <w:t>th</w:t>
      </w:r>
      <w:r w:rsidRPr="3DE43BBB">
        <w:rPr>
          <w:rFonts w:ascii="Calibri" w:hAnsi="Calibri" w:eastAsia="Calibri" w:cs="Calibri"/>
          <w:b/>
          <w:bCs/>
          <w:sz w:val="32"/>
          <w:szCs w:val="32"/>
        </w:rPr>
        <w:t xml:space="preserve"> </w:t>
      </w:r>
      <w:r w:rsidRPr="3DE43BBB" w:rsidR="7451821D">
        <w:rPr>
          <w:rFonts w:ascii="Calibri" w:hAnsi="Calibri" w:eastAsia="Calibri" w:cs="Calibri"/>
          <w:b/>
          <w:bCs/>
          <w:sz w:val="32"/>
          <w:szCs w:val="32"/>
        </w:rPr>
        <w:t>November</w:t>
      </w:r>
      <w:r w:rsidRPr="3DE43BBB" w:rsidR="1E0B104C">
        <w:rPr>
          <w:rFonts w:ascii="Calibri" w:hAnsi="Calibri" w:eastAsia="Calibri" w:cs="Calibri"/>
          <w:b/>
          <w:bCs/>
          <w:sz w:val="32"/>
          <w:szCs w:val="32"/>
        </w:rPr>
        <w:t xml:space="preserve"> 2020</w:t>
      </w:r>
    </w:p>
    <w:p w:rsidR="006D6AEA" w:rsidP="414B6D42" w:rsidRDefault="002B18D3" w14:paraId="5C2A4DBD" w14:textId="7062745E">
      <w:pPr>
        <w:jc w:val="both"/>
        <w:rPr>
          <w:rFonts w:ascii="Calibri" w:hAnsi="Calibri" w:eastAsia="Calibri" w:cs="Calibri"/>
          <w:lang w:val="en-GB"/>
        </w:rPr>
      </w:pPr>
      <w:r>
        <w:br/>
      </w:r>
    </w:p>
    <w:tbl>
      <w:tblPr>
        <w:tblStyle w:val="PlainTable4"/>
        <w:tblW w:w="0" w:type="auto"/>
        <w:tblLayout w:type="fixed"/>
        <w:tblLook w:val="06A0" w:firstRow="1" w:lastRow="0" w:firstColumn="1" w:lastColumn="0" w:noHBand="1" w:noVBand="1"/>
      </w:tblPr>
      <w:tblGrid>
        <w:gridCol w:w="1755"/>
        <w:gridCol w:w="7605"/>
      </w:tblGrid>
      <w:tr w:rsidR="414B6D42" w:rsidTr="4C164814" w14:paraId="2A193B6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:rsidR="414B6D42" w:rsidP="414B6D42" w:rsidRDefault="414B6D42" w14:paraId="5D8D3DD0" w14:textId="5816C425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14B6D42">
              <w:rPr>
                <w:rFonts w:ascii="Calibri" w:hAnsi="Calibri" w:eastAsia="Calibri" w:cs="Calibri"/>
                <w:sz w:val="24"/>
                <w:szCs w:val="24"/>
              </w:rPr>
              <w:t>Agenda Item:</w:t>
            </w:r>
          </w:p>
        </w:tc>
        <w:tc>
          <w:tcPr>
            <w:tcW w:w="7605" w:type="dxa"/>
          </w:tcPr>
          <w:p w:rsidR="414B6D42" w:rsidP="4C164814" w:rsidRDefault="414B6D42" w14:paraId="3DCD8BFB" w14:textId="04B95CF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sz w:val="24"/>
                <w:szCs w:val="24"/>
              </w:rPr>
            </w:pPr>
            <w:r w:rsidRPr="4C164814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>8.</w:t>
            </w:r>
            <w:r w:rsidRPr="4C164814" w:rsidR="4DCA6CEB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>6</w:t>
            </w:r>
            <w:r w:rsidRPr="4C164814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>.</w:t>
            </w:r>
            <w:r w:rsidRPr="4C164814" w:rsidR="1F8EB143">
              <w:rPr>
                <w:rFonts w:ascii="Calibri" w:hAnsi="Calibri" w:eastAsia="Calibri" w:cs="Calibri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414B6D42" w:rsidTr="4C164814" w14:paraId="272CF2F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:rsidR="414B6D42" w:rsidP="414B6D42" w:rsidRDefault="414B6D42" w14:paraId="63FF1624" w14:textId="63DA089D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14B6D42">
              <w:rPr>
                <w:rFonts w:ascii="Calibri" w:hAnsi="Calibri" w:eastAsia="Calibri" w:cs="Calibri"/>
                <w:sz w:val="24"/>
                <w:szCs w:val="24"/>
              </w:rPr>
              <w:t>Source:</w:t>
            </w:r>
          </w:p>
        </w:tc>
        <w:tc>
          <w:tcPr>
            <w:tcW w:w="7605" w:type="dxa"/>
          </w:tcPr>
          <w:p w:rsidR="414B6D42" w:rsidP="414B6D42" w:rsidRDefault="414B6D42" w14:paraId="2E5950CE" w14:textId="3A215046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sz w:val="24"/>
                <w:szCs w:val="24"/>
              </w:rPr>
            </w:pPr>
            <w:r w:rsidRPr="414B6D42">
              <w:rPr>
                <w:rFonts w:ascii="Calibri" w:hAnsi="Calibri" w:eastAsia="Calibri" w:cs="Calibri"/>
                <w:sz w:val="24"/>
                <w:szCs w:val="24"/>
              </w:rPr>
              <w:t>TCL Communication</w:t>
            </w:r>
          </w:p>
        </w:tc>
      </w:tr>
      <w:tr w:rsidR="414B6D42" w:rsidTr="4C164814" w14:paraId="7A5FC1E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:rsidR="414B6D42" w:rsidP="414B6D42" w:rsidRDefault="414B6D42" w14:paraId="62E008AA" w14:textId="62608550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14B6D42">
              <w:rPr>
                <w:rFonts w:ascii="Calibri" w:hAnsi="Calibri" w:eastAsia="Calibri" w:cs="Calibri"/>
                <w:sz w:val="24"/>
                <w:szCs w:val="24"/>
              </w:rPr>
              <w:t>Title:</w:t>
            </w:r>
          </w:p>
        </w:tc>
        <w:tc>
          <w:tcPr>
            <w:tcW w:w="7605" w:type="dxa"/>
          </w:tcPr>
          <w:p w:rsidR="35F423D0" w:rsidP="4C164814" w:rsidRDefault="3E2A4254" w14:paraId="64655D80" w14:textId="1689B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4C164814">
              <w:rPr>
                <w:rFonts w:ascii="Calibri" w:hAnsi="Calibri" w:eastAsia="Calibri" w:cs="Calibri"/>
                <w:sz w:val="24"/>
                <w:szCs w:val="24"/>
              </w:rPr>
              <w:t>Coverage recovery and capacity impact</w:t>
            </w:r>
          </w:p>
        </w:tc>
      </w:tr>
      <w:tr w:rsidR="414B6D42" w:rsidTr="4C164814" w14:paraId="7C5B174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:rsidR="414B6D42" w:rsidP="414B6D42" w:rsidRDefault="414B6D42" w14:paraId="162EBFA0" w14:textId="45111DE4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14B6D42">
              <w:rPr>
                <w:rFonts w:ascii="Calibri" w:hAnsi="Calibri" w:eastAsia="Calibri" w:cs="Calibri"/>
                <w:sz w:val="24"/>
                <w:szCs w:val="24"/>
              </w:rPr>
              <w:t>Documents for:</w:t>
            </w:r>
          </w:p>
        </w:tc>
        <w:tc>
          <w:tcPr>
            <w:tcW w:w="7605" w:type="dxa"/>
          </w:tcPr>
          <w:p w:rsidR="414B6D42" w:rsidP="414B6D42" w:rsidRDefault="414B6D42" w14:paraId="1425423D" w14:textId="2760DDC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sz w:val="24"/>
                <w:szCs w:val="24"/>
              </w:rPr>
            </w:pPr>
            <w:r w:rsidRPr="414B6D42">
              <w:rPr>
                <w:rFonts w:ascii="Calibri" w:hAnsi="Calibri" w:eastAsia="Calibri" w:cs="Calibri"/>
                <w:sz w:val="24"/>
                <w:szCs w:val="24"/>
              </w:rPr>
              <w:t>Discussion and Decision</w:t>
            </w:r>
          </w:p>
        </w:tc>
      </w:tr>
    </w:tbl>
    <w:p w:rsidR="006D6AEA" w:rsidP="414B6D42" w:rsidRDefault="002B18D3" w14:paraId="00FBBB9B" w14:textId="45D8E2C0">
      <w:pPr>
        <w:jc w:val="both"/>
        <w:rPr>
          <w:rFonts w:ascii="Calibri" w:hAnsi="Calibri" w:eastAsia="Calibri" w:cs="Calibri"/>
          <w:lang w:val="en-GB"/>
        </w:rPr>
      </w:pPr>
      <w:r>
        <w:br/>
      </w:r>
    </w:p>
    <w:p w:rsidR="5776ED18" w:rsidP="0754A965" w:rsidRDefault="5776ED18" w14:paraId="43B4FB01" w14:textId="39C3A08B">
      <w:pPr>
        <w:spacing w:before="240" w:after="0"/>
        <w:rPr>
          <w:rFonts w:ascii="Calibri Light" w:hAnsi="Calibri Light" w:eastAsia="Calibri Light" w:cs="Calibri Light"/>
          <w:color w:val="2F5496" w:themeColor="accent1" w:themeShade="BF"/>
          <w:sz w:val="32"/>
          <w:szCs w:val="32"/>
        </w:rPr>
      </w:pPr>
      <w:r w:rsidRPr="0754A965">
        <w:rPr>
          <w:rFonts w:ascii="Calibri Light" w:hAnsi="Calibri Light" w:eastAsia="Calibri Light" w:cs="Calibri Light"/>
          <w:color w:val="2F5496" w:themeColor="accent1" w:themeShade="BF"/>
          <w:sz w:val="32"/>
          <w:szCs w:val="32"/>
        </w:rPr>
        <w:t>Introduction</w:t>
      </w:r>
    </w:p>
    <w:p w:rsidR="006D6AEA" w:rsidP="4C164814" w:rsidRDefault="40060E85" w14:paraId="16FA5E20" w14:textId="29B54781">
      <w:pPr>
        <w:jc w:val="both"/>
      </w:pPr>
      <w:r w:rsidRPr="4C164814">
        <w:t>The SI [1] to support reduced capability devices in NR has been approved in RAN#86</w:t>
      </w:r>
      <w:r w:rsidRPr="4C164814" w:rsidR="28CF5959">
        <w:t xml:space="preserve"> with the goal to allow implementation of low-cost, low-power and small form-factor devices. </w:t>
      </w:r>
    </w:p>
    <w:p w:rsidR="6BCE0F62" w:rsidP="4C164814" w:rsidRDefault="6BCE0F62" w14:paraId="032E4F34" w14:textId="5BFA7C3D">
      <w:pPr>
        <w:jc w:val="both"/>
        <w:rPr>
          <w:rFonts w:ascii="Calibri" w:hAnsi="Calibri" w:eastAsia="Calibri" w:cs="Calibri"/>
        </w:rPr>
      </w:pPr>
      <w:r w:rsidRPr="4C164814">
        <w:rPr>
          <w:rFonts w:ascii="Calibri" w:hAnsi="Calibri" w:eastAsia="Calibri" w:cs="Calibri"/>
        </w:rPr>
        <w:t>The following agreements have been reached in RAN1 101-e:</w:t>
      </w:r>
    </w:p>
    <w:p w:rsidR="6BCE0F62" w:rsidP="4C164814" w:rsidRDefault="6BCE0F62" w14:paraId="50465114" w14:textId="117B5765">
      <w:pPr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highlight w:val="green"/>
        </w:rPr>
        <w:t>Agreements</w:t>
      </w:r>
      <w:r w:rsidRPr="4C164814">
        <w:rPr>
          <w:rFonts w:ascii="Calibri" w:hAnsi="Calibri" w:eastAsia="Calibri" w:cs="Calibri"/>
        </w:rPr>
        <w:t>:</w:t>
      </w:r>
    </w:p>
    <w:p w:rsidR="6BCE0F62" w:rsidP="4C164814" w:rsidRDefault="6BCE0F62" w14:paraId="2CF8507A" w14:textId="27131DFB">
      <w:pPr>
        <w:pStyle w:val="ListParagraph"/>
        <w:numPr>
          <w:ilvl w:val="0"/>
          <w:numId w:val="2"/>
        </w:numPr>
        <w:rPr>
          <w:rFonts w:eastAsiaTheme="minorEastAsia"/>
          <w:lang w:val="en-GB"/>
        </w:rPr>
      </w:pPr>
      <w:r w:rsidRPr="4C164814">
        <w:rPr>
          <w:rFonts w:ascii="Calibri" w:hAnsi="Calibri" w:eastAsia="Calibri" w:cs="Calibri"/>
        </w:rPr>
        <w:t>For FR1, study at least 20MHz maximum UE bandwidth at least for initial access</w:t>
      </w:r>
    </w:p>
    <w:p w:rsidR="6BCE0F62" w:rsidP="4C164814" w:rsidRDefault="6BCE0F62" w14:paraId="1659A81B" w14:textId="4AAB7BA1">
      <w:pPr>
        <w:pStyle w:val="ListParagraph"/>
        <w:numPr>
          <w:ilvl w:val="1"/>
          <w:numId w:val="2"/>
        </w:numPr>
        <w:rPr>
          <w:rFonts w:eastAsiaTheme="minorEastAsia"/>
          <w:lang w:val="en-GB"/>
        </w:rPr>
      </w:pPr>
      <w:r w:rsidRPr="4C164814">
        <w:rPr>
          <w:rFonts w:ascii="Calibri" w:hAnsi="Calibri" w:eastAsia="Calibri" w:cs="Calibri"/>
        </w:rPr>
        <w:t>Other bandwidths FFS</w:t>
      </w:r>
    </w:p>
    <w:p w:rsidR="6BCE0F62" w:rsidP="4C164814" w:rsidRDefault="6BCE0F62" w14:paraId="114ABCEF" w14:textId="1C8BD50A">
      <w:pPr>
        <w:pStyle w:val="ListParagraph"/>
        <w:numPr>
          <w:ilvl w:val="0"/>
          <w:numId w:val="2"/>
        </w:numPr>
        <w:rPr>
          <w:rFonts w:eastAsiaTheme="minorEastAsia"/>
          <w:lang w:val="en-GB"/>
        </w:rPr>
      </w:pPr>
      <w:r w:rsidRPr="4C164814">
        <w:rPr>
          <w:rFonts w:ascii="Calibri" w:hAnsi="Calibri" w:eastAsia="Calibri" w:cs="Calibri"/>
        </w:rPr>
        <w:t>For FR2, study 50MHz and 100 MHz maximum UE bandwidth at least for initial access</w:t>
      </w:r>
    </w:p>
    <w:p w:rsidR="6BCE0F62" w:rsidP="4C164814" w:rsidRDefault="6BCE0F62" w14:paraId="0C8AB06B" w14:textId="05BA68EE">
      <w:pPr>
        <w:pStyle w:val="ListParagraph"/>
        <w:numPr>
          <w:ilvl w:val="1"/>
          <w:numId w:val="2"/>
        </w:numPr>
        <w:rPr>
          <w:rFonts w:eastAsiaTheme="minorEastAsia"/>
          <w:lang w:val="en-GB"/>
        </w:rPr>
      </w:pPr>
      <w:r w:rsidRPr="4C164814">
        <w:rPr>
          <w:rFonts w:ascii="Calibri" w:hAnsi="Calibri" w:eastAsia="Calibri" w:cs="Calibri"/>
        </w:rPr>
        <w:t>Other bandwidths FFS</w:t>
      </w:r>
    </w:p>
    <w:p w:rsidR="6BCE0F62" w:rsidP="4C164814" w:rsidRDefault="6BCE0F62" w14:paraId="76F3E426" w14:textId="76FE1D54">
      <w:pPr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highlight w:val="green"/>
        </w:rPr>
        <w:t>Agreements</w:t>
      </w:r>
      <w:r w:rsidRPr="4C164814">
        <w:rPr>
          <w:rFonts w:ascii="Calibri" w:hAnsi="Calibri" w:eastAsia="Calibri" w:cs="Calibri"/>
        </w:rPr>
        <w:t>:</w:t>
      </w:r>
    </w:p>
    <w:p w:rsidR="6BCE0F62" w:rsidP="4C164814" w:rsidRDefault="6BCE0F62" w14:paraId="740908FF" w14:textId="134831B8">
      <w:pPr>
        <w:pStyle w:val="ListParagraph"/>
        <w:numPr>
          <w:ilvl w:val="0"/>
          <w:numId w:val="2"/>
        </w:numPr>
        <w:rPr>
          <w:rFonts w:eastAsiaTheme="minorEastAsia"/>
          <w:lang w:val="en-GB"/>
        </w:rPr>
      </w:pPr>
      <w:r w:rsidRPr="4C164814">
        <w:rPr>
          <w:rFonts w:ascii="Calibri" w:hAnsi="Calibri" w:eastAsia="Calibri" w:cs="Calibri"/>
        </w:rPr>
        <w:t>For FR1, study two antenna configurations for RedCap UEs, namely 1Rx/1Tx and 2Rx/1Tx.</w:t>
      </w:r>
    </w:p>
    <w:p w:rsidR="6BCE0F62" w:rsidP="4C164814" w:rsidRDefault="6BCE0F62" w14:paraId="097FFECE" w14:textId="67045643">
      <w:pPr>
        <w:pStyle w:val="ListParagraph"/>
        <w:numPr>
          <w:ilvl w:val="0"/>
          <w:numId w:val="2"/>
        </w:numPr>
        <w:rPr>
          <w:rFonts w:eastAsiaTheme="minorEastAsia"/>
          <w:lang w:val="en-GB"/>
        </w:rPr>
      </w:pPr>
      <w:r w:rsidRPr="4C164814">
        <w:rPr>
          <w:rFonts w:ascii="Calibri" w:hAnsi="Calibri" w:eastAsia="Calibri" w:cs="Calibri"/>
        </w:rPr>
        <w:t>For FR2, study two antenna configurations for RedCap UEs, namely 1Rx/1Tx and 2Rx/1Tx.</w:t>
      </w:r>
    </w:p>
    <w:p w:rsidR="6BCE0F62" w:rsidP="4C164814" w:rsidRDefault="6BCE0F62" w14:paraId="290E1DE5" w14:textId="72C4D691">
      <w:pPr>
        <w:jc w:val="both"/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lang w:val="en-GB"/>
        </w:rPr>
        <w:t>Consequently, the reduction of the maximum bandwidth together with a reduced number of RX</w:t>
      </w:r>
      <w:r w:rsidRPr="4C164814" w:rsidR="4DB1F7D9">
        <w:rPr>
          <w:rFonts w:ascii="Calibri" w:hAnsi="Calibri" w:eastAsia="Calibri" w:cs="Calibri"/>
          <w:lang w:val="en-GB"/>
        </w:rPr>
        <w:t>/TX</w:t>
      </w:r>
      <w:r w:rsidRPr="4C164814">
        <w:rPr>
          <w:rFonts w:ascii="Calibri" w:hAnsi="Calibri" w:eastAsia="Calibri" w:cs="Calibri"/>
          <w:lang w:val="en-GB"/>
        </w:rPr>
        <w:t xml:space="preserve"> antennas results in loss of coverage</w:t>
      </w:r>
      <w:r w:rsidRPr="4C164814" w:rsidR="39491A32">
        <w:rPr>
          <w:rFonts w:ascii="Calibri" w:hAnsi="Calibri" w:eastAsia="Calibri" w:cs="Calibri"/>
          <w:lang w:val="en-GB"/>
        </w:rPr>
        <w:t>.</w:t>
      </w:r>
      <w:r w:rsidRPr="4C164814" w:rsidR="38476AD9">
        <w:rPr>
          <w:rFonts w:ascii="Calibri" w:hAnsi="Calibri" w:eastAsia="Calibri" w:cs="Calibri"/>
          <w:lang w:val="en-GB"/>
        </w:rPr>
        <w:t xml:space="preserve"> In the following we discuss coverage recovery solutions for PDCCH.</w:t>
      </w:r>
    </w:p>
    <w:p w:rsidR="006D6AEA" w:rsidP="4C164814" w:rsidRDefault="2BC087D2" w14:paraId="2AC2AD87" w14:textId="4FA746C5">
      <w:pPr>
        <w:pStyle w:val="Heading1"/>
        <w:jc w:val="both"/>
      </w:pPr>
      <w:r w:rsidRPr="4C164814">
        <w:t>Discussion</w:t>
      </w:r>
    </w:p>
    <w:p w:rsidR="0754A965" w:rsidP="4C164814" w:rsidRDefault="66043FB9" w14:paraId="50B2E44C" w14:textId="4F9D66B4">
      <w:pPr>
        <w:jc w:val="both"/>
      </w:pPr>
      <w:r w:rsidRPr="4C164814">
        <w:t xml:space="preserve">PDCCH is especially impacted by UE complexity reduction </w:t>
      </w:r>
      <w:r w:rsidRPr="4C164814" w:rsidR="7579CF0D">
        <w:t>because of the following factors:</w:t>
      </w:r>
    </w:p>
    <w:p w:rsidR="7579CF0D" w:rsidP="163AFF07" w:rsidRDefault="7579CF0D" w14:paraId="29C0EBC4" w14:textId="61855FBD">
      <w:pPr>
        <w:pStyle w:val="ListParagraph"/>
        <w:numPr>
          <w:ilvl w:val="0"/>
          <w:numId w:val="1"/>
        </w:numPr>
        <w:jc w:val="both"/>
        <w:rPr>
          <w:rFonts w:eastAsia="" w:eastAsiaTheme="minorEastAsia"/>
        </w:rPr>
      </w:pPr>
      <w:r w:rsidR="7579CF0D">
        <w:rPr/>
        <w:t xml:space="preserve">Reduced BW: Limits the size of the CORESET and </w:t>
      </w:r>
      <w:commentRangeStart w:id="1"/>
      <w:r w:rsidR="7579CF0D">
        <w:rPr/>
        <w:t>hence the number of UEs that can be scheduled</w:t>
      </w:r>
      <w:commentRangeEnd w:id="1"/>
      <w:r>
        <w:rPr>
          <w:rStyle w:val="CommentReference"/>
        </w:rPr>
        <w:commentReference w:id="1"/>
      </w:r>
      <w:r w:rsidR="7579CF0D">
        <w:rPr/>
        <w:t xml:space="preserve"> as well as the AL.</w:t>
      </w:r>
    </w:p>
    <w:p w:rsidR="12B049C2" w:rsidP="4C164814" w:rsidRDefault="12B049C2" w14:paraId="51B13432" w14:textId="08DC2D13">
      <w:pPr>
        <w:pStyle w:val="ListParagraph"/>
        <w:numPr>
          <w:ilvl w:val="0"/>
          <w:numId w:val="1"/>
        </w:numPr>
        <w:jc w:val="both"/>
      </w:pPr>
      <w:r w:rsidRPr="08CDEF23">
        <w:t xml:space="preserve">Reduced PDCCH monitoring capabilities </w:t>
      </w:r>
      <w:r w:rsidRPr="08CDEF23" w:rsidR="3B3EF7BD">
        <w:t xml:space="preserve">limits the amount of blind decoding attempts </w:t>
      </w:r>
      <w:r w:rsidRPr="08CDEF23" w:rsidR="6CF3CFF8">
        <w:t xml:space="preserve">which needs to be </w:t>
      </w:r>
      <w:r w:rsidRPr="08CDEF23" w:rsidR="79BF480A">
        <w:t>considered</w:t>
      </w:r>
      <w:r w:rsidRPr="08CDEF23" w:rsidR="6CF3CFF8">
        <w:t xml:space="preserve"> when designing coverage recovery solutions.</w:t>
      </w:r>
    </w:p>
    <w:p w:rsidR="4C164814" w:rsidP="4C164814" w:rsidRDefault="4C164814" w14:paraId="1DFFCFFF" w14:textId="6CF65C85">
      <w:pPr>
        <w:jc w:val="both"/>
      </w:pPr>
      <w:r>
        <w:br w:type="page"/>
      </w:r>
      <w:r w:rsidR="5533993F">
        <w:lastRenderedPageBreak/>
        <w:t>Thus, we propose the following guideline for the design of PDCCH coverage recovery solutions:</w:t>
      </w:r>
    </w:p>
    <w:p w:rsidR="410F1563" w:rsidP="4C164814" w:rsidRDefault="410F1563" w14:paraId="0459B72C" w14:textId="4F402868">
      <w:r w:rsidRPr="4C164814">
        <w:rPr>
          <w:b/>
          <w:bCs/>
        </w:rPr>
        <w:t>Proposal 1:</w:t>
      </w:r>
      <w:r>
        <w:t xml:space="preserve"> Coverage recovery solutions do not increase the number of blind decoding attempts.</w:t>
      </w:r>
    </w:p>
    <w:p w:rsidR="53654AFA" w:rsidP="4C164814" w:rsidRDefault="53654AFA" w14:paraId="1DF83F23" w14:textId="2557B22A">
      <w:pPr>
        <w:jc w:val="both"/>
      </w:pPr>
      <w:r>
        <w:t xml:space="preserve">A standard approach for PDDCH coverage recovery is time repetition, where the PDCCH </w:t>
      </w:r>
      <w:r w:rsidR="697E7A42">
        <w:t xml:space="preserve">repetitions are </w:t>
      </w:r>
      <w:r w:rsidR="2464F1BC">
        <w:t>combined p</w:t>
      </w:r>
      <w:r w:rsidR="7BB1E7B2">
        <w:t>rior to decoding.</w:t>
      </w:r>
    </w:p>
    <w:p w:rsidR="4EFE171E" w:rsidP="4C164814" w:rsidRDefault="4EFE171E" w14:paraId="0828D5D0" w14:textId="2D303B7C">
      <w:pPr>
        <w:jc w:val="both"/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lang w:val="en-GB"/>
        </w:rPr>
        <w:t>PDCCH reliability</w:t>
      </w:r>
      <w:r w:rsidRPr="4C164814" w:rsidR="376816AA">
        <w:rPr>
          <w:rFonts w:ascii="Calibri" w:hAnsi="Calibri" w:eastAsia="Calibri" w:cs="Calibri"/>
          <w:lang w:val="en-GB"/>
        </w:rPr>
        <w:t xml:space="preserve"> can </w:t>
      </w:r>
      <w:r w:rsidRPr="4C164814" w:rsidR="30DE7A84">
        <w:rPr>
          <w:rFonts w:ascii="Calibri" w:hAnsi="Calibri" w:eastAsia="Calibri" w:cs="Calibri"/>
          <w:lang w:val="en-GB"/>
        </w:rPr>
        <w:t xml:space="preserve">also </w:t>
      </w:r>
      <w:r w:rsidRPr="4C164814" w:rsidR="376816AA">
        <w:rPr>
          <w:rFonts w:ascii="Calibri" w:hAnsi="Calibri" w:eastAsia="Calibri" w:cs="Calibri"/>
          <w:lang w:val="en-GB"/>
        </w:rPr>
        <w:t xml:space="preserve">be improved </w:t>
      </w:r>
      <w:r w:rsidRPr="4C164814" w:rsidR="2D7384A3">
        <w:rPr>
          <w:rFonts w:ascii="Calibri" w:hAnsi="Calibri" w:eastAsia="Calibri" w:cs="Calibri"/>
          <w:lang w:val="en-GB"/>
        </w:rPr>
        <w:t xml:space="preserve">through PDCCH transmission with </w:t>
      </w:r>
      <w:r w:rsidRPr="4C164814" w:rsidR="376816AA">
        <w:rPr>
          <w:rFonts w:ascii="Calibri" w:hAnsi="Calibri" w:eastAsia="Calibri" w:cs="Calibri"/>
          <w:lang w:val="en-GB"/>
        </w:rPr>
        <w:t>high</w:t>
      </w:r>
      <w:r w:rsidRPr="4C164814" w:rsidR="53C3070B">
        <w:rPr>
          <w:rFonts w:ascii="Calibri" w:hAnsi="Calibri" w:eastAsia="Calibri" w:cs="Calibri"/>
          <w:lang w:val="en-GB"/>
        </w:rPr>
        <w:t>er</w:t>
      </w:r>
      <w:r w:rsidRPr="4C164814" w:rsidR="376816AA">
        <w:rPr>
          <w:rFonts w:ascii="Calibri" w:hAnsi="Calibri" w:eastAsia="Calibri" w:cs="Calibri"/>
          <w:lang w:val="en-GB"/>
        </w:rPr>
        <w:t xml:space="preserve"> aggregation level</w:t>
      </w:r>
      <w:r w:rsidRPr="4C164814" w:rsidR="0074E08C">
        <w:rPr>
          <w:rFonts w:ascii="Calibri" w:hAnsi="Calibri" w:eastAsia="Calibri" w:cs="Calibri"/>
          <w:lang w:val="en-GB"/>
        </w:rPr>
        <w:t xml:space="preserve">s. However, </w:t>
      </w:r>
      <w:r w:rsidRPr="4C164814" w:rsidR="095069FB">
        <w:rPr>
          <w:rFonts w:ascii="Calibri" w:hAnsi="Calibri" w:eastAsia="Calibri" w:cs="Calibri"/>
          <w:lang w:val="en-GB"/>
        </w:rPr>
        <w:t>high aggregation level</w:t>
      </w:r>
      <w:r w:rsidRPr="4C164814" w:rsidR="619AE2AD">
        <w:rPr>
          <w:rFonts w:ascii="Calibri" w:hAnsi="Calibri" w:eastAsia="Calibri" w:cs="Calibri"/>
          <w:lang w:val="en-GB"/>
        </w:rPr>
        <w:t>s</w:t>
      </w:r>
      <w:r w:rsidRPr="4C164814" w:rsidR="095069FB">
        <w:rPr>
          <w:rFonts w:ascii="Calibri" w:hAnsi="Calibri" w:eastAsia="Calibri" w:cs="Calibri"/>
          <w:lang w:val="en-GB"/>
        </w:rPr>
        <w:t xml:space="preserve"> </w:t>
      </w:r>
      <w:r w:rsidRPr="4C164814" w:rsidR="28290873">
        <w:rPr>
          <w:rFonts w:ascii="Calibri" w:hAnsi="Calibri" w:eastAsia="Calibri" w:cs="Calibri"/>
          <w:lang w:val="en-GB"/>
        </w:rPr>
        <w:t>are</w:t>
      </w:r>
      <w:r w:rsidRPr="4C164814" w:rsidR="095069FB">
        <w:rPr>
          <w:rFonts w:ascii="Calibri" w:hAnsi="Calibri" w:eastAsia="Calibri" w:cs="Calibri"/>
          <w:lang w:val="en-GB"/>
        </w:rPr>
        <w:t xml:space="preserve"> very resource consuming</w:t>
      </w:r>
      <w:r w:rsidRPr="4C164814" w:rsidR="2B685773">
        <w:rPr>
          <w:rFonts w:ascii="Calibri" w:hAnsi="Calibri" w:eastAsia="Calibri" w:cs="Calibri"/>
          <w:lang w:val="en-GB"/>
        </w:rPr>
        <w:t xml:space="preserve"> </w:t>
      </w:r>
      <w:r w:rsidRPr="4C164814" w:rsidR="3F558479">
        <w:rPr>
          <w:rFonts w:ascii="Calibri" w:hAnsi="Calibri" w:eastAsia="Calibri" w:cs="Calibri"/>
          <w:lang w:val="en-GB"/>
        </w:rPr>
        <w:t>and will result in increased PDCCH blocking especially since REDCAP UEs operate at a reduced bandwidth.</w:t>
      </w:r>
    </w:p>
    <w:p w:rsidR="5E2894DB" w:rsidP="4C164814" w:rsidRDefault="5E2894DB" w14:paraId="5E02D721" w14:textId="71DDB7EC">
      <w:pPr>
        <w:jc w:val="both"/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lang w:val="en-GB"/>
        </w:rPr>
        <w:t>Therefore, we propose that the UE can be configured with bundled search spaces where it monitors multiple occasions of the same CORESET to receive the PDCCH repetitions with lower aggregation level</w:t>
      </w:r>
      <w:r w:rsidRPr="4C164814" w:rsidR="71C8A9F1">
        <w:rPr>
          <w:rFonts w:ascii="Calibri" w:hAnsi="Calibri" w:eastAsia="Calibri" w:cs="Calibri"/>
          <w:lang w:val="en-GB"/>
        </w:rPr>
        <w:t>s</w:t>
      </w:r>
      <w:r w:rsidRPr="4C164814">
        <w:rPr>
          <w:rFonts w:ascii="Calibri" w:hAnsi="Calibri" w:eastAsia="Calibri" w:cs="Calibri"/>
          <w:lang w:val="en-GB"/>
        </w:rPr>
        <w:t xml:space="preserve">. </w:t>
      </w:r>
    </w:p>
    <w:p w:rsidR="6D73644E" w:rsidP="4C164814" w:rsidRDefault="6D73644E" w14:paraId="52B990D7" w14:textId="63E0698E">
      <w:pPr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b/>
          <w:bCs/>
          <w:lang w:val="en-GB"/>
        </w:rPr>
        <w:t>Proposal</w:t>
      </w:r>
      <w:r w:rsidRPr="4C164814" w:rsidR="7142305F">
        <w:rPr>
          <w:rFonts w:ascii="Calibri" w:hAnsi="Calibri" w:eastAsia="Calibri" w:cs="Calibri"/>
          <w:b/>
          <w:bCs/>
          <w:lang w:val="en-GB"/>
        </w:rPr>
        <w:t xml:space="preserve"> </w:t>
      </w:r>
      <w:r w:rsidRPr="4C164814" w:rsidR="7B21298D">
        <w:rPr>
          <w:rFonts w:ascii="Calibri" w:hAnsi="Calibri" w:eastAsia="Calibri" w:cs="Calibri"/>
          <w:b/>
          <w:bCs/>
          <w:lang w:val="en-GB"/>
        </w:rPr>
        <w:t>2</w:t>
      </w:r>
      <w:r w:rsidRPr="4C164814">
        <w:rPr>
          <w:rFonts w:ascii="Calibri" w:hAnsi="Calibri" w:eastAsia="Calibri" w:cs="Calibri"/>
          <w:b/>
          <w:bCs/>
          <w:lang w:val="en-GB"/>
        </w:rPr>
        <w:t>:</w:t>
      </w:r>
      <w:r w:rsidRPr="4C164814">
        <w:rPr>
          <w:rFonts w:ascii="Calibri" w:hAnsi="Calibri" w:eastAsia="Calibri" w:cs="Calibri"/>
          <w:lang w:val="en-GB"/>
        </w:rPr>
        <w:t xml:space="preserve"> </w:t>
      </w:r>
      <w:r w:rsidRPr="4C164814" w:rsidR="085ABFE8">
        <w:rPr>
          <w:rFonts w:ascii="Calibri" w:hAnsi="Calibri" w:eastAsia="Calibri" w:cs="Calibri"/>
          <w:lang w:val="en-GB"/>
        </w:rPr>
        <w:t xml:space="preserve">Study </w:t>
      </w:r>
      <w:r w:rsidRPr="4C164814">
        <w:rPr>
          <w:rFonts w:ascii="Calibri" w:hAnsi="Calibri" w:eastAsia="Calibri" w:cs="Calibri"/>
          <w:lang w:val="en-GB"/>
        </w:rPr>
        <w:t xml:space="preserve">PDCCH </w:t>
      </w:r>
      <w:r w:rsidRPr="4C164814" w:rsidR="65AD32C8">
        <w:rPr>
          <w:rFonts w:ascii="Calibri" w:hAnsi="Calibri" w:eastAsia="Calibri" w:cs="Calibri"/>
          <w:lang w:val="en-GB"/>
        </w:rPr>
        <w:t>resource bundling, where PDCCH repetition is performed over different monitoring occasion</w:t>
      </w:r>
      <w:r w:rsidRPr="4C164814" w:rsidR="59B41269">
        <w:rPr>
          <w:rFonts w:ascii="Calibri" w:hAnsi="Calibri" w:eastAsia="Calibri" w:cs="Calibri"/>
          <w:lang w:val="en-GB"/>
        </w:rPr>
        <w:t xml:space="preserve"> within a search space set or across different search space sets</w:t>
      </w:r>
      <w:r w:rsidRPr="4C164814" w:rsidR="1FCBD7DE">
        <w:rPr>
          <w:rFonts w:ascii="Calibri" w:hAnsi="Calibri" w:eastAsia="Calibri" w:cs="Calibri"/>
          <w:lang w:val="en-GB"/>
        </w:rPr>
        <w:t>.</w:t>
      </w:r>
    </w:p>
    <w:p w:rsidR="1FCBD7DE" w:rsidP="4C164814" w:rsidRDefault="1FCBD7DE" w14:paraId="016B1EA6" w14:textId="2688D28F">
      <w:pPr>
        <w:jc w:val="both"/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lang w:val="en-GB"/>
        </w:rPr>
        <w:t>Another approach is to extend the CORESET in time domain to increase the number of resources for PDCCH transmission.</w:t>
      </w:r>
      <w:r w:rsidRPr="4C164814" w:rsidR="71B3A604">
        <w:rPr>
          <w:rFonts w:ascii="Calibri" w:hAnsi="Calibri" w:eastAsia="Calibri" w:cs="Calibri"/>
          <w:lang w:val="en-GB"/>
        </w:rPr>
        <w:t xml:space="preserve"> </w:t>
      </w:r>
      <w:r w:rsidRPr="4C164814" w:rsidR="03A3D7C1">
        <w:rPr>
          <w:rFonts w:ascii="Calibri" w:hAnsi="Calibri" w:eastAsia="Calibri" w:cs="Calibri"/>
          <w:lang w:val="en-GB"/>
        </w:rPr>
        <w:t xml:space="preserve">In order to not increase the number of blind decoding attempts, </w:t>
      </w:r>
      <w:r w:rsidRPr="4C164814" w:rsidR="43333CAF">
        <w:rPr>
          <w:rFonts w:ascii="Calibri" w:hAnsi="Calibri" w:eastAsia="Calibri" w:cs="Calibri"/>
          <w:lang w:val="en-GB"/>
        </w:rPr>
        <w:t xml:space="preserve">the </w:t>
      </w:r>
      <w:r w:rsidRPr="4C164814" w:rsidR="03A3D7C1">
        <w:rPr>
          <w:rFonts w:ascii="Calibri" w:hAnsi="Calibri" w:eastAsia="Calibri" w:cs="Calibri"/>
          <w:lang w:val="en-GB"/>
        </w:rPr>
        <w:t xml:space="preserve">additional resources </w:t>
      </w:r>
      <w:r w:rsidRPr="4C164814" w:rsidR="2E0F080B">
        <w:rPr>
          <w:rFonts w:ascii="Calibri" w:hAnsi="Calibri" w:eastAsia="Calibri" w:cs="Calibri"/>
          <w:lang w:val="en-GB"/>
        </w:rPr>
        <w:t>should be implicitly mapped to the regular PDCCH candidates.</w:t>
      </w:r>
      <w:r w:rsidRPr="4C164814" w:rsidR="11EB587B">
        <w:rPr>
          <w:rFonts w:ascii="Calibri" w:hAnsi="Calibri" w:eastAsia="Calibri" w:cs="Calibri"/>
          <w:lang w:val="en-GB"/>
        </w:rPr>
        <w:t xml:space="preserve"> </w:t>
      </w:r>
      <w:r w:rsidRPr="4C164814" w:rsidR="7038CC2C">
        <w:rPr>
          <w:rFonts w:ascii="Calibri" w:hAnsi="Calibri" w:eastAsia="Calibri" w:cs="Calibri"/>
          <w:lang w:val="en-GB"/>
        </w:rPr>
        <w:t>A</w:t>
      </w:r>
      <w:r w:rsidRPr="4C164814" w:rsidR="71B3A604">
        <w:rPr>
          <w:rFonts w:ascii="Calibri" w:hAnsi="Calibri" w:eastAsia="Calibri" w:cs="Calibri"/>
          <w:lang w:val="en-GB"/>
        </w:rPr>
        <w:t>dvantage</w:t>
      </w:r>
      <w:r w:rsidRPr="4C164814" w:rsidR="1570CAD9">
        <w:rPr>
          <w:rFonts w:ascii="Calibri" w:hAnsi="Calibri" w:eastAsia="Calibri" w:cs="Calibri"/>
          <w:lang w:val="en-GB"/>
        </w:rPr>
        <w:t xml:space="preserve">s </w:t>
      </w:r>
      <w:r w:rsidRPr="4C164814" w:rsidR="71B3A604">
        <w:rPr>
          <w:rFonts w:ascii="Calibri" w:hAnsi="Calibri" w:eastAsia="Calibri" w:cs="Calibri"/>
          <w:lang w:val="en-GB"/>
        </w:rPr>
        <w:t>compared to time repetition across multiple monitoring occasion</w:t>
      </w:r>
      <w:r w:rsidRPr="4C164814" w:rsidR="2544CADD">
        <w:rPr>
          <w:rFonts w:ascii="Calibri" w:hAnsi="Calibri" w:eastAsia="Calibri" w:cs="Calibri"/>
          <w:lang w:val="en-GB"/>
        </w:rPr>
        <w:t xml:space="preserve">s </w:t>
      </w:r>
      <w:r w:rsidRPr="4C164814" w:rsidR="447A9C64">
        <w:rPr>
          <w:rFonts w:ascii="Calibri" w:hAnsi="Calibri" w:eastAsia="Calibri" w:cs="Calibri"/>
          <w:lang w:val="en-GB"/>
        </w:rPr>
        <w:t>include</w:t>
      </w:r>
      <w:r w:rsidRPr="4C164814" w:rsidR="2544CADD">
        <w:rPr>
          <w:rFonts w:ascii="Calibri" w:hAnsi="Calibri" w:eastAsia="Calibri" w:cs="Calibri"/>
          <w:lang w:val="en-GB"/>
        </w:rPr>
        <w:t xml:space="preserve"> the reduced decoding delay </w:t>
      </w:r>
      <w:r w:rsidRPr="4C164814" w:rsidR="09E5DBFE">
        <w:rPr>
          <w:rFonts w:ascii="Calibri" w:hAnsi="Calibri" w:eastAsia="Calibri" w:cs="Calibri"/>
          <w:lang w:val="en-GB"/>
        </w:rPr>
        <w:t>and lower power consumption.</w:t>
      </w:r>
    </w:p>
    <w:p w:rsidR="3151939C" w:rsidP="4C164814" w:rsidRDefault="3151939C" w14:paraId="2A09010F" w14:textId="2B636295">
      <w:pPr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b/>
          <w:bCs/>
          <w:lang w:val="en-GB"/>
        </w:rPr>
        <w:t>Proposal 3:</w:t>
      </w:r>
      <w:r w:rsidRPr="4C164814">
        <w:rPr>
          <w:rFonts w:ascii="Calibri" w:hAnsi="Calibri" w:eastAsia="Calibri" w:cs="Calibri"/>
          <w:lang w:val="en-GB"/>
        </w:rPr>
        <w:t xml:space="preserve"> Study PDCCH coverage recovery solutions</w:t>
      </w:r>
      <w:r w:rsidRPr="4C164814" w:rsidR="45A6AA28">
        <w:rPr>
          <w:rFonts w:ascii="Calibri" w:hAnsi="Calibri" w:eastAsia="Calibri" w:cs="Calibri"/>
          <w:lang w:val="en-GB"/>
        </w:rPr>
        <w:t xml:space="preserve"> based on an extended CORESET in time domain.</w:t>
      </w:r>
    </w:p>
    <w:p w:rsidR="5E97B2BC" w:rsidP="4C164814" w:rsidRDefault="5E97B2BC" w14:paraId="3E555E54" w14:textId="752ADE35">
      <w:pPr>
        <w:pStyle w:val="Heading1"/>
        <w:jc w:val="both"/>
      </w:pPr>
      <w:r w:rsidRPr="4C164814">
        <w:t>Conclusion</w:t>
      </w:r>
    </w:p>
    <w:p w:rsidR="2F4ACCE7" w:rsidP="4C164814" w:rsidRDefault="2F4ACCE7" w14:paraId="5E40E13A" w14:textId="3B9B7AE2">
      <w:pPr>
        <w:jc w:val="both"/>
      </w:pPr>
      <w:r w:rsidRPr="4C164814">
        <w:rPr>
          <w:rFonts w:ascii="Calibri" w:hAnsi="Calibri" w:eastAsia="Calibri" w:cs="Calibri"/>
        </w:rPr>
        <w:t>In this contribution the following proposals and observations have been made:</w:t>
      </w:r>
    </w:p>
    <w:p w:rsidR="006D6AEA" w:rsidP="4C164814" w:rsidRDefault="44D57676" w14:paraId="4E882498" w14:textId="3AF247A2">
      <w:r w:rsidRPr="4C164814">
        <w:rPr>
          <w:rFonts w:ascii="Calibri" w:hAnsi="Calibri" w:eastAsia="Calibri" w:cs="Calibri"/>
          <w:b/>
          <w:bCs/>
          <w:lang w:val="en-GB"/>
        </w:rPr>
        <w:t>Proposal 1:</w:t>
      </w:r>
      <w:r w:rsidRPr="4C164814">
        <w:rPr>
          <w:rFonts w:ascii="Calibri" w:hAnsi="Calibri" w:eastAsia="Calibri" w:cs="Calibri"/>
          <w:lang w:val="en-GB"/>
        </w:rPr>
        <w:t xml:space="preserve"> </w:t>
      </w:r>
      <w:r w:rsidR="4092708A">
        <w:t>Coverage recovery solutions do not increase the number of blind decoding attempts.</w:t>
      </w:r>
    </w:p>
    <w:p w:rsidR="006D6AEA" w:rsidP="4C164814" w:rsidRDefault="44D57676" w14:paraId="1443A525" w14:textId="7C25C28D">
      <w:pPr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b/>
          <w:bCs/>
          <w:lang w:val="en-GB"/>
        </w:rPr>
        <w:t>Proposal 2:</w:t>
      </w:r>
      <w:r w:rsidRPr="4C164814">
        <w:rPr>
          <w:rFonts w:ascii="Calibri" w:hAnsi="Calibri" w:eastAsia="Calibri" w:cs="Calibri"/>
          <w:lang w:val="en-GB"/>
        </w:rPr>
        <w:t xml:space="preserve"> </w:t>
      </w:r>
      <w:r w:rsidRPr="4C164814" w:rsidR="76AADECB">
        <w:rPr>
          <w:rFonts w:ascii="Calibri" w:hAnsi="Calibri" w:eastAsia="Calibri" w:cs="Calibri"/>
          <w:lang w:val="en-GB"/>
        </w:rPr>
        <w:t>Study PDCCH resource bundling, where PDCCH repetition is performed over different monitoring occasion within a search space set or across different search space sets.</w:t>
      </w:r>
    </w:p>
    <w:p w:rsidR="006D6AEA" w:rsidP="4C164814" w:rsidRDefault="384F0794" w14:paraId="137572C1" w14:textId="3A483A8B">
      <w:pPr>
        <w:rPr>
          <w:rFonts w:ascii="Calibri" w:hAnsi="Calibri" w:eastAsia="Calibri" w:cs="Calibri"/>
          <w:lang w:val="en-GB"/>
        </w:rPr>
      </w:pPr>
      <w:r w:rsidRPr="4C164814">
        <w:rPr>
          <w:rFonts w:ascii="Calibri" w:hAnsi="Calibri" w:eastAsia="Calibri" w:cs="Calibri"/>
          <w:b/>
          <w:bCs/>
          <w:lang w:val="en-GB"/>
        </w:rPr>
        <w:t>Proposal 3:</w:t>
      </w:r>
      <w:r w:rsidRPr="4C164814">
        <w:rPr>
          <w:rFonts w:ascii="Calibri" w:hAnsi="Calibri" w:eastAsia="Calibri" w:cs="Calibri"/>
          <w:lang w:val="en-GB"/>
        </w:rPr>
        <w:t xml:space="preserve"> Study PDCCH coverage recovery solutions based on an extended CORESET in time domain.</w:t>
      </w:r>
    </w:p>
    <w:p w:rsidR="006D6AEA" w:rsidP="414B6D42" w:rsidRDefault="6612FB7E" w14:paraId="79896592" w14:textId="1CE35819">
      <w:pPr>
        <w:pStyle w:val="Heading1"/>
        <w:rPr>
          <w:rFonts w:ascii="Calibri Light" w:hAnsi="Calibri Light" w:eastAsia="Calibri Light" w:cs="Calibri Light"/>
        </w:rPr>
      </w:pPr>
      <w:r w:rsidRPr="414B6D42">
        <w:t>References</w:t>
      </w:r>
    </w:p>
    <w:p w:rsidR="006D6AEA" w:rsidP="414B6D42" w:rsidRDefault="6612FB7E" w14:paraId="2A71C855" w14:textId="7FABEE23">
      <w:r w:rsidRPr="0754A965">
        <w:t>[1] RP-193238, “New SID on support of reduced capability NR devices”</w:t>
      </w:r>
    </w:p>
    <w:p w:rsidR="49AF6A18" w:rsidP="0754A965" w:rsidRDefault="49AF6A18" w14:paraId="2C348DC6" w14:textId="2BC67DEA">
      <w:r w:rsidRPr="0754A965">
        <w:t>[2] TR-38.840, “Study on User Equipment (UE) power saving in NR”</w:t>
      </w:r>
    </w:p>
    <w:p w:rsidR="14A6E115" w:rsidP="0754A965" w:rsidRDefault="14A6E115" w14:paraId="03278E04" w14:textId="2D4BFF50">
      <w:r w:rsidRPr="0754A965">
        <w:t>[3] RP-191607, “New WID: UE Power Saving in NR”</w:t>
      </w:r>
    </w:p>
    <w:p w:rsidR="006D6AEA" w:rsidP="414B6D42" w:rsidRDefault="006D6AEA" w14:paraId="2C078E63" w14:textId="0CC015DC"/>
    <w:sectPr w:rsidR="006D6AE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nitials="US" w:author="Umer, SALIM" w:date="2020-08-07T10:59:00Z" w:id="1">
    <w:p w:rsidR="2114336B" w:rsidRDefault="2114336B" w14:paraId="7199FC50" w14:textId="6997E963">
      <w:r>
        <w:rPr>
          <w:color w:val="2B579A"/>
          <w:shd w:val="clear" w:color="auto" w:fill="E6E6E6"/>
        </w:rPr>
        <w:fldChar w:fldCharType="begin"/>
      </w:r>
      <w:r>
        <w:instrText xml:space="preserve"> HYPERLINK "mailto:Sebastian.Wagner@tcl.com"</w:instrText>
      </w:r>
      <w:bookmarkStart w:name="_@_1A2EA7FB20174F8A8B7303596B7D60B8Z" w:id="2"/>
      <w:r>
        <w:rPr>
          <w:color w:val="2B579A"/>
          <w:shd w:val="clear" w:color="auto" w:fill="E6E6E6"/>
        </w:rPr>
        <w:fldChar w:fldCharType="separate"/>
      </w:r>
      <w:bookmarkEnd w:id="2"/>
      <w:r w:rsidRPr="2114336B">
        <w:rPr>
          <w:rStyle w:val="Mention"/>
          <w:noProof/>
        </w:rPr>
        <w:t>@Sebastian, WAGNER</w:t>
      </w:r>
      <w:r>
        <w:rPr>
          <w:color w:val="2B579A"/>
          <w:shd w:val="clear" w:color="auto" w:fill="E6E6E6"/>
        </w:rPr>
        <w:fldChar w:fldCharType="end"/>
      </w:r>
      <w:r>
        <w:t xml:space="preserve"> </w:t>
      </w:r>
      <w:r>
        <w:annotationRef/>
      </w:r>
      <w:r>
        <w:rPr>
          <w:rStyle w:val="CommentReference"/>
        </w:rPr>
        <w:annotationRef/>
      </w:r>
    </w:p>
    <w:p w:rsidR="2114336B" w:rsidRDefault="2114336B" w14:paraId="129FF447" w14:textId="33A78C39">
      <w:r>
        <w:t>reduced number of UE which can be scheduled - not directly related to a single UE but to cell/system aspects.</w:t>
      </w:r>
    </w:p>
    <w:p w:rsidR="2114336B" w:rsidRDefault="2114336B" w14:paraId="1A6B1CBA" w14:textId="1035CACF"/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1A6B1CBA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80BC0CC" w16cex:dateUtc="2020-08-07T08:59:47.78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A6B1CBA" w16cid:durableId="580BC0C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E4097"/>
    <w:multiLevelType w:val="hybridMultilevel"/>
    <w:tmpl w:val="561A9D2E"/>
    <w:lvl w:ilvl="0" w:tplc="7E40D76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D84A8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82B9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30BF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14AF5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3285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1DC7B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2460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4CF2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1FC71E4"/>
    <w:multiLevelType w:val="hybridMultilevel"/>
    <w:tmpl w:val="0E3C6CD6"/>
    <w:lvl w:ilvl="0" w:tplc="EAC64F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82827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B6B1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AB84D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CC6B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C6C5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3E04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94C0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7B4E5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C17926"/>
    <w:multiLevelType w:val="hybridMultilevel"/>
    <w:tmpl w:val="F3C8C822"/>
    <w:lvl w:ilvl="0" w:tplc="71C03E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7C8CF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24D9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F29A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A224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B834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BAED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883E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DAA3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FF44B81"/>
    <w:multiLevelType w:val="hybridMultilevel"/>
    <w:tmpl w:val="C94E71F6"/>
    <w:lvl w:ilvl="0" w:tplc="7C1238D4">
      <w:start w:val="1"/>
      <w:numFmt w:val="decimal"/>
      <w:lvlText w:val="%1."/>
      <w:lvlJc w:val="left"/>
      <w:pPr>
        <w:ind w:left="720" w:hanging="360"/>
      </w:pPr>
    </w:lvl>
    <w:lvl w:ilvl="1" w:tplc="85A8FFFC">
      <w:start w:val="1"/>
      <w:numFmt w:val="lowerLetter"/>
      <w:lvlText w:val="%2."/>
      <w:lvlJc w:val="left"/>
      <w:pPr>
        <w:ind w:left="1440" w:hanging="360"/>
      </w:pPr>
    </w:lvl>
    <w:lvl w:ilvl="2" w:tplc="EE8E8034">
      <w:start w:val="1"/>
      <w:numFmt w:val="lowerRoman"/>
      <w:lvlText w:val="%3."/>
      <w:lvlJc w:val="right"/>
      <w:pPr>
        <w:ind w:left="2160" w:hanging="180"/>
      </w:pPr>
    </w:lvl>
    <w:lvl w:ilvl="3" w:tplc="F370CEDC">
      <w:start w:val="1"/>
      <w:numFmt w:val="decimal"/>
      <w:lvlText w:val="%4."/>
      <w:lvlJc w:val="left"/>
      <w:pPr>
        <w:ind w:left="2880" w:hanging="360"/>
      </w:pPr>
    </w:lvl>
    <w:lvl w:ilvl="4" w:tplc="7142829E">
      <w:start w:val="1"/>
      <w:numFmt w:val="lowerLetter"/>
      <w:lvlText w:val="%5."/>
      <w:lvlJc w:val="left"/>
      <w:pPr>
        <w:ind w:left="3600" w:hanging="360"/>
      </w:pPr>
    </w:lvl>
    <w:lvl w:ilvl="5" w:tplc="7890BEA2">
      <w:start w:val="1"/>
      <w:numFmt w:val="lowerRoman"/>
      <w:lvlText w:val="%6."/>
      <w:lvlJc w:val="right"/>
      <w:pPr>
        <w:ind w:left="4320" w:hanging="180"/>
      </w:pPr>
    </w:lvl>
    <w:lvl w:ilvl="6" w:tplc="FCB07678">
      <w:start w:val="1"/>
      <w:numFmt w:val="decimal"/>
      <w:lvlText w:val="%7."/>
      <w:lvlJc w:val="left"/>
      <w:pPr>
        <w:ind w:left="5040" w:hanging="360"/>
      </w:pPr>
    </w:lvl>
    <w:lvl w:ilvl="7" w:tplc="6FEE92DA">
      <w:start w:val="1"/>
      <w:numFmt w:val="lowerLetter"/>
      <w:lvlText w:val="%8."/>
      <w:lvlJc w:val="left"/>
      <w:pPr>
        <w:ind w:left="5760" w:hanging="360"/>
      </w:pPr>
    </w:lvl>
    <w:lvl w:ilvl="8" w:tplc="4434F04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12D49"/>
    <w:multiLevelType w:val="hybridMultilevel"/>
    <w:tmpl w:val="F04C1C80"/>
    <w:lvl w:ilvl="0" w:tplc="B21EAA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F6872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CD22B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422E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FE7C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D8C1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764D0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C0BF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1C73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C7D0F91"/>
    <w:multiLevelType w:val="hybridMultilevel"/>
    <w:tmpl w:val="C3F05D3E"/>
    <w:lvl w:ilvl="0" w:tplc="6E74B2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E0C0B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804B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12FF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2A65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166B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B875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683B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D6E6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mer, SALIM">
    <w15:presenceInfo w15:providerId="AD" w15:userId="S::umer.salim@tcl.com::2560fe14-43e9-4c85-bc5d-1ac7f1812b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trackRevisions w:val="false"/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CECA7E"/>
    <w:rsid w:val="001DC240"/>
    <w:rsid w:val="002B18D3"/>
    <w:rsid w:val="006D6AEA"/>
    <w:rsid w:val="0074E08C"/>
    <w:rsid w:val="00C17970"/>
    <w:rsid w:val="019D7E3D"/>
    <w:rsid w:val="028513CE"/>
    <w:rsid w:val="028BAFA9"/>
    <w:rsid w:val="02CD9380"/>
    <w:rsid w:val="03A3D7C1"/>
    <w:rsid w:val="03B64CFA"/>
    <w:rsid w:val="04F557ED"/>
    <w:rsid w:val="0535D775"/>
    <w:rsid w:val="05457C9C"/>
    <w:rsid w:val="05460D72"/>
    <w:rsid w:val="0658B12B"/>
    <w:rsid w:val="06A9DF1F"/>
    <w:rsid w:val="06D08D7C"/>
    <w:rsid w:val="070AE95D"/>
    <w:rsid w:val="0754A965"/>
    <w:rsid w:val="07736A4B"/>
    <w:rsid w:val="07872343"/>
    <w:rsid w:val="079CB27D"/>
    <w:rsid w:val="07FC1A59"/>
    <w:rsid w:val="08263BC4"/>
    <w:rsid w:val="085ABFE8"/>
    <w:rsid w:val="089DDE6D"/>
    <w:rsid w:val="08CDEF23"/>
    <w:rsid w:val="08F512A0"/>
    <w:rsid w:val="0928AF44"/>
    <w:rsid w:val="095069FB"/>
    <w:rsid w:val="09E5DBFE"/>
    <w:rsid w:val="0A43D39F"/>
    <w:rsid w:val="0A69437C"/>
    <w:rsid w:val="0A699D8B"/>
    <w:rsid w:val="0AC85C11"/>
    <w:rsid w:val="0B7D55C7"/>
    <w:rsid w:val="0B8F5533"/>
    <w:rsid w:val="0BC3ECA7"/>
    <w:rsid w:val="0C277995"/>
    <w:rsid w:val="0D060D85"/>
    <w:rsid w:val="0D43A566"/>
    <w:rsid w:val="0D93D74C"/>
    <w:rsid w:val="0E9B0A59"/>
    <w:rsid w:val="0ECEB9DF"/>
    <w:rsid w:val="0FE8BC5A"/>
    <w:rsid w:val="1103DBA4"/>
    <w:rsid w:val="11422A95"/>
    <w:rsid w:val="11469C37"/>
    <w:rsid w:val="1191B1DF"/>
    <w:rsid w:val="11EB587B"/>
    <w:rsid w:val="127EF870"/>
    <w:rsid w:val="129991B3"/>
    <w:rsid w:val="12B049C2"/>
    <w:rsid w:val="12D4935D"/>
    <w:rsid w:val="131EF6A2"/>
    <w:rsid w:val="13CE2779"/>
    <w:rsid w:val="13EB34AD"/>
    <w:rsid w:val="13EE7962"/>
    <w:rsid w:val="142214DE"/>
    <w:rsid w:val="14A6E115"/>
    <w:rsid w:val="1501973C"/>
    <w:rsid w:val="1560CB20"/>
    <w:rsid w:val="1570CAD9"/>
    <w:rsid w:val="15E86D2C"/>
    <w:rsid w:val="15FF6C7C"/>
    <w:rsid w:val="1614066B"/>
    <w:rsid w:val="163AFF07"/>
    <w:rsid w:val="16A9A73E"/>
    <w:rsid w:val="16FBB4DB"/>
    <w:rsid w:val="170A94E2"/>
    <w:rsid w:val="178EF66B"/>
    <w:rsid w:val="17D99543"/>
    <w:rsid w:val="1859F7B2"/>
    <w:rsid w:val="18903E68"/>
    <w:rsid w:val="18E5771D"/>
    <w:rsid w:val="197E4F60"/>
    <w:rsid w:val="19AF9985"/>
    <w:rsid w:val="1A076B23"/>
    <w:rsid w:val="1B76292E"/>
    <w:rsid w:val="1BAAC862"/>
    <w:rsid w:val="1C7128A3"/>
    <w:rsid w:val="1C9A814B"/>
    <w:rsid w:val="1CB619D4"/>
    <w:rsid w:val="1CCEBA37"/>
    <w:rsid w:val="1CD53070"/>
    <w:rsid w:val="1CFE0563"/>
    <w:rsid w:val="1D5841BA"/>
    <w:rsid w:val="1D80E40F"/>
    <w:rsid w:val="1DD628CF"/>
    <w:rsid w:val="1DF92493"/>
    <w:rsid w:val="1E07B1D9"/>
    <w:rsid w:val="1E0B104C"/>
    <w:rsid w:val="1EF5FD1A"/>
    <w:rsid w:val="1EF8ADB8"/>
    <w:rsid w:val="1F1DE710"/>
    <w:rsid w:val="1F35BCD3"/>
    <w:rsid w:val="1F8EB143"/>
    <w:rsid w:val="1FCBD7DE"/>
    <w:rsid w:val="1FDCCC7C"/>
    <w:rsid w:val="2001ADCE"/>
    <w:rsid w:val="203C7AF6"/>
    <w:rsid w:val="2085A14F"/>
    <w:rsid w:val="20A23770"/>
    <w:rsid w:val="2114336B"/>
    <w:rsid w:val="220A187B"/>
    <w:rsid w:val="2210AD5F"/>
    <w:rsid w:val="2228E085"/>
    <w:rsid w:val="22D3BD00"/>
    <w:rsid w:val="2308A092"/>
    <w:rsid w:val="23574AD0"/>
    <w:rsid w:val="2358BDCE"/>
    <w:rsid w:val="23BF24F0"/>
    <w:rsid w:val="2464F1BC"/>
    <w:rsid w:val="24871B93"/>
    <w:rsid w:val="2544CADD"/>
    <w:rsid w:val="261B6038"/>
    <w:rsid w:val="262A6C7E"/>
    <w:rsid w:val="26D8A6B9"/>
    <w:rsid w:val="27283F50"/>
    <w:rsid w:val="279E22AB"/>
    <w:rsid w:val="27D91B65"/>
    <w:rsid w:val="2826EDF9"/>
    <w:rsid w:val="28290873"/>
    <w:rsid w:val="28CF5959"/>
    <w:rsid w:val="28EA43E8"/>
    <w:rsid w:val="29605DB5"/>
    <w:rsid w:val="296F2E82"/>
    <w:rsid w:val="29D78576"/>
    <w:rsid w:val="2AC56E1E"/>
    <w:rsid w:val="2ADE420A"/>
    <w:rsid w:val="2AE4A87D"/>
    <w:rsid w:val="2B18802F"/>
    <w:rsid w:val="2B3F605F"/>
    <w:rsid w:val="2B5B607B"/>
    <w:rsid w:val="2B685773"/>
    <w:rsid w:val="2B79AAFE"/>
    <w:rsid w:val="2B8DD4A5"/>
    <w:rsid w:val="2BC087D2"/>
    <w:rsid w:val="2C527E71"/>
    <w:rsid w:val="2C5CBA35"/>
    <w:rsid w:val="2D7384A3"/>
    <w:rsid w:val="2DB6AA9E"/>
    <w:rsid w:val="2E0F080B"/>
    <w:rsid w:val="2E5A9377"/>
    <w:rsid w:val="2F1A46ED"/>
    <w:rsid w:val="2F2DC1C6"/>
    <w:rsid w:val="2F4ACCE7"/>
    <w:rsid w:val="303B0A9A"/>
    <w:rsid w:val="30C57D66"/>
    <w:rsid w:val="30DE7A84"/>
    <w:rsid w:val="30E8A3D7"/>
    <w:rsid w:val="31169F93"/>
    <w:rsid w:val="311A93EE"/>
    <w:rsid w:val="3151939C"/>
    <w:rsid w:val="315B79D6"/>
    <w:rsid w:val="318FEC84"/>
    <w:rsid w:val="3269EEEF"/>
    <w:rsid w:val="33052FFB"/>
    <w:rsid w:val="333DA9E5"/>
    <w:rsid w:val="34C820FA"/>
    <w:rsid w:val="3516A260"/>
    <w:rsid w:val="3544B0DA"/>
    <w:rsid w:val="3596E804"/>
    <w:rsid w:val="35A77AC3"/>
    <w:rsid w:val="35B9A88F"/>
    <w:rsid w:val="35E5DC80"/>
    <w:rsid w:val="35F3F385"/>
    <w:rsid w:val="35F423D0"/>
    <w:rsid w:val="36338544"/>
    <w:rsid w:val="3670929D"/>
    <w:rsid w:val="369559F5"/>
    <w:rsid w:val="369C55D1"/>
    <w:rsid w:val="36D84EF4"/>
    <w:rsid w:val="36D91297"/>
    <w:rsid w:val="36F2D483"/>
    <w:rsid w:val="376816AA"/>
    <w:rsid w:val="37D773DD"/>
    <w:rsid w:val="38476AD9"/>
    <w:rsid w:val="384F0794"/>
    <w:rsid w:val="39491A32"/>
    <w:rsid w:val="39BF580C"/>
    <w:rsid w:val="39F4BCFF"/>
    <w:rsid w:val="3A36BA76"/>
    <w:rsid w:val="3B04267A"/>
    <w:rsid w:val="3B3EF7BD"/>
    <w:rsid w:val="3B3FB7A3"/>
    <w:rsid w:val="3B9E17C0"/>
    <w:rsid w:val="3BF9CB75"/>
    <w:rsid w:val="3C7B89CF"/>
    <w:rsid w:val="3DE43BBB"/>
    <w:rsid w:val="3E03FE80"/>
    <w:rsid w:val="3E2A4254"/>
    <w:rsid w:val="3EA9F36A"/>
    <w:rsid w:val="3F558479"/>
    <w:rsid w:val="3FF941B3"/>
    <w:rsid w:val="40060E85"/>
    <w:rsid w:val="4092708A"/>
    <w:rsid w:val="40B7FC5E"/>
    <w:rsid w:val="40C11A3A"/>
    <w:rsid w:val="410F1563"/>
    <w:rsid w:val="41131E6F"/>
    <w:rsid w:val="4118682F"/>
    <w:rsid w:val="41277C85"/>
    <w:rsid w:val="4133F88F"/>
    <w:rsid w:val="41479E69"/>
    <w:rsid w:val="414B6D42"/>
    <w:rsid w:val="41BB5226"/>
    <w:rsid w:val="427858E6"/>
    <w:rsid w:val="429D1712"/>
    <w:rsid w:val="42D1FAA7"/>
    <w:rsid w:val="43333CAF"/>
    <w:rsid w:val="4339D801"/>
    <w:rsid w:val="4420D87F"/>
    <w:rsid w:val="447A9C64"/>
    <w:rsid w:val="44A192AF"/>
    <w:rsid w:val="44B21F1B"/>
    <w:rsid w:val="44D57676"/>
    <w:rsid w:val="453A29BE"/>
    <w:rsid w:val="45A6AA28"/>
    <w:rsid w:val="45ACA399"/>
    <w:rsid w:val="45D1A890"/>
    <w:rsid w:val="46049570"/>
    <w:rsid w:val="464BF5C2"/>
    <w:rsid w:val="47BFF6DB"/>
    <w:rsid w:val="481ACC88"/>
    <w:rsid w:val="4835D1E0"/>
    <w:rsid w:val="49AF6A18"/>
    <w:rsid w:val="49B08D8C"/>
    <w:rsid w:val="49B9648E"/>
    <w:rsid w:val="4A845ABD"/>
    <w:rsid w:val="4AEB900A"/>
    <w:rsid w:val="4B098894"/>
    <w:rsid w:val="4B2C1C10"/>
    <w:rsid w:val="4B8A1674"/>
    <w:rsid w:val="4C0139A5"/>
    <w:rsid w:val="4C164814"/>
    <w:rsid w:val="4C1C80E4"/>
    <w:rsid w:val="4C1C94EA"/>
    <w:rsid w:val="4C510B49"/>
    <w:rsid w:val="4CA3B191"/>
    <w:rsid w:val="4D6AFD94"/>
    <w:rsid w:val="4D6FC2F1"/>
    <w:rsid w:val="4DB1F7D9"/>
    <w:rsid w:val="4DCA6CEB"/>
    <w:rsid w:val="4E214CA4"/>
    <w:rsid w:val="4E2350C9"/>
    <w:rsid w:val="4E797F70"/>
    <w:rsid w:val="4EFE171E"/>
    <w:rsid w:val="4F065DBB"/>
    <w:rsid w:val="50D0BB3F"/>
    <w:rsid w:val="51013B7F"/>
    <w:rsid w:val="51A3715D"/>
    <w:rsid w:val="51DE1389"/>
    <w:rsid w:val="52751399"/>
    <w:rsid w:val="52A6A13E"/>
    <w:rsid w:val="52C1153C"/>
    <w:rsid w:val="5319CD70"/>
    <w:rsid w:val="534084DE"/>
    <w:rsid w:val="53654AFA"/>
    <w:rsid w:val="53C3070B"/>
    <w:rsid w:val="53DC4F13"/>
    <w:rsid w:val="54E15385"/>
    <w:rsid w:val="54ED1118"/>
    <w:rsid w:val="54F840C9"/>
    <w:rsid w:val="5533993F"/>
    <w:rsid w:val="557A9B01"/>
    <w:rsid w:val="55F2C924"/>
    <w:rsid w:val="5776ED18"/>
    <w:rsid w:val="579291A1"/>
    <w:rsid w:val="57BD0268"/>
    <w:rsid w:val="5851AEB9"/>
    <w:rsid w:val="58D06AAC"/>
    <w:rsid w:val="58E48064"/>
    <w:rsid w:val="596DB175"/>
    <w:rsid w:val="59B26926"/>
    <w:rsid w:val="59B41269"/>
    <w:rsid w:val="59F56D19"/>
    <w:rsid w:val="5A3163E7"/>
    <w:rsid w:val="5A3B0374"/>
    <w:rsid w:val="5C54A9AA"/>
    <w:rsid w:val="5C6DAA49"/>
    <w:rsid w:val="5C8DE606"/>
    <w:rsid w:val="5D405DC7"/>
    <w:rsid w:val="5E2894DB"/>
    <w:rsid w:val="5E4E7384"/>
    <w:rsid w:val="5E97B2BC"/>
    <w:rsid w:val="5ED83839"/>
    <w:rsid w:val="5EFB7074"/>
    <w:rsid w:val="5EFEF0BB"/>
    <w:rsid w:val="5F0C79B0"/>
    <w:rsid w:val="5F0FA548"/>
    <w:rsid w:val="5F8E3264"/>
    <w:rsid w:val="5FB49490"/>
    <w:rsid w:val="601ECA84"/>
    <w:rsid w:val="6039148B"/>
    <w:rsid w:val="603D1ABC"/>
    <w:rsid w:val="607B79E3"/>
    <w:rsid w:val="61977ABE"/>
    <w:rsid w:val="619AE2AD"/>
    <w:rsid w:val="61E99B2C"/>
    <w:rsid w:val="61F239BD"/>
    <w:rsid w:val="623003F9"/>
    <w:rsid w:val="6439E1C5"/>
    <w:rsid w:val="645018E7"/>
    <w:rsid w:val="64903EFC"/>
    <w:rsid w:val="64BFA6E2"/>
    <w:rsid w:val="64CE5D96"/>
    <w:rsid w:val="652C5AE1"/>
    <w:rsid w:val="6542B606"/>
    <w:rsid w:val="655269A6"/>
    <w:rsid w:val="65AD32C8"/>
    <w:rsid w:val="65C25E32"/>
    <w:rsid w:val="66043FB9"/>
    <w:rsid w:val="6612FB7E"/>
    <w:rsid w:val="6681F90C"/>
    <w:rsid w:val="66898D1A"/>
    <w:rsid w:val="66AD6945"/>
    <w:rsid w:val="683121FE"/>
    <w:rsid w:val="688FB7E6"/>
    <w:rsid w:val="6942F47A"/>
    <w:rsid w:val="697E7A42"/>
    <w:rsid w:val="69FFF8DD"/>
    <w:rsid w:val="6B1BC7EE"/>
    <w:rsid w:val="6B41394D"/>
    <w:rsid w:val="6B9253F7"/>
    <w:rsid w:val="6BCCDC38"/>
    <w:rsid w:val="6BCE0F62"/>
    <w:rsid w:val="6C022DBC"/>
    <w:rsid w:val="6C087DC3"/>
    <w:rsid w:val="6C1A3F3D"/>
    <w:rsid w:val="6C4B6D61"/>
    <w:rsid w:val="6C4F999D"/>
    <w:rsid w:val="6CF3CFF8"/>
    <w:rsid w:val="6D2B4921"/>
    <w:rsid w:val="6D57A516"/>
    <w:rsid w:val="6D73644E"/>
    <w:rsid w:val="6DC33F15"/>
    <w:rsid w:val="6DCECA7E"/>
    <w:rsid w:val="6DE15B3D"/>
    <w:rsid w:val="6F943D53"/>
    <w:rsid w:val="6FF20316"/>
    <w:rsid w:val="7038CC2C"/>
    <w:rsid w:val="706D6DE2"/>
    <w:rsid w:val="70A2EE53"/>
    <w:rsid w:val="7142305F"/>
    <w:rsid w:val="717F3817"/>
    <w:rsid w:val="71910BA4"/>
    <w:rsid w:val="71B3A604"/>
    <w:rsid w:val="71C8A9F1"/>
    <w:rsid w:val="7303DFF5"/>
    <w:rsid w:val="736C04DA"/>
    <w:rsid w:val="7424503D"/>
    <w:rsid w:val="7451821D"/>
    <w:rsid w:val="7579CF0D"/>
    <w:rsid w:val="75D5679A"/>
    <w:rsid w:val="75D74961"/>
    <w:rsid w:val="76A669AF"/>
    <w:rsid w:val="76AADECB"/>
    <w:rsid w:val="76EE64C7"/>
    <w:rsid w:val="7731D823"/>
    <w:rsid w:val="77A18161"/>
    <w:rsid w:val="7860B39E"/>
    <w:rsid w:val="786B4B4F"/>
    <w:rsid w:val="787DBC84"/>
    <w:rsid w:val="78CF1929"/>
    <w:rsid w:val="79603C8A"/>
    <w:rsid w:val="79A73453"/>
    <w:rsid w:val="79BF480A"/>
    <w:rsid w:val="7AD97181"/>
    <w:rsid w:val="7AEACD88"/>
    <w:rsid w:val="7B21298D"/>
    <w:rsid w:val="7B3B648A"/>
    <w:rsid w:val="7BB1E7B2"/>
    <w:rsid w:val="7CEC4D6F"/>
    <w:rsid w:val="7D103C6C"/>
    <w:rsid w:val="7D52E107"/>
    <w:rsid w:val="7DCC89D4"/>
    <w:rsid w:val="7DEAB090"/>
    <w:rsid w:val="7E2466BA"/>
    <w:rsid w:val="7EDED59C"/>
    <w:rsid w:val="7EED948D"/>
    <w:rsid w:val="7F837F69"/>
    <w:rsid w:val="7F93DFB0"/>
    <w:rsid w:val="7FB09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ECA7E"/>
  <w15:chartTrackingRefBased/>
  <w15:docId w15:val="{E37E40E2-9CA7-4939-8583-9E069CF4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Mention" w:customStyle="1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B1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4a23367432104614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d0d54ac4202d4287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609AFA-A381-4FA2-95B5-45152FA0C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27378E-143D-4BD0-9F95-B6B993D0D92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3.xml><?xml version="1.0" encoding="utf-8"?>
<ds:datastoreItem xmlns:ds="http://schemas.openxmlformats.org/officeDocument/2006/customXml" ds:itemID="{51BAB803-FDED-4B43-B49A-7CCA248CDEC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Sebastian, WAGNER</dc:creator>
  <keywords/>
  <dc:description/>
  <lastModifiedBy>Sebastian, WAGNER</lastModifiedBy>
  <revision>3</revision>
  <dcterms:created xsi:type="dcterms:W3CDTF">2020-05-12T13:14:00.0000000Z</dcterms:created>
  <dcterms:modified xsi:type="dcterms:W3CDTF">2020-10-16T11:32:45.7790411Z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5600</vt:r8>
  </property>
</Properties>
</file>