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7A97D90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720379">
        <w:rPr>
          <w:rFonts w:ascii="Arial" w:hAnsi="Arial" w:cs="Arial"/>
          <w:b/>
          <w:kern w:val="2"/>
          <w:lang w:eastAsia="zh-CN"/>
        </w:rPr>
        <w:t>3</w:t>
      </w:r>
      <w:r w:rsidR="007B1EE1">
        <w:rPr>
          <w:rFonts w:ascii="Arial" w:hAnsi="Arial" w:cs="Arial"/>
          <w:b/>
          <w:kern w:val="2"/>
          <w:lang w:eastAsia="zh-CN"/>
        </w:rPr>
        <w:t>-e</w:t>
      </w:r>
      <w:r w:rsidR="00972929" w:rsidRPr="00D74B92">
        <w:rPr>
          <w:rFonts w:ascii="Arial" w:hAnsi="Arial" w:cs="Arial"/>
          <w:b/>
          <w:kern w:val="2"/>
          <w:lang w:eastAsia="zh-CN"/>
        </w:rPr>
        <w:tab/>
      </w:r>
      <w:r w:rsidR="004154F5" w:rsidRPr="004154F5">
        <w:rPr>
          <w:rFonts w:ascii="Arial" w:hAnsi="Arial" w:cs="Arial"/>
          <w:b/>
          <w:kern w:val="2"/>
          <w:lang w:eastAsia="zh-CN"/>
        </w:rPr>
        <w:t>R1-20</w:t>
      </w:r>
      <w:r w:rsidR="002F4CF5">
        <w:rPr>
          <w:rFonts w:ascii="Arial" w:hAnsi="Arial" w:cs="Arial"/>
          <w:b/>
          <w:kern w:val="2"/>
          <w:lang w:eastAsia="zh-CN"/>
        </w:rPr>
        <w:t>07546</w:t>
      </w:r>
    </w:p>
    <w:p w14:paraId="61DD1440" w14:textId="584E8B97"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720379">
        <w:rPr>
          <w:rFonts w:ascii="Arial" w:hAnsi="Arial" w:cs="Arial"/>
          <w:b/>
          <w:kern w:val="2"/>
          <w:lang w:eastAsia="zh-CN"/>
        </w:rPr>
        <w:t>October</w:t>
      </w:r>
      <w:r w:rsidRPr="00F47B5C">
        <w:rPr>
          <w:rFonts w:ascii="Arial" w:hAnsi="Arial" w:cs="Arial"/>
          <w:b/>
          <w:kern w:val="2"/>
          <w:lang w:eastAsia="zh-CN"/>
        </w:rPr>
        <w:t xml:space="preserve"> </w:t>
      </w:r>
      <w:r w:rsidR="00720379">
        <w:rPr>
          <w:rFonts w:ascii="Arial" w:hAnsi="Arial" w:cs="Arial"/>
          <w:b/>
          <w:kern w:val="2"/>
          <w:lang w:eastAsia="zh-CN"/>
        </w:rPr>
        <w:t>26</w:t>
      </w:r>
      <w:r w:rsidRPr="00F47B5C">
        <w:rPr>
          <w:rFonts w:ascii="Arial" w:hAnsi="Arial" w:cs="Arial"/>
          <w:b/>
          <w:kern w:val="2"/>
          <w:lang w:eastAsia="zh-CN"/>
        </w:rPr>
        <w:t xml:space="preserve">th – </w:t>
      </w:r>
      <w:r w:rsidR="00720379">
        <w:rPr>
          <w:rFonts w:ascii="Arial" w:hAnsi="Arial" w:cs="Arial"/>
          <w:b/>
          <w:kern w:val="2"/>
          <w:lang w:eastAsia="zh-CN"/>
        </w:rPr>
        <w:t>November</w:t>
      </w:r>
      <w:r w:rsidRPr="00F47B5C">
        <w:rPr>
          <w:rFonts w:ascii="Arial" w:hAnsi="Arial" w:cs="Arial"/>
          <w:b/>
          <w:kern w:val="2"/>
          <w:lang w:eastAsia="zh-CN"/>
        </w:rPr>
        <w:t xml:space="preserve"> </w:t>
      </w:r>
      <w:r w:rsidR="00720379">
        <w:rPr>
          <w:rFonts w:ascii="Arial" w:hAnsi="Arial" w:cs="Arial"/>
          <w:b/>
          <w:kern w:val="2"/>
          <w:lang w:eastAsia="zh-CN"/>
        </w:rPr>
        <w:t>13</w:t>
      </w:r>
      <w:r w:rsidRPr="00F47B5C">
        <w:rPr>
          <w:rFonts w:ascii="Arial" w:hAnsi="Arial" w:cs="Arial"/>
          <w:b/>
          <w:kern w:val="2"/>
          <w:lang w:eastAsia="zh-CN"/>
        </w:rPr>
        <w:t>th, 2020</w:t>
      </w:r>
    </w:p>
    <w:p w14:paraId="7826937B" w14:textId="6127A67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720379">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D1464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20379">
        <w:rPr>
          <w:rFonts w:ascii="Arial" w:hAnsi="Arial" w:cs="Arial"/>
          <w:b/>
          <w:lang w:eastAsia="zh-CN"/>
        </w:rPr>
        <w:t>Enhancement on multi-beam operation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092FA6EB" w:rsidR="00341749" w:rsidRDefault="00E200FB" w:rsidP="00341749">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102-e</w:t>
      </w:r>
      <w:r>
        <w:rPr>
          <w:lang w:eastAsia="zh-CN"/>
        </w:rPr>
        <w:t xml:space="preserve"> meeting</w:t>
      </w:r>
      <w:r w:rsidR="000E612F">
        <w:rPr>
          <w:lang w:eastAsia="zh-CN"/>
        </w:rPr>
        <w:t>,</w:t>
      </w:r>
      <w:r>
        <w:rPr>
          <w:lang w:eastAsia="zh-CN"/>
        </w:rPr>
        <w:t xml:space="preserve"> the </w:t>
      </w:r>
      <w:r w:rsidR="00303C3F">
        <w:rPr>
          <w:lang w:eastAsia="zh-CN"/>
        </w:rPr>
        <w:t xml:space="preserve">Rel. 17 NR </w:t>
      </w:r>
      <w:proofErr w:type="spellStart"/>
      <w:r w:rsidR="00303C3F">
        <w:rPr>
          <w:lang w:eastAsia="zh-CN"/>
        </w:rPr>
        <w:t>FeMIMO</w:t>
      </w:r>
      <w:proofErr w:type="spellEnd"/>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3A6DA0">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bookmarkStart w:id="3" w:name="_GoBack"/>
      <w:bookmarkEnd w:id="3"/>
      <w:r w:rsidR="008D6155">
        <w:rPr>
          <w:lang w:eastAsia="zh-CN"/>
        </w:rPr>
        <w:t xml:space="preserve">The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3A6DA0">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03C1D4DC" w14:textId="77777777" w:rsidR="007D10A0" w:rsidRPr="007D10A0" w:rsidRDefault="007D10A0" w:rsidP="007D10A0">
            <w:pPr>
              <w:autoSpaceDE/>
              <w:autoSpaceDN/>
              <w:adjustRightInd/>
              <w:snapToGrid/>
              <w:spacing w:after="180"/>
              <w:jc w:val="left"/>
              <w:rPr>
                <w:b/>
                <w:bCs/>
                <w:szCs w:val="20"/>
                <w:lang w:eastAsia="x-none"/>
              </w:rPr>
            </w:pPr>
            <w:r w:rsidRPr="007D10A0">
              <w:rPr>
                <w:rFonts w:eastAsia="Malgun Gothic"/>
                <w:b/>
                <w:bCs/>
                <w:szCs w:val="20"/>
                <w:highlight w:val="green"/>
                <w:lang w:val="en-GB" w:eastAsia="x-none"/>
              </w:rPr>
              <w:t>Agreement</w:t>
            </w:r>
          </w:p>
          <w:p w14:paraId="3E0FA98E" w14:textId="2636CD88" w:rsidR="007D10A0" w:rsidRPr="007D10A0" w:rsidRDefault="007D10A0" w:rsidP="007D10A0">
            <w:pPr>
              <w:autoSpaceDE/>
              <w:autoSpaceDN/>
              <w:adjustRightInd/>
              <w:snapToGrid/>
              <w:spacing w:after="180"/>
              <w:jc w:val="left"/>
              <w:rPr>
                <w:rFonts w:eastAsia="Malgun Gothic"/>
                <w:szCs w:val="20"/>
                <w:lang w:val="en-GB" w:eastAsia="x-none"/>
              </w:rPr>
            </w:pPr>
            <w:r w:rsidRPr="007D10A0">
              <w:rPr>
                <w:rFonts w:eastAsia="Malgun Gothic"/>
                <w:szCs w:val="20"/>
                <w:lang w:val="en-GB" w:eastAsia="x-none"/>
              </w:rPr>
              <w:t xml:space="preserve">The three proposals (FW notes: please see Appendix in Section </w:t>
            </w:r>
            <w:r w:rsidRPr="007D10A0">
              <w:rPr>
                <w:rFonts w:eastAsia="Malgun Gothic"/>
                <w:szCs w:val="20"/>
                <w:lang w:val="en-GB" w:eastAsia="x-none"/>
              </w:rPr>
              <w:fldChar w:fldCharType="begin"/>
            </w:r>
            <w:r w:rsidRPr="007D10A0">
              <w:rPr>
                <w:rFonts w:eastAsia="Malgun Gothic"/>
                <w:szCs w:val="20"/>
                <w:lang w:val="en-GB" w:eastAsia="x-none"/>
              </w:rPr>
              <w:instrText xml:space="preserve"> REF _Ref49868961 \r \h </w:instrText>
            </w:r>
            <w:r w:rsidRPr="007D10A0">
              <w:rPr>
                <w:rFonts w:eastAsia="Malgun Gothic"/>
                <w:szCs w:val="20"/>
                <w:lang w:val="en-GB" w:eastAsia="x-none"/>
              </w:rPr>
              <w:fldChar w:fldCharType="separate"/>
            </w:r>
            <w:r w:rsidR="003A6DA0">
              <w:rPr>
                <w:rFonts w:eastAsia="Malgun Gothic"/>
                <w:b/>
                <w:bCs/>
                <w:szCs w:val="20"/>
                <w:lang w:eastAsia="x-none"/>
              </w:rPr>
              <w:t>Error! Reference source not found.</w:t>
            </w:r>
            <w:r w:rsidRPr="007D10A0">
              <w:rPr>
                <w:rFonts w:eastAsia="Malgun Gothic"/>
                <w:szCs w:val="20"/>
                <w:lang w:val="en-GB" w:eastAsia="x-none"/>
              </w:rPr>
              <w:fldChar w:fldCharType="end"/>
            </w:r>
            <w:r w:rsidRPr="007D10A0">
              <w:rPr>
                <w:rFonts w:eastAsia="Malgun Gothic"/>
                <w:szCs w:val="20"/>
                <w:lang w:val="en-GB" w:eastAsia="x-none"/>
              </w:rPr>
              <w:t xml:space="preserve">) on </w:t>
            </w:r>
            <w:hyperlink r:id="rId8" w:history="1">
              <w:r w:rsidRPr="007D10A0">
                <w:rPr>
                  <w:rFonts w:eastAsia="Malgun Gothic"/>
                  <w:color w:val="0000FF"/>
                  <w:szCs w:val="20"/>
                  <w:u w:val="single"/>
                  <w:lang w:val="en-GB" w:eastAsia="x-none"/>
                </w:rPr>
                <w:t>R1-2007151</w:t>
              </w:r>
            </w:hyperlink>
            <w:r w:rsidRPr="007D10A0">
              <w:rPr>
                <w:rFonts w:eastAsia="Malgun Gothic"/>
                <w:szCs w:val="20"/>
                <w:lang w:val="en-GB" w:eastAsia="x-none"/>
              </w:rPr>
              <w:t xml:space="preserve"> on the evaluation methodology for multi-beam enhancement are agreed.</w:t>
            </w:r>
          </w:p>
          <w:p w14:paraId="79E877D0" w14:textId="77777777" w:rsidR="007D10A0" w:rsidRPr="007D10A0" w:rsidRDefault="007D10A0" w:rsidP="007D10A0">
            <w:pPr>
              <w:autoSpaceDE/>
              <w:autoSpaceDN/>
              <w:adjustRightInd/>
              <w:snapToGrid/>
              <w:spacing w:after="180"/>
              <w:jc w:val="left"/>
              <w:rPr>
                <w:rFonts w:eastAsia="Malgun Gothic" w:cs="Times"/>
                <w:b/>
                <w:bCs/>
                <w:szCs w:val="20"/>
                <w:highlight w:val="green"/>
                <w:lang w:val="en-GB" w:eastAsia="x-none"/>
              </w:rPr>
            </w:pPr>
            <w:r w:rsidRPr="007D10A0">
              <w:rPr>
                <w:rFonts w:eastAsia="Malgun Gothic" w:cs="Times"/>
                <w:b/>
                <w:bCs/>
                <w:szCs w:val="20"/>
                <w:highlight w:val="green"/>
                <w:lang w:val="en-GB" w:eastAsia="x-none"/>
              </w:rPr>
              <w:t xml:space="preserve">Agreement </w:t>
            </w:r>
          </w:p>
          <w:p w14:paraId="66494E7C" w14:textId="77777777" w:rsidR="007D10A0" w:rsidRPr="007D10A0" w:rsidRDefault="007D10A0" w:rsidP="007D10A0">
            <w:pPr>
              <w:autoSpaceDE/>
              <w:autoSpaceDN/>
              <w:adjustRightInd/>
              <w:spacing w:after="180"/>
              <w:jc w:val="left"/>
              <w:rPr>
                <w:rFonts w:eastAsia="Malgun Gothic"/>
                <w:szCs w:val="20"/>
                <w:lang w:val="en-GB"/>
              </w:rPr>
            </w:pPr>
            <w:r w:rsidRPr="007D10A0">
              <w:rPr>
                <w:rFonts w:eastAsia="Malgun Gothic"/>
                <w:b/>
                <w:szCs w:val="20"/>
                <w:lang w:val="en-GB"/>
              </w:rPr>
              <w:t>Note</w:t>
            </w:r>
            <w:r w:rsidRPr="007D10A0">
              <w:rPr>
                <w:rFonts w:eastAsia="Malgun Gothic"/>
                <w:szCs w:val="20"/>
                <w:lang w:val="en-GB"/>
              </w:rPr>
              <w:t>: the enumeration for issues (such as “issue 1a), 1b), 6) in the proposal below refers to the enumeration within the proposals, not Table 1 in the FL summary.</w:t>
            </w:r>
          </w:p>
          <w:p w14:paraId="2554E8DA" w14:textId="77777777" w:rsidR="007D10A0" w:rsidRPr="007D10A0" w:rsidRDefault="007D10A0" w:rsidP="007D10A0">
            <w:pPr>
              <w:numPr>
                <w:ilvl w:val="0"/>
                <w:numId w:val="17"/>
              </w:numPr>
              <w:autoSpaceDE/>
              <w:autoSpaceDN/>
              <w:adjustRightInd/>
              <w:snapToGrid/>
              <w:spacing w:after="0"/>
              <w:contextualSpacing/>
              <w:jc w:val="left"/>
              <w:rPr>
                <w:rFonts w:eastAsia="Malgun Gothic" w:cs="Calibri"/>
                <w:szCs w:val="20"/>
                <w:lang w:val="en-GB" w:eastAsia="x-none"/>
              </w:rPr>
            </w:pPr>
            <w:r w:rsidRPr="007D10A0">
              <w:rPr>
                <w:rFonts w:eastAsia="Malgun Gothic"/>
                <w:szCs w:val="20"/>
                <w:lang w:val="en-GB"/>
              </w:rPr>
              <w:t xml:space="preserve"> [Issue 1] For Rel.17 NR </w:t>
            </w:r>
            <w:proofErr w:type="spellStart"/>
            <w:r w:rsidRPr="007D10A0">
              <w:rPr>
                <w:rFonts w:eastAsia="Malgun Gothic"/>
                <w:szCs w:val="20"/>
                <w:lang w:val="en-GB"/>
              </w:rPr>
              <w:t>FeMIMO</w:t>
            </w:r>
            <w:proofErr w:type="spellEnd"/>
            <w:r w:rsidRPr="007D10A0">
              <w:rPr>
                <w:rFonts w:eastAsia="Malgun Gothic"/>
                <w:szCs w:val="20"/>
                <w:lang w:val="en-GB"/>
              </w:rPr>
              <w:t>, on the unified TCI framework</w:t>
            </w:r>
          </w:p>
          <w:p w14:paraId="4575CC0F"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Support joint TCI for DL and UL based on and analogous to Rel.15/16 DL TCI framework</w:t>
            </w:r>
          </w:p>
          <w:p w14:paraId="5322459F"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The term “TCI” at least comprises a TCI state that </w:t>
            </w:r>
            <w:r w:rsidRPr="007D10A0">
              <w:rPr>
                <w:rFonts w:eastAsia="Malgun Gothic"/>
                <w:szCs w:val="20"/>
                <w:u w:val="single"/>
                <w:lang w:val="en-GB"/>
              </w:rPr>
              <w:t>includes</w:t>
            </w:r>
            <w:r w:rsidRPr="007D10A0">
              <w:rPr>
                <w:rFonts w:eastAsia="Malgun Gothic"/>
                <w:szCs w:val="20"/>
                <w:lang w:val="en-GB"/>
              </w:rPr>
              <w:t xml:space="preserve"> at least one source RS to provide a reference (UE assumption) for determining QCL and/or spatial filter </w:t>
            </w:r>
          </w:p>
          <w:p w14:paraId="64D5CD5C"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The source reference signal(s) in M TCIs provide common QCL information at least for UE-dedicated reception on PDSCH and all or subset of CORESETs in a CC</w:t>
            </w:r>
          </w:p>
          <w:p w14:paraId="79343223"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Optionally this common QCL information can also apply to CSI-RS resource for CSI, CSI-RS resource for BM, and CSI-RS for tracking</w:t>
            </w:r>
          </w:p>
          <w:p w14:paraId="6274623F"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Applicability on PD</w:t>
            </w:r>
            <w:r w:rsidRPr="007D10A0">
              <w:rPr>
                <w:rFonts w:eastAsia="Malgun Gothic"/>
                <w:szCs w:val="20"/>
                <w:lang w:val="en-GB" w:eastAsia="ko-KR"/>
              </w:rPr>
              <w:t>S</w:t>
            </w:r>
            <w:r w:rsidRPr="007D10A0">
              <w:rPr>
                <w:rFonts w:eastAsia="Malgun Gothic"/>
                <w:szCs w:val="20"/>
                <w:lang w:val="en-GB"/>
              </w:rPr>
              <w:t>CH includes PDSCH default beam</w:t>
            </w:r>
          </w:p>
          <w:p w14:paraId="25E9FCB4"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highlight w:val="darkYellow"/>
                <w:lang w:val="en-GB"/>
              </w:rPr>
              <w:t>Working Assumption</w:t>
            </w:r>
            <w:r w:rsidRPr="007D10A0">
              <w:rPr>
                <w:rFonts w:eastAsia="Malgun Gothic"/>
                <w:szCs w:val="20"/>
                <w:lang w:val="en-GB"/>
              </w:rPr>
              <w:t>: Select between M=1 and M&gt;=1</w:t>
            </w:r>
          </w:p>
          <w:p w14:paraId="1C905BDC"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The source reference signal(s) in N TCIs provide a reference for determining common UL TX spatial filter(s) at least for dynamic-grant/configured-grant based PUSCH, all or subset of dedicated PUCCH resources in a CC, </w:t>
            </w:r>
          </w:p>
          <w:p w14:paraId="6920D1EC"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Optionally, this UL TX spatial filter can also apply to all SRS resources in resource set(s) configured for antenna switching/codebook-based/non-codebook-based UL transmissions</w:t>
            </w:r>
          </w:p>
          <w:p w14:paraId="2B22441F"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applicability of this UL TX spatial filter to SRS configured for beam management (BM)</w:t>
            </w:r>
          </w:p>
          <w:p w14:paraId="5C9C16A0"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PUSCH port determination based on the TCI, e.g., to be mapped with SRS ports analogous to Rel.15/16</w:t>
            </w:r>
          </w:p>
          <w:p w14:paraId="6B1CEF42"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highlight w:val="darkYellow"/>
                <w:lang w:val="en-GB"/>
              </w:rPr>
              <w:t>Working Assumption</w:t>
            </w:r>
            <w:r w:rsidRPr="007D10A0">
              <w:rPr>
                <w:rFonts w:eastAsia="Malgun Gothic"/>
                <w:szCs w:val="20"/>
                <w:lang w:val="en-GB"/>
              </w:rPr>
              <w:t>: Select between N=1 and N&gt;=1</w:t>
            </w:r>
          </w:p>
          <w:p w14:paraId="5013AFD6"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FFS: extension to common QCL information applied to only some of the CORESETs or PUCCH resources in a CC, e.g. for </w:t>
            </w:r>
            <w:proofErr w:type="spellStart"/>
            <w:r w:rsidRPr="007D10A0">
              <w:rPr>
                <w:rFonts w:eastAsia="Malgun Gothic"/>
                <w:szCs w:val="20"/>
                <w:lang w:val="en-GB"/>
              </w:rPr>
              <w:t>mTRP</w:t>
            </w:r>
            <w:proofErr w:type="spellEnd"/>
            <w:r w:rsidRPr="007D10A0">
              <w:rPr>
                <w:rFonts w:eastAsia="Malgun Gothic"/>
                <w:szCs w:val="20"/>
                <w:lang w:val="en-GB"/>
              </w:rPr>
              <w:t xml:space="preserve"> </w:t>
            </w:r>
          </w:p>
          <w:p w14:paraId="1E4D7E22"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FFS: When used for the purpose of joint beam indication for UL and DL, whether a joint TCI pool for DL and UL dedicated for the purpose is used, or the same TCI pool as that used for the purpose of separate DL/UL beam indication is used </w:t>
            </w:r>
          </w:p>
          <w:p w14:paraId="1DECAC94"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Note: The resulting beam indication directly refers to the associated source </w:t>
            </w:r>
            <w:r w:rsidRPr="007D10A0">
              <w:rPr>
                <w:rFonts w:eastAsia="Malgun Gothic"/>
                <w:szCs w:val="20"/>
                <w:lang w:val="en-GB"/>
              </w:rPr>
              <w:lastRenderedPageBreak/>
              <w:t>RS(s)</w:t>
            </w:r>
          </w:p>
          <w:p w14:paraId="1BA57585"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(RAN1#103-e): Details on extension to intra- and inter-band CA</w:t>
            </w:r>
          </w:p>
          <w:p w14:paraId="359A3B4B"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FFS (RAN1#103-e): The supported number of active TCI states considering factors such as multi-TRP and issue 6 </w:t>
            </w:r>
          </w:p>
          <w:p w14:paraId="78E18D20"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(RAN1#103-e): Applicable QCL types, and co-existence with DL TCI and spatial relation indication in Rel.15/16</w:t>
            </w:r>
          </w:p>
          <w:p w14:paraId="7FEFFF81"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In RAN1#103-e, investigate, for the purpose of down selection, the following alternatives for accommodating the case of separate beam indication for UL and DL</w:t>
            </w:r>
          </w:p>
          <w:p w14:paraId="3529F3DF"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Alt1. Utilize the joint TCI </w:t>
            </w:r>
            <w:r w:rsidRPr="007D10A0">
              <w:rPr>
                <w:rFonts w:eastAsia="Times New Roman"/>
                <w:szCs w:val="20"/>
                <w:lang w:val="en-GB" w:eastAsia="zh-CN"/>
              </w:rPr>
              <w:t>to include references for both DL and UL beams</w:t>
            </w:r>
          </w:p>
          <w:p w14:paraId="257D7D2B"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Alt2. Utilize two separate TCI states, one for DL and one for UL. The TCI state for the DL is the same as agreed in 1a. The TCI state for the UL can be newly introduced.</w:t>
            </w:r>
          </w:p>
          <w:p w14:paraId="5A379537"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Alt 2-1: The UL TCI state is taken from the same pool of TCI states as the DL TCI state</w:t>
            </w:r>
          </w:p>
          <w:p w14:paraId="21643A78" w14:textId="77777777" w:rsidR="007D10A0" w:rsidRPr="007D10A0" w:rsidRDefault="007D10A0" w:rsidP="007D10A0">
            <w:pPr>
              <w:numPr>
                <w:ilvl w:val="3"/>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Alt 2-2: The UL TCI state is taken from another pool of TCI states than the DL TCI state</w:t>
            </w:r>
          </w:p>
          <w:p w14:paraId="1D23DF1E"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Note: The resulting beam indication directly refers to the associated source RS(s)</w:t>
            </w:r>
          </w:p>
          <w:p w14:paraId="04334D5B"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(RAN1#103-e): Details on extension to intra- and inter-band CA</w:t>
            </w:r>
          </w:p>
          <w:p w14:paraId="3F2B4C2A"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Note: This may be related to issue 5 as well as </w:t>
            </w:r>
            <w:r w:rsidRPr="007D10A0">
              <w:rPr>
                <w:rFonts w:eastAsia="Malgun Gothic"/>
                <w:szCs w:val="20"/>
                <w:lang w:val="en-GB" w:eastAsia="zh-CN"/>
              </w:rPr>
              <w:t>other reasons for different TCIs such as network flexibility/scheduling</w:t>
            </w:r>
          </w:p>
          <w:p w14:paraId="7B15B242"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Support the use of SSB/CSI-RS for BM and/or SRS for BM as source RS to determine a UL TX spatial filter in the unified TCI framework</w:t>
            </w:r>
          </w:p>
          <w:p w14:paraId="0A64875D"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Whether the UL TX spatial filter corresponds to UL TCI (separate from DL TCI) depends on the outcome of 1b) above</w:t>
            </w:r>
          </w:p>
          <w:p w14:paraId="4DA9B827"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Support the use of non-BM CSI-RS and/or non-BM SRS in addition</w:t>
            </w:r>
          </w:p>
          <w:p w14:paraId="030A80F2"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In RAN1#103-e, decide if SRS for BM can be configured as a source RS to represent a DL RX spatial filter in the unified TCI framework</w:t>
            </w:r>
          </w:p>
          <w:p w14:paraId="4501700C"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In RAN1#103-e, decide/finalize all other parameters included in or concurrent with (but not included in) the TCI, e.g. UL-PC-related parameters (involving P0/alpha, PL RS, and/or closed loop index), UL-timing-related parameters  </w:t>
            </w:r>
          </w:p>
          <w:p w14:paraId="633455AD"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In RAN1#103-e, identify issues pertaining to alignment between DL and UL default beam assumptions using the unified TCI framework</w:t>
            </w:r>
          </w:p>
          <w:p w14:paraId="69C7AC1B" w14:textId="77777777" w:rsidR="007D10A0" w:rsidRPr="007D10A0" w:rsidRDefault="007D10A0" w:rsidP="007D10A0">
            <w:pPr>
              <w:numPr>
                <w:ilvl w:val="0"/>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[Issue 2] For Rel.17 NR </w:t>
            </w:r>
            <w:proofErr w:type="spellStart"/>
            <w:r w:rsidRPr="007D10A0">
              <w:rPr>
                <w:rFonts w:eastAsia="Malgun Gothic"/>
                <w:szCs w:val="20"/>
                <w:lang w:val="en-GB"/>
              </w:rPr>
              <w:t>FeMIMO</w:t>
            </w:r>
            <w:proofErr w:type="spellEnd"/>
            <w:r w:rsidRPr="007D10A0">
              <w:rPr>
                <w:rFonts w:eastAsia="Malgun Gothic"/>
                <w:szCs w:val="20"/>
                <w:lang w:val="en-GB"/>
              </w:rPr>
              <w:t xml:space="preserve">, on L1/L2-centric inter-cell mobility: </w:t>
            </w:r>
          </w:p>
          <w:p w14:paraId="2C2274FB"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In RAN1#103-e, finalize scope and use cases for L1/L2-centric inter-cell mobility, including: </w:t>
            </w:r>
          </w:p>
          <w:p w14:paraId="40EE8D9C"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Applicability in various non-CA and CA setups such as intra-band and inter-band CA</w:t>
            </w:r>
          </w:p>
          <w:p w14:paraId="1ABB7E01"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Use cases in comparison to Rel.15 L3-based handover (HO) </w:t>
            </w:r>
            <w:proofErr w:type="gramStart"/>
            <w:r w:rsidRPr="007D10A0">
              <w:rPr>
                <w:rFonts w:eastAsia="Malgun Gothic"/>
                <w:szCs w:val="20"/>
                <w:lang w:val="en-GB"/>
              </w:rPr>
              <w:t>taking into account</w:t>
            </w:r>
            <w:proofErr w:type="gramEnd"/>
            <w:r w:rsidRPr="007D10A0">
              <w:rPr>
                <w:rFonts w:eastAsia="Malgun Gothic"/>
                <w:szCs w:val="20"/>
                <w:lang w:val="en-GB"/>
              </w:rPr>
              <w:t xml:space="preserve"> potential extension of DAPS-based Rel.16 mobility enhancement to FR2-FR2 HO</w:t>
            </w:r>
          </w:p>
          <w:p w14:paraId="25DDA828"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The extent of RAN2 impact (MAC CE, RRC, user plane protocols)</w:t>
            </w:r>
          </w:p>
          <w:p w14:paraId="4388DE6C"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Network architecture, e.g. NSA vs. SA, inter-RAT scenarios</w:t>
            </w:r>
          </w:p>
          <w:p w14:paraId="74C9B18B"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In RAN1#103-e, depending on the outcome of 2a), further identify additional components –along with the associated alternatives –required for supporting inter-cell mobility based on the same unified TCI framework as that for intra-cell mobility (including dynamic TCI state update </w:t>
            </w:r>
            <w:proofErr w:type="spellStart"/>
            <w:r w:rsidRPr="007D10A0">
              <w:rPr>
                <w:rFonts w:eastAsia="Malgun Gothic"/>
                <w:szCs w:val="20"/>
                <w:lang w:val="en-GB"/>
              </w:rPr>
              <w:t>signaling</w:t>
            </w:r>
            <w:proofErr w:type="spellEnd"/>
            <w:r w:rsidRPr="007D10A0">
              <w:rPr>
                <w:rFonts w:eastAsia="Malgun Gothic"/>
                <w:szCs w:val="20"/>
                <w:lang w:val="en-GB"/>
              </w:rPr>
              <w:t>), including</w:t>
            </w:r>
          </w:p>
          <w:p w14:paraId="78AD194E"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Method(s) for incorporating non-serving cell information associated with TCI</w:t>
            </w:r>
          </w:p>
          <w:p w14:paraId="23B0B043"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Method(s) for DL measurements and UE reporting (e.g. L1-RSRP) associated with non-serving cell(s)</w:t>
            </w:r>
          </w:p>
          <w:p w14:paraId="4C66B59C"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bookmarkStart w:id="4" w:name="_Hlk49275654"/>
            <w:r w:rsidRPr="007D10A0">
              <w:rPr>
                <w:rFonts w:eastAsia="Malgun Gothic"/>
                <w:szCs w:val="20"/>
                <w:lang w:val="en-GB"/>
              </w:rPr>
              <w:t xml:space="preserve">UE </w:t>
            </w:r>
            <w:proofErr w:type="spellStart"/>
            <w:r w:rsidRPr="007D10A0">
              <w:rPr>
                <w:rFonts w:eastAsia="Malgun Gothic"/>
                <w:szCs w:val="20"/>
                <w:lang w:val="en-GB"/>
              </w:rPr>
              <w:t>behavior</w:t>
            </w:r>
            <w:proofErr w:type="spellEnd"/>
            <w:r w:rsidRPr="007D10A0">
              <w:rPr>
                <w:rFonts w:eastAsia="Malgun Gothic"/>
                <w:szCs w:val="20"/>
                <w:lang w:val="en-GB"/>
              </w:rPr>
              <w:t xml:space="preserve"> for reception of signals and non-UE-specific control and data channels associated with non-serving cell(s)</w:t>
            </w:r>
            <w:bookmarkEnd w:id="4"/>
            <w:r w:rsidRPr="007D10A0">
              <w:rPr>
                <w:rFonts w:eastAsia="Malgun Gothic"/>
                <w:szCs w:val="20"/>
                <w:lang w:val="en-GB"/>
              </w:rPr>
              <w:t xml:space="preserve"> </w:t>
            </w:r>
          </w:p>
          <w:p w14:paraId="1B51EF26"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UL-related enhancements, e.g. related to RA procedure including TA</w:t>
            </w:r>
          </w:p>
          <w:p w14:paraId="3150579A"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Beam-level event-driven mechanism for L1/L2-centric inter-cell mobility</w:t>
            </w:r>
          </w:p>
          <w:p w14:paraId="723D7DC4" w14:textId="77777777" w:rsidR="007D10A0" w:rsidRPr="007D10A0" w:rsidRDefault="007D10A0" w:rsidP="007D10A0">
            <w:pPr>
              <w:numPr>
                <w:ilvl w:val="0"/>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lastRenderedPageBreak/>
              <w:t xml:space="preserve">[Issue 3] For Rel.17 NR </w:t>
            </w:r>
            <w:proofErr w:type="spellStart"/>
            <w:r w:rsidRPr="007D10A0">
              <w:rPr>
                <w:rFonts w:eastAsia="Malgun Gothic"/>
                <w:szCs w:val="20"/>
                <w:lang w:val="en-GB"/>
              </w:rPr>
              <w:t>FeMIMO</w:t>
            </w:r>
            <w:proofErr w:type="spellEnd"/>
            <w:r w:rsidRPr="007D10A0">
              <w:rPr>
                <w:rFonts w:eastAsia="Malgun Gothic"/>
                <w:szCs w:val="20"/>
                <w:lang w:val="en-GB"/>
              </w:rPr>
              <w:t xml:space="preserve">, on dynamic TCI state update </w:t>
            </w:r>
            <w:proofErr w:type="spellStart"/>
            <w:r w:rsidRPr="007D10A0">
              <w:rPr>
                <w:rFonts w:eastAsia="Malgun Gothic"/>
                <w:szCs w:val="20"/>
                <w:lang w:val="en-GB"/>
              </w:rPr>
              <w:t>signaling</w:t>
            </w:r>
            <w:proofErr w:type="spellEnd"/>
            <w:r w:rsidRPr="007D10A0">
              <w:rPr>
                <w:rFonts w:eastAsia="Malgun Gothic"/>
                <w:szCs w:val="20"/>
                <w:lang w:val="en-GB"/>
              </w:rPr>
              <w:t xml:space="preserve"> medium: </w:t>
            </w:r>
          </w:p>
          <w:p w14:paraId="3C0ECBB4"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In RAN1#103-e, investigate, for the purpose of down selection, the following alternatives:</w:t>
            </w:r>
          </w:p>
          <w:p w14:paraId="1EA989D7"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Alt1. DCI</w:t>
            </w:r>
          </w:p>
          <w:p w14:paraId="6919C196"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Alt2. MAC CE</w:t>
            </w:r>
          </w:p>
          <w:p w14:paraId="1C249872"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Note: Combination between DCI and MAC CE for, e.g. different use cases or control information partitioning can also be considered </w:t>
            </w:r>
          </w:p>
          <w:p w14:paraId="42F9180B"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691C3489"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Note: This may be related to outcome of issue 1a), 1b), and 6a)</w:t>
            </w:r>
          </w:p>
          <w:p w14:paraId="7A18641A"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In RAN1#103-e, depending on the outcome of 3a), identify candidates for more detailed design issues for the dynamic TCI state update such as </w:t>
            </w:r>
          </w:p>
          <w:p w14:paraId="14C52EB6"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Exact content </w:t>
            </w:r>
          </w:p>
          <w:p w14:paraId="6B9DB9EE"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proofErr w:type="spellStart"/>
            <w:r w:rsidRPr="007D10A0">
              <w:rPr>
                <w:rFonts w:eastAsia="Malgun Gothic"/>
                <w:szCs w:val="20"/>
                <w:lang w:val="en-GB"/>
              </w:rPr>
              <w:t>Signaling</w:t>
            </w:r>
            <w:proofErr w:type="spellEnd"/>
            <w:r w:rsidRPr="007D10A0">
              <w:rPr>
                <w:rFonts w:eastAsia="Malgun Gothic"/>
                <w:szCs w:val="20"/>
                <w:lang w:val="en-GB"/>
              </w:rPr>
              <w:t xml:space="preserve"> format </w:t>
            </w:r>
          </w:p>
          <w:p w14:paraId="1CF2DA0C"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Reliability aspects including the support of retransmission</w:t>
            </w:r>
          </w:p>
          <w:p w14:paraId="2BA3B821"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Extensions, including the support of UE-group (in contrast to UE-dedicated) </w:t>
            </w:r>
            <w:proofErr w:type="spellStart"/>
            <w:r w:rsidRPr="007D10A0">
              <w:rPr>
                <w:rFonts w:eastAsia="Malgun Gothic"/>
                <w:szCs w:val="20"/>
                <w:lang w:val="en-GB"/>
              </w:rPr>
              <w:t>signaling</w:t>
            </w:r>
            <w:proofErr w:type="spellEnd"/>
          </w:p>
          <w:p w14:paraId="42DBA58D" w14:textId="77777777" w:rsidR="007D10A0" w:rsidRPr="007D10A0" w:rsidRDefault="007D10A0" w:rsidP="007D10A0">
            <w:pPr>
              <w:numPr>
                <w:ilvl w:val="0"/>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[Issue 4] For Rel.17 NR </w:t>
            </w:r>
            <w:proofErr w:type="spellStart"/>
            <w:r w:rsidRPr="007D10A0">
              <w:rPr>
                <w:rFonts w:eastAsia="Malgun Gothic"/>
                <w:szCs w:val="20"/>
                <w:lang w:val="en-GB"/>
              </w:rPr>
              <w:t>FeMIMO</w:t>
            </w:r>
            <w:proofErr w:type="spellEnd"/>
            <w:r w:rsidRPr="007D10A0">
              <w:rPr>
                <w:rFonts w:eastAsia="Malgun Gothic"/>
                <w:szCs w:val="20"/>
                <w:lang w:val="en-GB"/>
              </w:rPr>
              <w:t>, on MP-UE assumption to facilitate fast UL panel selection:</w:t>
            </w:r>
          </w:p>
          <w:p w14:paraId="7F6AEAB6"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The following assumptions are used: </w:t>
            </w:r>
          </w:p>
          <w:p w14:paraId="43BB35D0"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In terms of RF functionality, a UE panel comprises a collection of TXRUs that </w:t>
            </w:r>
            <w:proofErr w:type="gramStart"/>
            <w:r w:rsidRPr="007D10A0">
              <w:rPr>
                <w:rFonts w:eastAsia="Malgun Gothic"/>
                <w:szCs w:val="20"/>
                <w:lang w:val="en-GB"/>
              </w:rPr>
              <w:t>is able to</w:t>
            </w:r>
            <w:proofErr w:type="gramEnd"/>
            <w:r w:rsidRPr="007D10A0">
              <w:rPr>
                <w:rFonts w:eastAsia="Malgun Gothic"/>
                <w:szCs w:val="20"/>
                <w:lang w:val="en-GB"/>
              </w:rPr>
              <w:t xml:space="preserve"> generate one </w:t>
            </w:r>
            <w:proofErr w:type="spellStart"/>
            <w:r w:rsidRPr="007D10A0">
              <w:rPr>
                <w:rFonts w:eastAsia="Malgun Gothic"/>
                <w:szCs w:val="20"/>
                <w:lang w:val="en-GB"/>
              </w:rPr>
              <w:t>analog</w:t>
            </w:r>
            <w:proofErr w:type="spellEnd"/>
            <w:r w:rsidRPr="007D10A0">
              <w:rPr>
                <w:rFonts w:eastAsia="Malgun Gothic"/>
                <w:szCs w:val="20"/>
                <w:lang w:val="en-GB"/>
              </w:rPr>
              <w:t xml:space="preserve"> beam (one beam may correspond to two antenna ports if dual-polarized array is used)</w:t>
            </w:r>
          </w:p>
          <w:p w14:paraId="000C4369"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UE panels can constitute the same as well as different number of antenna ports, number of beams, and EIRP </w:t>
            </w:r>
          </w:p>
          <w:p w14:paraId="7182B443"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No beam correspondence across different UE panels</w:t>
            </w:r>
          </w:p>
          <w:p w14:paraId="3E4A531F"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For each UE panel, it can comprise an independent unit of PC, FFT timing window, and/or TA.</w:t>
            </w:r>
          </w:p>
          <w:p w14:paraId="44639937"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FFS: Same or different sets of UE panels can be used for DL reception and UL transmission, respectively</w:t>
            </w:r>
          </w:p>
          <w:p w14:paraId="3BF99B5D"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In RAN1#103-e, identify candidate use cases including MPE, and consider remaining aspects if use cases are identified</w:t>
            </w:r>
          </w:p>
          <w:p w14:paraId="71CA0417"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In RAN1#103-e, identify candidate </w:t>
            </w:r>
            <w:proofErr w:type="spellStart"/>
            <w:r w:rsidRPr="007D10A0">
              <w:rPr>
                <w:rFonts w:eastAsia="Malgun Gothic"/>
                <w:szCs w:val="20"/>
                <w:lang w:val="en-GB"/>
              </w:rPr>
              <w:t>signaling</w:t>
            </w:r>
            <w:proofErr w:type="spellEnd"/>
            <w:r w:rsidRPr="007D10A0">
              <w:rPr>
                <w:rFonts w:eastAsia="Malgun Gothic"/>
                <w:szCs w:val="20"/>
                <w:lang w:val="en-GB"/>
              </w:rPr>
              <w:t xml:space="preserve"> schemes for the following:</w:t>
            </w:r>
          </w:p>
          <w:p w14:paraId="6E0BE73B"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NW to MP-UE (</w:t>
            </w:r>
            <w:proofErr w:type="gramStart"/>
            <w:r w:rsidRPr="007D10A0">
              <w:rPr>
                <w:rFonts w:eastAsia="Malgun Gothic"/>
                <w:szCs w:val="20"/>
                <w:lang w:val="en-GB"/>
              </w:rPr>
              <w:t>taking into account</w:t>
            </w:r>
            <w:proofErr w:type="gramEnd"/>
            <w:r w:rsidRPr="007D10A0">
              <w:rPr>
                <w:rFonts w:eastAsia="Malgun Gothic"/>
                <w:szCs w:val="20"/>
                <w:lang w:val="en-GB"/>
              </w:rPr>
              <w:t xml:space="preserve"> potential extension of the unified TCI framework in issue 1)</w:t>
            </w:r>
          </w:p>
          <w:p w14:paraId="59B2AC75"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MP-UE to NW</w:t>
            </w:r>
          </w:p>
          <w:p w14:paraId="368EDF3E" w14:textId="77777777" w:rsidR="007D10A0" w:rsidRPr="007D10A0" w:rsidRDefault="007D10A0" w:rsidP="007D10A0">
            <w:pPr>
              <w:numPr>
                <w:ilvl w:val="0"/>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[Issue 5] For Rel.17 NR </w:t>
            </w:r>
            <w:proofErr w:type="spellStart"/>
            <w:r w:rsidRPr="007D10A0">
              <w:rPr>
                <w:rFonts w:eastAsia="Malgun Gothic"/>
                <w:szCs w:val="20"/>
                <w:lang w:val="en-GB"/>
              </w:rPr>
              <w:t>FeMIMO</w:t>
            </w:r>
            <w:proofErr w:type="spellEnd"/>
            <w:r w:rsidRPr="007D10A0">
              <w:rPr>
                <w:rFonts w:eastAsia="Malgun Gothic"/>
                <w:szCs w:val="20"/>
                <w:lang w:val="en-GB"/>
              </w:rPr>
              <w:t xml:space="preserve">, on MPE mitigation (that is, minimizing the UL coverage loss due to the UE having to meet the MPE regulation), in RAN1#103-e: </w:t>
            </w:r>
          </w:p>
          <w:p w14:paraId="22172617"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If needed, identify candidate solutions to be </w:t>
            </w:r>
            <w:proofErr w:type="gramStart"/>
            <w:r w:rsidRPr="007D10A0">
              <w:rPr>
                <w:rFonts w:eastAsia="Malgun Gothic"/>
                <w:szCs w:val="20"/>
                <w:lang w:val="en-GB"/>
              </w:rPr>
              <w:t>down-selected</w:t>
            </w:r>
            <w:proofErr w:type="gramEnd"/>
            <w:r w:rsidRPr="007D10A0">
              <w:rPr>
                <w:rFonts w:eastAsia="Malgun Gothic"/>
                <w:szCs w:val="20"/>
                <w:lang w:val="en-GB"/>
              </w:rPr>
              <w:t xml:space="preserve"> in future meeting(s). The following sub-categories can be used:</w:t>
            </w:r>
          </w:p>
          <w:p w14:paraId="6D1D0EA7"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CAT0. The need for specification support for MPE event detection and, if needed, candidate solutions</w:t>
            </w:r>
          </w:p>
          <w:p w14:paraId="0EC815C1"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CAT1. The need for UE reporting associated with an MPE and/or a potential/anticipated MPE event if the UE selects a certain UL spatial resource, e.g., corresponding to DL or UL RS</w:t>
            </w:r>
          </w:p>
          <w:p w14:paraId="2CF754F9"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CAT2. The need for NW </w:t>
            </w:r>
            <w:proofErr w:type="spellStart"/>
            <w:r w:rsidRPr="007D10A0">
              <w:rPr>
                <w:rFonts w:eastAsia="Malgun Gothic"/>
                <w:szCs w:val="20"/>
                <w:lang w:val="en-GB"/>
              </w:rPr>
              <w:t>signaling</w:t>
            </w:r>
            <w:proofErr w:type="spellEnd"/>
            <w:r w:rsidRPr="007D10A0">
              <w:rPr>
                <w:rFonts w:eastAsia="Malgun Gothic"/>
                <w:szCs w:val="20"/>
                <w:lang w:val="en-GB"/>
              </w:rPr>
              <w:t xml:space="preserve"> in response to the reported MPE event (</w:t>
            </w:r>
            <w:proofErr w:type="gramStart"/>
            <w:r w:rsidRPr="007D10A0">
              <w:rPr>
                <w:rFonts w:eastAsia="Malgun Gothic"/>
                <w:szCs w:val="20"/>
                <w:lang w:val="en-GB"/>
              </w:rPr>
              <w:t>taking into account</w:t>
            </w:r>
            <w:proofErr w:type="gramEnd"/>
            <w:r w:rsidRPr="007D10A0">
              <w:rPr>
                <w:rFonts w:eastAsia="Malgun Gothic"/>
                <w:szCs w:val="20"/>
                <w:lang w:val="en-GB"/>
              </w:rPr>
              <w:t xml:space="preserve"> issue 1) and UE </w:t>
            </w:r>
            <w:proofErr w:type="spellStart"/>
            <w:r w:rsidRPr="007D10A0">
              <w:rPr>
                <w:rFonts w:eastAsia="Malgun Gothic"/>
                <w:szCs w:val="20"/>
                <w:lang w:val="en-GB"/>
              </w:rPr>
              <w:t>behavior</w:t>
            </w:r>
            <w:proofErr w:type="spellEnd"/>
            <w:r w:rsidRPr="007D10A0">
              <w:rPr>
                <w:rFonts w:eastAsia="Malgun Gothic"/>
                <w:szCs w:val="20"/>
                <w:lang w:val="en-GB"/>
              </w:rPr>
              <w:t xml:space="preserve"> after receiving the NW </w:t>
            </w:r>
            <w:proofErr w:type="spellStart"/>
            <w:r w:rsidRPr="007D10A0">
              <w:rPr>
                <w:rFonts w:eastAsia="Malgun Gothic"/>
                <w:szCs w:val="20"/>
                <w:lang w:val="en-GB"/>
              </w:rPr>
              <w:t>signaling</w:t>
            </w:r>
            <w:proofErr w:type="spellEnd"/>
          </w:p>
          <w:p w14:paraId="27838F5A"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Note: RAN4 has agreed to specify P-MPR reporting (cf. CRs for TS 38.101/102/133) which can be used as a baseline scheme for further enhancement</w:t>
            </w:r>
          </w:p>
          <w:p w14:paraId="7D1F40B0" w14:textId="77777777" w:rsidR="007D10A0" w:rsidRPr="007D10A0" w:rsidRDefault="007D10A0" w:rsidP="007D10A0">
            <w:pPr>
              <w:numPr>
                <w:ilvl w:val="2"/>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Note: This may be related to outcome of issue 4b)</w:t>
            </w:r>
          </w:p>
          <w:p w14:paraId="3301ADB4"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Companies are encouraged to submit evaluation results based on the agreed EVM to </w:t>
            </w:r>
            <w:r w:rsidRPr="007D10A0">
              <w:rPr>
                <w:rFonts w:eastAsia="Malgun Gothic"/>
                <w:szCs w:val="20"/>
                <w:lang w:val="en-GB"/>
              </w:rPr>
              <w:lastRenderedPageBreak/>
              <w:t>justify the benefits of the candidate solutions</w:t>
            </w:r>
          </w:p>
          <w:p w14:paraId="62719F57" w14:textId="77777777" w:rsidR="007D10A0" w:rsidRPr="007D10A0" w:rsidRDefault="007D10A0" w:rsidP="007D10A0">
            <w:pPr>
              <w:numPr>
                <w:ilvl w:val="0"/>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[Issue 6] For Rel.17 NR </w:t>
            </w:r>
            <w:proofErr w:type="spellStart"/>
            <w:r w:rsidRPr="007D10A0">
              <w:rPr>
                <w:rFonts w:eastAsia="Malgun Gothic"/>
                <w:szCs w:val="20"/>
                <w:lang w:val="en-GB"/>
              </w:rPr>
              <w:t>FeMIMO</w:t>
            </w:r>
            <w:proofErr w:type="spellEnd"/>
            <w:r w:rsidRPr="007D10A0">
              <w:rPr>
                <w:rFonts w:eastAsia="Malgun Gothic"/>
                <w:szCs w:val="20"/>
                <w:lang w:val="en-GB"/>
              </w:rPr>
              <w:t xml:space="preserve">, </w:t>
            </w:r>
          </w:p>
          <w:p w14:paraId="3BFABB5A"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1CF23102" w14:textId="77777777" w:rsidR="007D10A0" w:rsidRPr="007D10A0" w:rsidRDefault="007D10A0" w:rsidP="007D10A0">
            <w:pPr>
              <w:numPr>
                <w:ilvl w:val="1"/>
                <w:numId w:val="17"/>
              </w:numPr>
              <w:autoSpaceDE/>
              <w:autoSpaceDN/>
              <w:adjustRightInd/>
              <w:snapToGrid/>
              <w:spacing w:after="0"/>
              <w:contextualSpacing/>
              <w:jc w:val="left"/>
              <w:rPr>
                <w:rFonts w:eastAsia="Malgun Gothic"/>
                <w:szCs w:val="20"/>
                <w:lang w:val="en-GB"/>
              </w:rPr>
            </w:pPr>
            <w:r w:rsidRPr="007D10A0">
              <w:rPr>
                <w:rFonts w:eastAsia="Malgun Gothic"/>
                <w:szCs w:val="20"/>
                <w:lang w:val="en-GB"/>
              </w:rPr>
              <w:t xml:space="preserve">Partial BFR will be handled in ITEM 2c (BM enhancement for </w:t>
            </w:r>
            <w:proofErr w:type="spellStart"/>
            <w:r w:rsidRPr="007D10A0">
              <w:rPr>
                <w:rFonts w:eastAsia="Malgun Gothic"/>
                <w:szCs w:val="20"/>
                <w:lang w:val="en-GB"/>
              </w:rPr>
              <w:t>mTRP</w:t>
            </w:r>
            <w:proofErr w:type="spellEnd"/>
            <w:r w:rsidRPr="007D10A0">
              <w:rPr>
                <w:rFonts w:eastAsia="Malgun Gothic"/>
                <w:szCs w:val="20"/>
                <w:lang w:val="en-GB"/>
              </w:rPr>
              <w:t xml:space="preserve">) </w:t>
            </w:r>
          </w:p>
          <w:p w14:paraId="7F462617" w14:textId="2715A580" w:rsidR="008D2238" w:rsidRPr="007D10A0" w:rsidRDefault="007D10A0" w:rsidP="007D10A0">
            <w:pPr>
              <w:autoSpaceDE/>
              <w:autoSpaceDN/>
              <w:adjustRightInd/>
              <w:snapToGrid/>
              <w:spacing w:after="180"/>
              <w:jc w:val="left"/>
              <w:rPr>
                <w:rFonts w:ascii="Times" w:eastAsia="Malgun Gothic" w:hAnsi="Times"/>
                <w:szCs w:val="24"/>
                <w:lang w:val="en-GB" w:eastAsia="x-none"/>
              </w:rPr>
            </w:pPr>
            <w:r w:rsidRPr="007D10A0">
              <w:rPr>
                <w:rFonts w:eastAsia="Malgun Gothic"/>
                <w:szCs w:val="20"/>
                <w:lang w:val="en-GB" w:eastAsia="x-none"/>
              </w:rPr>
              <w:t>Note: The target “RAN1#103-e” is understood as best-effort, i.e. to finalize as many components as possible based on the status of companies’ contributions.</w:t>
            </w:r>
          </w:p>
        </w:tc>
      </w:tr>
    </w:tbl>
    <w:p w14:paraId="5AD25BD9" w14:textId="5E8642BD" w:rsidR="0064769F" w:rsidRDefault="009438A5" w:rsidP="00DB43EE">
      <w:pPr>
        <w:spacing w:before="120"/>
      </w:pPr>
      <w:r>
        <w:lastRenderedPageBreak/>
        <w:t>Th</w:t>
      </w:r>
      <w:r w:rsidR="007D10A0">
        <w:t>e agreements cover six issues.</w:t>
      </w:r>
      <w:r>
        <w:t xml:space="preserve"> </w:t>
      </w:r>
      <w:r w:rsidR="0064769F" w:rsidRPr="0064769F">
        <w:t xml:space="preserve">In this </w:t>
      </w:r>
      <w:r w:rsidR="000D1122">
        <w:t>contribution</w:t>
      </w:r>
      <w:r w:rsidR="00A8638C">
        <w:t>,</w:t>
      </w:r>
      <w:r w:rsidR="0064769F">
        <w:t xml:space="preserve"> we </w:t>
      </w:r>
      <w:r w:rsidR="00B5131D">
        <w:t xml:space="preserve">present our views on </w:t>
      </w:r>
      <w:r w:rsidR="007D10A0">
        <w:t xml:space="preserve">some of </w:t>
      </w:r>
      <w:r>
        <w:t xml:space="preserve">the </w:t>
      </w:r>
      <w:r w:rsidR="007D10A0">
        <w:t>issues</w:t>
      </w:r>
      <w:r w:rsidR="00B5131D">
        <w:t xml:space="preserve"> and proposals for moving forward</w:t>
      </w:r>
      <w:r w:rsidR="0064769F">
        <w:t>.</w:t>
      </w:r>
    </w:p>
    <w:p w14:paraId="658A0E28" w14:textId="77777777" w:rsidR="0064769F" w:rsidRPr="0064769F" w:rsidRDefault="0064769F" w:rsidP="0064769F"/>
    <w:p w14:paraId="426156C6" w14:textId="6FF3D3CF" w:rsidR="00DD39E0" w:rsidRDefault="00E20395" w:rsidP="00DD39E0">
      <w:pPr>
        <w:pStyle w:val="Heading1"/>
      </w:pPr>
      <w:r>
        <w:t>Unified TCI Framework</w:t>
      </w:r>
    </w:p>
    <w:p w14:paraId="54DBA68A" w14:textId="4D1CD423" w:rsidR="00122111" w:rsidRDefault="00122111" w:rsidP="000E612F">
      <w:r>
        <w:t xml:space="preserve">In this section, </w:t>
      </w:r>
      <w:r w:rsidR="008D63E7">
        <w:t xml:space="preserve">we discuss the aspects of “Issue 1” in the agreements from last meeting </w:t>
      </w:r>
      <w:r w:rsidR="008D63E7">
        <w:rPr>
          <w:lang w:eastAsia="zh-CN"/>
        </w:rPr>
        <w:fldChar w:fldCharType="begin"/>
      </w:r>
      <w:r w:rsidR="008D63E7">
        <w:rPr>
          <w:lang w:eastAsia="zh-CN"/>
        </w:rPr>
        <w:instrText xml:space="preserve"> REF _Ref17737264 \r \h </w:instrText>
      </w:r>
      <w:r w:rsidR="008D63E7">
        <w:rPr>
          <w:lang w:eastAsia="zh-CN"/>
        </w:rPr>
      </w:r>
      <w:r w:rsidR="008D63E7">
        <w:rPr>
          <w:lang w:eastAsia="zh-CN"/>
        </w:rPr>
        <w:fldChar w:fldCharType="separate"/>
      </w:r>
      <w:r w:rsidR="003A6DA0">
        <w:rPr>
          <w:lang w:eastAsia="zh-CN"/>
        </w:rPr>
        <w:t>[2]</w:t>
      </w:r>
      <w:r w:rsidR="008D63E7">
        <w:rPr>
          <w:lang w:eastAsia="zh-CN"/>
        </w:rPr>
        <w:fldChar w:fldCharType="end"/>
      </w:r>
      <w:r w:rsidR="008D63E7">
        <w:rPr>
          <w:lang w:eastAsia="zh-CN"/>
        </w:rPr>
        <w:t xml:space="preserve">.  Specifically, </w:t>
      </w:r>
      <w:r>
        <w:t>we discuss construct</w:t>
      </w:r>
      <w:r w:rsidR="0089563E">
        <w:t>ion of</w:t>
      </w:r>
      <w:r>
        <w:t xml:space="preserve"> TCI </w:t>
      </w:r>
      <w:r w:rsidR="00377630">
        <w:t xml:space="preserve">state </w:t>
      </w:r>
      <w:r>
        <w:t xml:space="preserve">pools for joint TCI for DL and UL, </w:t>
      </w:r>
      <w:r w:rsidR="0089563E">
        <w:t xml:space="preserve">selecting </w:t>
      </w:r>
      <w:r>
        <w:t>source RS for beam indication for DL and UL, number of simultaneous active TCI states, and content of TCI states.</w:t>
      </w:r>
    </w:p>
    <w:p w14:paraId="3F988E32" w14:textId="3560F354" w:rsidR="001E33AA" w:rsidRDefault="001E33AA" w:rsidP="001E33AA">
      <w:pPr>
        <w:pStyle w:val="Heading2"/>
      </w:pPr>
      <w:bookmarkStart w:id="5" w:name="_Ref52454871"/>
      <w:r>
        <w:t>Construction of TCI Pools</w:t>
      </w:r>
      <w:bookmarkEnd w:id="5"/>
      <w:r>
        <w:t xml:space="preserve"> </w:t>
      </w:r>
    </w:p>
    <w:p w14:paraId="5A93F246" w14:textId="21922D7A" w:rsidR="001E33AA" w:rsidRDefault="00660A07" w:rsidP="001E33AA">
      <w:r>
        <w:t xml:space="preserve">There </w:t>
      </w:r>
      <w:r w:rsidR="00D32399">
        <w:t>are</w:t>
      </w:r>
      <w:r>
        <w:t xml:space="preserve"> two</w:t>
      </w:r>
      <w:r w:rsidR="001E33AA">
        <w:t xml:space="preserve"> </w:t>
      </w:r>
      <w:r w:rsidR="00882A1E">
        <w:t xml:space="preserve">ways to </w:t>
      </w:r>
      <w:r w:rsidR="001E33AA">
        <w:t xml:space="preserve">construct TCI </w:t>
      </w:r>
      <w:r w:rsidR="00377630">
        <w:t xml:space="preserve">state </w:t>
      </w:r>
      <w:r w:rsidR="001E33AA">
        <w:t xml:space="preserve">pools for joint TCI for DL and UL. </w:t>
      </w:r>
      <w:r>
        <w:t>The two alternatives are as follows</w:t>
      </w:r>
      <w:r w:rsidR="00FA46A3">
        <w:t>:</w:t>
      </w:r>
    </w:p>
    <w:p w14:paraId="4832BEE9" w14:textId="46AA0272" w:rsidR="00FA46A3" w:rsidRPr="00FA46A3" w:rsidRDefault="00FA46A3" w:rsidP="00FA46A3">
      <w:pPr>
        <w:numPr>
          <w:ilvl w:val="0"/>
          <w:numId w:val="18"/>
        </w:numPr>
      </w:pPr>
      <w:r w:rsidRPr="00FA46A3">
        <w:t>Alt.</w:t>
      </w:r>
      <w:r w:rsidR="00E8032A">
        <w:t xml:space="preserve"> </w:t>
      </w:r>
      <w:r w:rsidRPr="00FA46A3">
        <w:t xml:space="preserve">1: Separate TCI </w:t>
      </w:r>
      <w:r w:rsidR="00377630">
        <w:t xml:space="preserve">state </w:t>
      </w:r>
      <w:r w:rsidRPr="00FA46A3">
        <w:t xml:space="preserve">pools for DL and UL, e.g., one for DL and one for UL </w:t>
      </w:r>
    </w:p>
    <w:p w14:paraId="61005CCE" w14:textId="3944FEBC" w:rsidR="00FA46A3" w:rsidRDefault="00FA46A3" w:rsidP="00FA46A3">
      <w:pPr>
        <w:numPr>
          <w:ilvl w:val="0"/>
          <w:numId w:val="18"/>
        </w:numPr>
      </w:pPr>
      <w:r w:rsidRPr="00FA46A3">
        <w:t>Alt.</w:t>
      </w:r>
      <w:r w:rsidR="00E8032A">
        <w:t xml:space="preserve"> </w:t>
      </w:r>
      <w:r w:rsidRPr="00FA46A3">
        <w:t xml:space="preserve">2: One single joint TCI </w:t>
      </w:r>
      <w:r w:rsidR="00377630">
        <w:t xml:space="preserve">state </w:t>
      </w:r>
      <w:r w:rsidRPr="00FA46A3">
        <w:t>pool for both DL and UL</w:t>
      </w:r>
    </w:p>
    <w:p w14:paraId="2B5A8D3A" w14:textId="7AED46D5" w:rsidR="00660A07" w:rsidRDefault="004F1C89" w:rsidP="00660A07">
      <w:r>
        <w:fldChar w:fldCharType="begin"/>
      </w:r>
      <w:r>
        <w:instrText xml:space="preserve"> REF _Ref52378257 \h </w:instrText>
      </w:r>
      <w:r>
        <w:fldChar w:fldCharType="separate"/>
      </w:r>
      <w:r w:rsidR="003A6DA0" w:rsidRPr="00CE661A">
        <w:t xml:space="preserve">Figure </w:t>
      </w:r>
      <w:r w:rsidR="003A6DA0">
        <w:rPr>
          <w:noProof/>
        </w:rPr>
        <w:t>1</w:t>
      </w:r>
      <w:r>
        <w:fldChar w:fldCharType="end"/>
      </w:r>
      <w:r>
        <w:t xml:space="preserve"> illustrates the two alternatives to construct TCI </w:t>
      </w:r>
      <w:r w:rsidR="00377630">
        <w:t xml:space="preserve">state </w:t>
      </w:r>
      <w:r>
        <w:t>pool</w:t>
      </w:r>
      <w:r w:rsidR="00377630">
        <w:t>(s)</w:t>
      </w:r>
      <w:r>
        <w:t xml:space="preserve"> for joint TCI for DL and UL.</w:t>
      </w:r>
      <w:r w:rsidR="00550815">
        <w:t xml:space="preserve">  In </w:t>
      </w:r>
      <w:r w:rsidR="00D11350">
        <w:fldChar w:fldCharType="begin"/>
      </w:r>
      <w:r w:rsidR="00D11350">
        <w:instrText xml:space="preserve"> REF _Ref52378257 \h </w:instrText>
      </w:r>
      <w:r w:rsidR="00D11350">
        <w:fldChar w:fldCharType="separate"/>
      </w:r>
      <w:r w:rsidR="003A6DA0" w:rsidRPr="00CE661A">
        <w:t xml:space="preserve">Figure </w:t>
      </w:r>
      <w:r w:rsidR="003A6DA0">
        <w:rPr>
          <w:noProof/>
        </w:rPr>
        <w:t>1</w:t>
      </w:r>
      <w:r w:rsidR="00D11350">
        <w:fldChar w:fldCharType="end"/>
      </w:r>
      <w:r w:rsidR="00D11350">
        <w:t>, each circle represent</w:t>
      </w:r>
      <w:r w:rsidR="0089563E">
        <w:t>s</w:t>
      </w:r>
      <w:r w:rsidR="00D11350">
        <w:t xml:space="preserve"> a source RS in the TCI </w:t>
      </w:r>
      <w:r w:rsidR="00377630">
        <w:t xml:space="preserve">state </w:t>
      </w:r>
      <w:r w:rsidR="00D11350">
        <w:t>pool, and blue and green color indicate source RS for DL and UL, respectively.</w:t>
      </w:r>
    </w:p>
    <w:p w14:paraId="309C1807" w14:textId="77777777" w:rsidR="00CE661A" w:rsidRDefault="00CE661A" w:rsidP="00660A07"/>
    <w:p w14:paraId="393F5AAC" w14:textId="2BD11648" w:rsidR="00660A07" w:rsidRDefault="0083252D" w:rsidP="0083252D">
      <w:pPr>
        <w:jc w:val="center"/>
      </w:pPr>
      <w:r>
        <w:rPr>
          <w:noProof/>
        </w:rPr>
        <w:drawing>
          <wp:inline distT="0" distB="0" distL="0" distR="0" wp14:anchorId="6ECB2121" wp14:editId="21AE98F8">
            <wp:extent cx="5733288" cy="11795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3288" cy="1179576"/>
                    </a:xfrm>
                    <a:prstGeom prst="rect">
                      <a:avLst/>
                    </a:prstGeom>
                    <a:noFill/>
                  </pic:spPr>
                </pic:pic>
              </a:graphicData>
            </a:graphic>
          </wp:inline>
        </w:drawing>
      </w:r>
    </w:p>
    <w:p w14:paraId="08D85BFB" w14:textId="376CA627" w:rsidR="00CE661A" w:rsidRDefault="00CE661A" w:rsidP="00CE661A">
      <w:pPr>
        <w:pStyle w:val="Caption"/>
      </w:pPr>
      <w:bookmarkStart w:id="6" w:name="_Ref52378257"/>
      <w:r w:rsidRPr="00CE661A">
        <w:rPr>
          <w:sz w:val="22"/>
          <w:szCs w:val="22"/>
        </w:rPr>
        <w:t xml:space="preserve">Figure </w:t>
      </w:r>
      <w:r w:rsidRPr="00CE661A">
        <w:rPr>
          <w:sz w:val="22"/>
          <w:szCs w:val="22"/>
        </w:rPr>
        <w:fldChar w:fldCharType="begin"/>
      </w:r>
      <w:r w:rsidRPr="00CE661A">
        <w:rPr>
          <w:sz w:val="22"/>
          <w:szCs w:val="22"/>
        </w:rPr>
        <w:instrText xml:space="preserve"> SEQ Figure \* ARABIC </w:instrText>
      </w:r>
      <w:r w:rsidRPr="00CE661A">
        <w:rPr>
          <w:sz w:val="22"/>
          <w:szCs w:val="22"/>
        </w:rPr>
        <w:fldChar w:fldCharType="separate"/>
      </w:r>
      <w:r w:rsidR="003A6DA0">
        <w:rPr>
          <w:noProof/>
          <w:sz w:val="22"/>
          <w:szCs w:val="22"/>
        </w:rPr>
        <w:t>1</w:t>
      </w:r>
      <w:r w:rsidRPr="00CE661A">
        <w:rPr>
          <w:sz w:val="22"/>
          <w:szCs w:val="22"/>
        </w:rPr>
        <w:fldChar w:fldCharType="end"/>
      </w:r>
      <w:bookmarkEnd w:id="6"/>
      <w:r w:rsidR="004F1C89">
        <w:rPr>
          <w:sz w:val="22"/>
          <w:szCs w:val="22"/>
        </w:rPr>
        <w:t>:</w:t>
      </w:r>
      <w:r w:rsidRPr="00CE661A">
        <w:rPr>
          <w:sz w:val="22"/>
          <w:szCs w:val="22"/>
        </w:rPr>
        <w:t xml:space="preserve"> Two alternatives to construct TCI </w:t>
      </w:r>
      <w:r w:rsidR="006D6129">
        <w:rPr>
          <w:sz w:val="22"/>
          <w:szCs w:val="22"/>
        </w:rPr>
        <w:t xml:space="preserve">state </w:t>
      </w:r>
      <w:r w:rsidRPr="00CE661A">
        <w:rPr>
          <w:sz w:val="22"/>
          <w:szCs w:val="22"/>
        </w:rPr>
        <w:t>pool</w:t>
      </w:r>
      <w:r w:rsidR="006D6129">
        <w:rPr>
          <w:sz w:val="22"/>
          <w:szCs w:val="22"/>
        </w:rPr>
        <w:t>(s)</w:t>
      </w:r>
    </w:p>
    <w:p w14:paraId="6C51D5A3" w14:textId="172EE57D" w:rsidR="00DC2C07" w:rsidRDefault="000E58CF" w:rsidP="00660A07">
      <w:r>
        <w:t>In our opinion, Alt. 1 has some advantages over Alt. 2.</w:t>
      </w:r>
      <w:r w:rsidR="006D6129">
        <w:t xml:space="preserve">  </w:t>
      </w:r>
      <w:r w:rsidR="00DC2C07">
        <w:t xml:space="preserve">First, if UL-related parameters (e.g., power control related parameters such as PL RS and P0/alpha, and UL-timing related parameters) are to be included in UL TCI states, then Alt. 1 could result in a cleaner design compared to Alt. 2.  The reason is that in Alt. 1, the UL TCI state pool is separated from the DL TCI state pool, so the UL-related parameters are only required to be added in the UL TCI state pool without impacting the DL TCI state pool.  In Alt. 2, </w:t>
      </w:r>
      <w:r w:rsidR="00227E1E">
        <w:t>there are cases where</w:t>
      </w:r>
      <w:r w:rsidR="00DC2C07">
        <w:t xml:space="preserve"> both the DL and UL share some </w:t>
      </w:r>
      <w:r w:rsidR="00227E1E">
        <w:t>overlapped TCI states (e.g., share the same</w:t>
      </w:r>
      <w:r w:rsidR="00DC2C07">
        <w:t xml:space="preserve"> source RS </w:t>
      </w:r>
      <w:r w:rsidR="00227E1E">
        <w:t>such as</w:t>
      </w:r>
      <w:r w:rsidR="00DC2C07">
        <w:t xml:space="preserve"> CSI-RS)</w:t>
      </w:r>
      <w:r w:rsidR="00227E1E">
        <w:t>,</w:t>
      </w:r>
      <w:r w:rsidR="00DC2C07">
        <w:t xml:space="preserve"> as shown in </w:t>
      </w:r>
      <w:r w:rsidR="00791755">
        <w:fldChar w:fldCharType="begin"/>
      </w:r>
      <w:r w:rsidR="00791755">
        <w:instrText xml:space="preserve"> REF _Ref52447758 \h </w:instrText>
      </w:r>
      <w:r w:rsidR="00791755">
        <w:fldChar w:fldCharType="separate"/>
      </w:r>
      <w:r w:rsidR="003A6DA0" w:rsidRPr="0083252D">
        <w:t xml:space="preserve">Figure </w:t>
      </w:r>
      <w:r w:rsidR="003A6DA0">
        <w:rPr>
          <w:noProof/>
        </w:rPr>
        <w:t>2</w:t>
      </w:r>
      <w:r w:rsidR="00791755">
        <w:fldChar w:fldCharType="end"/>
      </w:r>
      <w:r w:rsidR="00227E1E">
        <w:t xml:space="preserve">.  In </w:t>
      </w:r>
      <w:r w:rsidR="00227E1E">
        <w:fldChar w:fldCharType="begin"/>
      </w:r>
      <w:r w:rsidR="00227E1E">
        <w:instrText xml:space="preserve"> REF _Ref52447758 \h </w:instrText>
      </w:r>
      <w:r w:rsidR="00227E1E">
        <w:fldChar w:fldCharType="separate"/>
      </w:r>
      <w:r w:rsidR="003A6DA0" w:rsidRPr="0083252D">
        <w:t xml:space="preserve">Figure </w:t>
      </w:r>
      <w:r w:rsidR="003A6DA0">
        <w:rPr>
          <w:noProof/>
        </w:rPr>
        <w:t>2</w:t>
      </w:r>
      <w:r w:rsidR="00227E1E">
        <w:fldChar w:fldCharType="end"/>
      </w:r>
      <w:r w:rsidR="00227E1E">
        <w:t xml:space="preserve">, the TCI states in the </w:t>
      </w:r>
      <w:r w:rsidR="00EC6E9C">
        <w:t>yellow</w:t>
      </w:r>
      <w:r w:rsidR="00227E1E">
        <w:t xml:space="preserve"> circle </w:t>
      </w:r>
      <w:r w:rsidR="00100393">
        <w:t>indicate</w:t>
      </w:r>
      <w:r w:rsidR="00227E1E">
        <w:t xml:space="preserve"> the overlapped TCI states shared by both </w:t>
      </w:r>
      <w:r w:rsidR="00B17487">
        <w:t xml:space="preserve">the </w:t>
      </w:r>
      <w:r w:rsidR="00227E1E">
        <w:t xml:space="preserve">DL and UL.  In this case, if these overlapped TCI states are to be used for UL, the UL </w:t>
      </w:r>
      <w:r w:rsidR="00E35C77">
        <w:t xml:space="preserve">power control and timing </w:t>
      </w:r>
      <w:r w:rsidR="00590B29">
        <w:t xml:space="preserve">related </w:t>
      </w:r>
      <w:r w:rsidR="00227E1E">
        <w:t xml:space="preserve">parameters should </w:t>
      </w:r>
      <w:r w:rsidR="00D0091D">
        <w:t xml:space="preserve">also </w:t>
      </w:r>
      <w:r w:rsidR="00227E1E">
        <w:t xml:space="preserve">be included in </w:t>
      </w:r>
      <w:r w:rsidR="008171E3">
        <w:t>these</w:t>
      </w:r>
      <w:r w:rsidR="00227E1E">
        <w:t xml:space="preserve"> TCI states, while </w:t>
      </w:r>
      <w:r w:rsidR="00AA7A13">
        <w:t>th</w:t>
      </w:r>
      <w:r w:rsidR="00863C84">
        <w:t>e</w:t>
      </w:r>
      <w:r w:rsidR="00AA7A13">
        <w:t xml:space="preserve"> UL-related parameters</w:t>
      </w:r>
      <w:r w:rsidR="00227E1E">
        <w:t xml:space="preserve"> are not needed if these overlapped TCI state are to be used for DL only.  </w:t>
      </w:r>
      <w:r w:rsidR="00AA7A13">
        <w:t xml:space="preserve">This means that in Alt. 2, the content of the </w:t>
      </w:r>
      <w:r>
        <w:t xml:space="preserve">overlapped </w:t>
      </w:r>
      <w:r w:rsidR="00AA7A13">
        <w:t>TCI state</w:t>
      </w:r>
      <w:r>
        <w:t>s</w:t>
      </w:r>
      <w:r w:rsidR="00AA7A13">
        <w:t xml:space="preserve"> needs to be adjusted depending on whether it is used for DL and UL.  </w:t>
      </w:r>
      <w:r w:rsidR="00227E1E">
        <w:t>This could result in a</w:t>
      </w:r>
      <w:r w:rsidR="008301DB">
        <w:t xml:space="preserve"> </w:t>
      </w:r>
      <w:r w:rsidR="00A505C0">
        <w:t xml:space="preserve">more </w:t>
      </w:r>
      <w:r w:rsidR="00227E1E">
        <w:t>complicated TCI state pool design.</w:t>
      </w:r>
    </w:p>
    <w:p w14:paraId="16FA9628" w14:textId="17F0EF7E" w:rsidR="00752BCA" w:rsidRDefault="00752BCA" w:rsidP="00660A07">
      <w:r>
        <w:lastRenderedPageBreak/>
        <w:t xml:space="preserve">Second, </w:t>
      </w:r>
      <w:r w:rsidR="00350797">
        <w:t>it is possible that</w:t>
      </w:r>
      <w:r>
        <w:t xml:space="preserve"> </w:t>
      </w:r>
      <w:r w:rsidR="00A76A7D">
        <w:t>DCI is to be used as the dynamic TCI state update signaling medium</w:t>
      </w:r>
      <w:r w:rsidR="00350797">
        <w:t>, e.g., to select/activate TCI state(s) directly from the TCI state pool, instead of</w:t>
      </w:r>
      <w:r w:rsidR="00A76A7D">
        <w:t xml:space="preserve"> </w:t>
      </w:r>
      <w:r w:rsidR="00350797">
        <w:t xml:space="preserve">using MAC CE to select a subset of the TCI states from the pool(s) first and then using DCI to dynamically select/update TCI state(s) within the subset of TCI states.  In this case, since the TCI state pools for DL and UL are separated in Alt. 1, the number of TCI states in each pool is smaller compared to the number of TCI states in the joint TCI state pool in Alt. 2, therefore the </w:t>
      </w:r>
      <w:r w:rsidR="003D33EE">
        <w:t xml:space="preserve">size of the </w:t>
      </w:r>
      <w:r w:rsidR="00350797">
        <w:t>TCI field in the DCI to indicate the selected/updated TCI state(s) could be smaller in Alt. 1 than in Alt. 2.</w:t>
      </w:r>
    </w:p>
    <w:p w14:paraId="53EE5C86" w14:textId="60D24A70" w:rsidR="0083252D" w:rsidRDefault="0083252D" w:rsidP="0083252D">
      <w:pPr>
        <w:jc w:val="center"/>
      </w:pPr>
      <w:r>
        <w:rPr>
          <w:noProof/>
        </w:rPr>
        <w:drawing>
          <wp:inline distT="0" distB="0" distL="0" distR="0" wp14:anchorId="16152C4A" wp14:editId="5721FB8A">
            <wp:extent cx="5833872" cy="1755648"/>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3872" cy="1755648"/>
                    </a:xfrm>
                    <a:prstGeom prst="rect">
                      <a:avLst/>
                    </a:prstGeom>
                    <a:noFill/>
                  </pic:spPr>
                </pic:pic>
              </a:graphicData>
            </a:graphic>
          </wp:inline>
        </w:drawing>
      </w:r>
    </w:p>
    <w:p w14:paraId="5D7C121B" w14:textId="318CDEB2" w:rsidR="0083252D" w:rsidRDefault="0083252D" w:rsidP="0083252D">
      <w:pPr>
        <w:pStyle w:val="Caption"/>
      </w:pPr>
      <w:bookmarkStart w:id="7" w:name="_Ref52447758"/>
      <w:r w:rsidRPr="0083252D">
        <w:rPr>
          <w:sz w:val="22"/>
          <w:szCs w:val="22"/>
        </w:rPr>
        <w:t xml:space="preserve">Figure </w:t>
      </w:r>
      <w:r w:rsidRPr="0083252D">
        <w:rPr>
          <w:sz w:val="22"/>
          <w:szCs w:val="22"/>
        </w:rPr>
        <w:fldChar w:fldCharType="begin"/>
      </w:r>
      <w:r w:rsidRPr="0083252D">
        <w:rPr>
          <w:sz w:val="22"/>
          <w:szCs w:val="22"/>
        </w:rPr>
        <w:instrText xml:space="preserve"> SEQ Figure \* ARABIC </w:instrText>
      </w:r>
      <w:r w:rsidRPr="0083252D">
        <w:rPr>
          <w:sz w:val="22"/>
          <w:szCs w:val="22"/>
        </w:rPr>
        <w:fldChar w:fldCharType="separate"/>
      </w:r>
      <w:r w:rsidR="003A6DA0">
        <w:rPr>
          <w:noProof/>
          <w:sz w:val="22"/>
          <w:szCs w:val="22"/>
        </w:rPr>
        <w:t>2</w:t>
      </w:r>
      <w:r w:rsidRPr="0083252D">
        <w:rPr>
          <w:sz w:val="22"/>
          <w:szCs w:val="22"/>
        </w:rPr>
        <w:fldChar w:fldCharType="end"/>
      </w:r>
      <w:bookmarkEnd w:id="7"/>
      <w:r w:rsidRPr="0083252D">
        <w:rPr>
          <w:sz w:val="22"/>
          <w:szCs w:val="22"/>
        </w:rPr>
        <w:t>: Illustration of separate and joint TCI state pools for DL and UL with overlapping TCI states</w:t>
      </w:r>
    </w:p>
    <w:p w14:paraId="292E0A6D" w14:textId="77777777" w:rsidR="004E1913" w:rsidRDefault="00863C84" w:rsidP="00660A07">
      <w:r>
        <w:t xml:space="preserve">Based on the above analysis, we propose that </w:t>
      </w:r>
      <w:bookmarkStart w:id="8" w:name="_Hlk52451014"/>
      <w:proofErr w:type="spellStart"/>
      <w:r w:rsidR="002D2EC3">
        <w:t>FeMIMO</w:t>
      </w:r>
      <w:proofErr w:type="spellEnd"/>
      <w:r w:rsidR="004E1913">
        <w:t xml:space="preserve"> supports separate TCI state pools for DL and UL.</w:t>
      </w:r>
      <w:bookmarkEnd w:id="8"/>
    </w:p>
    <w:p w14:paraId="06FF80B3" w14:textId="05FFAFED" w:rsidR="00CE661A" w:rsidRDefault="004E1913" w:rsidP="00660A07">
      <w:pPr>
        <w:rPr>
          <w:b/>
          <w:bCs/>
          <w:i/>
          <w:iCs/>
          <w:lang w:eastAsia="x-none"/>
        </w:rPr>
      </w:pPr>
      <w:r>
        <w:rPr>
          <w:b/>
          <w:bCs/>
          <w:i/>
          <w:iCs/>
          <w:lang w:eastAsia="x-none"/>
        </w:rPr>
        <w:t>Proposal 1:</w:t>
      </w:r>
      <w:r w:rsidRPr="004E1913">
        <w:t xml:space="preserve"> </w:t>
      </w:r>
      <w:proofErr w:type="spellStart"/>
      <w:r w:rsidRPr="004E1913">
        <w:rPr>
          <w:b/>
          <w:bCs/>
          <w:i/>
          <w:iCs/>
          <w:lang w:eastAsia="x-none"/>
        </w:rPr>
        <w:t>FeMIMO</w:t>
      </w:r>
      <w:proofErr w:type="spellEnd"/>
      <w:r w:rsidRPr="004E1913">
        <w:rPr>
          <w:b/>
          <w:bCs/>
          <w:i/>
          <w:iCs/>
          <w:lang w:eastAsia="x-none"/>
        </w:rPr>
        <w:t xml:space="preserve"> supports separate TCI state pools for DL and UL.</w:t>
      </w:r>
    </w:p>
    <w:p w14:paraId="3D0CBA04" w14:textId="77777777" w:rsidR="002831B5" w:rsidRPr="002831B5" w:rsidRDefault="002831B5" w:rsidP="00660A07">
      <w:pPr>
        <w:rPr>
          <w:b/>
          <w:bCs/>
          <w:i/>
          <w:iCs/>
          <w:lang w:eastAsia="x-none"/>
        </w:rPr>
      </w:pPr>
    </w:p>
    <w:p w14:paraId="78C246A9" w14:textId="21338FF6" w:rsidR="001E33AA" w:rsidRDefault="001E33AA" w:rsidP="001E33AA">
      <w:pPr>
        <w:pStyle w:val="Heading2"/>
      </w:pPr>
      <w:bookmarkStart w:id="9" w:name="_Ref52551764"/>
      <w:r>
        <w:t>Source RS for Beam Indication</w:t>
      </w:r>
      <w:bookmarkEnd w:id="9"/>
      <w:r>
        <w:t xml:space="preserve"> </w:t>
      </w:r>
    </w:p>
    <w:p w14:paraId="25AB33CE" w14:textId="2F13BD70" w:rsidR="007608FA" w:rsidRDefault="001B4988" w:rsidP="001E33AA">
      <w:r>
        <w:t>There are two ways to select</w:t>
      </w:r>
      <w:r w:rsidR="001E33AA">
        <w:t xml:space="preserve"> source RS for beam indication for DL and UL.</w:t>
      </w:r>
      <w:r w:rsidR="0090313D">
        <w:t xml:space="preserve">  </w:t>
      </w:r>
      <w:r w:rsidR="00260B25">
        <w:t>The two</w:t>
      </w:r>
      <w:r w:rsidR="007608FA">
        <w:t xml:space="preserve"> alternatives</w:t>
      </w:r>
      <w:r w:rsidR="00260B25">
        <w:t xml:space="preserve"> are as follows</w:t>
      </w:r>
      <w:r w:rsidR="007608FA">
        <w:t>:</w:t>
      </w:r>
    </w:p>
    <w:p w14:paraId="7031C27D" w14:textId="72C05D48" w:rsidR="00FA46A3" w:rsidRPr="00FA46A3" w:rsidRDefault="00FA46A3" w:rsidP="007608FA">
      <w:pPr>
        <w:numPr>
          <w:ilvl w:val="0"/>
          <w:numId w:val="18"/>
        </w:numPr>
      </w:pPr>
      <w:r w:rsidRPr="00FA46A3">
        <w:t>Alt.</w:t>
      </w:r>
      <w:r w:rsidR="007608FA">
        <w:t xml:space="preserve"> a</w:t>
      </w:r>
      <w:r w:rsidRPr="00FA46A3">
        <w:t xml:space="preserve">: </w:t>
      </w:r>
      <w:r w:rsidR="007608FA">
        <w:t>U</w:t>
      </w:r>
      <w:r w:rsidR="007608FA" w:rsidRPr="007608FA">
        <w:t xml:space="preserve">sing one source RS to indicate both DL and UL beams.  </w:t>
      </w:r>
    </w:p>
    <w:p w14:paraId="359A0154" w14:textId="4CEE809B" w:rsidR="007608FA" w:rsidRDefault="00FA46A3" w:rsidP="001E33AA">
      <w:pPr>
        <w:numPr>
          <w:ilvl w:val="0"/>
          <w:numId w:val="18"/>
        </w:numPr>
      </w:pPr>
      <w:r w:rsidRPr="00FA46A3">
        <w:t>Alt.</w:t>
      </w:r>
      <w:r w:rsidR="007608FA">
        <w:t xml:space="preserve"> b</w:t>
      </w:r>
      <w:r w:rsidRPr="00FA46A3">
        <w:t xml:space="preserve">: </w:t>
      </w:r>
      <w:r w:rsidR="007608FA">
        <w:t>U</w:t>
      </w:r>
      <w:r w:rsidR="007608FA" w:rsidRPr="007608FA">
        <w:t>sing two source RS, each for beam indication for DL and UL, respectively.</w:t>
      </w:r>
    </w:p>
    <w:p w14:paraId="125B34B4" w14:textId="518F5FC7" w:rsidR="008269AB" w:rsidRDefault="008269AB" w:rsidP="001E33AA">
      <w:r>
        <w:t xml:space="preserve">Alt. </w:t>
      </w:r>
      <w:proofErr w:type="spellStart"/>
      <w:r>
        <w:t>a</w:t>
      </w:r>
      <w:proofErr w:type="spellEnd"/>
      <w:r>
        <w:t xml:space="preserve"> implies that the DL </w:t>
      </w:r>
      <w:r w:rsidR="001030FB">
        <w:t xml:space="preserve">beam </w:t>
      </w:r>
      <w:r>
        <w:t xml:space="preserve">and the UL beam are the same, which requires the assumption of beam </w:t>
      </w:r>
      <w:r w:rsidRPr="007608FA">
        <w:t>correspondence between DL and UL</w:t>
      </w:r>
      <w:r w:rsidR="00470F9B">
        <w:t xml:space="preserve">. </w:t>
      </w:r>
      <w:r w:rsidR="00BC6456">
        <w:t>However, this assumption might not be true in some cases.  For example, i</w:t>
      </w:r>
      <w:r w:rsidR="00470F9B">
        <w:t xml:space="preserve">n the case of MPE, the UE might have to change its UL transmit beam to avoid the MPE issue, so its DL </w:t>
      </w:r>
      <w:r w:rsidR="00782DBA">
        <w:t>RX</w:t>
      </w:r>
      <w:r w:rsidR="00470F9B">
        <w:t xml:space="preserve"> </w:t>
      </w:r>
      <w:r w:rsidR="00782DBA">
        <w:t>spatial filter(s)</w:t>
      </w:r>
      <w:r w:rsidR="00470F9B">
        <w:t xml:space="preserve"> and </w:t>
      </w:r>
      <w:r w:rsidR="00782DBA">
        <w:t>UL TX spatial filter(s)</w:t>
      </w:r>
      <w:r w:rsidR="00470F9B">
        <w:t xml:space="preserve"> </w:t>
      </w:r>
      <w:r w:rsidR="00065225">
        <w:t>could</w:t>
      </w:r>
      <w:r w:rsidR="00470F9B">
        <w:t xml:space="preserve"> be different, thus the assumption of beam correspondence between DL and UL </w:t>
      </w:r>
      <w:r w:rsidR="00F35AAB">
        <w:t>no longer holds</w:t>
      </w:r>
      <w:r w:rsidR="00470F9B">
        <w:t>.</w:t>
      </w:r>
      <w:r w:rsidRPr="007608FA">
        <w:t xml:space="preserve"> </w:t>
      </w:r>
      <w:r w:rsidR="00470F9B">
        <w:t xml:space="preserve">Similarly, in </w:t>
      </w:r>
      <w:proofErr w:type="spellStart"/>
      <w:r w:rsidR="00470F9B">
        <w:t>mTRP</w:t>
      </w:r>
      <w:proofErr w:type="spellEnd"/>
      <w:r w:rsidR="00470F9B">
        <w:t xml:space="preserve"> case, the UE’s DL reception </w:t>
      </w:r>
      <w:r w:rsidR="006B14C8">
        <w:t xml:space="preserve">source </w:t>
      </w:r>
      <w:r w:rsidR="00470F9B">
        <w:t>TRP and UL transmit target TRP could be different due to different interference condition on the DL and UL, resulting in different DL receive beam and UL transmit beam at the UE.</w:t>
      </w:r>
      <w:r w:rsidR="0016411F">
        <w:t xml:space="preserve">  In another example, </w:t>
      </w:r>
      <w:r w:rsidR="003F536E">
        <w:t xml:space="preserve">for UE-group </w:t>
      </w:r>
      <w:r w:rsidR="0016411F">
        <w:t>beam in</w:t>
      </w:r>
      <w:r w:rsidR="003F536E">
        <w:t xml:space="preserve">dication, it is possible that the UEs in the group (e.g., UEs in the same bus) share the same DL receive beam </w:t>
      </w:r>
      <w:r w:rsidR="006E23B3">
        <w:t xml:space="preserve">while </w:t>
      </w:r>
      <w:r w:rsidR="00782DBA">
        <w:t>some</w:t>
      </w:r>
      <w:r w:rsidR="006E23B3">
        <w:t xml:space="preserve"> UEs</w:t>
      </w:r>
      <w:r w:rsidR="00782DBA">
        <w:t xml:space="preserve"> might have different UL transmit beams.  </w:t>
      </w:r>
      <w:r w:rsidR="00060EFA">
        <w:t>In these examples, Alt. b needs to be used.</w:t>
      </w:r>
    </w:p>
    <w:p w14:paraId="24CA1068" w14:textId="6EAEE479" w:rsidR="00AC29F1" w:rsidRDefault="00AC29F1" w:rsidP="001E33AA">
      <w:r>
        <w:t xml:space="preserve">Based on the above analysis, we propose that </w:t>
      </w:r>
      <w:bookmarkStart w:id="10" w:name="_Hlk52454625"/>
      <w:proofErr w:type="spellStart"/>
      <w:r>
        <w:t>FeMIMO</w:t>
      </w:r>
      <w:proofErr w:type="spellEnd"/>
      <w:r>
        <w:t xml:space="preserve"> supports using </w:t>
      </w:r>
      <w:r w:rsidRPr="007608FA">
        <w:t>two source RS, each for beam indication for DL and UL, respectively.</w:t>
      </w:r>
      <w:bookmarkEnd w:id="10"/>
    </w:p>
    <w:p w14:paraId="467FF689" w14:textId="18C5DFBA" w:rsidR="00AC29F1" w:rsidRDefault="00AC29F1" w:rsidP="001E33AA">
      <w:r>
        <w:rPr>
          <w:b/>
          <w:bCs/>
          <w:i/>
          <w:iCs/>
          <w:lang w:eastAsia="x-none"/>
        </w:rPr>
        <w:t>Proposal 2:</w:t>
      </w:r>
      <w:r w:rsidRPr="004E1913">
        <w:t xml:space="preserve"> </w:t>
      </w:r>
      <w:proofErr w:type="spellStart"/>
      <w:r w:rsidRPr="00AC29F1">
        <w:rPr>
          <w:b/>
          <w:bCs/>
          <w:i/>
          <w:iCs/>
          <w:lang w:eastAsia="x-none"/>
        </w:rPr>
        <w:t>FeMIMO</w:t>
      </w:r>
      <w:proofErr w:type="spellEnd"/>
      <w:r w:rsidRPr="00AC29F1">
        <w:rPr>
          <w:b/>
          <w:bCs/>
          <w:i/>
          <w:iCs/>
          <w:lang w:eastAsia="x-none"/>
        </w:rPr>
        <w:t xml:space="preserve"> supports using two source RS, each for beam indication for DL and UL, respectively.</w:t>
      </w:r>
    </w:p>
    <w:p w14:paraId="63644097" w14:textId="6466D06A" w:rsidR="00474965" w:rsidRDefault="0082568A" w:rsidP="001E33AA">
      <w:r>
        <w:t xml:space="preserve">As </w:t>
      </w:r>
      <w:proofErr w:type="gramStart"/>
      <w:r>
        <w:t>discussed</w:t>
      </w:r>
      <w:proofErr w:type="gramEnd"/>
      <w:r>
        <w:t xml:space="preserve"> and proposed i</w:t>
      </w:r>
      <w:r w:rsidR="00474965">
        <w:t xml:space="preserve">n Section </w:t>
      </w:r>
      <w:r>
        <w:fldChar w:fldCharType="begin"/>
      </w:r>
      <w:r>
        <w:instrText xml:space="preserve"> REF _Ref52454871 \r \h </w:instrText>
      </w:r>
      <w:r>
        <w:fldChar w:fldCharType="separate"/>
      </w:r>
      <w:r w:rsidR="003A6DA0">
        <w:t>2.1</w:t>
      </w:r>
      <w:r>
        <w:fldChar w:fldCharType="end"/>
      </w:r>
      <w:r>
        <w:t xml:space="preserve">, </w:t>
      </w:r>
      <w:proofErr w:type="spellStart"/>
      <w:r w:rsidR="00D30E64">
        <w:t>FeMIMO</w:t>
      </w:r>
      <w:proofErr w:type="spellEnd"/>
      <w:r w:rsidR="00D30E64">
        <w:t xml:space="preserve"> should support s</w:t>
      </w:r>
      <w:r w:rsidRPr="00FA46A3">
        <w:t xml:space="preserve">eparate TCI </w:t>
      </w:r>
      <w:r>
        <w:t xml:space="preserve">state </w:t>
      </w:r>
      <w:r w:rsidRPr="00FA46A3">
        <w:t>pools for DL and UL</w:t>
      </w:r>
      <w:r w:rsidR="00D30E64">
        <w:t xml:space="preserve">.  With </w:t>
      </w:r>
      <w:r w:rsidR="00335392">
        <w:t xml:space="preserve">separate TCI state pools for DL and UL, it is natural that </w:t>
      </w:r>
      <w:bookmarkStart w:id="11" w:name="_Hlk52455601"/>
      <w:r w:rsidR="00335392">
        <w:t>one TCI state from the DL TCI state pool and one TCI state from the UL</w:t>
      </w:r>
      <w:r w:rsidR="00474965">
        <w:t xml:space="preserve"> </w:t>
      </w:r>
      <w:r w:rsidR="00335392">
        <w:t>TCI state pool are used for beam indication for DL and UL, respectively.</w:t>
      </w:r>
      <w:bookmarkEnd w:id="11"/>
      <w:r w:rsidR="00ED1472">
        <w:t xml:space="preserve">  Therefore, we have the following proposal:</w:t>
      </w:r>
    </w:p>
    <w:p w14:paraId="4B04F40C" w14:textId="40C9FF60" w:rsidR="00ED1472" w:rsidRDefault="00ED1472" w:rsidP="001E33AA">
      <w:r>
        <w:rPr>
          <w:b/>
          <w:bCs/>
          <w:i/>
          <w:iCs/>
          <w:lang w:eastAsia="x-none"/>
        </w:rPr>
        <w:t xml:space="preserve">Proposal 3: </w:t>
      </w:r>
      <w:proofErr w:type="spellStart"/>
      <w:r>
        <w:rPr>
          <w:b/>
          <w:bCs/>
          <w:i/>
          <w:iCs/>
          <w:lang w:eastAsia="x-none"/>
        </w:rPr>
        <w:t>FeMIMO</w:t>
      </w:r>
      <w:proofErr w:type="spellEnd"/>
      <w:r>
        <w:rPr>
          <w:b/>
          <w:bCs/>
          <w:i/>
          <w:iCs/>
          <w:lang w:eastAsia="x-none"/>
        </w:rPr>
        <w:t xml:space="preserve"> supports </w:t>
      </w:r>
      <w:r w:rsidR="00474231">
        <w:rPr>
          <w:b/>
          <w:bCs/>
          <w:i/>
          <w:iCs/>
          <w:lang w:eastAsia="x-none"/>
        </w:rPr>
        <w:t>using</w:t>
      </w:r>
      <w:r w:rsidR="00474231" w:rsidRPr="00474231">
        <w:rPr>
          <w:b/>
          <w:bCs/>
          <w:i/>
          <w:iCs/>
          <w:lang w:eastAsia="x-none"/>
        </w:rPr>
        <w:t xml:space="preserve"> two separate TCI states, one from the DL TCI state pool and one from the UL TCI state pool</w:t>
      </w:r>
      <w:r w:rsidR="00474231">
        <w:rPr>
          <w:b/>
          <w:bCs/>
          <w:i/>
          <w:iCs/>
          <w:lang w:eastAsia="x-none"/>
        </w:rPr>
        <w:t>,</w:t>
      </w:r>
      <w:r w:rsidR="00474231" w:rsidRPr="00474231">
        <w:rPr>
          <w:b/>
          <w:bCs/>
          <w:i/>
          <w:iCs/>
          <w:lang w:eastAsia="x-none"/>
        </w:rPr>
        <w:t xml:space="preserve"> for beam indication for DL and UL, respectively.</w:t>
      </w:r>
    </w:p>
    <w:p w14:paraId="781A781A" w14:textId="6F27C438" w:rsidR="00ED1472" w:rsidRDefault="00E536DE" w:rsidP="001E33AA">
      <w:r>
        <w:lastRenderedPageBreak/>
        <w:t xml:space="preserve">To further reduce the overhead and latency for beam indication, we also need to consider </w:t>
      </w:r>
      <w:bookmarkStart w:id="12" w:name="_Hlk52464844"/>
      <w:r>
        <w:t>common beam indication across multiple channels (e.g., data and control channels), common beam indication across multiple CCs, and common beam indication for a group of UEs (e.g., UEs in the same bus).</w:t>
      </w:r>
      <w:bookmarkEnd w:id="12"/>
    </w:p>
    <w:p w14:paraId="7FC2972C" w14:textId="04C82B34" w:rsidR="003101AA" w:rsidRDefault="003101AA" w:rsidP="001E33AA">
      <w:r>
        <w:t xml:space="preserve">For common beam indication across multiple channels, RRC configuration can be used to configure one or multiple groups of channels.  Channels within </w:t>
      </w:r>
      <w:r w:rsidR="00B33CE0">
        <w:t>the same</w:t>
      </w:r>
      <w:r>
        <w:t xml:space="preserve"> group share the same beam.  </w:t>
      </w:r>
      <w:r w:rsidR="00612E66">
        <w:t xml:space="preserve">If the TCI state of one of the channels in the group is </w:t>
      </w:r>
      <w:r w:rsidR="001E7AB4">
        <w:t>updated</w:t>
      </w:r>
      <w:r w:rsidR="00612E66">
        <w:t xml:space="preserve">, the TCI state of the rest of the channels in the group will also be </w:t>
      </w:r>
      <w:r w:rsidR="001E7AB4">
        <w:t>updated</w:t>
      </w:r>
      <w:r w:rsidR="00612E66">
        <w:t xml:space="preserve"> accordingly without additional signaling.  </w:t>
      </w:r>
      <w:r>
        <w:t>For example, if beam correspondence between DL and UL is assumed, one group of channels can be define</w:t>
      </w:r>
      <w:r w:rsidR="00612E66">
        <w:t>d</w:t>
      </w:r>
      <w:r>
        <w:t xml:space="preserve"> where the group include {PDSCH, PDCCH, PUSCH, PUCCH, </w:t>
      </w:r>
      <w:r w:rsidR="00612E66">
        <w:t>SRS</w:t>
      </w:r>
      <w:r>
        <w:t xml:space="preserve">}.  </w:t>
      </w:r>
      <w:r w:rsidR="00612E66">
        <w:t xml:space="preserve">If the TCI state of the PDSCH DMRS is updated through DCI signaling, the TCI states of the other channels in the group are also updated to the same TCI state of the PDSCH DMRS.  No additional signaling is needed to update </w:t>
      </w:r>
      <w:r w:rsidR="0050770C">
        <w:t xml:space="preserve">the </w:t>
      </w:r>
      <w:r w:rsidR="00612E66">
        <w:t>UL TCI states for PUSCH</w:t>
      </w:r>
      <w:r w:rsidR="0050770C">
        <w:t>,</w:t>
      </w:r>
      <w:r w:rsidR="00612E66">
        <w:t xml:space="preserve"> PUCCH, </w:t>
      </w:r>
      <w:r w:rsidR="0050770C">
        <w:t>and SRS</w:t>
      </w:r>
      <w:r w:rsidR="00612E66">
        <w:t xml:space="preserve">. In another example, if beam correspondence between DL and UL cannot be assumed, two group of channels can be defined where one group includes {PDSCH, PDCCH}, </w:t>
      </w:r>
      <w:r w:rsidR="002B586F">
        <w:t xml:space="preserve">e.g., the DL group, </w:t>
      </w:r>
      <w:r w:rsidR="00612E66">
        <w:t>and the other group includes {PUSCH, PUCCH, SRS}</w:t>
      </w:r>
      <w:r w:rsidR="002B586F">
        <w:t>, e.g., the UL group.  In this case, the TCI state updates for the DL group and the UL group can be operated separately such that the DL receive beam and the UL transmit beam could be different.</w:t>
      </w:r>
    </w:p>
    <w:p w14:paraId="0D6B6C14" w14:textId="31B1F3F5" w:rsidR="00FF0A52" w:rsidRDefault="00451047" w:rsidP="001E33AA">
      <w:r>
        <w:t xml:space="preserve">This concept of grouping can be extended to common beam indication across multiple CCs, which has been, to some extent, defined in Rel. 16 with </w:t>
      </w:r>
      <w:r w:rsidR="000B4F16">
        <w:t>MAC CE including a</w:t>
      </w:r>
      <w:r>
        <w:t xml:space="preserve"> list</w:t>
      </w:r>
      <w:r w:rsidR="00035213">
        <w:t>/group</w:t>
      </w:r>
      <w:r>
        <w:t xml:space="preserve"> of CCs </w:t>
      </w:r>
      <w:r w:rsidR="000B4F16">
        <w:t xml:space="preserve">that </w:t>
      </w:r>
      <w:r>
        <w:t xml:space="preserve">share the same beam.  In this case, </w:t>
      </w:r>
      <w:r w:rsidR="00FF0A52">
        <w:t xml:space="preserve">the </w:t>
      </w:r>
      <w:r>
        <w:t xml:space="preserve">CCs within each group share the same beam.  If the TCI state of </w:t>
      </w:r>
      <w:r w:rsidR="001E7AB4">
        <w:t>one of the CC</w:t>
      </w:r>
      <w:r w:rsidR="00FF0A52">
        <w:t>s</w:t>
      </w:r>
      <w:r w:rsidR="001E7AB4">
        <w:t xml:space="preserve"> in the group is updated, </w:t>
      </w:r>
      <w:r w:rsidR="00FF0A52">
        <w:t xml:space="preserve">the TCI state of the rest of the CCs in the group will also be updated accordingly without additional signaling. </w:t>
      </w:r>
    </w:p>
    <w:p w14:paraId="2609B967" w14:textId="56A8408F" w:rsidR="00451047" w:rsidRDefault="00451047" w:rsidP="001E33AA">
      <w:r>
        <w:t>Th</w:t>
      </w:r>
      <w:r w:rsidR="00FF0A52">
        <w:t>e</w:t>
      </w:r>
      <w:r>
        <w:t xml:space="preserve"> concept of grouping can also be extended to common beam indication</w:t>
      </w:r>
      <w:r w:rsidR="00FF0A52">
        <w:t xml:space="preserve"> for a group of UEs.</w:t>
      </w:r>
      <w:r>
        <w:t xml:space="preserve"> </w:t>
      </w:r>
      <w:r w:rsidR="00FF0A52">
        <w:t>In this case, the UEs within each group share the same beam.  If the TCI state of one of the UEs in the group is updated, the TCI state of the rest of the UEs in the group will also be updated accordingly without additional dedicated signaling to each of the individual UEs.</w:t>
      </w:r>
    </w:p>
    <w:p w14:paraId="0FC1A503" w14:textId="4E4CF487" w:rsidR="00D02E45" w:rsidRDefault="00D02E45" w:rsidP="001E33AA">
      <w:r>
        <w:t>Based on the above analysis, we have the following proposal:</w:t>
      </w:r>
    </w:p>
    <w:p w14:paraId="29E8F570" w14:textId="3DB43FA2" w:rsidR="002D3870" w:rsidRDefault="002D3870" w:rsidP="001E33AA">
      <w:r>
        <w:rPr>
          <w:b/>
          <w:bCs/>
          <w:i/>
          <w:iCs/>
          <w:lang w:eastAsia="x-none"/>
        </w:rPr>
        <w:t xml:space="preserve">Proposal 4: </w:t>
      </w:r>
      <w:proofErr w:type="spellStart"/>
      <w:r>
        <w:rPr>
          <w:b/>
          <w:bCs/>
          <w:i/>
          <w:iCs/>
          <w:lang w:eastAsia="x-none"/>
        </w:rPr>
        <w:t>FeMIMO</w:t>
      </w:r>
      <w:proofErr w:type="spellEnd"/>
      <w:r>
        <w:rPr>
          <w:b/>
          <w:bCs/>
          <w:i/>
          <w:iCs/>
          <w:lang w:eastAsia="x-none"/>
        </w:rPr>
        <w:t xml:space="preserve"> supports </w:t>
      </w:r>
      <w:r w:rsidRPr="002D3870">
        <w:rPr>
          <w:b/>
          <w:bCs/>
          <w:i/>
          <w:iCs/>
          <w:lang w:eastAsia="x-none"/>
        </w:rPr>
        <w:t>common beam indication across multiple channels, across multiple CCs, and common beam indication for a group of UEs</w:t>
      </w:r>
      <w:r>
        <w:rPr>
          <w:b/>
          <w:bCs/>
          <w:i/>
          <w:iCs/>
          <w:lang w:eastAsia="x-none"/>
        </w:rPr>
        <w:t xml:space="preserve"> using the concept of grouping</w:t>
      </w:r>
      <w:r w:rsidRPr="002D3870">
        <w:rPr>
          <w:b/>
          <w:bCs/>
          <w:i/>
          <w:iCs/>
          <w:lang w:eastAsia="x-none"/>
        </w:rPr>
        <w:t>.</w:t>
      </w:r>
      <w:r>
        <w:rPr>
          <w:b/>
          <w:bCs/>
          <w:i/>
          <w:iCs/>
          <w:lang w:eastAsia="x-none"/>
        </w:rPr>
        <w:t xml:space="preserve">  The channels, CCs, or UEs in a group share the same beam</w:t>
      </w:r>
      <w:r w:rsidR="002632BF">
        <w:rPr>
          <w:b/>
          <w:bCs/>
          <w:i/>
          <w:iCs/>
          <w:lang w:eastAsia="x-none"/>
        </w:rPr>
        <w:t>(s)</w:t>
      </w:r>
      <w:r>
        <w:rPr>
          <w:b/>
          <w:bCs/>
          <w:i/>
          <w:iCs/>
          <w:lang w:eastAsia="x-none"/>
        </w:rPr>
        <w:t>, and if the TCI state</w:t>
      </w:r>
      <w:r w:rsidR="002632BF">
        <w:rPr>
          <w:b/>
          <w:bCs/>
          <w:i/>
          <w:iCs/>
          <w:lang w:eastAsia="x-none"/>
        </w:rPr>
        <w:t>(s)</w:t>
      </w:r>
      <w:r>
        <w:rPr>
          <w:b/>
          <w:bCs/>
          <w:i/>
          <w:iCs/>
          <w:lang w:eastAsia="x-none"/>
        </w:rPr>
        <w:t xml:space="preserve"> of one of the elements in the group </w:t>
      </w:r>
      <w:r w:rsidR="006E0AD0">
        <w:rPr>
          <w:b/>
          <w:bCs/>
          <w:i/>
          <w:iCs/>
          <w:lang w:eastAsia="x-none"/>
        </w:rPr>
        <w:t>are</w:t>
      </w:r>
      <w:r>
        <w:rPr>
          <w:b/>
          <w:bCs/>
          <w:i/>
          <w:iCs/>
          <w:lang w:eastAsia="x-none"/>
        </w:rPr>
        <w:t xml:space="preserve"> updated, the TCI states of the rest of the elements in the group are also updated accordingly.</w:t>
      </w:r>
    </w:p>
    <w:p w14:paraId="1FD28554" w14:textId="6259B3CB" w:rsidR="001E33AA" w:rsidRDefault="001E33AA" w:rsidP="001E33AA">
      <w:pPr>
        <w:pStyle w:val="Heading2"/>
      </w:pPr>
      <w:r>
        <w:t xml:space="preserve">Support Multiple Simultaneous Active TCI States </w:t>
      </w:r>
    </w:p>
    <w:p w14:paraId="6A51B849" w14:textId="10F2787E" w:rsidR="001E33AA" w:rsidRDefault="00EB249F" w:rsidP="001E33AA">
      <w:r>
        <w:t xml:space="preserve">In </w:t>
      </w:r>
      <w:r w:rsidR="00DF53C9">
        <w:t>Rel. 16</w:t>
      </w:r>
      <w:r>
        <w:t>,</w:t>
      </w:r>
      <w:r w:rsidR="00DF53C9">
        <w:t xml:space="preserve"> support </w:t>
      </w:r>
      <w:r>
        <w:t xml:space="preserve">of </w:t>
      </w:r>
      <w:r w:rsidR="00DF53C9">
        <w:t xml:space="preserve">two active TCI states for </w:t>
      </w:r>
      <w:proofErr w:type="spellStart"/>
      <w:r w:rsidR="00DF53C9">
        <w:t>mTRP</w:t>
      </w:r>
      <w:proofErr w:type="spellEnd"/>
      <w:r>
        <w:t xml:space="preserve"> has been defined</w:t>
      </w:r>
      <w:r w:rsidR="00DF53C9">
        <w:t>, including both single DCI and multi-DCI cases.</w:t>
      </w:r>
      <w:r w:rsidR="00B50989">
        <w:t xml:space="preserve">  In single DCI case, MAC</w:t>
      </w:r>
      <w:r w:rsidR="000E215F">
        <w:t xml:space="preserve"> CE </w:t>
      </w:r>
      <w:r w:rsidR="00952330">
        <w:fldChar w:fldCharType="begin"/>
      </w:r>
      <w:r w:rsidR="00952330">
        <w:instrText xml:space="preserve"> REF _Ref52465738 \r \h </w:instrText>
      </w:r>
      <w:r w:rsidR="00952330">
        <w:fldChar w:fldCharType="separate"/>
      </w:r>
      <w:r w:rsidR="003A6DA0">
        <w:t>[3]</w:t>
      </w:r>
      <w:r w:rsidR="00952330">
        <w:fldChar w:fldCharType="end"/>
      </w:r>
      <w:r w:rsidR="00952330">
        <w:t xml:space="preserve"> </w:t>
      </w:r>
      <w:r w:rsidR="000E215F">
        <w:t xml:space="preserve">was enhanced to enable </w:t>
      </w:r>
      <w:r w:rsidR="008528EA">
        <w:t xml:space="preserve">the </w:t>
      </w:r>
      <w:r w:rsidR="000E215F">
        <w:t xml:space="preserve">mapping </w:t>
      </w:r>
      <w:r w:rsidR="008528EA">
        <w:t xml:space="preserve">of </w:t>
      </w:r>
      <w:r w:rsidR="000E215F">
        <w:t>two TCI states to one TCI codepoint</w:t>
      </w:r>
      <w:r w:rsidR="00952330">
        <w:t xml:space="preserve"> such that one TCI codepoint in DCI TCI field can indicate two different TCI states, one for each TRP</w:t>
      </w:r>
      <w:r w:rsidR="000E215F">
        <w:t>.</w:t>
      </w:r>
      <w:r w:rsidR="00952330">
        <w:t xml:space="preserve">  In multi-DCI case, </w:t>
      </w:r>
      <w:r w:rsidR="00204A86">
        <w:t xml:space="preserve">the </w:t>
      </w:r>
      <w:proofErr w:type="spellStart"/>
      <w:r w:rsidR="00204A86" w:rsidRPr="00C873A8">
        <w:rPr>
          <w:i/>
          <w:iCs/>
        </w:rPr>
        <w:t>coresetPoolIndex</w:t>
      </w:r>
      <w:proofErr w:type="spellEnd"/>
      <w:r w:rsidR="00204A86">
        <w:t xml:space="preserve"> </w:t>
      </w:r>
      <w:r w:rsidR="00C873A8">
        <w:fldChar w:fldCharType="begin"/>
      </w:r>
      <w:r w:rsidR="00C873A8">
        <w:instrText xml:space="preserve"> REF _Ref52466084 \r \h </w:instrText>
      </w:r>
      <w:r w:rsidR="00C873A8">
        <w:fldChar w:fldCharType="separate"/>
      </w:r>
      <w:r w:rsidR="003A6DA0">
        <w:t>[4]</w:t>
      </w:r>
      <w:r w:rsidR="00C873A8">
        <w:fldChar w:fldCharType="end"/>
      </w:r>
      <w:r w:rsidR="00C873A8">
        <w:t xml:space="preserve"> </w:t>
      </w:r>
      <w:r w:rsidR="00204A86">
        <w:t xml:space="preserve">in </w:t>
      </w:r>
      <w:proofErr w:type="spellStart"/>
      <w:r w:rsidR="00204A86" w:rsidRPr="00C873A8">
        <w:rPr>
          <w:i/>
          <w:iCs/>
        </w:rPr>
        <w:t>ControlResourceSet</w:t>
      </w:r>
      <w:proofErr w:type="spellEnd"/>
      <w:r w:rsidR="00204A86" w:rsidRPr="00204A86">
        <w:t xml:space="preserve"> information element</w:t>
      </w:r>
      <w:r w:rsidR="00C873A8">
        <w:t xml:space="preserve"> can be used to differentiate TCI states for different TRP. </w:t>
      </w:r>
    </w:p>
    <w:p w14:paraId="0BE95237" w14:textId="5EB6BDD0" w:rsidR="006E4CE9" w:rsidRDefault="006E4CE9" w:rsidP="001E33AA">
      <w:r>
        <w:t xml:space="preserve">In Rel. 17, </w:t>
      </w:r>
      <w:proofErr w:type="spellStart"/>
      <w:r>
        <w:t>FeMIMO</w:t>
      </w:r>
      <w:proofErr w:type="spellEnd"/>
      <w:r>
        <w:t xml:space="preserve"> also target</w:t>
      </w:r>
      <w:r w:rsidR="0080716E">
        <w:t>s</w:t>
      </w:r>
      <w:r>
        <w:t xml:space="preserve"> at further enhancement </w:t>
      </w:r>
      <w:r w:rsidRPr="0051690F">
        <w:t xml:space="preserve">on the support for </w:t>
      </w:r>
      <w:proofErr w:type="spellStart"/>
      <w:r>
        <w:t>m</w:t>
      </w:r>
      <w:r w:rsidRPr="0051690F">
        <w:t>TRP</w:t>
      </w:r>
      <w:proofErr w:type="spellEnd"/>
      <w:r w:rsidRPr="0051690F">
        <w:t xml:space="preserve"> deployment</w:t>
      </w:r>
      <w:r>
        <w:t xml:space="preserve">, therefore </w:t>
      </w:r>
      <w:proofErr w:type="spellStart"/>
      <w:r>
        <w:t>FeMIMO</w:t>
      </w:r>
      <w:proofErr w:type="spellEnd"/>
      <w:r>
        <w:t xml:space="preserve"> should also support multiple simultaneous active TCI states.</w:t>
      </w:r>
    </w:p>
    <w:p w14:paraId="4B0D548F" w14:textId="49E7D42F" w:rsidR="00EA6F5C" w:rsidRDefault="00EA6F5C" w:rsidP="001E33AA">
      <w:r>
        <w:t xml:space="preserve">In addition to </w:t>
      </w:r>
      <w:proofErr w:type="spellStart"/>
      <w:r>
        <w:t>mTRP</w:t>
      </w:r>
      <w:proofErr w:type="spellEnd"/>
      <w:r>
        <w:t xml:space="preserve"> case, support of multiple simultaneous active TCI states</w:t>
      </w:r>
      <w:r w:rsidR="009B2988">
        <w:t xml:space="preserve"> can also enable CORESET beam diversity.  In this case, in order to improve the reliability of the PDCCH, the same DCI may be transmitted on multiple CORESETs, each of which utilizes a different beam.  The UE, with the support of multiple simultaneous active TCI states, can then receive multiple copies of the DCI using different RX spatial filters, thus improving the reliability of the PDCCH.</w:t>
      </w:r>
      <w:r w:rsidR="00F27C1B">
        <w:t xml:space="preserve">  </w:t>
      </w:r>
    </w:p>
    <w:p w14:paraId="69397AEE" w14:textId="6BBC7EEA" w:rsidR="00D02E45" w:rsidRDefault="00D02E45" w:rsidP="001E33AA">
      <w:r>
        <w:t>Based on the above analysis, we have the following proposal:</w:t>
      </w:r>
    </w:p>
    <w:p w14:paraId="395DBAAA" w14:textId="62B14028" w:rsidR="00D02E45" w:rsidRDefault="00D02E45" w:rsidP="001E33AA">
      <w:r>
        <w:rPr>
          <w:b/>
          <w:bCs/>
          <w:i/>
          <w:iCs/>
          <w:lang w:eastAsia="x-none"/>
        </w:rPr>
        <w:t xml:space="preserve">Proposal 5: </w:t>
      </w:r>
      <w:proofErr w:type="spellStart"/>
      <w:r>
        <w:rPr>
          <w:b/>
          <w:bCs/>
          <w:i/>
          <w:iCs/>
          <w:lang w:eastAsia="x-none"/>
        </w:rPr>
        <w:t>FeMIMO</w:t>
      </w:r>
      <w:proofErr w:type="spellEnd"/>
      <w:r>
        <w:rPr>
          <w:b/>
          <w:bCs/>
          <w:i/>
          <w:iCs/>
          <w:lang w:eastAsia="x-none"/>
        </w:rPr>
        <w:t xml:space="preserve"> supports multiple simultaneous active TCI states</w:t>
      </w:r>
      <w:r w:rsidR="00973D20">
        <w:rPr>
          <w:b/>
          <w:bCs/>
          <w:i/>
          <w:iCs/>
          <w:lang w:eastAsia="x-none"/>
        </w:rPr>
        <w:t xml:space="preserve"> at a UE</w:t>
      </w:r>
      <w:r>
        <w:rPr>
          <w:b/>
          <w:bCs/>
          <w:i/>
          <w:iCs/>
          <w:lang w:eastAsia="x-none"/>
        </w:rPr>
        <w:t>.</w:t>
      </w:r>
    </w:p>
    <w:p w14:paraId="5C17C161" w14:textId="4EA65A2F" w:rsidR="001E33AA" w:rsidRDefault="001E33AA" w:rsidP="001E33AA">
      <w:pPr>
        <w:pStyle w:val="Heading2"/>
      </w:pPr>
      <w:r>
        <w:t xml:space="preserve">Enhancements on Content of TCI States </w:t>
      </w:r>
    </w:p>
    <w:p w14:paraId="444E5130" w14:textId="5A0789FB" w:rsidR="006D0C94" w:rsidRDefault="00F906E4" w:rsidP="000E612F">
      <w:r>
        <w:t xml:space="preserve">In Rel. 16, the content of TCI states is defined in </w:t>
      </w:r>
      <w:r w:rsidR="00B05B76" w:rsidRPr="00B05B76">
        <w:rPr>
          <w:i/>
          <w:iCs/>
        </w:rPr>
        <w:t>TCI-State</w:t>
      </w:r>
      <w:r w:rsidR="00B05B76" w:rsidRPr="00B05B76">
        <w:t xml:space="preserve"> information element</w:t>
      </w:r>
      <w:r w:rsidR="00B05B76">
        <w:t xml:space="preserve"> </w:t>
      </w:r>
      <w:r w:rsidR="003125EB">
        <w:fldChar w:fldCharType="begin"/>
      </w:r>
      <w:r w:rsidR="003125EB">
        <w:instrText xml:space="preserve"> REF _Ref52466084 \r \h </w:instrText>
      </w:r>
      <w:r w:rsidR="003125EB">
        <w:fldChar w:fldCharType="separate"/>
      </w:r>
      <w:r w:rsidR="003A6DA0">
        <w:t>[4]</w:t>
      </w:r>
      <w:r w:rsidR="003125EB">
        <w:fldChar w:fldCharType="end"/>
      </w:r>
      <w:r w:rsidR="00B05B76">
        <w:t>.</w:t>
      </w:r>
      <w:r w:rsidR="003125EB">
        <w:t xml:space="preserve">  To support enhancement on multi-beam management in Rel. 17, the content of TCI states should also be enhanced.</w:t>
      </w:r>
      <w:r w:rsidR="00CC1C14">
        <w:t xml:space="preserve">  </w:t>
      </w:r>
      <w:r w:rsidR="006B1F8E">
        <w:lastRenderedPageBreak/>
        <w:fldChar w:fldCharType="begin"/>
      </w:r>
      <w:r w:rsidR="006B1F8E">
        <w:instrText xml:space="preserve"> REF _Ref52540126 \h </w:instrText>
      </w:r>
      <w:r w:rsidR="006B1F8E">
        <w:fldChar w:fldCharType="separate"/>
      </w:r>
      <w:r w:rsidR="003A6DA0" w:rsidRPr="00C66696">
        <w:t xml:space="preserve">Table </w:t>
      </w:r>
      <w:r w:rsidR="003A6DA0">
        <w:rPr>
          <w:noProof/>
        </w:rPr>
        <w:t>1</w:t>
      </w:r>
      <w:r w:rsidR="006B1F8E">
        <w:fldChar w:fldCharType="end"/>
      </w:r>
      <w:r w:rsidR="006B1F8E">
        <w:t xml:space="preserve"> shows an example of </w:t>
      </w:r>
      <w:bookmarkStart w:id="13" w:name="_Hlk52543376"/>
      <w:r w:rsidR="006B1F8E">
        <w:t>enhancements on content of TCI state</w:t>
      </w:r>
      <w:bookmarkEnd w:id="13"/>
      <w:r w:rsidR="006B1F8E">
        <w:t xml:space="preserve">.  In </w:t>
      </w:r>
      <w:r w:rsidR="006B1F8E">
        <w:fldChar w:fldCharType="begin"/>
      </w:r>
      <w:r w:rsidR="006B1F8E">
        <w:instrText xml:space="preserve"> REF _Ref52540126 \h </w:instrText>
      </w:r>
      <w:r w:rsidR="006B1F8E">
        <w:fldChar w:fldCharType="separate"/>
      </w:r>
      <w:r w:rsidR="003A6DA0" w:rsidRPr="00C66696">
        <w:t xml:space="preserve">Table </w:t>
      </w:r>
      <w:r w:rsidR="003A6DA0">
        <w:rPr>
          <w:noProof/>
        </w:rPr>
        <w:t>1</w:t>
      </w:r>
      <w:r w:rsidR="006B1F8E">
        <w:fldChar w:fldCharType="end"/>
      </w:r>
      <w:r w:rsidR="006B1F8E">
        <w:t>, the red parts are</w:t>
      </w:r>
      <w:r w:rsidR="006655E0">
        <w:t xml:space="preserve"> the</w:t>
      </w:r>
      <w:r w:rsidR="006B1F8E">
        <w:t xml:space="preserve"> proposed </w:t>
      </w:r>
      <w:r w:rsidR="006655E0">
        <w:t xml:space="preserve">additions/modifications </w:t>
      </w:r>
      <w:r w:rsidR="006B1F8E">
        <w:t xml:space="preserve">to the </w:t>
      </w:r>
      <w:r w:rsidR="006B1F8E" w:rsidRPr="006B1F8E">
        <w:rPr>
          <w:i/>
          <w:iCs/>
        </w:rPr>
        <w:t>TCI-state</w:t>
      </w:r>
      <w:r w:rsidR="006B1F8E">
        <w:t xml:space="preserve"> information element and include the following:</w:t>
      </w:r>
    </w:p>
    <w:p w14:paraId="42937D5C" w14:textId="57BF965F" w:rsidR="006B1F8E" w:rsidRPr="00FA46A3" w:rsidRDefault="006B1F8E" w:rsidP="006B1F8E">
      <w:pPr>
        <w:numPr>
          <w:ilvl w:val="0"/>
          <w:numId w:val="18"/>
        </w:numPr>
      </w:pPr>
      <w:proofErr w:type="spellStart"/>
      <w:r>
        <w:t>physCellId</w:t>
      </w:r>
      <w:proofErr w:type="spellEnd"/>
      <w:r w:rsidRPr="00FA46A3">
        <w:t xml:space="preserve">: </w:t>
      </w:r>
      <w:r>
        <w:t xml:space="preserve">this is the PCI of the serving cell or non-serving cell.  With the PCI info added to the TCI state, the TCI states of non-serving cell can also be configured for the UE, which could enable </w:t>
      </w:r>
      <w:r w:rsidR="00415B7E">
        <w:t xml:space="preserve">the UE with faster candidate beam identification and BFR utilizing the non-serving cell’s beams.  </w:t>
      </w:r>
    </w:p>
    <w:p w14:paraId="3CD5960C" w14:textId="5122955D" w:rsidR="00415B7E" w:rsidRDefault="00415B7E" w:rsidP="006B1F8E">
      <w:pPr>
        <w:numPr>
          <w:ilvl w:val="0"/>
          <w:numId w:val="18"/>
        </w:numPr>
      </w:pPr>
      <w:proofErr w:type="spellStart"/>
      <w:r>
        <w:t>groupID</w:t>
      </w:r>
      <w:proofErr w:type="spellEnd"/>
      <w:r>
        <w:t xml:space="preserve">: </w:t>
      </w:r>
      <w:r w:rsidR="006655E0">
        <w:t xml:space="preserve">in </w:t>
      </w:r>
      <w:proofErr w:type="spellStart"/>
      <w:r w:rsidR="006655E0">
        <w:t>mTRP</w:t>
      </w:r>
      <w:proofErr w:type="spellEnd"/>
      <w:r w:rsidR="006655E0">
        <w:t xml:space="preserve"> case, </w:t>
      </w:r>
      <w:r>
        <w:t xml:space="preserve">this </w:t>
      </w:r>
      <w:r w:rsidR="006655E0">
        <w:t xml:space="preserve">ID </w:t>
      </w:r>
      <w:r>
        <w:t xml:space="preserve">could serve as the TRP identification.  With this ID, the UE can, for example, identify the TRP source of the CSI-RS.  </w:t>
      </w:r>
      <w:r w:rsidR="0038325E">
        <w:t xml:space="preserve">The UE can then avoid reporting multiple beams from the same TRP </w:t>
      </w:r>
      <w:r w:rsidR="00576B5C">
        <w:t>to facilitate inter-</w:t>
      </w:r>
      <w:r w:rsidR="009D2641">
        <w:t xml:space="preserve">TRP </w:t>
      </w:r>
      <w:r w:rsidR="00576B5C">
        <w:t>beam pairing</w:t>
      </w:r>
      <w:r w:rsidR="00101DF7">
        <w:t>,</w:t>
      </w:r>
      <w:r w:rsidR="009D2641">
        <w:t xml:space="preserve"> </w:t>
      </w:r>
      <w:proofErr w:type="gramStart"/>
      <w:r w:rsidR="0085399E">
        <w:t>considering the fact that</w:t>
      </w:r>
      <w:proofErr w:type="gramEnd"/>
      <w:r w:rsidR="009D2641">
        <w:t xml:space="preserve"> it is not feasible for one TRP to transmit multiple beams simultaneously in FR2</w:t>
      </w:r>
      <w:r w:rsidR="00576B5C">
        <w:t xml:space="preserve">.  </w:t>
      </w:r>
    </w:p>
    <w:p w14:paraId="2F3D0957" w14:textId="0D6A4525" w:rsidR="006B1F8E" w:rsidRDefault="005F0546" w:rsidP="006B1F8E">
      <w:pPr>
        <w:numPr>
          <w:ilvl w:val="0"/>
          <w:numId w:val="18"/>
        </w:numPr>
      </w:pPr>
      <w:proofErr w:type="spellStart"/>
      <w:r>
        <w:t>srs</w:t>
      </w:r>
      <w:proofErr w:type="spellEnd"/>
      <w:r w:rsidR="006B1F8E" w:rsidRPr="00FA46A3">
        <w:t xml:space="preserve">: </w:t>
      </w:r>
      <w:r>
        <w:t xml:space="preserve">this is the SRS resource identification.  </w:t>
      </w:r>
      <w:r w:rsidR="00A96C01">
        <w:t xml:space="preserve">In Rel. 15/16, under the spatial relation framework, SRS has already been used as a source RS to indicate UL TX spatial filter.  </w:t>
      </w:r>
      <w:r>
        <w:t xml:space="preserve">With the introduction of UL </w:t>
      </w:r>
      <w:r w:rsidR="00A05803">
        <w:t xml:space="preserve">TCI state, it is necessary to </w:t>
      </w:r>
      <w:r w:rsidR="00A96C01">
        <w:t xml:space="preserve">also </w:t>
      </w:r>
      <w:r w:rsidR="00A05803">
        <w:t xml:space="preserve">include </w:t>
      </w:r>
      <w:r w:rsidR="00A96C01">
        <w:t xml:space="preserve">SRS as one of the source RS for UL TCI state.  </w:t>
      </w:r>
    </w:p>
    <w:p w14:paraId="04FE468C" w14:textId="5C98962B" w:rsidR="006D0C94" w:rsidRDefault="00A96C01" w:rsidP="006D0C94">
      <w:pPr>
        <w:numPr>
          <w:ilvl w:val="0"/>
          <w:numId w:val="18"/>
        </w:numPr>
      </w:pPr>
      <w:r>
        <w:t xml:space="preserve">Other parameters: </w:t>
      </w:r>
      <w:r w:rsidR="00BE1C60">
        <w:t xml:space="preserve">although not explicitly included in </w:t>
      </w:r>
      <w:r w:rsidR="00BE1C60">
        <w:fldChar w:fldCharType="begin"/>
      </w:r>
      <w:r w:rsidR="00BE1C60">
        <w:instrText xml:space="preserve"> REF _Ref52540126 \h </w:instrText>
      </w:r>
      <w:r w:rsidR="00BE1C60">
        <w:fldChar w:fldCharType="separate"/>
      </w:r>
      <w:r w:rsidR="003A6DA0" w:rsidRPr="00C66696">
        <w:t xml:space="preserve">Table </w:t>
      </w:r>
      <w:r w:rsidR="003A6DA0">
        <w:rPr>
          <w:noProof/>
        </w:rPr>
        <w:t>1</w:t>
      </w:r>
      <w:r w:rsidR="00BE1C60">
        <w:fldChar w:fldCharType="end"/>
      </w:r>
      <w:r w:rsidR="00BE1C60">
        <w:t xml:space="preserve">, </w:t>
      </w:r>
      <w:r>
        <w:t xml:space="preserve">as discussed in </w:t>
      </w:r>
      <w:r w:rsidR="00B55644">
        <w:t xml:space="preserve">Section </w:t>
      </w:r>
      <w:r w:rsidR="00F612CC">
        <w:fldChar w:fldCharType="begin"/>
      </w:r>
      <w:r w:rsidR="00F612CC">
        <w:instrText xml:space="preserve"> REF _Ref52454871 \r \h </w:instrText>
      </w:r>
      <w:r w:rsidR="00F612CC">
        <w:fldChar w:fldCharType="separate"/>
      </w:r>
      <w:r w:rsidR="003A6DA0">
        <w:t>2.1</w:t>
      </w:r>
      <w:r w:rsidR="00F612CC">
        <w:fldChar w:fldCharType="end"/>
      </w:r>
      <w:r w:rsidR="00F612CC">
        <w:t>,</w:t>
      </w:r>
      <w:r w:rsidR="00B55644">
        <w:t xml:space="preserve"> it might be necessary to include UL-related parameters (e.g., power control related parameters such as PL RS and P0/alpha, and UL-timing related parameters) in UL TCI states.</w:t>
      </w:r>
    </w:p>
    <w:p w14:paraId="7AEF7748" w14:textId="09252DBF" w:rsidR="00C66696" w:rsidRPr="00C66696" w:rsidRDefault="00C66696" w:rsidP="00C66696">
      <w:pPr>
        <w:pStyle w:val="Caption"/>
        <w:rPr>
          <w:sz w:val="22"/>
          <w:szCs w:val="22"/>
          <w:lang w:eastAsia="zh-CN"/>
        </w:rPr>
      </w:pPr>
      <w:bookmarkStart w:id="14"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3A6DA0">
        <w:rPr>
          <w:noProof/>
          <w:sz w:val="22"/>
          <w:szCs w:val="22"/>
        </w:rPr>
        <w:t>1</w:t>
      </w:r>
      <w:r w:rsidRPr="00C66696">
        <w:rPr>
          <w:sz w:val="22"/>
          <w:szCs w:val="22"/>
        </w:rPr>
        <w:fldChar w:fldCharType="end"/>
      </w:r>
      <w:bookmarkEnd w:id="14"/>
      <w:r w:rsidRPr="00C66696">
        <w:rPr>
          <w:sz w:val="22"/>
          <w:szCs w:val="22"/>
        </w:rPr>
        <w:t xml:space="preserve">: </w:t>
      </w:r>
      <w:r w:rsidR="00CC1C14">
        <w:rPr>
          <w:sz w:val="22"/>
          <w:szCs w:val="22"/>
        </w:rPr>
        <w:t>Example of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6D0C94" w14:paraId="4188BD4C" w14:textId="77777777" w:rsidTr="00D61733">
        <w:trPr>
          <w:trHeight w:val="2258"/>
        </w:trPr>
        <w:tc>
          <w:tcPr>
            <w:tcW w:w="9307" w:type="dxa"/>
          </w:tcPr>
          <w:p w14:paraId="5D9D675E" w14:textId="77777777" w:rsidR="006D0C94" w:rsidRPr="006D0C94" w:rsidRDefault="006D0C94" w:rsidP="006D0C94">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t>TCI-State</w:t>
            </w:r>
            <w:r w:rsidRPr="006D0C94">
              <w:rPr>
                <w:rFonts w:ascii="Arial" w:eastAsia="Times New Roman" w:hAnsi="Arial"/>
                <w:b/>
                <w:sz w:val="20"/>
                <w:szCs w:val="20"/>
                <w:lang w:val="en-GB" w:eastAsia="ja-JP"/>
              </w:rPr>
              <w:t xml:space="preserve"> information element</w:t>
            </w:r>
          </w:p>
          <w:p w14:paraId="7A936FD0"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053589A2"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71EDC41F"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4989C2E9"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450742FB"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42A164F6"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44AAF9AC"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6E39202F"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2094B013"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03338C44"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6B98CB7E"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FC382DB" w14:textId="7F7686BE" w:rsid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011C1493" w14:textId="155C3663" w:rsidR="00AC0E34" w:rsidRPr="006D0C94" w:rsidRDefault="00AC0E3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2CD5A143" w14:textId="52EE3396" w:rsidR="001965CE" w:rsidRPr="001965CE" w:rsidRDefault="001965CE"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6A7FF37B" w14:textId="3B18432B"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49ACB36A"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016BBB69"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1D014CB7" w14:textId="31A13EB8" w:rsid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sidR="00AC0E34">
              <w:rPr>
                <w:rFonts w:ascii="Courier New" w:eastAsia="Times New Roman" w:hAnsi="Courier New"/>
                <w:noProof/>
                <w:color w:val="FF0000"/>
                <w:sz w:val="10"/>
                <w:szCs w:val="14"/>
                <w:lang w:val="en-GB" w:eastAsia="en-GB"/>
              </w:rPr>
              <w:t>,</w:t>
            </w:r>
          </w:p>
          <w:p w14:paraId="11EFE38D" w14:textId="6D89BB9F" w:rsidR="00AC0E34" w:rsidRPr="006D0C94" w:rsidRDefault="00AC0E3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w:t>
            </w:r>
            <w:r w:rsidR="00D61733">
              <w:rPr>
                <w:rFonts w:ascii="Courier New" w:eastAsia="Times New Roman" w:hAnsi="Courier New"/>
                <w:noProof/>
                <w:color w:val="FF0000"/>
                <w:sz w:val="10"/>
                <w:szCs w:val="14"/>
                <w:lang w:val="en-GB" w:eastAsia="en-GB"/>
              </w:rPr>
              <w:t>S</w:t>
            </w:r>
            <w:r w:rsidR="00D61733" w:rsidRPr="006D0C94">
              <w:rPr>
                <w:rFonts w:ascii="Courier New" w:eastAsia="Times New Roman" w:hAnsi="Courier New"/>
                <w:noProof/>
                <w:color w:val="FF0000"/>
                <w:sz w:val="10"/>
                <w:szCs w:val="14"/>
                <w:lang w:val="en-GB" w:eastAsia="en-GB"/>
              </w:rPr>
              <w:t>RS-ResourceId</w:t>
            </w:r>
          </w:p>
          <w:p w14:paraId="55E8CA58"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5EA76A58"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57A7A85B"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55F28499"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53D5BDBE"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49DD0BE6"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401E4348" w14:textId="77777777" w:rsidR="006D0C94" w:rsidRPr="006D0C94" w:rsidRDefault="006D0C94" w:rsidP="006D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40D8357C" w14:textId="3B3B5882" w:rsidR="006D0C94" w:rsidRPr="000D1122" w:rsidRDefault="006D0C94" w:rsidP="006D0C94">
            <w:pPr>
              <w:overflowPunct w:val="0"/>
              <w:autoSpaceDE/>
              <w:autoSpaceDN/>
              <w:adjustRightInd/>
              <w:snapToGrid/>
              <w:spacing w:after="0"/>
              <w:jc w:val="left"/>
              <w:textAlignment w:val="baseline"/>
              <w:rPr>
                <w:rFonts w:eastAsia="Malgun Gothic"/>
                <w:sz w:val="20"/>
                <w:szCs w:val="20"/>
                <w:lang w:val="en-GB"/>
              </w:rPr>
            </w:pPr>
          </w:p>
        </w:tc>
      </w:tr>
    </w:tbl>
    <w:p w14:paraId="621CFE36" w14:textId="77777777" w:rsidR="006D0C94" w:rsidRDefault="006D0C94" w:rsidP="000E612F"/>
    <w:p w14:paraId="1FD30FCC" w14:textId="0E9F13AF" w:rsidR="007B1C91" w:rsidRPr="001E33AA" w:rsidRDefault="00EC1092" w:rsidP="000E612F">
      <w:r>
        <w:t xml:space="preserve">Based on the above analysis, we propose the following: </w:t>
      </w:r>
    </w:p>
    <w:p w14:paraId="4D22D82A" w14:textId="4296C14B" w:rsidR="00D909E8" w:rsidRDefault="00D909E8" w:rsidP="00D909E8">
      <w:pPr>
        <w:rPr>
          <w:b/>
          <w:bCs/>
          <w:i/>
          <w:iCs/>
          <w:lang w:eastAsia="x-none"/>
        </w:rPr>
      </w:pPr>
      <w:r>
        <w:rPr>
          <w:b/>
          <w:bCs/>
          <w:i/>
          <w:iCs/>
          <w:lang w:eastAsia="x-none"/>
        </w:rPr>
        <w:t xml:space="preserve">Proposal </w:t>
      </w:r>
      <w:r w:rsidR="00EC1092">
        <w:rPr>
          <w:b/>
          <w:bCs/>
          <w:i/>
          <w:iCs/>
          <w:lang w:eastAsia="x-none"/>
        </w:rPr>
        <w:t>6</w:t>
      </w:r>
      <w:r>
        <w:rPr>
          <w:b/>
          <w:bCs/>
          <w:i/>
          <w:iCs/>
          <w:lang w:eastAsia="x-none"/>
        </w:rPr>
        <w:t>:</w:t>
      </w:r>
      <w:r w:rsidR="00EC1092">
        <w:rPr>
          <w:b/>
          <w:bCs/>
          <w:i/>
          <w:iCs/>
          <w:lang w:eastAsia="x-none"/>
        </w:rPr>
        <w:t xml:space="preserve"> </w:t>
      </w:r>
      <w:proofErr w:type="spellStart"/>
      <w:r w:rsidR="00EC1092">
        <w:rPr>
          <w:b/>
          <w:bCs/>
          <w:i/>
          <w:iCs/>
          <w:lang w:eastAsia="x-none"/>
        </w:rPr>
        <w:t>FeMIMO</w:t>
      </w:r>
      <w:proofErr w:type="spellEnd"/>
      <w:r w:rsidR="00EC1092">
        <w:rPr>
          <w:b/>
          <w:bCs/>
          <w:i/>
          <w:iCs/>
          <w:lang w:eastAsia="x-none"/>
        </w:rPr>
        <w:t xml:space="preserve"> supports </w:t>
      </w:r>
      <w:r w:rsidR="00EC1092" w:rsidRPr="00EC1092">
        <w:rPr>
          <w:b/>
          <w:bCs/>
          <w:i/>
          <w:iCs/>
          <w:lang w:eastAsia="x-none"/>
        </w:rPr>
        <w:t>enhancements on content of TCI state</w:t>
      </w:r>
      <w:r w:rsidR="00EC1092">
        <w:rPr>
          <w:b/>
          <w:bCs/>
          <w:i/>
          <w:iCs/>
          <w:lang w:eastAsia="x-none"/>
        </w:rPr>
        <w:t xml:space="preserve">, including the addition of PCI, </w:t>
      </w:r>
      <w:proofErr w:type="spellStart"/>
      <w:r w:rsidR="00EC1092">
        <w:rPr>
          <w:b/>
          <w:bCs/>
          <w:i/>
          <w:iCs/>
          <w:lang w:eastAsia="x-none"/>
        </w:rPr>
        <w:t>groupID</w:t>
      </w:r>
      <w:proofErr w:type="spellEnd"/>
      <w:r w:rsidR="00EC1092">
        <w:rPr>
          <w:b/>
          <w:bCs/>
          <w:i/>
          <w:iCs/>
          <w:lang w:eastAsia="x-none"/>
        </w:rPr>
        <w:t xml:space="preserve">, </w:t>
      </w:r>
      <w:proofErr w:type="spellStart"/>
      <w:r w:rsidR="00EC1092">
        <w:rPr>
          <w:b/>
          <w:bCs/>
          <w:i/>
          <w:iCs/>
          <w:lang w:eastAsia="x-none"/>
        </w:rPr>
        <w:t>srs</w:t>
      </w:r>
      <w:proofErr w:type="spellEnd"/>
      <w:r w:rsidR="00EC1092">
        <w:rPr>
          <w:b/>
          <w:bCs/>
          <w:i/>
          <w:iCs/>
          <w:lang w:eastAsia="x-none"/>
        </w:rPr>
        <w:t>, and other UL-related parameters to the content of TCI state.</w:t>
      </w:r>
    </w:p>
    <w:p w14:paraId="6DFF47B2" w14:textId="218620B2" w:rsidR="00D909E8" w:rsidRPr="00DD39E0" w:rsidRDefault="00D909E8" w:rsidP="000E612F"/>
    <w:p w14:paraId="7938C440" w14:textId="0EE3B56D" w:rsidR="00BD6077" w:rsidRDefault="00FE4C2E" w:rsidP="0064769F">
      <w:pPr>
        <w:pStyle w:val="Heading1"/>
      </w:pPr>
      <w:r>
        <w:t>D</w:t>
      </w:r>
      <w:r w:rsidRPr="00FE4C2E">
        <w:t xml:space="preserve">ynamic TCI </w:t>
      </w:r>
      <w:r>
        <w:t>S</w:t>
      </w:r>
      <w:r w:rsidRPr="00FE4C2E">
        <w:t xml:space="preserve">tate </w:t>
      </w:r>
      <w:r>
        <w:t>U</w:t>
      </w:r>
      <w:r w:rsidRPr="00FE4C2E">
        <w:t xml:space="preserve">pdate </w:t>
      </w:r>
      <w:r>
        <w:t>S</w:t>
      </w:r>
      <w:r w:rsidRPr="00FE4C2E">
        <w:t xml:space="preserve">ignaling </w:t>
      </w:r>
      <w:r>
        <w:t>M</w:t>
      </w:r>
      <w:r w:rsidRPr="00FE4C2E">
        <w:t>edium</w:t>
      </w:r>
    </w:p>
    <w:p w14:paraId="3830142B" w14:textId="25E0D32C" w:rsidR="00C43FC3" w:rsidRDefault="002423AD" w:rsidP="00C43FC3">
      <w:r>
        <w:t xml:space="preserve">In this section, we discuss the aspects of “Issue 3” in the agreements from last meeting </w:t>
      </w:r>
      <w:r>
        <w:rPr>
          <w:lang w:eastAsia="zh-CN"/>
        </w:rPr>
        <w:fldChar w:fldCharType="begin"/>
      </w:r>
      <w:r>
        <w:rPr>
          <w:lang w:eastAsia="zh-CN"/>
        </w:rPr>
        <w:instrText xml:space="preserve"> REF _Ref17737264 \r \h </w:instrText>
      </w:r>
      <w:r>
        <w:rPr>
          <w:lang w:eastAsia="zh-CN"/>
        </w:rPr>
      </w:r>
      <w:r>
        <w:rPr>
          <w:lang w:eastAsia="zh-CN"/>
        </w:rPr>
        <w:fldChar w:fldCharType="separate"/>
      </w:r>
      <w:r w:rsidR="003A6DA0">
        <w:rPr>
          <w:lang w:eastAsia="zh-CN"/>
        </w:rPr>
        <w:t>[2]</w:t>
      </w:r>
      <w:r>
        <w:rPr>
          <w:lang w:eastAsia="zh-CN"/>
        </w:rPr>
        <w:fldChar w:fldCharType="end"/>
      </w:r>
      <w:r>
        <w:rPr>
          <w:lang w:eastAsia="zh-CN"/>
        </w:rPr>
        <w:t xml:space="preserve">.  </w:t>
      </w:r>
      <w:r w:rsidR="004322E6">
        <w:t xml:space="preserve">According to the agreements achieved in </w:t>
      </w:r>
      <w:r w:rsidR="004322E6">
        <w:rPr>
          <w:lang w:eastAsia="zh-CN"/>
        </w:rPr>
        <w:t>RAN1#102-e meeting, the following t</w:t>
      </w:r>
      <w:r w:rsidR="001E4928">
        <w:rPr>
          <w:lang w:eastAsia="zh-CN"/>
        </w:rPr>
        <w:t>wo</w:t>
      </w:r>
      <w:r w:rsidR="004322E6">
        <w:rPr>
          <w:lang w:eastAsia="zh-CN"/>
        </w:rPr>
        <w:t xml:space="preserve"> alternatives </w:t>
      </w:r>
      <w:r w:rsidR="004322E6">
        <w:t xml:space="preserve">are to be considered for </w:t>
      </w:r>
      <w:bookmarkStart w:id="15" w:name="_Hlk52553342"/>
      <w:r w:rsidR="004322E6">
        <w:t>dynamic TCI state update signaling</w:t>
      </w:r>
      <w:bookmarkEnd w:id="15"/>
      <w:r w:rsidR="004322E6">
        <w:t xml:space="preserve"> medium</w:t>
      </w:r>
      <w:r w:rsidR="00C43FC3">
        <w:t>:</w:t>
      </w:r>
    </w:p>
    <w:p w14:paraId="278285A5" w14:textId="0F8995FB" w:rsidR="00C43FC3" w:rsidRPr="00FA46A3" w:rsidRDefault="00C43FC3" w:rsidP="00C43FC3">
      <w:pPr>
        <w:numPr>
          <w:ilvl w:val="0"/>
          <w:numId w:val="18"/>
        </w:numPr>
      </w:pPr>
      <w:r w:rsidRPr="00FA46A3">
        <w:t>Alt.</w:t>
      </w:r>
      <w:r>
        <w:t xml:space="preserve"> </w:t>
      </w:r>
      <w:r w:rsidRPr="00FA46A3">
        <w:t xml:space="preserve">1: </w:t>
      </w:r>
      <w:r w:rsidR="004322E6">
        <w:t>DCI</w:t>
      </w:r>
      <w:r w:rsidRPr="00FA46A3">
        <w:t xml:space="preserve"> </w:t>
      </w:r>
    </w:p>
    <w:p w14:paraId="554DE47B" w14:textId="73219431" w:rsidR="00C43FC3" w:rsidRDefault="00C43FC3" w:rsidP="00C43FC3">
      <w:pPr>
        <w:numPr>
          <w:ilvl w:val="0"/>
          <w:numId w:val="18"/>
        </w:numPr>
      </w:pPr>
      <w:r w:rsidRPr="00FA46A3">
        <w:t>Alt.</w:t>
      </w:r>
      <w:r>
        <w:t xml:space="preserve"> </w:t>
      </w:r>
      <w:r w:rsidRPr="00FA46A3">
        <w:t xml:space="preserve">2: </w:t>
      </w:r>
      <w:r w:rsidR="004322E6">
        <w:t>MAC CE</w:t>
      </w:r>
    </w:p>
    <w:p w14:paraId="036645B4" w14:textId="51C9D5A0" w:rsidR="00D5573D" w:rsidRDefault="00D5573D" w:rsidP="000E612F">
      <w:r>
        <w:t xml:space="preserve">The potential advantage of DCI-based method is lower latency and less overhead, while the advantage of MAC CE-based method is higher reliability due to the use of H-ARQ.  If H-ARQ is enabled for PDCCH, then DCI-based method </w:t>
      </w:r>
      <w:r w:rsidR="002C580E">
        <w:t xml:space="preserve">can also achieve </w:t>
      </w:r>
      <w:r>
        <w:t>reliability</w:t>
      </w:r>
      <w:r w:rsidR="002C580E">
        <w:t xml:space="preserve"> </w:t>
      </w:r>
      <w:proofErr w:type="gramStart"/>
      <w:r w:rsidR="002C580E">
        <w:t>similar to</w:t>
      </w:r>
      <w:proofErr w:type="gramEnd"/>
      <w:r w:rsidR="002C580E">
        <w:t xml:space="preserve"> that of MAC-CE based method</w:t>
      </w:r>
      <w:r>
        <w:t>.</w:t>
      </w:r>
    </w:p>
    <w:p w14:paraId="63A02DD6" w14:textId="29BD1F42" w:rsidR="008B018F" w:rsidRDefault="008B018F" w:rsidP="000E612F">
      <w:r>
        <w:t>Based on the above analysis, we propose the following:</w:t>
      </w:r>
    </w:p>
    <w:p w14:paraId="70C88B39" w14:textId="3B9EEFFF" w:rsidR="008B018F" w:rsidRDefault="008B018F" w:rsidP="000E612F">
      <w:r>
        <w:rPr>
          <w:b/>
          <w:bCs/>
          <w:i/>
          <w:iCs/>
          <w:lang w:eastAsia="x-none"/>
        </w:rPr>
        <w:lastRenderedPageBreak/>
        <w:t xml:space="preserve">Proposal 7: </w:t>
      </w:r>
      <w:proofErr w:type="spellStart"/>
      <w:r>
        <w:rPr>
          <w:b/>
          <w:bCs/>
          <w:i/>
          <w:iCs/>
          <w:lang w:eastAsia="x-none"/>
        </w:rPr>
        <w:t>FeMIMO</w:t>
      </w:r>
      <w:proofErr w:type="spellEnd"/>
      <w:r>
        <w:rPr>
          <w:b/>
          <w:bCs/>
          <w:i/>
          <w:iCs/>
          <w:lang w:eastAsia="x-none"/>
        </w:rPr>
        <w:t xml:space="preserve"> supports DCI-based </w:t>
      </w:r>
      <w:r w:rsidRPr="008B018F">
        <w:rPr>
          <w:b/>
          <w:bCs/>
          <w:i/>
          <w:iCs/>
          <w:lang w:eastAsia="x-none"/>
        </w:rPr>
        <w:t>dynamic TCI state update signaling</w:t>
      </w:r>
      <w:r>
        <w:rPr>
          <w:b/>
          <w:bCs/>
          <w:i/>
          <w:iCs/>
          <w:lang w:eastAsia="x-none"/>
        </w:rPr>
        <w:t xml:space="preserve"> assuming H-ARQ can be enabled for PDCCH.</w:t>
      </w:r>
      <w:r>
        <w:t xml:space="preserve">   </w:t>
      </w:r>
    </w:p>
    <w:p w14:paraId="63A29C14" w14:textId="0F81D8C9" w:rsidR="00B0704C" w:rsidRDefault="00B0704C" w:rsidP="000E612F">
      <w:r>
        <w:t xml:space="preserve">In Rel. 15/16, the configuration and dynamic activation of TCI state usually go through the </w:t>
      </w:r>
      <w:r w:rsidR="003A7B42">
        <w:t xml:space="preserve">following procedure: First, </w:t>
      </w:r>
      <w:r w:rsidR="003A7B42" w:rsidRPr="003A7B42">
        <w:t xml:space="preserve">RRC signaling </w:t>
      </w:r>
      <w:r w:rsidR="00626DC7">
        <w:t xml:space="preserve">is used </w:t>
      </w:r>
      <w:r w:rsidR="003A7B42" w:rsidRPr="003A7B42">
        <w:t>to configure the list of possible TCI states (</w:t>
      </w:r>
      <w:r w:rsidR="00626DC7">
        <w:t xml:space="preserve">e.g., </w:t>
      </w:r>
      <w:r w:rsidR="003A7B42" w:rsidRPr="003A7B42">
        <w:t xml:space="preserve">TCI </w:t>
      </w:r>
      <w:r w:rsidR="00626DC7">
        <w:t xml:space="preserve">state </w:t>
      </w:r>
      <w:r w:rsidR="003A7B42" w:rsidRPr="003A7B42">
        <w:t>pool)</w:t>
      </w:r>
      <w:r w:rsidR="00626DC7">
        <w:t>; Second,</w:t>
      </w:r>
      <w:r w:rsidR="00626DC7" w:rsidRPr="00626DC7">
        <w:rPr>
          <w:rFonts w:asciiTheme="minorHAnsi" w:eastAsiaTheme="minorEastAsia" w:hAnsi="Arial" w:cstheme="minorBidi"/>
          <w:color w:val="000000" w:themeColor="text1"/>
          <w:kern w:val="24"/>
          <w:sz w:val="40"/>
          <w:szCs w:val="40"/>
        </w:rPr>
        <w:t xml:space="preserve"> </w:t>
      </w:r>
      <w:r w:rsidR="00626DC7" w:rsidRPr="00626DC7">
        <w:t xml:space="preserve">MAC CE </w:t>
      </w:r>
      <w:r w:rsidR="00626DC7">
        <w:t xml:space="preserve">is used </w:t>
      </w:r>
      <w:r w:rsidR="00626DC7" w:rsidRPr="00626DC7">
        <w:t>to further select a subset of the RRC-configured TCI states</w:t>
      </w:r>
      <w:r w:rsidR="00D7057F">
        <w:t xml:space="preserve">; Third, </w:t>
      </w:r>
      <w:r w:rsidR="00D7057F" w:rsidRPr="00D7057F">
        <w:t xml:space="preserve">DCI </w:t>
      </w:r>
      <w:r w:rsidR="00D7057F">
        <w:t xml:space="preserve">is used </w:t>
      </w:r>
      <w:r w:rsidR="00D7057F" w:rsidRPr="00D7057F">
        <w:t>to activate/</w:t>
      </w:r>
      <w:r w:rsidR="00D7057F">
        <w:t>update</w:t>
      </w:r>
      <w:r w:rsidR="00D7057F" w:rsidRPr="00D7057F">
        <w:t xml:space="preserve"> TCI state(s) from the MAC CE-selected TCI state subset</w:t>
      </w:r>
      <w:r w:rsidR="00D7057F">
        <w:t>.</w:t>
      </w:r>
      <w:r w:rsidR="00626DC7">
        <w:t xml:space="preserve"> </w:t>
      </w:r>
      <w:r w:rsidR="00531B0E">
        <w:t xml:space="preserve"> The reason that MAC CE is used to further select a subset of the RRC-configured TCI states is because the TCI field in DCI has a limited size.  Without the MAC CE selection of TCI state subset, the DCI TCI field </w:t>
      </w:r>
      <w:r w:rsidR="0067109C">
        <w:t>may not be able to</w:t>
      </w:r>
      <w:r w:rsidR="00531B0E">
        <w:t xml:space="preserve"> cover all the RRC-configured TCI states.</w:t>
      </w:r>
      <w:r w:rsidR="00642B81">
        <w:t xml:space="preserve">  In addition, in Rel. 15/16, MAC CE is also used to </w:t>
      </w:r>
      <w:r w:rsidR="00810FB1">
        <w:t xml:space="preserve">dynamically </w:t>
      </w:r>
      <w:r w:rsidR="00642B81">
        <w:t xml:space="preserve">update/switch beam (TCI state) for </w:t>
      </w:r>
      <w:r w:rsidR="0022010F">
        <w:t xml:space="preserve">channels such as </w:t>
      </w:r>
      <w:r w:rsidR="00642B81">
        <w:t xml:space="preserve">PDCCH, PUCCH, </w:t>
      </w:r>
      <w:r w:rsidR="0022010F">
        <w:t>and SP SRS.</w:t>
      </w:r>
    </w:p>
    <w:p w14:paraId="6F3EFA44" w14:textId="16B0B06B" w:rsidR="000842D5" w:rsidRDefault="000842D5" w:rsidP="000E612F">
      <w:r>
        <w:t xml:space="preserve">If we are to reuse the existing DCI formats, e.g., to minimize the required modifications on spec text, the DCI TCI field will still be size-limited, then </w:t>
      </w:r>
      <w:r w:rsidR="00836864">
        <w:t xml:space="preserve">the step where </w:t>
      </w:r>
      <w:r>
        <w:t xml:space="preserve">MAC CE </w:t>
      </w:r>
      <w:r w:rsidR="00836864">
        <w:t>selects</w:t>
      </w:r>
      <w:r>
        <w:t xml:space="preserve"> TCI state subset should be needed.  </w:t>
      </w:r>
    </w:p>
    <w:p w14:paraId="60FD75EC" w14:textId="63BD3F5D" w:rsidR="000842D5" w:rsidRDefault="00E377F5" w:rsidP="000E612F">
      <w:r>
        <w:t>I</w:t>
      </w:r>
      <w:r w:rsidR="000842D5">
        <w:t xml:space="preserve">f a new DCI format is defined in Rel. 17 </w:t>
      </w:r>
      <w:r>
        <w:t xml:space="preserve">for common beam indication purpose, the size of the DCI TCI field may be increased to cover all the TCI states in the TCI state pool.  For example, a 7-bit TCI field can be used to indicate one TCI state </w:t>
      </w:r>
      <w:r w:rsidR="006909F7">
        <w:t>out of a TCI state pool with a</w:t>
      </w:r>
      <w:r>
        <w:t xml:space="preserve"> size </w:t>
      </w:r>
      <w:r w:rsidR="006909F7">
        <w:t>of</w:t>
      </w:r>
      <w:r>
        <w:t xml:space="preserve"> 128.  </w:t>
      </w:r>
      <w:r w:rsidR="00836864">
        <w:t xml:space="preserve">In this case, the step where MAC CE selects TCI state subset is </w:t>
      </w:r>
      <w:r w:rsidR="00521BF0">
        <w:t xml:space="preserve">therefore </w:t>
      </w:r>
      <w:r w:rsidR="00836864">
        <w:t>not needed.</w:t>
      </w:r>
    </w:p>
    <w:p w14:paraId="1D49EA98" w14:textId="77777777" w:rsidR="008B018F" w:rsidRDefault="008B018F" w:rsidP="008B018F">
      <w:r>
        <w:t>Based on the above analysis, we propose the following:</w:t>
      </w:r>
    </w:p>
    <w:p w14:paraId="2A586C92" w14:textId="401D521D" w:rsidR="008B018F" w:rsidRDefault="009F7000" w:rsidP="008B018F">
      <w:r>
        <w:rPr>
          <w:b/>
          <w:bCs/>
          <w:i/>
          <w:iCs/>
          <w:lang w:eastAsia="x-none"/>
        </w:rPr>
        <w:t xml:space="preserve">Proposal 8: </w:t>
      </w:r>
      <w:proofErr w:type="spellStart"/>
      <w:r>
        <w:rPr>
          <w:b/>
          <w:bCs/>
          <w:i/>
          <w:iCs/>
          <w:lang w:eastAsia="x-none"/>
        </w:rPr>
        <w:t>FeMIMO</w:t>
      </w:r>
      <w:proofErr w:type="spellEnd"/>
      <w:r>
        <w:rPr>
          <w:b/>
          <w:bCs/>
          <w:i/>
          <w:iCs/>
          <w:lang w:eastAsia="x-none"/>
        </w:rPr>
        <w:t xml:space="preserve"> supports new DCI format for common beam indication.  Consider increasing the size of the TCI field in the new DCI format to cover all the TCI states in the TCI state pool.</w:t>
      </w:r>
    </w:p>
    <w:p w14:paraId="0C598125" w14:textId="7497C3D5" w:rsidR="00FA426A" w:rsidRDefault="00FA426A" w:rsidP="000E612F">
      <w:r>
        <w:t>In DCI-based dynamic TCI state update signaling method, there are two cases to be considered:</w:t>
      </w:r>
    </w:p>
    <w:p w14:paraId="380EFF54" w14:textId="291A706D" w:rsidR="00FA426A" w:rsidRPr="00FA46A3" w:rsidRDefault="00FA426A" w:rsidP="00FA426A">
      <w:pPr>
        <w:numPr>
          <w:ilvl w:val="0"/>
          <w:numId w:val="18"/>
        </w:numPr>
      </w:pPr>
      <w:r>
        <w:t>Case 1</w:t>
      </w:r>
      <w:r w:rsidRPr="00FA46A3">
        <w:t xml:space="preserve">: </w:t>
      </w:r>
      <w:r>
        <w:t>DCI</w:t>
      </w:r>
      <w:r w:rsidRPr="00FA46A3">
        <w:t xml:space="preserve"> </w:t>
      </w:r>
      <w:r>
        <w:t xml:space="preserve">is used to schedule transmission of PDSCH or PUSCH </w:t>
      </w:r>
    </w:p>
    <w:p w14:paraId="45676992" w14:textId="7CAD78E9" w:rsidR="00FA426A" w:rsidRDefault="00FA426A" w:rsidP="000E612F">
      <w:pPr>
        <w:numPr>
          <w:ilvl w:val="0"/>
          <w:numId w:val="18"/>
        </w:numPr>
      </w:pPr>
      <w:r>
        <w:t xml:space="preserve">Case </w:t>
      </w:r>
      <w:r w:rsidRPr="00FA46A3">
        <w:t xml:space="preserve">2: </w:t>
      </w:r>
      <w:r>
        <w:t>standalone DCI (e.g., no PDSCH or PUSCH transmission follows the DCI)</w:t>
      </w:r>
    </w:p>
    <w:p w14:paraId="320C0F0C" w14:textId="770AADF4" w:rsidR="00F55F50" w:rsidRDefault="00FA426A" w:rsidP="000E612F">
      <w:r>
        <w:t xml:space="preserve">In Case 1, </w:t>
      </w:r>
      <w:r w:rsidR="00426310">
        <w:t xml:space="preserve">it is straight forward to use </w:t>
      </w:r>
      <w:r>
        <w:t xml:space="preserve">the TCI field in the DCI </w:t>
      </w:r>
      <w:r w:rsidR="00426310">
        <w:t>to indicate the common beam</w:t>
      </w:r>
      <w:r w:rsidR="009B64CB">
        <w:t>(s)</w:t>
      </w:r>
      <w:r w:rsidR="00426310">
        <w:t>.  In this case, the existing DCI format</w:t>
      </w:r>
      <w:r w:rsidR="00FF5047">
        <w:t xml:space="preserve">s </w:t>
      </w:r>
      <w:r w:rsidR="00C50406">
        <w:t>can</w:t>
      </w:r>
      <w:r w:rsidR="00FF5047">
        <w:t xml:space="preserve"> be used, and the TCI field in the DCI indicate</w:t>
      </w:r>
      <w:r w:rsidR="009664B9">
        <w:t>s</w:t>
      </w:r>
      <w:r w:rsidR="00FF5047">
        <w:t xml:space="preserve"> the new common beam</w:t>
      </w:r>
      <w:r w:rsidR="00480B98">
        <w:t>(s)</w:t>
      </w:r>
      <w:r w:rsidR="00FF5047">
        <w:t xml:space="preserve"> that should be applied to the channels</w:t>
      </w:r>
      <w:r w:rsidR="008F3883">
        <w:t xml:space="preserve"> which are</w:t>
      </w:r>
      <w:r w:rsidR="00FF5047">
        <w:t xml:space="preserve"> in the same group as PDSCH or PUSCH, respectively, </w:t>
      </w:r>
      <w:r w:rsidR="00C50406">
        <w:t xml:space="preserve">as discussed in Section </w:t>
      </w:r>
      <w:r w:rsidR="00C50406">
        <w:fldChar w:fldCharType="begin"/>
      </w:r>
      <w:r w:rsidR="00C50406">
        <w:instrText xml:space="preserve"> REF _Ref52551764 \r \h </w:instrText>
      </w:r>
      <w:r w:rsidR="00C50406">
        <w:fldChar w:fldCharType="separate"/>
      </w:r>
      <w:r w:rsidR="003A6DA0">
        <w:t>2.2</w:t>
      </w:r>
      <w:r w:rsidR="00C50406">
        <w:fldChar w:fldCharType="end"/>
      </w:r>
      <w:r w:rsidR="00C50406">
        <w:t xml:space="preserve">.  </w:t>
      </w:r>
    </w:p>
    <w:p w14:paraId="4911E317" w14:textId="451664DE" w:rsidR="00426310" w:rsidRDefault="00426310" w:rsidP="000E612F">
      <w:r>
        <w:t xml:space="preserve">In Case 2, </w:t>
      </w:r>
      <w:r w:rsidR="00C50406">
        <w:t xml:space="preserve">the standalone DCI could </w:t>
      </w:r>
      <w:r w:rsidR="00E77DD1">
        <w:t>use</w:t>
      </w:r>
      <w:r w:rsidR="00C50406">
        <w:t xml:space="preserve"> a new DCI format defined in Rel. 17</w:t>
      </w:r>
      <w:r w:rsidR="00480B98">
        <w:t>.</w:t>
      </w:r>
      <w:r w:rsidR="00C50406">
        <w:t xml:space="preserve"> </w:t>
      </w:r>
      <w:r w:rsidR="00480B98">
        <w:t xml:space="preserve"> The DCI </w:t>
      </w:r>
      <w:bookmarkStart w:id="16" w:name="_Hlk52553651"/>
      <w:r w:rsidR="00480B98">
        <w:t>comprises TCI field(s) indicating new common beam(s)</w:t>
      </w:r>
      <w:r w:rsidR="000746F3">
        <w:t xml:space="preserve"> to be switched to</w:t>
      </w:r>
      <w:r w:rsidR="00480B98">
        <w:t xml:space="preserve">.  The DCI also comprises group information (as discussed in Section </w:t>
      </w:r>
      <w:r w:rsidR="00480B98">
        <w:fldChar w:fldCharType="begin"/>
      </w:r>
      <w:r w:rsidR="00480B98">
        <w:instrText xml:space="preserve"> REF _Ref52551764 \r \h </w:instrText>
      </w:r>
      <w:r w:rsidR="00480B98">
        <w:fldChar w:fldCharType="separate"/>
      </w:r>
      <w:r w:rsidR="003A6DA0">
        <w:t>2.2</w:t>
      </w:r>
      <w:r w:rsidR="00480B98">
        <w:fldChar w:fldCharType="end"/>
      </w:r>
      <w:r w:rsidR="00480B98">
        <w:t xml:space="preserve">) that the new common beam(s) </w:t>
      </w:r>
      <w:r w:rsidR="00AD7859">
        <w:t>should</w:t>
      </w:r>
      <w:r w:rsidR="00480B98">
        <w:t xml:space="preserve"> be applied to.</w:t>
      </w:r>
      <w:bookmarkEnd w:id="16"/>
      <w:r w:rsidR="00480B98">
        <w:t xml:space="preserve"> </w:t>
      </w:r>
      <w:r w:rsidR="00C50406">
        <w:t xml:space="preserve"> </w:t>
      </w:r>
      <w:r w:rsidR="00480B98">
        <w:t>In other words, the DCI comprises both the source RS(s) indicating the new common beam(s) and the target</w:t>
      </w:r>
      <w:r w:rsidR="008F3883">
        <w:t xml:space="preserve"> channel(s) that the new common beam(s) will be applied to.</w:t>
      </w:r>
    </w:p>
    <w:p w14:paraId="7C3E66C9" w14:textId="3C4C7D53" w:rsidR="00AC3DCB" w:rsidRDefault="00A24E3B" w:rsidP="000E612F">
      <w:r>
        <w:t xml:space="preserve">Similarly, if MAC CE-based method is to be used, </w:t>
      </w:r>
      <w:r w:rsidR="00AC3DCB">
        <w:t>the MAC CE should comprise TCI field(s) indicating new common beam(s) and group information that the new common beam(s) should be applied to, that is, the MAC CE should comprise both the source RS(s) indicating the new common beam(s) and the target channel(s) that the new common beam(s) will be applied to.</w:t>
      </w:r>
    </w:p>
    <w:p w14:paraId="0FC34C0D" w14:textId="77777777" w:rsidR="005F53AE" w:rsidRDefault="005F53AE" w:rsidP="005F53AE">
      <w:r>
        <w:t>Based on the above analysis, we propose the following:</w:t>
      </w:r>
    </w:p>
    <w:p w14:paraId="6154DD86" w14:textId="0BEEF5CB" w:rsidR="005F53AE" w:rsidRDefault="005F53AE" w:rsidP="005F53AE">
      <w:r>
        <w:rPr>
          <w:b/>
          <w:bCs/>
          <w:i/>
          <w:iCs/>
          <w:lang w:eastAsia="x-none"/>
        </w:rPr>
        <w:t xml:space="preserve">Proposal </w:t>
      </w:r>
      <w:r w:rsidR="00A85C85">
        <w:rPr>
          <w:b/>
          <w:bCs/>
          <w:i/>
          <w:iCs/>
          <w:lang w:eastAsia="x-none"/>
        </w:rPr>
        <w:t>9</w:t>
      </w:r>
      <w:r>
        <w:rPr>
          <w:b/>
          <w:bCs/>
          <w:i/>
          <w:iCs/>
          <w:lang w:eastAsia="x-none"/>
        </w:rPr>
        <w:t xml:space="preserve">: </w:t>
      </w:r>
      <w:proofErr w:type="spellStart"/>
      <w:r>
        <w:rPr>
          <w:b/>
          <w:bCs/>
          <w:i/>
          <w:iCs/>
          <w:lang w:eastAsia="x-none"/>
        </w:rPr>
        <w:t>FeMIMO</w:t>
      </w:r>
      <w:proofErr w:type="spellEnd"/>
      <w:r>
        <w:rPr>
          <w:b/>
          <w:bCs/>
          <w:i/>
          <w:iCs/>
          <w:lang w:eastAsia="x-none"/>
        </w:rPr>
        <w:t xml:space="preserve"> support new DCI format </w:t>
      </w:r>
      <w:r w:rsidRPr="005F53AE">
        <w:rPr>
          <w:b/>
          <w:bCs/>
          <w:i/>
          <w:iCs/>
          <w:lang w:eastAsia="x-none"/>
        </w:rPr>
        <w:t>compris</w:t>
      </w:r>
      <w:r>
        <w:rPr>
          <w:b/>
          <w:bCs/>
          <w:i/>
          <w:iCs/>
          <w:lang w:eastAsia="x-none"/>
        </w:rPr>
        <w:t>ing</w:t>
      </w:r>
      <w:r w:rsidRPr="005F53AE">
        <w:rPr>
          <w:b/>
          <w:bCs/>
          <w:i/>
          <w:iCs/>
          <w:lang w:eastAsia="x-none"/>
        </w:rPr>
        <w:t xml:space="preserve"> TCI field(s) indicating new common beam(s)</w:t>
      </w:r>
      <w:r>
        <w:rPr>
          <w:b/>
          <w:bCs/>
          <w:i/>
          <w:iCs/>
          <w:lang w:eastAsia="x-none"/>
        </w:rPr>
        <w:t xml:space="preserve"> and </w:t>
      </w:r>
      <w:r w:rsidRPr="005F53AE">
        <w:rPr>
          <w:b/>
          <w:bCs/>
          <w:i/>
          <w:iCs/>
          <w:lang w:eastAsia="x-none"/>
        </w:rPr>
        <w:t>group information that the new common beam(s) should be applied to.</w:t>
      </w:r>
      <w:r>
        <w:rPr>
          <w:b/>
          <w:bCs/>
          <w:i/>
          <w:iCs/>
          <w:lang w:eastAsia="x-none"/>
        </w:rPr>
        <w:t xml:space="preserve">  </w:t>
      </w:r>
    </w:p>
    <w:p w14:paraId="02F539D8" w14:textId="6FA61035" w:rsidR="00D5326F" w:rsidRDefault="00F76AF4" w:rsidP="000E612F">
      <w:pPr>
        <w:rPr>
          <w:lang w:val="en-GB"/>
        </w:rPr>
      </w:pPr>
      <w:r>
        <w:rPr>
          <w:lang w:val="en-GB"/>
        </w:rPr>
        <w:t xml:space="preserve">For very high mobility scenarios, the propagation channel varies at faster rate, existing beam gets blocked and new beam appears more frequently. If beam management and indication could response fast enough to utilize the stronger channel and new beam, system performance could be improved. Beam updating decision is made by network based on beam measurement report performed and sent by UE, e.g. L1-RSRP or L1-SINR. Often the measurement results are not filtered so it is an instantaneous indication of channel conditions or beam directions. We may consider update common beam without signalling in this case. For example, network may configure PDCCH search space on extra CORESET without QCL assumption initializations. After UE sends beam measurement report on the uplink, UE performs extra blind decoding of PDCCH from search space on the extra CORESET with candidate QCL-Type-D assumption. The </w:t>
      </w:r>
      <w:r>
        <w:rPr>
          <w:lang w:val="en-GB"/>
        </w:rPr>
        <w:lastRenderedPageBreak/>
        <w:t>candidate QCL-Type-D assumption may be derived from the latest sent measurement report. Both network and UE derive the same candidate QCL-Type-D assumption by following the same agreed scheme. Network may or may not utilize the candidate QCL-Type-D assumption for common beam transmission.</w:t>
      </w:r>
    </w:p>
    <w:p w14:paraId="50C8C786" w14:textId="419B4CB3" w:rsidR="00D965CE" w:rsidRDefault="00D965CE" w:rsidP="000E612F">
      <w:r>
        <w:t>Based on the above analysis, we propose the following:</w:t>
      </w:r>
    </w:p>
    <w:p w14:paraId="2485E7CF" w14:textId="70E02C47" w:rsidR="00991C36" w:rsidRDefault="00657C1F" w:rsidP="000E612F">
      <w:r>
        <w:rPr>
          <w:b/>
          <w:bCs/>
          <w:i/>
          <w:iCs/>
          <w:lang w:eastAsia="x-none"/>
        </w:rPr>
        <w:t xml:space="preserve">Proposal </w:t>
      </w:r>
      <w:r w:rsidR="00A85C85">
        <w:rPr>
          <w:b/>
          <w:bCs/>
          <w:i/>
          <w:iCs/>
          <w:lang w:eastAsia="x-none"/>
        </w:rPr>
        <w:t>10</w:t>
      </w:r>
      <w:r>
        <w:rPr>
          <w:b/>
          <w:bCs/>
          <w:i/>
          <w:iCs/>
          <w:lang w:eastAsia="x-none"/>
        </w:rPr>
        <w:t>:</w:t>
      </w:r>
      <w:r w:rsidR="00D965CE">
        <w:rPr>
          <w:b/>
          <w:bCs/>
          <w:i/>
          <w:iCs/>
          <w:lang w:eastAsia="x-none"/>
        </w:rPr>
        <w:t xml:space="preserve"> </w:t>
      </w:r>
      <w:proofErr w:type="spellStart"/>
      <w:r w:rsidR="00D965CE">
        <w:rPr>
          <w:b/>
          <w:bCs/>
          <w:i/>
          <w:iCs/>
          <w:lang w:eastAsia="x-none"/>
        </w:rPr>
        <w:t>FeMIMO</w:t>
      </w:r>
      <w:proofErr w:type="spellEnd"/>
      <w:r w:rsidR="00D965CE">
        <w:rPr>
          <w:b/>
          <w:bCs/>
          <w:i/>
          <w:iCs/>
          <w:lang w:eastAsia="x-none"/>
        </w:rPr>
        <w:t xml:space="preserve"> supports </w:t>
      </w:r>
      <w:r w:rsidR="00D965CE" w:rsidRPr="00D965CE">
        <w:rPr>
          <w:b/>
          <w:bCs/>
          <w:i/>
          <w:iCs/>
          <w:lang w:eastAsia="x-none"/>
        </w:rPr>
        <w:t>dynamic common beam update based on measurement report</w:t>
      </w:r>
      <w:r w:rsidR="00D965CE">
        <w:rPr>
          <w:b/>
          <w:bCs/>
          <w:i/>
          <w:iCs/>
          <w:lang w:eastAsia="x-none"/>
        </w:rPr>
        <w:t>.</w:t>
      </w:r>
      <w:r w:rsidR="0084592F">
        <w:t xml:space="preserve"> </w:t>
      </w:r>
      <w:r w:rsidR="00991C36">
        <w:t xml:space="preserve"> </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317C4076" w14:textId="6A227556" w:rsidR="0021120F" w:rsidRDefault="00B94B12" w:rsidP="00E200FB">
      <w:pPr>
        <w:rPr>
          <w:lang w:eastAsia="zh-CN"/>
        </w:rPr>
      </w:pPr>
      <w:r w:rsidRPr="0064769F">
        <w:t xml:space="preserve">In this </w:t>
      </w:r>
      <w:r>
        <w:t xml:space="preserve">contribution, we present our views on </w:t>
      </w:r>
      <w:r w:rsidR="00E20395">
        <w:t>enhancement on multi-beam operation</w:t>
      </w:r>
      <w:r>
        <w:t xml:space="preserve">. </w:t>
      </w:r>
      <w:r w:rsidR="002D7E51">
        <w:t xml:space="preserve"> Based on the discussions in the previous sections we propose the following:</w:t>
      </w:r>
      <w:r w:rsidR="001466E4">
        <w:rPr>
          <w:lang w:eastAsia="zh-CN"/>
        </w:rPr>
        <w:t xml:space="preserve"> </w:t>
      </w:r>
    </w:p>
    <w:p w14:paraId="61B80A97" w14:textId="7177B20B" w:rsidR="00E02A2B" w:rsidRDefault="00A85C85" w:rsidP="00E200FB">
      <w:pPr>
        <w:rPr>
          <w:b/>
          <w:bCs/>
          <w:i/>
          <w:iCs/>
          <w:lang w:eastAsia="x-none"/>
        </w:rPr>
      </w:pPr>
      <w:r>
        <w:rPr>
          <w:b/>
          <w:bCs/>
          <w:i/>
          <w:iCs/>
          <w:lang w:eastAsia="x-none"/>
        </w:rPr>
        <w:t>Proposal 1:</w:t>
      </w:r>
      <w:r w:rsidRPr="004E1913">
        <w:t xml:space="preserve"> </w:t>
      </w:r>
      <w:proofErr w:type="spellStart"/>
      <w:r w:rsidRPr="004E1913">
        <w:rPr>
          <w:b/>
          <w:bCs/>
          <w:i/>
          <w:iCs/>
          <w:lang w:eastAsia="x-none"/>
        </w:rPr>
        <w:t>FeMIMO</w:t>
      </w:r>
      <w:proofErr w:type="spellEnd"/>
      <w:r w:rsidRPr="004E1913">
        <w:rPr>
          <w:b/>
          <w:bCs/>
          <w:i/>
          <w:iCs/>
          <w:lang w:eastAsia="x-none"/>
        </w:rPr>
        <w:t xml:space="preserve"> supports separate TCI state pools for DL and UL.</w:t>
      </w:r>
    </w:p>
    <w:p w14:paraId="55731C13" w14:textId="713CCB81" w:rsidR="001466E4" w:rsidRDefault="00A85C85" w:rsidP="00E200FB">
      <w:pPr>
        <w:rPr>
          <w:b/>
          <w:bCs/>
          <w:i/>
          <w:iCs/>
          <w:lang w:eastAsia="x-none"/>
        </w:rPr>
      </w:pPr>
      <w:r>
        <w:rPr>
          <w:b/>
          <w:bCs/>
          <w:i/>
          <w:iCs/>
          <w:lang w:eastAsia="x-none"/>
        </w:rPr>
        <w:t>Proposal 2:</w:t>
      </w:r>
      <w:r w:rsidRPr="004E1913">
        <w:t xml:space="preserve"> </w:t>
      </w:r>
      <w:proofErr w:type="spellStart"/>
      <w:r w:rsidRPr="00AC29F1">
        <w:rPr>
          <w:b/>
          <w:bCs/>
          <w:i/>
          <w:iCs/>
          <w:lang w:eastAsia="x-none"/>
        </w:rPr>
        <w:t>FeMIMO</w:t>
      </w:r>
      <w:proofErr w:type="spellEnd"/>
      <w:r w:rsidRPr="00AC29F1">
        <w:rPr>
          <w:b/>
          <w:bCs/>
          <w:i/>
          <w:iCs/>
          <w:lang w:eastAsia="x-none"/>
        </w:rPr>
        <w:t xml:space="preserve"> supports using two source RS, each for beam indication for DL and UL, respectively.</w:t>
      </w:r>
    </w:p>
    <w:p w14:paraId="22D8431D" w14:textId="5C5C0AA0" w:rsidR="002D7E51" w:rsidRDefault="00A85C85" w:rsidP="00E200FB">
      <w:pPr>
        <w:rPr>
          <w:b/>
          <w:bCs/>
          <w:i/>
          <w:iCs/>
          <w:lang w:eastAsia="x-none"/>
        </w:rPr>
      </w:pPr>
      <w:r>
        <w:rPr>
          <w:b/>
          <w:bCs/>
          <w:i/>
          <w:iCs/>
          <w:lang w:eastAsia="x-none"/>
        </w:rPr>
        <w:t xml:space="preserve">Proposal 3: </w:t>
      </w:r>
      <w:proofErr w:type="spellStart"/>
      <w:r>
        <w:rPr>
          <w:b/>
          <w:bCs/>
          <w:i/>
          <w:iCs/>
          <w:lang w:eastAsia="x-none"/>
        </w:rPr>
        <w:t>FeMIMO</w:t>
      </w:r>
      <w:proofErr w:type="spellEnd"/>
      <w:r>
        <w:rPr>
          <w:b/>
          <w:bCs/>
          <w:i/>
          <w:iCs/>
          <w:lang w:eastAsia="x-none"/>
        </w:rPr>
        <w:t xml:space="preserve"> supports using</w:t>
      </w:r>
      <w:r w:rsidRPr="00474231">
        <w:rPr>
          <w:b/>
          <w:bCs/>
          <w:i/>
          <w:iCs/>
          <w:lang w:eastAsia="x-none"/>
        </w:rPr>
        <w:t xml:space="preserve"> two separate TCI states, one from the DL TCI state pool and one from the UL TCI state pool</w:t>
      </w:r>
      <w:r>
        <w:rPr>
          <w:b/>
          <w:bCs/>
          <w:i/>
          <w:iCs/>
          <w:lang w:eastAsia="x-none"/>
        </w:rPr>
        <w:t>,</w:t>
      </w:r>
      <w:r w:rsidRPr="00474231">
        <w:rPr>
          <w:b/>
          <w:bCs/>
          <w:i/>
          <w:iCs/>
          <w:lang w:eastAsia="x-none"/>
        </w:rPr>
        <w:t xml:space="preserve"> for beam indication for DL and UL, respectively.</w:t>
      </w:r>
    </w:p>
    <w:p w14:paraId="5210766A" w14:textId="0F16BE4C" w:rsidR="00A85C85" w:rsidRDefault="00A85C85" w:rsidP="00E200FB">
      <w:pPr>
        <w:rPr>
          <w:b/>
          <w:bCs/>
          <w:i/>
          <w:iCs/>
          <w:lang w:eastAsia="x-none"/>
        </w:rPr>
      </w:pPr>
      <w:r>
        <w:rPr>
          <w:b/>
          <w:bCs/>
          <w:i/>
          <w:iCs/>
          <w:lang w:eastAsia="x-none"/>
        </w:rPr>
        <w:t xml:space="preserve">Proposal 4: </w:t>
      </w:r>
      <w:proofErr w:type="spellStart"/>
      <w:r>
        <w:rPr>
          <w:b/>
          <w:bCs/>
          <w:i/>
          <w:iCs/>
          <w:lang w:eastAsia="x-none"/>
        </w:rPr>
        <w:t>FeMIMO</w:t>
      </w:r>
      <w:proofErr w:type="spellEnd"/>
      <w:r>
        <w:rPr>
          <w:b/>
          <w:bCs/>
          <w:i/>
          <w:iCs/>
          <w:lang w:eastAsia="x-none"/>
        </w:rPr>
        <w:t xml:space="preserve"> supports </w:t>
      </w:r>
      <w:r w:rsidRPr="002D3870">
        <w:rPr>
          <w:b/>
          <w:bCs/>
          <w:i/>
          <w:iCs/>
          <w:lang w:eastAsia="x-none"/>
        </w:rPr>
        <w:t>common beam indication across multiple channels, across multiple CCs, and common beam indication for a group of UEs</w:t>
      </w:r>
      <w:r>
        <w:rPr>
          <w:b/>
          <w:bCs/>
          <w:i/>
          <w:iCs/>
          <w:lang w:eastAsia="x-none"/>
        </w:rPr>
        <w:t xml:space="preserve"> using the concept of grouping</w:t>
      </w:r>
      <w:r w:rsidRPr="002D3870">
        <w:rPr>
          <w:b/>
          <w:bCs/>
          <w:i/>
          <w:iCs/>
          <w:lang w:eastAsia="x-none"/>
        </w:rPr>
        <w:t>.</w:t>
      </w:r>
      <w:r>
        <w:rPr>
          <w:b/>
          <w:bCs/>
          <w:i/>
          <w:iCs/>
          <w:lang w:eastAsia="x-none"/>
        </w:rPr>
        <w:t xml:space="preserve">  The channels, CCs, or UEs in a group share the same beam(s), and if the TCI state(s) of one of the elements in the group are updated, the TCI states of the rest of the elements in the group are also updated accordingly.</w:t>
      </w:r>
    </w:p>
    <w:p w14:paraId="768F2134" w14:textId="273F2F76" w:rsidR="00A85C85" w:rsidRDefault="00A85C85" w:rsidP="00E200FB">
      <w:pPr>
        <w:rPr>
          <w:b/>
          <w:bCs/>
          <w:i/>
          <w:iCs/>
          <w:lang w:eastAsia="x-none"/>
        </w:rPr>
      </w:pPr>
      <w:r>
        <w:rPr>
          <w:b/>
          <w:bCs/>
          <w:i/>
          <w:iCs/>
          <w:lang w:eastAsia="x-none"/>
        </w:rPr>
        <w:t xml:space="preserve">Proposal 5: </w:t>
      </w:r>
      <w:proofErr w:type="spellStart"/>
      <w:r>
        <w:rPr>
          <w:b/>
          <w:bCs/>
          <w:i/>
          <w:iCs/>
          <w:lang w:eastAsia="x-none"/>
        </w:rPr>
        <w:t>FeMIMO</w:t>
      </w:r>
      <w:proofErr w:type="spellEnd"/>
      <w:r>
        <w:rPr>
          <w:b/>
          <w:bCs/>
          <w:i/>
          <w:iCs/>
          <w:lang w:eastAsia="x-none"/>
        </w:rPr>
        <w:t xml:space="preserve"> supports multiple simultaneous active TCI states at a UE.</w:t>
      </w:r>
    </w:p>
    <w:p w14:paraId="3E0C9B42" w14:textId="14AA9FEE" w:rsidR="00A85C85" w:rsidRDefault="00A85C85" w:rsidP="00E200FB">
      <w:pPr>
        <w:rPr>
          <w:b/>
          <w:bCs/>
          <w:i/>
          <w:iCs/>
          <w:lang w:eastAsia="x-none"/>
        </w:rPr>
      </w:pPr>
      <w:r>
        <w:rPr>
          <w:b/>
          <w:bCs/>
          <w:i/>
          <w:iCs/>
          <w:lang w:eastAsia="x-none"/>
        </w:rPr>
        <w:t xml:space="preserve">Proposal 6: </w:t>
      </w:r>
      <w:proofErr w:type="spellStart"/>
      <w:r>
        <w:rPr>
          <w:b/>
          <w:bCs/>
          <w:i/>
          <w:iCs/>
          <w:lang w:eastAsia="x-none"/>
        </w:rPr>
        <w:t>FeMIMO</w:t>
      </w:r>
      <w:proofErr w:type="spellEnd"/>
      <w:r>
        <w:rPr>
          <w:b/>
          <w:bCs/>
          <w:i/>
          <w:iCs/>
          <w:lang w:eastAsia="x-none"/>
        </w:rPr>
        <w:t xml:space="preserve"> supports </w:t>
      </w:r>
      <w:r w:rsidRPr="00EC1092">
        <w:rPr>
          <w:b/>
          <w:bCs/>
          <w:i/>
          <w:iCs/>
          <w:lang w:eastAsia="x-none"/>
        </w:rPr>
        <w:t>enhancements on content of TCI state</w:t>
      </w:r>
      <w:r>
        <w:rPr>
          <w:b/>
          <w:bCs/>
          <w:i/>
          <w:iCs/>
          <w:lang w:eastAsia="x-none"/>
        </w:rPr>
        <w:t xml:space="preserve">, including the addition of PCI, </w:t>
      </w:r>
      <w:proofErr w:type="spellStart"/>
      <w:r>
        <w:rPr>
          <w:b/>
          <w:bCs/>
          <w:i/>
          <w:iCs/>
          <w:lang w:eastAsia="x-none"/>
        </w:rPr>
        <w:t>groupID</w:t>
      </w:r>
      <w:proofErr w:type="spellEnd"/>
      <w:r>
        <w:rPr>
          <w:b/>
          <w:bCs/>
          <w:i/>
          <w:iCs/>
          <w:lang w:eastAsia="x-none"/>
        </w:rPr>
        <w:t xml:space="preserve">, </w:t>
      </w:r>
      <w:proofErr w:type="spellStart"/>
      <w:r>
        <w:rPr>
          <w:b/>
          <w:bCs/>
          <w:i/>
          <w:iCs/>
          <w:lang w:eastAsia="x-none"/>
        </w:rPr>
        <w:t>srs</w:t>
      </w:r>
      <w:proofErr w:type="spellEnd"/>
      <w:r>
        <w:rPr>
          <w:b/>
          <w:bCs/>
          <w:i/>
          <w:iCs/>
          <w:lang w:eastAsia="x-none"/>
        </w:rPr>
        <w:t>, and other UL-related parameters to the content of TCI state.</w:t>
      </w:r>
    </w:p>
    <w:p w14:paraId="70C620DC" w14:textId="03BE10FF" w:rsidR="00A85C85" w:rsidRDefault="00A85C85" w:rsidP="00E200FB">
      <w:pPr>
        <w:rPr>
          <w:b/>
          <w:bCs/>
          <w:i/>
          <w:iCs/>
          <w:lang w:eastAsia="x-none"/>
        </w:rPr>
      </w:pPr>
      <w:r>
        <w:rPr>
          <w:b/>
          <w:bCs/>
          <w:i/>
          <w:iCs/>
          <w:lang w:eastAsia="x-none"/>
        </w:rPr>
        <w:t xml:space="preserve">Proposal 7: </w:t>
      </w:r>
      <w:proofErr w:type="spellStart"/>
      <w:r>
        <w:rPr>
          <w:b/>
          <w:bCs/>
          <w:i/>
          <w:iCs/>
          <w:lang w:eastAsia="x-none"/>
        </w:rPr>
        <w:t>FeMIMO</w:t>
      </w:r>
      <w:proofErr w:type="spellEnd"/>
      <w:r>
        <w:rPr>
          <w:b/>
          <w:bCs/>
          <w:i/>
          <w:iCs/>
          <w:lang w:eastAsia="x-none"/>
        </w:rPr>
        <w:t xml:space="preserve"> supports DCI-based </w:t>
      </w:r>
      <w:r w:rsidRPr="008B018F">
        <w:rPr>
          <w:b/>
          <w:bCs/>
          <w:i/>
          <w:iCs/>
          <w:lang w:eastAsia="x-none"/>
        </w:rPr>
        <w:t>dynamic TCI state update signaling</w:t>
      </w:r>
      <w:r>
        <w:rPr>
          <w:b/>
          <w:bCs/>
          <w:i/>
          <w:iCs/>
          <w:lang w:eastAsia="x-none"/>
        </w:rPr>
        <w:t xml:space="preserve"> assuming H-ARQ can be enabled for PDCCH.</w:t>
      </w:r>
    </w:p>
    <w:p w14:paraId="2D9EAEA6" w14:textId="4BB3E1AD" w:rsidR="00A85C85" w:rsidRDefault="00A85C85" w:rsidP="00E200FB">
      <w:pPr>
        <w:rPr>
          <w:b/>
          <w:bCs/>
          <w:i/>
          <w:iCs/>
          <w:lang w:eastAsia="x-none"/>
        </w:rPr>
      </w:pPr>
      <w:r>
        <w:rPr>
          <w:b/>
          <w:bCs/>
          <w:i/>
          <w:iCs/>
          <w:lang w:eastAsia="x-none"/>
        </w:rPr>
        <w:t xml:space="preserve">Proposal 8: </w:t>
      </w:r>
      <w:proofErr w:type="spellStart"/>
      <w:r>
        <w:rPr>
          <w:b/>
          <w:bCs/>
          <w:i/>
          <w:iCs/>
          <w:lang w:eastAsia="x-none"/>
        </w:rPr>
        <w:t>FeMIMO</w:t>
      </w:r>
      <w:proofErr w:type="spellEnd"/>
      <w:r>
        <w:rPr>
          <w:b/>
          <w:bCs/>
          <w:i/>
          <w:iCs/>
          <w:lang w:eastAsia="x-none"/>
        </w:rPr>
        <w:t xml:space="preserve"> supports new DCI format for common beam indication.  </w:t>
      </w:r>
      <w:r w:rsidR="009F7000">
        <w:rPr>
          <w:b/>
          <w:bCs/>
          <w:i/>
          <w:iCs/>
          <w:lang w:eastAsia="x-none"/>
        </w:rPr>
        <w:t>Consider increasing t</w:t>
      </w:r>
      <w:r>
        <w:rPr>
          <w:b/>
          <w:bCs/>
          <w:i/>
          <w:iCs/>
          <w:lang w:eastAsia="x-none"/>
        </w:rPr>
        <w:t>he size of the TCI field in the new DCI format to cover all the TCI states in the TCI state pool.</w:t>
      </w:r>
    </w:p>
    <w:p w14:paraId="3375F199" w14:textId="6529FD0B" w:rsidR="00A85C85" w:rsidRDefault="00A85C85" w:rsidP="00E200FB">
      <w:pPr>
        <w:rPr>
          <w:b/>
          <w:bCs/>
          <w:i/>
          <w:iCs/>
          <w:lang w:eastAsia="x-none"/>
        </w:rPr>
      </w:pPr>
      <w:r>
        <w:rPr>
          <w:b/>
          <w:bCs/>
          <w:i/>
          <w:iCs/>
          <w:lang w:eastAsia="x-none"/>
        </w:rPr>
        <w:t xml:space="preserve">Proposal 9: </w:t>
      </w:r>
      <w:proofErr w:type="spellStart"/>
      <w:r>
        <w:rPr>
          <w:b/>
          <w:bCs/>
          <w:i/>
          <w:iCs/>
          <w:lang w:eastAsia="x-none"/>
        </w:rPr>
        <w:t>FeMIMO</w:t>
      </w:r>
      <w:proofErr w:type="spellEnd"/>
      <w:r>
        <w:rPr>
          <w:b/>
          <w:bCs/>
          <w:i/>
          <w:iCs/>
          <w:lang w:eastAsia="x-none"/>
        </w:rPr>
        <w:t xml:space="preserve"> support new DCI format </w:t>
      </w:r>
      <w:r w:rsidRPr="005F53AE">
        <w:rPr>
          <w:b/>
          <w:bCs/>
          <w:i/>
          <w:iCs/>
          <w:lang w:eastAsia="x-none"/>
        </w:rPr>
        <w:t>compris</w:t>
      </w:r>
      <w:r>
        <w:rPr>
          <w:b/>
          <w:bCs/>
          <w:i/>
          <w:iCs/>
          <w:lang w:eastAsia="x-none"/>
        </w:rPr>
        <w:t>ing</w:t>
      </w:r>
      <w:r w:rsidRPr="005F53AE">
        <w:rPr>
          <w:b/>
          <w:bCs/>
          <w:i/>
          <w:iCs/>
          <w:lang w:eastAsia="x-none"/>
        </w:rPr>
        <w:t xml:space="preserve"> TCI field(s) indicating new common beam(s)</w:t>
      </w:r>
      <w:r>
        <w:rPr>
          <w:b/>
          <w:bCs/>
          <w:i/>
          <w:iCs/>
          <w:lang w:eastAsia="x-none"/>
        </w:rPr>
        <w:t xml:space="preserve"> and </w:t>
      </w:r>
      <w:r w:rsidRPr="005F53AE">
        <w:rPr>
          <w:b/>
          <w:bCs/>
          <w:i/>
          <w:iCs/>
          <w:lang w:eastAsia="x-none"/>
        </w:rPr>
        <w:t>group information that the new common beam(s) should be applied to.</w:t>
      </w:r>
    </w:p>
    <w:p w14:paraId="16DD78F3" w14:textId="77E0D35F" w:rsidR="00A85C85" w:rsidRDefault="00A85C85" w:rsidP="00E200FB">
      <w:pPr>
        <w:rPr>
          <w:b/>
          <w:bCs/>
          <w:i/>
          <w:iCs/>
          <w:lang w:eastAsia="x-none"/>
        </w:rPr>
      </w:pPr>
      <w:r>
        <w:rPr>
          <w:b/>
          <w:bCs/>
          <w:i/>
          <w:iCs/>
          <w:lang w:eastAsia="x-none"/>
        </w:rPr>
        <w:t xml:space="preserve">Proposal 10: </w:t>
      </w:r>
      <w:proofErr w:type="spellStart"/>
      <w:r>
        <w:rPr>
          <w:b/>
          <w:bCs/>
          <w:i/>
          <w:iCs/>
          <w:lang w:eastAsia="x-none"/>
        </w:rPr>
        <w:t>FeMIMO</w:t>
      </w:r>
      <w:proofErr w:type="spellEnd"/>
      <w:r>
        <w:rPr>
          <w:b/>
          <w:bCs/>
          <w:i/>
          <w:iCs/>
          <w:lang w:eastAsia="x-none"/>
        </w:rPr>
        <w:t xml:space="preserve"> supports </w:t>
      </w:r>
      <w:r w:rsidRPr="00D965CE">
        <w:rPr>
          <w:b/>
          <w:bCs/>
          <w:i/>
          <w:iCs/>
          <w:lang w:eastAsia="x-none"/>
        </w:rPr>
        <w:t>dynamic common beam update based on measurement report</w:t>
      </w:r>
      <w:r>
        <w:rPr>
          <w:b/>
          <w:bCs/>
          <w:i/>
          <w:iCs/>
          <w:lang w:eastAsia="x-none"/>
        </w:rPr>
        <w:t>.</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7" w:name="_Ref124589665"/>
      <w:bookmarkStart w:id="18" w:name="_Ref71620620"/>
      <w:bookmarkStart w:id="19" w:name="_Ref124671424"/>
      <w:r w:rsidRPr="00D74B92">
        <w:t>References</w:t>
      </w:r>
    </w:p>
    <w:p w14:paraId="5E4A69DA" w14:textId="5DFAFBD6" w:rsidR="003E034F" w:rsidRDefault="00E200FB" w:rsidP="00C703B5">
      <w:pPr>
        <w:pStyle w:val="References"/>
        <w:rPr>
          <w:sz w:val="22"/>
          <w:szCs w:val="22"/>
        </w:rPr>
      </w:pPr>
      <w:bookmarkStart w:id="20" w:name="_Ref45631853"/>
      <w:bookmarkStart w:id="21" w:name="_Ref6583376"/>
      <w:bookmarkStart w:id="22" w:name="_Ref167612875"/>
      <w:bookmarkStart w:id="23" w:name="_Ref167612671"/>
      <w:bookmarkEnd w:id="17"/>
      <w:bookmarkEnd w:id="18"/>
      <w:bookmarkEnd w:id="19"/>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20"/>
    </w:p>
    <w:p w14:paraId="009C1F75" w14:textId="70109BAA" w:rsidR="00961A83" w:rsidRPr="000E215F" w:rsidRDefault="00961A83" w:rsidP="00C703B5">
      <w:pPr>
        <w:pStyle w:val="References"/>
        <w:rPr>
          <w:sz w:val="22"/>
          <w:szCs w:val="22"/>
        </w:rPr>
      </w:pPr>
      <w:bookmarkStart w:id="24" w:name="_Ref17737264"/>
      <w:r w:rsidRPr="00961A83">
        <w:rPr>
          <w:sz w:val="22"/>
          <w:szCs w:val="18"/>
          <w:lang w:eastAsia="ko-KR"/>
        </w:rPr>
        <w:t>3GPP RAN1, RAN1#102-e, Chairman Notes</w:t>
      </w:r>
      <w:bookmarkEnd w:id="24"/>
    </w:p>
    <w:p w14:paraId="4830C151" w14:textId="0CA73A53" w:rsidR="000E215F" w:rsidRDefault="000E215F" w:rsidP="00C703B5">
      <w:pPr>
        <w:pStyle w:val="References"/>
        <w:rPr>
          <w:sz w:val="22"/>
          <w:szCs w:val="22"/>
        </w:rPr>
      </w:pPr>
      <w:bookmarkStart w:id="25" w:name="_Ref52465738"/>
      <w:r>
        <w:rPr>
          <w:sz w:val="22"/>
          <w:szCs w:val="22"/>
        </w:rPr>
        <w:t xml:space="preserve">TS 38.321, “NR: </w:t>
      </w:r>
      <w:r w:rsidRPr="000E215F">
        <w:rPr>
          <w:sz w:val="22"/>
          <w:szCs w:val="22"/>
        </w:rPr>
        <w:t>Medium Access Control (MAC) protocol specification</w:t>
      </w:r>
      <w:r w:rsidRPr="00E209D3">
        <w:rPr>
          <w:sz w:val="22"/>
          <w:szCs w:val="22"/>
        </w:rPr>
        <w:t xml:space="preserve"> (Release 16)</w:t>
      </w:r>
      <w:r>
        <w:rPr>
          <w:sz w:val="22"/>
          <w:szCs w:val="22"/>
        </w:rPr>
        <w:t>”.</w:t>
      </w:r>
      <w:bookmarkEnd w:id="25"/>
    </w:p>
    <w:p w14:paraId="067547D7" w14:textId="510E447B" w:rsidR="00204A86" w:rsidRDefault="00204A86" w:rsidP="00C703B5">
      <w:pPr>
        <w:pStyle w:val="References"/>
        <w:rPr>
          <w:sz w:val="22"/>
          <w:szCs w:val="22"/>
        </w:rPr>
      </w:pPr>
      <w:bookmarkStart w:id="26" w:name="_Ref52466084"/>
      <w:r>
        <w:rPr>
          <w:sz w:val="22"/>
          <w:szCs w:val="22"/>
        </w:rPr>
        <w:t>TS 38.331, “</w:t>
      </w:r>
      <w:r w:rsidRPr="00204A86">
        <w:rPr>
          <w:sz w:val="22"/>
          <w:szCs w:val="22"/>
        </w:rPr>
        <w:t>Radio Resource Control (RRC) protocol specification</w:t>
      </w:r>
      <w:r>
        <w:rPr>
          <w:sz w:val="22"/>
          <w:szCs w:val="22"/>
        </w:rPr>
        <w:t>”.</w:t>
      </w:r>
      <w:bookmarkEnd w:id="2"/>
      <w:bookmarkEnd w:id="21"/>
      <w:bookmarkEnd w:id="22"/>
      <w:bookmarkEnd w:id="23"/>
      <w:bookmarkEnd w:id="26"/>
    </w:p>
    <w:sectPr w:rsidR="00204A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F7232" w14:textId="77777777" w:rsidR="008D64B8" w:rsidRDefault="008D64B8">
      <w:r>
        <w:separator/>
      </w:r>
    </w:p>
  </w:endnote>
  <w:endnote w:type="continuationSeparator" w:id="0">
    <w:p w14:paraId="61C933E7" w14:textId="77777777" w:rsidR="008D64B8" w:rsidRDefault="008D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DAF98" w14:textId="77777777" w:rsidR="008D64B8" w:rsidRDefault="008D64B8">
      <w:r>
        <w:separator/>
      </w:r>
    </w:p>
  </w:footnote>
  <w:footnote w:type="continuationSeparator" w:id="0">
    <w:p w14:paraId="69D462F5" w14:textId="77777777" w:rsidR="008D64B8" w:rsidRDefault="008D6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7"/>
  </w:num>
  <w:num w:numId="2">
    <w:abstractNumId w:val="5"/>
  </w:num>
  <w:num w:numId="3">
    <w:abstractNumId w:val="13"/>
  </w:num>
  <w:num w:numId="4">
    <w:abstractNumId w:val="6"/>
  </w:num>
  <w:num w:numId="5">
    <w:abstractNumId w:val="0"/>
  </w:num>
  <w:num w:numId="6">
    <w:abstractNumId w:val="11"/>
  </w:num>
  <w:num w:numId="7">
    <w:abstractNumId w:val="4"/>
  </w:num>
  <w:num w:numId="8">
    <w:abstractNumId w:val="9"/>
  </w:num>
  <w:num w:numId="9">
    <w:abstractNumId w:val="2"/>
  </w:num>
  <w:num w:numId="10">
    <w:abstractNumId w:val="7"/>
  </w:num>
  <w:num w:numId="11">
    <w:abstractNumId w:val="7"/>
  </w:num>
  <w:num w:numId="12">
    <w:abstractNumId w:val="7"/>
  </w:num>
  <w:num w:numId="13">
    <w:abstractNumId w:val="3"/>
  </w:num>
  <w:num w:numId="14">
    <w:abstractNumId w:val="10"/>
  </w:num>
  <w:num w:numId="15">
    <w:abstractNumId w:val="14"/>
  </w:num>
  <w:num w:numId="16">
    <w:abstractNumId w:val="12"/>
  </w:num>
  <w:num w:numId="17">
    <w:abstractNumId w:val="8"/>
    <w:lvlOverride w:ilvl="0"/>
    <w:lvlOverride w:ilvl="1">
      <w:startOverride w:val="1"/>
    </w:lvlOverride>
    <w:lvlOverride w:ilvl="2"/>
    <w:lvlOverride w:ilvl="3"/>
    <w:lvlOverride w:ilvl="4"/>
    <w:lvlOverride w:ilvl="5"/>
    <w:lvlOverride w:ilvl="6"/>
    <w:lvlOverride w:ilvl="7"/>
    <w:lvlOverride w:ilvl="8"/>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13"/>
    <w:rsid w:val="000352B3"/>
    <w:rsid w:val="00036660"/>
    <w:rsid w:val="000371DD"/>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0EFA"/>
    <w:rsid w:val="000612E1"/>
    <w:rsid w:val="000614FE"/>
    <w:rsid w:val="0006295E"/>
    <w:rsid w:val="00063B1C"/>
    <w:rsid w:val="00065225"/>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6F3"/>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42D5"/>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D6"/>
    <w:rsid w:val="000E125F"/>
    <w:rsid w:val="000E1380"/>
    <w:rsid w:val="000E18DF"/>
    <w:rsid w:val="000E211D"/>
    <w:rsid w:val="000E215F"/>
    <w:rsid w:val="000E4761"/>
    <w:rsid w:val="000E48AF"/>
    <w:rsid w:val="000E58C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39A"/>
    <w:rsid w:val="00117678"/>
    <w:rsid w:val="001179BC"/>
    <w:rsid w:val="00117C85"/>
    <w:rsid w:val="00117EB0"/>
    <w:rsid w:val="001203A0"/>
    <w:rsid w:val="00120B13"/>
    <w:rsid w:val="00122111"/>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11F"/>
    <w:rsid w:val="00164742"/>
    <w:rsid w:val="00164A21"/>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3D00"/>
    <w:rsid w:val="00194339"/>
    <w:rsid w:val="00194848"/>
    <w:rsid w:val="00194BA9"/>
    <w:rsid w:val="00194F68"/>
    <w:rsid w:val="001958EA"/>
    <w:rsid w:val="00195E0E"/>
    <w:rsid w:val="001965C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988"/>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4928"/>
    <w:rsid w:val="001E5C23"/>
    <w:rsid w:val="001E6354"/>
    <w:rsid w:val="001E7504"/>
    <w:rsid w:val="001E76DF"/>
    <w:rsid w:val="001E7AB4"/>
    <w:rsid w:val="001F1308"/>
    <w:rsid w:val="001F1525"/>
    <w:rsid w:val="001F1E87"/>
    <w:rsid w:val="001F1EB6"/>
    <w:rsid w:val="001F2E23"/>
    <w:rsid w:val="001F341F"/>
    <w:rsid w:val="001F37F6"/>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86"/>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10F"/>
    <w:rsid w:val="00220894"/>
    <w:rsid w:val="0022095C"/>
    <w:rsid w:val="00221772"/>
    <w:rsid w:val="00224952"/>
    <w:rsid w:val="00224DD2"/>
    <w:rsid w:val="00225905"/>
    <w:rsid w:val="00225A6A"/>
    <w:rsid w:val="00225AC7"/>
    <w:rsid w:val="00225ACC"/>
    <w:rsid w:val="00227237"/>
    <w:rsid w:val="00227DBD"/>
    <w:rsid w:val="00227E1E"/>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2380"/>
    <w:rsid w:val="002423AD"/>
    <w:rsid w:val="00244C2D"/>
    <w:rsid w:val="002451C5"/>
    <w:rsid w:val="00245E6C"/>
    <w:rsid w:val="00245F1F"/>
    <w:rsid w:val="0024663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5C77"/>
    <w:rsid w:val="00276A35"/>
    <w:rsid w:val="00276F36"/>
    <w:rsid w:val="002774DD"/>
    <w:rsid w:val="00277835"/>
    <w:rsid w:val="00280AB1"/>
    <w:rsid w:val="00281274"/>
    <w:rsid w:val="002831B5"/>
    <w:rsid w:val="0028344F"/>
    <w:rsid w:val="00283AD1"/>
    <w:rsid w:val="002846CE"/>
    <w:rsid w:val="00284B4D"/>
    <w:rsid w:val="00284BAE"/>
    <w:rsid w:val="002859AF"/>
    <w:rsid w:val="00286AE7"/>
    <w:rsid w:val="00287243"/>
    <w:rsid w:val="00287552"/>
    <w:rsid w:val="00290647"/>
    <w:rsid w:val="002908E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80E"/>
    <w:rsid w:val="002C5AFA"/>
    <w:rsid w:val="002C73E3"/>
    <w:rsid w:val="002C7DF5"/>
    <w:rsid w:val="002D0439"/>
    <w:rsid w:val="002D0779"/>
    <w:rsid w:val="002D11B7"/>
    <w:rsid w:val="002D2D24"/>
    <w:rsid w:val="002D2EC3"/>
    <w:rsid w:val="002D3055"/>
    <w:rsid w:val="002D3870"/>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C28"/>
    <w:rsid w:val="002F281C"/>
    <w:rsid w:val="002F2999"/>
    <w:rsid w:val="002F3CDE"/>
    <w:rsid w:val="002F4CF5"/>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01AA"/>
    <w:rsid w:val="00311161"/>
    <w:rsid w:val="00312400"/>
    <w:rsid w:val="003125EB"/>
    <w:rsid w:val="00312739"/>
    <w:rsid w:val="00312D10"/>
    <w:rsid w:val="00313C7D"/>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39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630"/>
    <w:rsid w:val="0037771A"/>
    <w:rsid w:val="003802DC"/>
    <w:rsid w:val="003807F0"/>
    <w:rsid w:val="00380E4E"/>
    <w:rsid w:val="00380FBF"/>
    <w:rsid w:val="00381156"/>
    <w:rsid w:val="003820E9"/>
    <w:rsid w:val="003828AD"/>
    <w:rsid w:val="00382A43"/>
    <w:rsid w:val="00382D60"/>
    <w:rsid w:val="00382F29"/>
    <w:rsid w:val="0038325E"/>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6DA0"/>
    <w:rsid w:val="003A7702"/>
    <w:rsid w:val="003A7834"/>
    <w:rsid w:val="003A7B42"/>
    <w:rsid w:val="003B0AAB"/>
    <w:rsid w:val="003B0B5B"/>
    <w:rsid w:val="003B0CE2"/>
    <w:rsid w:val="003B0E79"/>
    <w:rsid w:val="003B19A2"/>
    <w:rsid w:val="003B31B1"/>
    <w:rsid w:val="003B3575"/>
    <w:rsid w:val="003B38D1"/>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B7E"/>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60B"/>
    <w:rsid w:val="004330F4"/>
    <w:rsid w:val="00433590"/>
    <w:rsid w:val="0043393D"/>
    <w:rsid w:val="004344C7"/>
    <w:rsid w:val="00435274"/>
    <w:rsid w:val="004352AD"/>
    <w:rsid w:val="0043545D"/>
    <w:rsid w:val="0043547E"/>
    <w:rsid w:val="00435FE2"/>
    <w:rsid w:val="004369F3"/>
    <w:rsid w:val="00436E2F"/>
    <w:rsid w:val="00436EAB"/>
    <w:rsid w:val="004376CE"/>
    <w:rsid w:val="004379F4"/>
    <w:rsid w:val="004423FF"/>
    <w:rsid w:val="00442E51"/>
    <w:rsid w:val="004434F4"/>
    <w:rsid w:val="00443D0E"/>
    <w:rsid w:val="00445B23"/>
    <w:rsid w:val="00445E81"/>
    <w:rsid w:val="004461D9"/>
    <w:rsid w:val="00446AC6"/>
    <w:rsid w:val="00446D07"/>
    <w:rsid w:val="0044759B"/>
    <w:rsid w:val="00447F54"/>
    <w:rsid w:val="0045037E"/>
    <w:rsid w:val="00450B7E"/>
    <w:rsid w:val="00451047"/>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965"/>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8"/>
    <w:rsid w:val="00480E05"/>
    <w:rsid w:val="00480F25"/>
    <w:rsid w:val="00480FBD"/>
    <w:rsid w:val="00481397"/>
    <w:rsid w:val="004816BE"/>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673"/>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913"/>
    <w:rsid w:val="004E1A31"/>
    <w:rsid w:val="004E1C6F"/>
    <w:rsid w:val="004E2413"/>
    <w:rsid w:val="004E2971"/>
    <w:rsid w:val="004E298C"/>
    <w:rsid w:val="004E2DE0"/>
    <w:rsid w:val="004E4060"/>
    <w:rsid w:val="004E409A"/>
    <w:rsid w:val="004E4456"/>
    <w:rsid w:val="004E759F"/>
    <w:rsid w:val="004E7A42"/>
    <w:rsid w:val="004E7C7A"/>
    <w:rsid w:val="004E7F04"/>
    <w:rsid w:val="004F0099"/>
    <w:rsid w:val="004F0961"/>
    <w:rsid w:val="004F0E25"/>
    <w:rsid w:val="004F0FB9"/>
    <w:rsid w:val="004F1C3B"/>
    <w:rsid w:val="004F1C89"/>
    <w:rsid w:val="004F1C8E"/>
    <w:rsid w:val="004F2438"/>
    <w:rsid w:val="004F2910"/>
    <w:rsid w:val="004F2F7E"/>
    <w:rsid w:val="004F32B5"/>
    <w:rsid w:val="004F407E"/>
    <w:rsid w:val="004F41E5"/>
    <w:rsid w:val="004F517A"/>
    <w:rsid w:val="004F5479"/>
    <w:rsid w:val="004F6285"/>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C04"/>
    <w:rsid w:val="00505F75"/>
    <w:rsid w:val="00506853"/>
    <w:rsid w:val="005076EC"/>
    <w:rsid w:val="0050770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937"/>
    <w:rsid w:val="005255BF"/>
    <w:rsid w:val="005257DE"/>
    <w:rsid w:val="00526590"/>
    <w:rsid w:val="00527200"/>
    <w:rsid w:val="00527802"/>
    <w:rsid w:val="00530157"/>
    <w:rsid w:val="00530FEB"/>
    <w:rsid w:val="005313A8"/>
    <w:rsid w:val="00531491"/>
    <w:rsid w:val="00531B0E"/>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0440"/>
    <w:rsid w:val="00550815"/>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B29"/>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9AD"/>
    <w:rsid w:val="005B0FE6"/>
    <w:rsid w:val="005B162A"/>
    <w:rsid w:val="005B17C6"/>
    <w:rsid w:val="005B1C65"/>
    <w:rsid w:val="005B1FD1"/>
    <w:rsid w:val="005B2225"/>
    <w:rsid w:val="005B2799"/>
    <w:rsid w:val="005B2AF5"/>
    <w:rsid w:val="005B2B77"/>
    <w:rsid w:val="005B3330"/>
    <w:rsid w:val="005B3D4A"/>
    <w:rsid w:val="005B4D87"/>
    <w:rsid w:val="005B519B"/>
    <w:rsid w:val="005B5292"/>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2E66"/>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660B"/>
    <w:rsid w:val="006268E9"/>
    <w:rsid w:val="00626AD1"/>
    <w:rsid w:val="00626DC7"/>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1620"/>
    <w:rsid w:val="00642B81"/>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13F4"/>
    <w:rsid w:val="006618CC"/>
    <w:rsid w:val="00661ACB"/>
    <w:rsid w:val="00661E09"/>
    <w:rsid w:val="00662111"/>
    <w:rsid w:val="00662118"/>
    <w:rsid w:val="00662E2F"/>
    <w:rsid w:val="006638AD"/>
    <w:rsid w:val="006639C1"/>
    <w:rsid w:val="006655E0"/>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9F7"/>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4C8"/>
    <w:rsid w:val="006B17E7"/>
    <w:rsid w:val="006B19E8"/>
    <w:rsid w:val="006B1A8A"/>
    <w:rsid w:val="006B1F8E"/>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A63"/>
    <w:rsid w:val="006C2006"/>
    <w:rsid w:val="006C275F"/>
    <w:rsid w:val="006C2BB5"/>
    <w:rsid w:val="006C2BEE"/>
    <w:rsid w:val="006C2C71"/>
    <w:rsid w:val="006C3AD8"/>
    <w:rsid w:val="006C4516"/>
    <w:rsid w:val="006C455E"/>
    <w:rsid w:val="006C5393"/>
    <w:rsid w:val="006C5958"/>
    <w:rsid w:val="006C5B4F"/>
    <w:rsid w:val="006C643C"/>
    <w:rsid w:val="006C6E3A"/>
    <w:rsid w:val="006C6FD7"/>
    <w:rsid w:val="006C76CB"/>
    <w:rsid w:val="006D00DB"/>
    <w:rsid w:val="006D0361"/>
    <w:rsid w:val="006D03BF"/>
    <w:rsid w:val="006D0AE5"/>
    <w:rsid w:val="006D0C94"/>
    <w:rsid w:val="006D0E17"/>
    <w:rsid w:val="006D16B0"/>
    <w:rsid w:val="006D1708"/>
    <w:rsid w:val="006D2182"/>
    <w:rsid w:val="006D2444"/>
    <w:rsid w:val="006D254B"/>
    <w:rsid w:val="006D2736"/>
    <w:rsid w:val="006D2835"/>
    <w:rsid w:val="006D289B"/>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DA8"/>
    <w:rsid w:val="006E45F3"/>
    <w:rsid w:val="006E4A2F"/>
    <w:rsid w:val="006E4CE9"/>
    <w:rsid w:val="006E4ED4"/>
    <w:rsid w:val="006E5E19"/>
    <w:rsid w:val="006E61C3"/>
    <w:rsid w:val="006E799D"/>
    <w:rsid w:val="006F0593"/>
    <w:rsid w:val="006F1064"/>
    <w:rsid w:val="006F1B76"/>
    <w:rsid w:val="006F1EB7"/>
    <w:rsid w:val="006F1FFC"/>
    <w:rsid w:val="006F25D7"/>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2BCA"/>
    <w:rsid w:val="00753191"/>
    <w:rsid w:val="00754359"/>
    <w:rsid w:val="00754411"/>
    <w:rsid w:val="00754BD9"/>
    <w:rsid w:val="00754E7A"/>
    <w:rsid w:val="0075540C"/>
    <w:rsid w:val="00755DB1"/>
    <w:rsid w:val="007574FC"/>
    <w:rsid w:val="007603F1"/>
    <w:rsid w:val="007608FA"/>
    <w:rsid w:val="00760975"/>
    <w:rsid w:val="00760D54"/>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1755"/>
    <w:rsid w:val="00794924"/>
    <w:rsid w:val="0079506E"/>
    <w:rsid w:val="00795D7A"/>
    <w:rsid w:val="007A0BC2"/>
    <w:rsid w:val="007A1F44"/>
    <w:rsid w:val="007A23FF"/>
    <w:rsid w:val="007A25D6"/>
    <w:rsid w:val="007A295B"/>
    <w:rsid w:val="007A3424"/>
    <w:rsid w:val="007A35EF"/>
    <w:rsid w:val="007A43A2"/>
    <w:rsid w:val="007A4D04"/>
    <w:rsid w:val="007A4F65"/>
    <w:rsid w:val="007A59F6"/>
    <w:rsid w:val="007A5EFF"/>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48E"/>
    <w:rsid w:val="00822944"/>
    <w:rsid w:val="0082329D"/>
    <w:rsid w:val="00823FB6"/>
    <w:rsid w:val="00824B6F"/>
    <w:rsid w:val="00824FDF"/>
    <w:rsid w:val="00825125"/>
    <w:rsid w:val="0082568A"/>
    <w:rsid w:val="00825749"/>
    <w:rsid w:val="008257CC"/>
    <w:rsid w:val="00825CA9"/>
    <w:rsid w:val="00825F5C"/>
    <w:rsid w:val="00826775"/>
    <w:rsid w:val="008269AB"/>
    <w:rsid w:val="008274BF"/>
    <w:rsid w:val="00827577"/>
    <w:rsid w:val="008301DB"/>
    <w:rsid w:val="00830DC3"/>
    <w:rsid w:val="00831555"/>
    <w:rsid w:val="00831F52"/>
    <w:rsid w:val="00832154"/>
    <w:rsid w:val="008321C2"/>
    <w:rsid w:val="0083252D"/>
    <w:rsid w:val="00832F5C"/>
    <w:rsid w:val="00834046"/>
    <w:rsid w:val="00834AF8"/>
    <w:rsid w:val="00834DE6"/>
    <w:rsid w:val="00834ECD"/>
    <w:rsid w:val="008359E0"/>
    <w:rsid w:val="00836864"/>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8EA"/>
    <w:rsid w:val="00852E19"/>
    <w:rsid w:val="0085399E"/>
    <w:rsid w:val="008551A3"/>
    <w:rsid w:val="0085640A"/>
    <w:rsid w:val="00856441"/>
    <w:rsid w:val="00856833"/>
    <w:rsid w:val="00856840"/>
    <w:rsid w:val="00857699"/>
    <w:rsid w:val="0086087C"/>
    <w:rsid w:val="0086099F"/>
    <w:rsid w:val="00860D8E"/>
    <w:rsid w:val="00861562"/>
    <w:rsid w:val="00861D51"/>
    <w:rsid w:val="0086275E"/>
    <w:rsid w:val="00863C84"/>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2A1E"/>
    <w:rsid w:val="008833E8"/>
    <w:rsid w:val="00886333"/>
    <w:rsid w:val="008865C8"/>
    <w:rsid w:val="00887B48"/>
    <w:rsid w:val="00890EC6"/>
    <w:rsid w:val="0089111A"/>
    <w:rsid w:val="00891625"/>
    <w:rsid w:val="0089176E"/>
    <w:rsid w:val="008917E0"/>
    <w:rsid w:val="008918B6"/>
    <w:rsid w:val="00892365"/>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18F"/>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2DDE"/>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23D8"/>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C13"/>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2330"/>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B9"/>
    <w:rsid w:val="009664F5"/>
    <w:rsid w:val="009709F8"/>
    <w:rsid w:val="00970E97"/>
    <w:rsid w:val="0097271B"/>
    <w:rsid w:val="009728F6"/>
    <w:rsid w:val="00972929"/>
    <w:rsid w:val="00972F91"/>
    <w:rsid w:val="0097317C"/>
    <w:rsid w:val="00973827"/>
    <w:rsid w:val="009739F2"/>
    <w:rsid w:val="00973D20"/>
    <w:rsid w:val="00973D63"/>
    <w:rsid w:val="009742D3"/>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86E"/>
    <w:rsid w:val="00986E7F"/>
    <w:rsid w:val="00987536"/>
    <w:rsid w:val="009878CA"/>
    <w:rsid w:val="00990BD5"/>
    <w:rsid w:val="00991395"/>
    <w:rsid w:val="00991960"/>
    <w:rsid w:val="0099196F"/>
    <w:rsid w:val="00991C36"/>
    <w:rsid w:val="00992B98"/>
    <w:rsid w:val="0099359F"/>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2988"/>
    <w:rsid w:val="009B37E2"/>
    <w:rsid w:val="009B3CEB"/>
    <w:rsid w:val="009B4519"/>
    <w:rsid w:val="009B46F7"/>
    <w:rsid w:val="009B506B"/>
    <w:rsid w:val="009B57EF"/>
    <w:rsid w:val="009B5B85"/>
    <w:rsid w:val="009B611B"/>
    <w:rsid w:val="009B62D3"/>
    <w:rsid w:val="009B64CB"/>
    <w:rsid w:val="009B66AF"/>
    <w:rsid w:val="009B6D48"/>
    <w:rsid w:val="009B7204"/>
    <w:rsid w:val="009B725F"/>
    <w:rsid w:val="009B74E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17"/>
    <w:rsid w:val="009F5356"/>
    <w:rsid w:val="009F553C"/>
    <w:rsid w:val="009F59F8"/>
    <w:rsid w:val="009F6DF1"/>
    <w:rsid w:val="009F7000"/>
    <w:rsid w:val="009F72FD"/>
    <w:rsid w:val="00A00457"/>
    <w:rsid w:val="00A005B0"/>
    <w:rsid w:val="00A01370"/>
    <w:rsid w:val="00A01373"/>
    <w:rsid w:val="00A01514"/>
    <w:rsid w:val="00A01F17"/>
    <w:rsid w:val="00A022A5"/>
    <w:rsid w:val="00A03A22"/>
    <w:rsid w:val="00A04294"/>
    <w:rsid w:val="00A04634"/>
    <w:rsid w:val="00A0497B"/>
    <w:rsid w:val="00A04D67"/>
    <w:rsid w:val="00A05672"/>
    <w:rsid w:val="00A05803"/>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4E3B"/>
    <w:rsid w:val="00A25294"/>
    <w:rsid w:val="00A254EE"/>
    <w:rsid w:val="00A25BE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D9F"/>
    <w:rsid w:val="00A428FB"/>
    <w:rsid w:val="00A4376F"/>
    <w:rsid w:val="00A43FD0"/>
    <w:rsid w:val="00A44919"/>
    <w:rsid w:val="00A4549F"/>
    <w:rsid w:val="00A45B9B"/>
    <w:rsid w:val="00A45C93"/>
    <w:rsid w:val="00A460BF"/>
    <w:rsid w:val="00A462FE"/>
    <w:rsid w:val="00A46EFA"/>
    <w:rsid w:val="00A4787E"/>
    <w:rsid w:val="00A501C9"/>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76A7D"/>
    <w:rsid w:val="00A8056E"/>
    <w:rsid w:val="00A814BC"/>
    <w:rsid w:val="00A82D58"/>
    <w:rsid w:val="00A8399D"/>
    <w:rsid w:val="00A83E3D"/>
    <w:rsid w:val="00A8443A"/>
    <w:rsid w:val="00A8479C"/>
    <w:rsid w:val="00A8557B"/>
    <w:rsid w:val="00A855A6"/>
    <w:rsid w:val="00A85A05"/>
    <w:rsid w:val="00A85C85"/>
    <w:rsid w:val="00A85D99"/>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B69"/>
    <w:rsid w:val="00A94335"/>
    <w:rsid w:val="00A95ABF"/>
    <w:rsid w:val="00A95C8A"/>
    <w:rsid w:val="00A963C7"/>
    <w:rsid w:val="00A96C01"/>
    <w:rsid w:val="00A96C23"/>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0E34"/>
    <w:rsid w:val="00AC109B"/>
    <w:rsid w:val="00AC209E"/>
    <w:rsid w:val="00AC29F1"/>
    <w:rsid w:val="00AC3DCB"/>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9C7"/>
    <w:rsid w:val="00AD3976"/>
    <w:rsid w:val="00AD4D2A"/>
    <w:rsid w:val="00AD542F"/>
    <w:rsid w:val="00AD5FBE"/>
    <w:rsid w:val="00AD6598"/>
    <w:rsid w:val="00AD7305"/>
    <w:rsid w:val="00AD75B2"/>
    <w:rsid w:val="00AD7859"/>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3CE0"/>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F99"/>
    <w:rsid w:val="00B451E9"/>
    <w:rsid w:val="00B45679"/>
    <w:rsid w:val="00B45876"/>
    <w:rsid w:val="00B46082"/>
    <w:rsid w:val="00B46976"/>
    <w:rsid w:val="00B472D2"/>
    <w:rsid w:val="00B4732E"/>
    <w:rsid w:val="00B47A15"/>
    <w:rsid w:val="00B505C1"/>
    <w:rsid w:val="00B50989"/>
    <w:rsid w:val="00B51130"/>
    <w:rsid w:val="00B5115A"/>
    <w:rsid w:val="00B5131D"/>
    <w:rsid w:val="00B51542"/>
    <w:rsid w:val="00B51D1D"/>
    <w:rsid w:val="00B5310E"/>
    <w:rsid w:val="00B5321B"/>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9A2"/>
    <w:rsid w:val="00B70D58"/>
    <w:rsid w:val="00B711CE"/>
    <w:rsid w:val="00B71CA8"/>
    <w:rsid w:val="00B71DC8"/>
    <w:rsid w:val="00B73469"/>
    <w:rsid w:val="00B735AD"/>
    <w:rsid w:val="00B73A6A"/>
    <w:rsid w:val="00B741EB"/>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4C0F"/>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C09"/>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5008C"/>
    <w:rsid w:val="00C50242"/>
    <w:rsid w:val="00C5034D"/>
    <w:rsid w:val="00C50406"/>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606D5"/>
    <w:rsid w:val="00C61E91"/>
    <w:rsid w:val="00C62254"/>
    <w:rsid w:val="00C62CD5"/>
    <w:rsid w:val="00C636E6"/>
    <w:rsid w:val="00C639D6"/>
    <w:rsid w:val="00C63F8E"/>
    <w:rsid w:val="00C647FB"/>
    <w:rsid w:val="00C6494F"/>
    <w:rsid w:val="00C64EA9"/>
    <w:rsid w:val="00C654E0"/>
    <w:rsid w:val="00C65955"/>
    <w:rsid w:val="00C66696"/>
    <w:rsid w:val="00C67719"/>
    <w:rsid w:val="00C67EAB"/>
    <w:rsid w:val="00C703B5"/>
    <w:rsid w:val="00C70DFF"/>
    <w:rsid w:val="00C72990"/>
    <w:rsid w:val="00C72EF5"/>
    <w:rsid w:val="00C74FEE"/>
    <w:rsid w:val="00C7563B"/>
    <w:rsid w:val="00C75A6B"/>
    <w:rsid w:val="00C760D3"/>
    <w:rsid w:val="00C763B6"/>
    <w:rsid w:val="00C7644F"/>
    <w:rsid w:val="00C768F6"/>
    <w:rsid w:val="00C77F09"/>
    <w:rsid w:val="00C80073"/>
    <w:rsid w:val="00C805E7"/>
    <w:rsid w:val="00C80DEA"/>
    <w:rsid w:val="00C80ED7"/>
    <w:rsid w:val="00C832DC"/>
    <w:rsid w:val="00C8377F"/>
    <w:rsid w:val="00C83D54"/>
    <w:rsid w:val="00C852A9"/>
    <w:rsid w:val="00C8646D"/>
    <w:rsid w:val="00C864DD"/>
    <w:rsid w:val="00C873A8"/>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C14"/>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71AB"/>
    <w:rsid w:val="00CD7958"/>
    <w:rsid w:val="00CE0109"/>
    <w:rsid w:val="00CE1FC5"/>
    <w:rsid w:val="00CE33AA"/>
    <w:rsid w:val="00CE46E5"/>
    <w:rsid w:val="00CE485A"/>
    <w:rsid w:val="00CE5279"/>
    <w:rsid w:val="00CE5528"/>
    <w:rsid w:val="00CE5A78"/>
    <w:rsid w:val="00CE661A"/>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EA9"/>
    <w:rsid w:val="00D071F8"/>
    <w:rsid w:val="00D07252"/>
    <w:rsid w:val="00D074F4"/>
    <w:rsid w:val="00D078F3"/>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0E64"/>
    <w:rsid w:val="00D31A02"/>
    <w:rsid w:val="00D32399"/>
    <w:rsid w:val="00D32786"/>
    <w:rsid w:val="00D32A09"/>
    <w:rsid w:val="00D32C50"/>
    <w:rsid w:val="00D32D51"/>
    <w:rsid w:val="00D3323C"/>
    <w:rsid w:val="00D33456"/>
    <w:rsid w:val="00D33934"/>
    <w:rsid w:val="00D3396F"/>
    <w:rsid w:val="00D33D4D"/>
    <w:rsid w:val="00D34A0B"/>
    <w:rsid w:val="00D36234"/>
    <w:rsid w:val="00D36371"/>
    <w:rsid w:val="00D373B7"/>
    <w:rsid w:val="00D37A53"/>
    <w:rsid w:val="00D41005"/>
    <w:rsid w:val="00D4160D"/>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5072"/>
    <w:rsid w:val="00D551B5"/>
    <w:rsid w:val="00D5573D"/>
    <w:rsid w:val="00D55F97"/>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733"/>
    <w:rsid w:val="00D61FF0"/>
    <w:rsid w:val="00D6211D"/>
    <w:rsid w:val="00D62BD2"/>
    <w:rsid w:val="00D62C97"/>
    <w:rsid w:val="00D6345B"/>
    <w:rsid w:val="00D63517"/>
    <w:rsid w:val="00D6394B"/>
    <w:rsid w:val="00D63B75"/>
    <w:rsid w:val="00D648A1"/>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65CE"/>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2C07"/>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18"/>
    <w:rsid w:val="00DF04EE"/>
    <w:rsid w:val="00DF0AD4"/>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A2B"/>
    <w:rsid w:val="00E04022"/>
    <w:rsid w:val="00E04DC9"/>
    <w:rsid w:val="00E06528"/>
    <w:rsid w:val="00E066DB"/>
    <w:rsid w:val="00E06CC1"/>
    <w:rsid w:val="00E0728F"/>
    <w:rsid w:val="00E0749C"/>
    <w:rsid w:val="00E0755C"/>
    <w:rsid w:val="00E07679"/>
    <w:rsid w:val="00E112CA"/>
    <w:rsid w:val="00E134D4"/>
    <w:rsid w:val="00E13B0C"/>
    <w:rsid w:val="00E149CA"/>
    <w:rsid w:val="00E14A7E"/>
    <w:rsid w:val="00E151E1"/>
    <w:rsid w:val="00E15AB0"/>
    <w:rsid w:val="00E16766"/>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F89"/>
    <w:rsid w:val="00E26009"/>
    <w:rsid w:val="00E26387"/>
    <w:rsid w:val="00E2723B"/>
    <w:rsid w:val="00E274C4"/>
    <w:rsid w:val="00E27F42"/>
    <w:rsid w:val="00E30808"/>
    <w:rsid w:val="00E3117A"/>
    <w:rsid w:val="00E311C3"/>
    <w:rsid w:val="00E32299"/>
    <w:rsid w:val="00E32D62"/>
    <w:rsid w:val="00E339DC"/>
    <w:rsid w:val="00E33E15"/>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6F5C"/>
    <w:rsid w:val="00EA7FCF"/>
    <w:rsid w:val="00EB0CA3"/>
    <w:rsid w:val="00EB104F"/>
    <w:rsid w:val="00EB1888"/>
    <w:rsid w:val="00EB1B27"/>
    <w:rsid w:val="00EB1DA8"/>
    <w:rsid w:val="00EB249F"/>
    <w:rsid w:val="00EB28C3"/>
    <w:rsid w:val="00EB2D2E"/>
    <w:rsid w:val="00EB4B75"/>
    <w:rsid w:val="00EB4CFF"/>
    <w:rsid w:val="00EB53A6"/>
    <w:rsid w:val="00EB5476"/>
    <w:rsid w:val="00EB560C"/>
    <w:rsid w:val="00EB5FB6"/>
    <w:rsid w:val="00EB5FF6"/>
    <w:rsid w:val="00EB67FC"/>
    <w:rsid w:val="00EB70B0"/>
    <w:rsid w:val="00EB74F4"/>
    <w:rsid w:val="00EB7633"/>
    <w:rsid w:val="00EB7736"/>
    <w:rsid w:val="00EB7808"/>
    <w:rsid w:val="00EC1092"/>
    <w:rsid w:val="00EC1DCD"/>
    <w:rsid w:val="00EC2BF5"/>
    <w:rsid w:val="00EC2E2D"/>
    <w:rsid w:val="00EC363A"/>
    <w:rsid w:val="00EC462B"/>
    <w:rsid w:val="00EC4723"/>
    <w:rsid w:val="00EC56E0"/>
    <w:rsid w:val="00EC6057"/>
    <w:rsid w:val="00EC6847"/>
    <w:rsid w:val="00EC6E9C"/>
    <w:rsid w:val="00EC6EB4"/>
    <w:rsid w:val="00EC6F7B"/>
    <w:rsid w:val="00EC7DB6"/>
    <w:rsid w:val="00ED1472"/>
    <w:rsid w:val="00ED162F"/>
    <w:rsid w:val="00ED2AE0"/>
    <w:rsid w:val="00ED2E52"/>
    <w:rsid w:val="00ED3024"/>
    <w:rsid w:val="00ED31DB"/>
    <w:rsid w:val="00ED3414"/>
    <w:rsid w:val="00ED3C23"/>
    <w:rsid w:val="00ED49B0"/>
    <w:rsid w:val="00ED5AAF"/>
    <w:rsid w:val="00ED5FE4"/>
    <w:rsid w:val="00ED6FAD"/>
    <w:rsid w:val="00ED71C5"/>
    <w:rsid w:val="00EE16FA"/>
    <w:rsid w:val="00EE18B9"/>
    <w:rsid w:val="00EE1DBF"/>
    <w:rsid w:val="00EE2B17"/>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1B"/>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5F50"/>
    <w:rsid w:val="00F5626D"/>
    <w:rsid w:val="00F56681"/>
    <w:rsid w:val="00F56B0F"/>
    <w:rsid w:val="00F56BAB"/>
    <w:rsid w:val="00F56DCF"/>
    <w:rsid w:val="00F56EEA"/>
    <w:rsid w:val="00F57034"/>
    <w:rsid w:val="00F57B1F"/>
    <w:rsid w:val="00F60BE9"/>
    <w:rsid w:val="00F612CC"/>
    <w:rsid w:val="00F61FD8"/>
    <w:rsid w:val="00F62478"/>
    <w:rsid w:val="00F6282D"/>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AF4"/>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4D3C"/>
    <w:rsid w:val="00FE67CF"/>
    <w:rsid w:val="00FE6D20"/>
    <w:rsid w:val="00FE6FB9"/>
    <w:rsid w:val="00FE7549"/>
    <w:rsid w:val="00FE7BCC"/>
    <w:rsid w:val="00FE7CA0"/>
    <w:rsid w:val="00FF0832"/>
    <w:rsid w:val="00FF0A52"/>
    <w:rsid w:val="00FF126D"/>
    <w:rsid w:val="00FF2310"/>
    <w:rsid w:val="00FF2319"/>
    <w:rsid w:val="00FF2E73"/>
    <w:rsid w:val="00FF34D1"/>
    <w:rsid w:val="00FF36B0"/>
    <w:rsid w:val="00FF3B37"/>
    <w:rsid w:val="00FF3FE2"/>
    <w:rsid w:val="00FF47E1"/>
    <w:rsid w:val="00FF4AE2"/>
    <w:rsid w:val="00FF5047"/>
    <w:rsid w:val="00FF50A8"/>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15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32490-C819-42E6-ABFA-F8D1DCD4F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3644</TotalTime>
  <Pages>9</Pages>
  <Words>4458</Words>
  <Characters>25411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382</cp:revision>
  <cp:lastPrinted>2007-06-18T22:08:00Z</cp:lastPrinted>
  <dcterms:created xsi:type="dcterms:W3CDTF">2020-07-21T15:46:00Z</dcterms:created>
  <dcterms:modified xsi:type="dcterms:W3CDTF">2020-10-23T17:24:00Z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