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04F10772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#102-e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bookmarkStart w:id="2" w:name="_GoBack"/>
      <w:bookmarkEnd w:id="2"/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B62159">
        <w:rPr>
          <w:rFonts w:ascii="Arial" w:hAnsi="Arial" w:cs="Arial"/>
          <w:b/>
          <w:bCs/>
          <w:snapToGrid w:val="0"/>
          <w:sz w:val="24"/>
          <w:lang w:val="en-GB"/>
        </w:rPr>
        <w:t>2006379</w:t>
      </w:r>
    </w:p>
    <w:p w14:paraId="35E93599" w14:textId="77777777" w:rsidR="004C50BE" w:rsidRPr="006A0944" w:rsidRDefault="004C50B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August 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17</w:t>
      </w:r>
      <w:r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28</w:t>
      </w:r>
      <w:r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Pr="00DF0708">
        <w:rPr>
          <w:rFonts w:ascii="Arial" w:eastAsia="MS Mincho" w:hAnsi="Arial" w:cs="Arial"/>
          <w:b/>
          <w:bCs/>
          <w:sz w:val="24"/>
          <w:lang w:val="en-GB" w:eastAsia="ja-JP"/>
        </w:rPr>
        <w:t>, 20</w:t>
      </w:r>
      <w:r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</w:p>
    <w:p w14:paraId="4EB9F59D" w14:textId="5419F34F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6216F">
        <w:rPr>
          <w:sz w:val="24"/>
          <w:szCs w:val="24"/>
        </w:rPr>
        <w:t>8.4.3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DC06FA9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FE26A9" w:rsidRPr="00FE26A9">
        <w:rPr>
          <w:spacing w:val="-6"/>
          <w:sz w:val="24"/>
          <w:szCs w:val="24"/>
        </w:rPr>
        <w:t>Discussions on UL time and frequency synchronization enhancements in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AAF60F1" w14:textId="19294077" w:rsidR="00437EF9" w:rsidRPr="00F61E17" w:rsidRDefault="009C1846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rFonts w:hint="eastAsia"/>
          <w:b w:val="0"/>
          <w:sz w:val="22"/>
          <w:lang w:val="en-US"/>
        </w:rPr>
        <w:t xml:space="preserve">In </w:t>
      </w:r>
      <w:r w:rsidR="00854580" w:rsidRPr="00F61E17">
        <w:rPr>
          <w:b w:val="0"/>
          <w:sz w:val="22"/>
          <w:lang w:val="en-US"/>
        </w:rPr>
        <w:t xml:space="preserve">the </w:t>
      </w:r>
      <w:r w:rsidR="00437EF9" w:rsidRPr="00F61E17">
        <w:rPr>
          <w:b w:val="0"/>
          <w:sz w:val="22"/>
          <w:lang w:val="en-US"/>
        </w:rPr>
        <w:t xml:space="preserve">NTN </w:t>
      </w:r>
      <w:r w:rsidR="00854580" w:rsidRPr="00F61E17">
        <w:rPr>
          <w:b w:val="0"/>
          <w:sz w:val="22"/>
          <w:lang w:val="en-US"/>
        </w:rPr>
        <w:t>WID [1]</w:t>
      </w:r>
      <w:r w:rsidRPr="00F61E17">
        <w:rPr>
          <w:rFonts w:hint="eastAsia"/>
          <w:b w:val="0"/>
          <w:sz w:val="22"/>
          <w:lang w:val="en-US"/>
        </w:rPr>
        <w:t xml:space="preserve">, </w:t>
      </w:r>
      <w:r w:rsidR="00437EF9" w:rsidRPr="00F61E17">
        <w:rPr>
          <w:b w:val="0"/>
          <w:sz w:val="22"/>
          <w:lang w:val="en-US"/>
        </w:rPr>
        <w:t>the following objectives are relevant to the physical layer design for NTN.</w:t>
      </w:r>
    </w:p>
    <w:p w14:paraId="23172711" w14:textId="21D26D27" w:rsidR="00854580" w:rsidRDefault="00854580" w:rsidP="009C1846">
      <w:pPr>
        <w:rPr>
          <w:rFonts w:eastAsiaTheme="minorEastAsia"/>
        </w:rPr>
      </w:pPr>
      <w:r w:rsidRPr="00854580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A8A190F" wp14:editId="6B12467E">
                <wp:extent cx="6019800" cy="959617"/>
                <wp:effectExtent l="0" t="0" r="19050" b="12065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596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0CF8C" w14:textId="77777777" w:rsidR="00437EF9" w:rsidRPr="00D94B38" w:rsidRDefault="00437EF9" w:rsidP="00437EF9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</w:pPr>
                            <w:r w:rsidRPr="00D94B38">
                              <w:t>Timing relationship enhancements</w:t>
                            </w:r>
                            <w:r>
                              <w:t>[RAN1,RAN2]</w:t>
                            </w:r>
                          </w:p>
                          <w:p w14:paraId="29C712F0" w14:textId="77777777" w:rsidR="00437EF9" w:rsidRPr="00D92489" w:rsidRDefault="00437EF9" w:rsidP="00437EF9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highlight w:val="yellow"/>
                              </w:rPr>
                            </w:pPr>
                            <w:r w:rsidRPr="00D92489">
                              <w:rPr>
                                <w:highlight w:val="yellow"/>
                              </w:rPr>
                              <w:t>Enhancements on UL time and frequency synchronization [RAN1,RAN2]</w:t>
                            </w:r>
                          </w:p>
                          <w:p w14:paraId="552E5C60" w14:textId="77777777" w:rsidR="00437EF9" w:rsidRPr="00BA3F75" w:rsidRDefault="00437EF9" w:rsidP="00437EF9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</w:pPr>
                            <w:r w:rsidRPr="00BA3F75">
                              <w:t>HARQ</w:t>
                            </w:r>
                          </w:p>
                          <w:p w14:paraId="6E9AAAE2" w14:textId="77777777" w:rsidR="00437EF9" w:rsidRPr="00BA3F75" w:rsidRDefault="00437EF9" w:rsidP="00437EF9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</w:pPr>
                            <w:r w:rsidRPr="00BA3F75">
                              <w:t>Number of HARQ process [RAN1]</w:t>
                            </w:r>
                          </w:p>
                          <w:p w14:paraId="78E6BF5F" w14:textId="6606960D" w:rsidR="00CD6707" w:rsidRPr="00437EF9" w:rsidRDefault="00437EF9" w:rsidP="00A426B1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0" w:afterAutospacing="1" w:line="240" w:lineRule="auto"/>
                              <w:jc w:val="left"/>
                              <w:textAlignment w:val="baseline"/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BA3F75">
                              <w:t xml:space="preserve">Enabling / disabling of HARQ feedback as described in the TR 38.821 </w:t>
                            </w:r>
                            <w:r w:rsidRPr="00BA3F75">
                              <w:rPr>
                                <w:rFonts w:hint="eastAsia"/>
                              </w:rPr>
                              <w:t>[</w:t>
                            </w:r>
                            <w:r w:rsidRPr="00BA3F75">
                              <w:t>RAN1&amp;2</w:t>
                            </w:r>
                            <w:r w:rsidRPr="00BA3F75">
                              <w:rPr>
                                <w:rFonts w:hint="eastAsia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8A190F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74pt;height:7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">
                <v:textbox>
                  <w:txbxContent>
                    <w:p w14:paraId="7420CF8C" w14:textId="77777777" w:rsidR="00437EF9" w:rsidRPr="00D94B38" w:rsidRDefault="00437EF9" w:rsidP="00437EF9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</w:pPr>
                      <w:r w:rsidRPr="00D94B38">
                        <w:t>Timing relationship enhancements</w:t>
                      </w:r>
                      <w:r>
                        <w:t>[RAN1,RAN2]</w:t>
                      </w:r>
                    </w:p>
                    <w:p w14:paraId="29C712F0" w14:textId="77777777" w:rsidR="00437EF9" w:rsidRPr="00D92489" w:rsidRDefault="00437EF9" w:rsidP="00437EF9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highlight w:val="yellow"/>
                        </w:rPr>
                      </w:pPr>
                      <w:r w:rsidRPr="00D92489">
                        <w:rPr>
                          <w:highlight w:val="yellow"/>
                        </w:rPr>
                        <w:t>Enhancements on UL time and frequency synchronization [RAN1,RAN2]</w:t>
                      </w:r>
                    </w:p>
                    <w:p w14:paraId="552E5C60" w14:textId="77777777" w:rsidR="00437EF9" w:rsidRPr="00BA3F75" w:rsidRDefault="00437EF9" w:rsidP="00437EF9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</w:pPr>
                      <w:r w:rsidRPr="00BA3F75">
                        <w:t>HARQ</w:t>
                      </w:r>
                    </w:p>
                    <w:p w14:paraId="6E9AAAE2" w14:textId="77777777" w:rsidR="00437EF9" w:rsidRPr="00BA3F75" w:rsidRDefault="00437EF9" w:rsidP="00437EF9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</w:pPr>
                      <w:r w:rsidRPr="00BA3F75">
                        <w:t>Number of HARQ process [RAN1]</w:t>
                      </w:r>
                    </w:p>
                    <w:p w14:paraId="78E6BF5F" w14:textId="6606960D" w:rsidR="00CD6707" w:rsidRPr="00437EF9" w:rsidRDefault="00437EF9" w:rsidP="00A426B1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0" w:afterAutospacing="1" w:line="240" w:lineRule="auto"/>
                        <w:jc w:val="left"/>
                        <w:textAlignment w:val="baseline"/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</w:pPr>
                      <w:r w:rsidRPr="00BA3F75">
                        <w:t xml:space="preserve">Enabling / disabling of HARQ feedback as described in the TR 38.821 </w:t>
                      </w:r>
                      <w:r w:rsidRPr="00BA3F75">
                        <w:rPr>
                          <w:rFonts w:hint="eastAsia"/>
                        </w:rPr>
                        <w:t>[</w:t>
                      </w:r>
                      <w:r w:rsidRPr="00BA3F75">
                        <w:t>RAN1&amp;2</w:t>
                      </w:r>
                      <w:r w:rsidRPr="00BA3F75">
                        <w:rPr>
                          <w:rFonts w:hint="eastAsia"/>
                        </w:rPr>
                        <w:t>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428301" w14:textId="6854F1A7" w:rsidR="00854580" w:rsidRPr="00F61E1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="00CD6707" w:rsidRPr="00F61E17">
        <w:rPr>
          <w:rFonts w:hint="eastAsia"/>
          <w:b w:val="0"/>
          <w:sz w:val="22"/>
          <w:lang w:val="en-US"/>
        </w:rPr>
        <w:t xml:space="preserve">n </w:t>
      </w:r>
      <w:r w:rsidR="00CD6707" w:rsidRPr="00F61E17">
        <w:rPr>
          <w:b w:val="0"/>
          <w:sz w:val="22"/>
          <w:lang w:val="en-US"/>
        </w:rPr>
        <w:t xml:space="preserve">this contribution, we discuss on the enhancement on </w:t>
      </w:r>
      <w:r w:rsidR="00437EF9" w:rsidRPr="00F61E17">
        <w:rPr>
          <w:b w:val="0"/>
          <w:sz w:val="22"/>
          <w:lang w:val="en-US"/>
        </w:rPr>
        <w:t>UL time and frequency synchronization</w:t>
      </w:r>
      <w:r w:rsidR="00CD6707" w:rsidRPr="00F61E17">
        <w:rPr>
          <w:b w:val="0"/>
          <w:sz w:val="22"/>
          <w:lang w:val="en-US"/>
        </w:rPr>
        <w:t xml:space="preserve"> in NTN.</w:t>
      </w:r>
    </w:p>
    <w:p w14:paraId="74A8904E" w14:textId="77777777" w:rsidR="00854580" w:rsidRPr="009C1846" w:rsidRDefault="00854580" w:rsidP="009C1846">
      <w:pPr>
        <w:rPr>
          <w:rFonts w:eastAsiaTheme="minorEastAsia"/>
        </w:rPr>
      </w:pPr>
    </w:p>
    <w:p w14:paraId="5915F18A" w14:textId="672F4E9A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E30138">
        <w:t xml:space="preserve"> </w:t>
      </w:r>
      <w:r w:rsidR="000E2B6F">
        <w:t xml:space="preserve"> </w:t>
      </w:r>
    </w:p>
    <w:p w14:paraId="1BBB73D8" w14:textId="31025477" w:rsidR="00CD6707" w:rsidRDefault="001D756F" w:rsidP="00CD6707">
      <w:pPr>
        <w:pStyle w:val="2"/>
        <w:ind w:left="620" w:right="220"/>
        <w:rPr>
          <w:rFonts w:eastAsiaTheme="minorEastAsia"/>
        </w:rPr>
      </w:pPr>
      <w:r>
        <w:rPr>
          <w:rFonts w:eastAsiaTheme="minorEastAsia" w:hint="eastAsia"/>
        </w:rPr>
        <w:t>Enhancement on U</w:t>
      </w:r>
      <w:r>
        <w:rPr>
          <w:rFonts w:eastAsiaTheme="minorEastAsia"/>
        </w:rPr>
        <w:t>L time synchronization</w:t>
      </w:r>
    </w:p>
    <w:p w14:paraId="5AF0783E" w14:textId="6708807C" w:rsidR="00CD670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In the TR38.821 for NTN SI [2], following two options are captured for the timing advance (TA) in the initial access and the subsequent TA maintenance.</w:t>
      </w:r>
    </w:p>
    <w:p w14:paraId="579704F2" w14:textId="77777777" w:rsidR="00F61E1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DC786C3" w14:textId="711E3340" w:rsidR="00F61E17" w:rsidRDefault="00F61E17" w:rsidP="00F61E17">
      <w:pPr>
        <w:pStyle w:val="LGTdoc1"/>
        <w:numPr>
          <w:ilvl w:val="0"/>
          <w:numId w:val="7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Option 1: </w:t>
      </w:r>
      <w:r w:rsidRPr="00F61E17">
        <w:rPr>
          <w:b w:val="0"/>
          <w:sz w:val="22"/>
          <w:lang w:val="en-US"/>
        </w:rPr>
        <w:t>Autonomous acquisition of the TA at UE with UE known location and satellite ephemeris</w:t>
      </w:r>
    </w:p>
    <w:p w14:paraId="6C9C1984" w14:textId="59A2DA21" w:rsidR="00F61E17" w:rsidRPr="00F61E17" w:rsidRDefault="00F61E17" w:rsidP="00F61E17">
      <w:pPr>
        <w:pStyle w:val="LGTdoc1"/>
        <w:numPr>
          <w:ilvl w:val="0"/>
          <w:numId w:val="7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Option 2: </w:t>
      </w:r>
      <w:r w:rsidRPr="00F61E17">
        <w:rPr>
          <w:b w:val="0"/>
          <w:sz w:val="22"/>
          <w:lang w:val="en-US"/>
        </w:rPr>
        <w:t>Timing advanced adjustment based on network indication</w:t>
      </w:r>
    </w:p>
    <w:p w14:paraId="6A6FAA5F" w14:textId="77777777" w:rsidR="00F61E1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B9D039F" w14:textId="44E5E002" w:rsidR="005C6E21" w:rsidRDefault="0056216F" w:rsidP="00D541ED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Regarding to Option 1, </w:t>
      </w:r>
      <w:r w:rsidR="00F754F7">
        <w:rPr>
          <w:b w:val="0"/>
          <w:sz w:val="22"/>
          <w:lang w:val="en-US"/>
        </w:rPr>
        <w:t xml:space="preserve">in order to acquire the TA at UE side, two </w:t>
      </w:r>
      <w:r w:rsidR="00912F23">
        <w:rPr>
          <w:b w:val="0"/>
          <w:sz w:val="22"/>
          <w:lang w:val="en-US"/>
        </w:rPr>
        <w:t xml:space="preserve">approaches </w:t>
      </w:r>
      <w:r w:rsidR="00F754F7">
        <w:rPr>
          <w:b w:val="0"/>
          <w:sz w:val="22"/>
          <w:lang w:val="en-US"/>
        </w:rPr>
        <w:t xml:space="preserve">are considered. The first </w:t>
      </w:r>
      <w:r w:rsidR="00912F23">
        <w:rPr>
          <w:b w:val="0"/>
          <w:sz w:val="22"/>
          <w:lang w:val="en-US"/>
        </w:rPr>
        <w:t>approach</w:t>
      </w:r>
      <w:r w:rsidR="00F754F7">
        <w:rPr>
          <w:b w:val="0"/>
          <w:sz w:val="22"/>
          <w:lang w:val="en-US"/>
        </w:rPr>
        <w:t xml:space="preserve"> is that the full TA (</w:t>
      </w:r>
      <w:r w:rsidR="00F754F7">
        <w:rPr>
          <w:rFonts w:hint="eastAsia"/>
          <w:b w:val="0"/>
          <w:sz w:val="22"/>
          <w:lang w:val="en-US"/>
        </w:rPr>
        <w:t xml:space="preserve">i.e., common TA + UE specific differential TA) </w:t>
      </w:r>
      <w:r w:rsidR="00F754F7">
        <w:rPr>
          <w:b w:val="0"/>
          <w:sz w:val="22"/>
          <w:lang w:val="en-US"/>
        </w:rPr>
        <w:t>should</w:t>
      </w:r>
      <w:r w:rsidR="00F754F7">
        <w:rPr>
          <w:rFonts w:hint="eastAsia"/>
          <w:b w:val="0"/>
          <w:sz w:val="22"/>
          <w:lang w:val="en-US"/>
        </w:rPr>
        <w:t xml:space="preserve"> be compensated at the UE side</w:t>
      </w:r>
      <w:r w:rsidR="00F754F7">
        <w:rPr>
          <w:b w:val="0"/>
          <w:sz w:val="22"/>
          <w:lang w:val="en-US"/>
        </w:rPr>
        <w:t>.</w:t>
      </w:r>
      <w:r w:rsidR="00912F23">
        <w:rPr>
          <w:b w:val="0"/>
          <w:sz w:val="22"/>
          <w:lang w:val="en-US"/>
        </w:rPr>
        <w:t xml:space="preserve"> </w:t>
      </w:r>
      <w:r w:rsidR="009F22CF">
        <w:rPr>
          <w:b w:val="0"/>
          <w:sz w:val="22"/>
          <w:lang w:val="en-US"/>
        </w:rPr>
        <w:t>Here, the common TA is determined differently depending on which payload system considers.</w:t>
      </w:r>
      <w:r w:rsidR="00D541ED">
        <w:rPr>
          <w:b w:val="0"/>
          <w:sz w:val="22"/>
          <w:lang w:val="en-US"/>
        </w:rPr>
        <w:t xml:space="preserve"> A</w:t>
      </w:r>
      <w:r w:rsidR="00912F23">
        <w:rPr>
          <w:b w:val="0"/>
          <w:sz w:val="22"/>
          <w:lang w:val="en-US"/>
        </w:rPr>
        <w:t>ccording to NTN WID [1], in Rel-17 NTN, the NTN system is assumed as transparent payload.</w:t>
      </w:r>
      <w:r w:rsidR="009F22CF">
        <w:rPr>
          <w:b w:val="0"/>
          <w:sz w:val="22"/>
          <w:lang w:val="en-US"/>
        </w:rPr>
        <w:t xml:space="preserve"> Therefore, </w:t>
      </w:r>
      <w:r w:rsidR="00D541ED">
        <w:rPr>
          <w:b w:val="0"/>
          <w:sz w:val="22"/>
          <w:lang w:val="en-US"/>
        </w:rPr>
        <w:t xml:space="preserve">in this approach, </w:t>
      </w:r>
      <w:r w:rsidR="009F22CF">
        <w:rPr>
          <w:b w:val="0"/>
          <w:sz w:val="22"/>
          <w:lang w:val="en-US"/>
        </w:rPr>
        <w:t>the UE should know the TA value of</w:t>
      </w:r>
      <w:r w:rsidR="00D541ED">
        <w:rPr>
          <w:b w:val="0"/>
          <w:sz w:val="22"/>
          <w:lang w:val="en-US"/>
        </w:rPr>
        <w:t xml:space="preserve"> both service link and </w:t>
      </w:r>
      <w:r w:rsidR="009F22CF">
        <w:rPr>
          <w:b w:val="0"/>
          <w:sz w:val="22"/>
          <w:lang w:val="en-US"/>
        </w:rPr>
        <w:t xml:space="preserve">feeder link. </w:t>
      </w:r>
    </w:p>
    <w:p w14:paraId="3598CAC8" w14:textId="4A3D1863" w:rsidR="0056216F" w:rsidRDefault="00D541ED" w:rsidP="00D541ED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lastRenderedPageBreak/>
        <w:t xml:space="preserve">The TA value of service link </w:t>
      </w:r>
      <w:r w:rsidR="00FD3D24">
        <w:rPr>
          <w:b w:val="0"/>
          <w:sz w:val="22"/>
          <w:lang w:val="en-US"/>
        </w:rPr>
        <w:t>can be</w:t>
      </w:r>
      <w:r>
        <w:rPr>
          <w:b w:val="0"/>
          <w:sz w:val="22"/>
          <w:lang w:val="en-US"/>
        </w:rPr>
        <w:t xml:space="preserve"> calculated at the UE side based on the position of UE and the e</w:t>
      </w:r>
      <w:r w:rsidRPr="00D541ED">
        <w:rPr>
          <w:b w:val="0"/>
          <w:sz w:val="22"/>
          <w:lang w:val="en-US"/>
        </w:rPr>
        <w:t>phemeris</w:t>
      </w:r>
      <w:r>
        <w:rPr>
          <w:b w:val="0"/>
          <w:sz w:val="22"/>
          <w:lang w:val="en-US"/>
        </w:rPr>
        <w:t xml:space="preserve"> of </w:t>
      </w:r>
      <w:r w:rsidR="00B62159">
        <w:rPr>
          <w:b w:val="0"/>
          <w:sz w:val="22"/>
          <w:lang w:val="en-US"/>
        </w:rPr>
        <w:t>satellite</w:t>
      </w:r>
      <w:r>
        <w:rPr>
          <w:b w:val="0"/>
          <w:sz w:val="22"/>
          <w:lang w:val="en-US"/>
        </w:rPr>
        <w:t xml:space="preserve">. But, the TA value of feeder link cannot be calculated at the UE side without any information of feeder link. </w:t>
      </w:r>
      <w:r w:rsidR="009F22CF">
        <w:rPr>
          <w:rFonts w:hint="eastAsia"/>
          <w:b w:val="0"/>
          <w:sz w:val="22"/>
          <w:lang w:val="en-US"/>
        </w:rPr>
        <w:t xml:space="preserve">Some companies </w:t>
      </w:r>
      <w:r w:rsidR="00B62159">
        <w:rPr>
          <w:b w:val="0"/>
          <w:sz w:val="22"/>
          <w:lang w:val="en-US"/>
        </w:rPr>
        <w:t xml:space="preserve">insisted </w:t>
      </w:r>
      <w:r w:rsidR="009F22CF">
        <w:rPr>
          <w:b w:val="0"/>
          <w:sz w:val="22"/>
          <w:lang w:val="en-US"/>
        </w:rPr>
        <w:t xml:space="preserve">that gNB </w:t>
      </w:r>
      <w:r w:rsidR="009F22CF">
        <w:rPr>
          <w:rFonts w:hint="eastAsia"/>
          <w:b w:val="0"/>
          <w:sz w:val="22"/>
          <w:lang w:val="en-US"/>
        </w:rPr>
        <w:t xml:space="preserve">can </w:t>
      </w:r>
      <w:r w:rsidR="00FD3D24">
        <w:rPr>
          <w:b w:val="0"/>
          <w:sz w:val="22"/>
          <w:lang w:val="en-US"/>
        </w:rPr>
        <w:t>provide</w:t>
      </w:r>
      <w:r w:rsidR="009F22CF">
        <w:rPr>
          <w:b w:val="0"/>
          <w:sz w:val="22"/>
          <w:lang w:val="en-US"/>
        </w:rPr>
        <w:t xml:space="preserve"> the TA value of feeder link to UEs, and</w:t>
      </w:r>
      <w:r>
        <w:rPr>
          <w:b w:val="0"/>
          <w:sz w:val="22"/>
          <w:lang w:val="en-US"/>
        </w:rPr>
        <w:t xml:space="preserve"> then</w:t>
      </w:r>
      <w:r w:rsidR="009F22CF">
        <w:rPr>
          <w:b w:val="0"/>
          <w:sz w:val="22"/>
          <w:lang w:val="en-US"/>
        </w:rPr>
        <w:t xml:space="preserve"> the full TA can be compensated at the UE side. However, indicat</w:t>
      </w:r>
      <w:r w:rsidR="00B62159">
        <w:rPr>
          <w:b w:val="0"/>
          <w:sz w:val="22"/>
          <w:lang w:val="en-US"/>
        </w:rPr>
        <w:t>ing</w:t>
      </w:r>
      <w:r w:rsidR="009F22CF">
        <w:rPr>
          <w:b w:val="0"/>
          <w:sz w:val="22"/>
          <w:lang w:val="en-US"/>
        </w:rPr>
        <w:t xml:space="preserve"> the TA value of feeder link</w:t>
      </w:r>
      <w:r w:rsidR="00B62159">
        <w:rPr>
          <w:b w:val="0"/>
          <w:sz w:val="22"/>
          <w:lang w:val="en-US"/>
        </w:rPr>
        <w:t xml:space="preserve"> by gNB</w:t>
      </w:r>
      <w:r w:rsidR="009F22CF">
        <w:rPr>
          <w:b w:val="0"/>
          <w:sz w:val="22"/>
          <w:lang w:val="en-US"/>
        </w:rPr>
        <w:t xml:space="preserve"> is not suitable for the approach of </w:t>
      </w:r>
      <w:r>
        <w:rPr>
          <w:b w:val="0"/>
          <w:sz w:val="22"/>
          <w:lang w:val="en-US"/>
        </w:rPr>
        <w:t xml:space="preserve">autonomous </w:t>
      </w:r>
      <w:r w:rsidR="009F22CF">
        <w:rPr>
          <w:b w:val="0"/>
          <w:sz w:val="22"/>
          <w:lang w:val="en-US"/>
        </w:rPr>
        <w:t>TA compensation at the UE side.</w:t>
      </w:r>
    </w:p>
    <w:p w14:paraId="16400320" w14:textId="5CF27ADC" w:rsidR="00D541ED" w:rsidRDefault="00D541ED" w:rsidP="004D52D0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second approach is that the </w:t>
      </w:r>
      <w:r>
        <w:rPr>
          <w:rFonts w:hint="eastAsia"/>
          <w:b w:val="0"/>
          <w:sz w:val="22"/>
          <w:lang w:val="en-US"/>
        </w:rPr>
        <w:t xml:space="preserve">UE specific differential TA </w:t>
      </w:r>
      <w:r>
        <w:rPr>
          <w:b w:val="0"/>
          <w:sz w:val="22"/>
          <w:lang w:val="en-US"/>
        </w:rPr>
        <w:t>only should</w:t>
      </w:r>
      <w:r>
        <w:rPr>
          <w:rFonts w:hint="eastAsia"/>
          <w:b w:val="0"/>
          <w:sz w:val="22"/>
          <w:lang w:val="en-US"/>
        </w:rPr>
        <w:t xml:space="preserve"> be compensated at the UE side</w:t>
      </w:r>
      <w:r>
        <w:rPr>
          <w:b w:val="0"/>
          <w:sz w:val="22"/>
          <w:lang w:val="en-US"/>
        </w:rPr>
        <w:t xml:space="preserve">. In this approach, the gNB </w:t>
      </w:r>
      <w:r w:rsidR="00FD3D24">
        <w:rPr>
          <w:b w:val="0"/>
          <w:sz w:val="22"/>
          <w:lang w:val="en-US"/>
        </w:rPr>
        <w:t>should</w:t>
      </w:r>
      <w:r>
        <w:rPr>
          <w:b w:val="0"/>
          <w:sz w:val="22"/>
          <w:lang w:val="en-US"/>
        </w:rPr>
        <w:t xml:space="preserve"> </w:t>
      </w:r>
      <w:r w:rsidR="004D52D0">
        <w:rPr>
          <w:b w:val="0"/>
          <w:sz w:val="22"/>
          <w:lang w:val="en-US"/>
        </w:rPr>
        <w:t>provide</w:t>
      </w:r>
      <w:r>
        <w:rPr>
          <w:b w:val="0"/>
          <w:sz w:val="22"/>
          <w:lang w:val="en-US"/>
        </w:rPr>
        <w:t xml:space="preserve"> the common TA</w:t>
      </w:r>
      <w:r w:rsidR="00FD3D24">
        <w:rPr>
          <w:b w:val="0"/>
          <w:sz w:val="22"/>
          <w:lang w:val="en-US"/>
        </w:rPr>
        <w:t xml:space="preserve"> (i.e., service link + feeder link) to the UEs</w:t>
      </w:r>
      <w:r w:rsidR="004D52D0" w:rsidRPr="004D52D0">
        <w:rPr>
          <w:b w:val="0"/>
          <w:sz w:val="22"/>
          <w:lang w:val="en-US"/>
        </w:rPr>
        <w:t xml:space="preserve"> </w:t>
      </w:r>
      <w:r w:rsidR="004D52D0">
        <w:rPr>
          <w:b w:val="0"/>
          <w:sz w:val="22"/>
          <w:lang w:val="en-US"/>
        </w:rPr>
        <w:t>based on the reference point</w:t>
      </w:r>
      <w:r w:rsidR="00FD3D24">
        <w:rPr>
          <w:b w:val="0"/>
          <w:sz w:val="22"/>
          <w:lang w:val="en-US"/>
        </w:rPr>
        <w:t>, the UE can compensate the UE specific differential TA based on the position of UE.</w:t>
      </w:r>
      <w:r w:rsidR="004D52D0">
        <w:rPr>
          <w:b w:val="0"/>
          <w:sz w:val="22"/>
          <w:lang w:val="en-US"/>
        </w:rPr>
        <w:t xml:space="preserve"> For this approach (i.e., the common TA is provided by gNB), d</w:t>
      </w:r>
      <w:r w:rsidR="00FD3D24">
        <w:rPr>
          <w:b w:val="0"/>
          <w:sz w:val="22"/>
          <w:lang w:val="en-US"/>
        </w:rPr>
        <w:t xml:space="preserve">ue to the situations in which common TA value can </w:t>
      </w:r>
      <w:r w:rsidR="00B62159">
        <w:rPr>
          <w:b w:val="0"/>
          <w:sz w:val="22"/>
          <w:lang w:val="en-US"/>
        </w:rPr>
        <w:t xml:space="preserve">be </w:t>
      </w:r>
      <w:r w:rsidR="00FD3D24">
        <w:rPr>
          <w:b w:val="0"/>
          <w:sz w:val="22"/>
          <w:lang w:val="en-US"/>
        </w:rPr>
        <w:t>change</w:t>
      </w:r>
      <w:r w:rsidR="00B62159">
        <w:rPr>
          <w:b w:val="0"/>
          <w:sz w:val="22"/>
          <w:lang w:val="en-US"/>
        </w:rPr>
        <w:t>d</w:t>
      </w:r>
      <w:r w:rsidR="00FD3D24">
        <w:rPr>
          <w:b w:val="0"/>
          <w:sz w:val="22"/>
          <w:lang w:val="en-US"/>
        </w:rPr>
        <w:t xml:space="preserve"> rapidly, such as LEO, the</w:t>
      </w:r>
      <w:r w:rsidR="004D52D0" w:rsidRPr="004D52D0">
        <w:rPr>
          <w:b w:val="0"/>
          <w:sz w:val="22"/>
          <w:lang w:val="en-US"/>
        </w:rPr>
        <w:t xml:space="preserve"> </w:t>
      </w:r>
      <w:r w:rsidR="004D52D0">
        <w:rPr>
          <w:b w:val="0"/>
          <w:sz w:val="22"/>
          <w:lang w:val="en-US"/>
        </w:rPr>
        <w:t xml:space="preserve">indication of </w:t>
      </w:r>
      <w:r w:rsidR="00FD3D24" w:rsidRPr="00D92489">
        <w:rPr>
          <w:b w:val="0"/>
          <w:sz w:val="22"/>
          <w:lang w:val="en-US"/>
        </w:rPr>
        <w:t>multiple common TA values</w:t>
      </w:r>
      <w:r w:rsidR="00D92489">
        <w:rPr>
          <w:b w:val="0"/>
          <w:sz w:val="22"/>
          <w:lang w:val="en-US"/>
        </w:rPr>
        <w:t xml:space="preserve"> considering satellite ephemeris</w:t>
      </w:r>
      <w:r w:rsidR="009935C5">
        <w:rPr>
          <w:b w:val="0"/>
          <w:sz w:val="22"/>
          <w:lang w:val="en-US"/>
        </w:rPr>
        <w:t xml:space="preserve"> by gNB can be considered.</w:t>
      </w:r>
    </w:p>
    <w:p w14:paraId="3D4C0039" w14:textId="77777777" w:rsidR="009935C5" w:rsidRPr="00D92489" w:rsidRDefault="009935C5" w:rsidP="004D52D0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8B37FD4" w14:textId="487DAD92" w:rsidR="009935C5" w:rsidRPr="009C67F0" w:rsidRDefault="009935C5" w:rsidP="009C67F0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9C67F0">
        <w:rPr>
          <w:rFonts w:hint="eastAsia"/>
          <w:sz w:val="22"/>
          <w:lang w:val="en-US"/>
        </w:rPr>
        <w:t>Observation</w:t>
      </w:r>
      <w:r w:rsidR="009C67F0" w:rsidRPr="009C67F0">
        <w:rPr>
          <w:sz w:val="22"/>
          <w:lang w:val="en-US"/>
        </w:rPr>
        <w:t xml:space="preserve"> 1.</w:t>
      </w:r>
      <w:r w:rsidRPr="009C67F0">
        <w:rPr>
          <w:rFonts w:hint="eastAsia"/>
          <w:sz w:val="22"/>
          <w:lang w:val="en-US"/>
        </w:rPr>
        <w:t xml:space="preserve"> </w:t>
      </w:r>
      <w:r w:rsidR="005C6E21" w:rsidRPr="009C67F0">
        <w:rPr>
          <w:sz w:val="22"/>
          <w:lang w:val="en-US"/>
        </w:rPr>
        <w:t xml:space="preserve">Regarding to Option 1, </w:t>
      </w:r>
      <w:r w:rsidR="009C67F0">
        <w:rPr>
          <w:sz w:val="22"/>
          <w:lang w:val="en-US"/>
        </w:rPr>
        <w:t xml:space="preserve">the approach that </w:t>
      </w:r>
      <w:r w:rsidR="009C67F0" w:rsidRPr="009C67F0">
        <w:rPr>
          <w:sz w:val="22"/>
          <w:lang w:val="en-US"/>
        </w:rPr>
        <w:t xml:space="preserve">the </w:t>
      </w:r>
      <w:r w:rsidR="009C67F0">
        <w:rPr>
          <w:sz w:val="22"/>
          <w:lang w:val="en-US"/>
        </w:rPr>
        <w:t xml:space="preserve">only </w:t>
      </w:r>
      <w:r w:rsidR="009C67F0" w:rsidRPr="009C67F0">
        <w:rPr>
          <w:sz w:val="22"/>
          <w:lang w:val="en-US"/>
        </w:rPr>
        <w:t xml:space="preserve">UE specific differential TA </w:t>
      </w:r>
      <w:r w:rsidR="009C67F0">
        <w:rPr>
          <w:sz w:val="22"/>
          <w:lang w:val="en-US"/>
        </w:rPr>
        <w:t>should be</w:t>
      </w:r>
      <w:r w:rsidR="009C67F0" w:rsidRPr="009C67F0">
        <w:rPr>
          <w:sz w:val="22"/>
          <w:lang w:val="en-US"/>
        </w:rPr>
        <w:t xml:space="preserve"> compensated at the UE side</w:t>
      </w:r>
      <w:r w:rsidR="009C67F0">
        <w:rPr>
          <w:sz w:val="22"/>
          <w:lang w:val="en-US"/>
        </w:rPr>
        <w:t xml:space="preserve"> is preferred over the approach that </w:t>
      </w:r>
      <w:r w:rsidR="009C67F0" w:rsidRPr="009C67F0">
        <w:rPr>
          <w:sz w:val="22"/>
          <w:lang w:val="en-US"/>
        </w:rPr>
        <w:t xml:space="preserve">the full TA </w:t>
      </w:r>
      <w:r w:rsidR="009C67F0">
        <w:rPr>
          <w:sz w:val="22"/>
          <w:lang w:val="en-US"/>
        </w:rPr>
        <w:t>should</w:t>
      </w:r>
      <w:r w:rsidR="009C67F0" w:rsidRPr="009C67F0">
        <w:rPr>
          <w:sz w:val="22"/>
          <w:lang w:val="en-US"/>
        </w:rPr>
        <w:t xml:space="preserve"> be compensated at the UE side</w:t>
      </w:r>
      <w:r w:rsidR="009C67F0">
        <w:rPr>
          <w:sz w:val="22"/>
          <w:lang w:val="en-US"/>
        </w:rPr>
        <w:t>.</w:t>
      </w:r>
    </w:p>
    <w:p w14:paraId="793BC141" w14:textId="77777777" w:rsidR="009935C5" w:rsidRDefault="009935C5" w:rsidP="004D52D0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77D193B" w14:textId="06AEE1BE" w:rsidR="00871683" w:rsidRDefault="0056216F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Regarding to Option 2,</w:t>
      </w:r>
      <w:r w:rsidR="004D52D0">
        <w:rPr>
          <w:b w:val="0"/>
          <w:sz w:val="22"/>
          <w:lang w:val="en-US"/>
        </w:rPr>
        <w:t xml:space="preserve"> since the gNB provide</w:t>
      </w:r>
      <w:r w:rsidR="009935C5">
        <w:rPr>
          <w:b w:val="0"/>
          <w:sz w:val="22"/>
          <w:lang w:val="en-US"/>
        </w:rPr>
        <w:t>s</w:t>
      </w:r>
      <w:r w:rsidR="004D52D0">
        <w:rPr>
          <w:b w:val="0"/>
          <w:sz w:val="22"/>
          <w:lang w:val="en-US"/>
        </w:rPr>
        <w:t xml:space="preserve"> the common TA (i.e., service link + feeder link) based on the reference point, and the gNB also provide</w:t>
      </w:r>
      <w:r w:rsidR="009935C5">
        <w:rPr>
          <w:b w:val="0"/>
          <w:sz w:val="22"/>
          <w:lang w:val="en-US"/>
        </w:rPr>
        <w:t>s</w:t>
      </w:r>
      <w:r w:rsidR="004D52D0">
        <w:rPr>
          <w:b w:val="0"/>
          <w:sz w:val="22"/>
          <w:lang w:val="en-US"/>
        </w:rPr>
        <w:t xml:space="preserve"> the UE specific differential TA </w:t>
      </w:r>
      <w:r w:rsidR="009935C5">
        <w:rPr>
          <w:b w:val="0"/>
          <w:sz w:val="22"/>
          <w:lang w:val="en-US"/>
        </w:rPr>
        <w:t xml:space="preserve">in </w:t>
      </w:r>
      <w:r w:rsidR="004D52D0">
        <w:rPr>
          <w:b w:val="0"/>
          <w:sz w:val="22"/>
          <w:lang w:val="en-US"/>
        </w:rPr>
        <w:t>RAR, the UE</w:t>
      </w:r>
      <w:r w:rsidR="009935C5">
        <w:rPr>
          <w:b w:val="0"/>
          <w:sz w:val="22"/>
          <w:lang w:val="en-US"/>
        </w:rPr>
        <w:t>s</w:t>
      </w:r>
      <w:r w:rsidR="004D52D0">
        <w:rPr>
          <w:b w:val="0"/>
          <w:sz w:val="22"/>
          <w:lang w:val="en-US"/>
        </w:rPr>
        <w:t xml:space="preserve"> can acquire the full TA </w:t>
      </w:r>
      <w:r w:rsidR="009935C5">
        <w:rPr>
          <w:b w:val="0"/>
          <w:sz w:val="22"/>
          <w:lang w:val="en-US"/>
        </w:rPr>
        <w:t>based on the above information.</w:t>
      </w:r>
      <w:r w:rsidR="009C67F0">
        <w:rPr>
          <w:b w:val="0"/>
          <w:sz w:val="22"/>
          <w:lang w:val="en-US"/>
        </w:rPr>
        <w:t xml:space="preserve"> </w:t>
      </w:r>
      <w:r w:rsidR="009935C5">
        <w:rPr>
          <w:b w:val="0"/>
          <w:sz w:val="22"/>
          <w:lang w:val="en-US"/>
        </w:rPr>
        <w:t>Here, some company said that the negative value should necessary for TA command in RAR, but i</w:t>
      </w:r>
      <w:r w:rsidR="009935C5" w:rsidRPr="009935C5">
        <w:rPr>
          <w:b w:val="0"/>
          <w:sz w:val="22"/>
          <w:lang w:val="en-US"/>
        </w:rPr>
        <w:t xml:space="preserve">f the </w:t>
      </w:r>
      <w:r w:rsidR="009935C5">
        <w:rPr>
          <w:b w:val="0"/>
          <w:sz w:val="22"/>
          <w:lang w:val="en-US"/>
        </w:rPr>
        <w:t>gNB</w:t>
      </w:r>
      <w:r w:rsidR="009935C5" w:rsidRPr="009935C5">
        <w:rPr>
          <w:b w:val="0"/>
          <w:sz w:val="22"/>
          <w:lang w:val="en-US"/>
        </w:rPr>
        <w:t xml:space="preserve"> </w:t>
      </w:r>
      <w:r w:rsidR="009935C5">
        <w:rPr>
          <w:b w:val="0"/>
          <w:sz w:val="22"/>
          <w:lang w:val="en-US"/>
        </w:rPr>
        <w:t>provides</w:t>
      </w:r>
      <w:r w:rsidR="009935C5" w:rsidRPr="009935C5">
        <w:rPr>
          <w:b w:val="0"/>
          <w:sz w:val="22"/>
          <w:lang w:val="en-US"/>
        </w:rPr>
        <w:t xml:space="preserve"> the common TA value appropriately, it seems that </w:t>
      </w:r>
      <w:r w:rsidR="009935C5">
        <w:rPr>
          <w:b w:val="0"/>
          <w:sz w:val="22"/>
          <w:lang w:val="en-US"/>
        </w:rPr>
        <w:t>there is no problem with using only positive value can be used for TA command in RAR.</w:t>
      </w:r>
      <w:r w:rsidR="00871683">
        <w:rPr>
          <w:b w:val="0"/>
          <w:sz w:val="22"/>
          <w:lang w:val="en-US"/>
        </w:rPr>
        <w:t xml:space="preserve"> </w:t>
      </w:r>
    </w:p>
    <w:p w14:paraId="352C5252" w14:textId="20200068" w:rsidR="0056216F" w:rsidRDefault="00871683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Moreover, it is reasonable to enhance the step size of TA command in RAR because the cell coverage is larger than terrestrial networks (TN). However</w:t>
      </w:r>
      <w:r w:rsidR="009935C5">
        <w:rPr>
          <w:rFonts w:hint="eastAsia"/>
          <w:b w:val="0"/>
          <w:sz w:val="22"/>
          <w:lang w:val="en-US"/>
        </w:rPr>
        <w:t>,</w:t>
      </w:r>
      <w:r w:rsidR="009935C5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if step size of TA command in RAR is too large, the gNB may not be able to provide the accurate TA vale to UE. </w:t>
      </w:r>
      <w:r w:rsidRPr="00871683">
        <w:rPr>
          <w:b w:val="0"/>
          <w:sz w:val="22"/>
          <w:lang w:val="en-US"/>
        </w:rPr>
        <w:t xml:space="preserve">Therefore, </w:t>
      </w:r>
      <w:r w:rsidR="005C6E21">
        <w:rPr>
          <w:b w:val="0"/>
          <w:sz w:val="22"/>
          <w:lang w:val="en-US"/>
        </w:rPr>
        <w:t xml:space="preserve">it is necessary to determine the appropriate TA step size, and as an alternatives, the </w:t>
      </w:r>
      <w:r w:rsidRPr="00871683">
        <w:rPr>
          <w:b w:val="0"/>
          <w:sz w:val="22"/>
          <w:lang w:val="en-US"/>
        </w:rPr>
        <w:t>multiple reference points can be considered</w:t>
      </w:r>
      <w:r w:rsidR="005C6E21">
        <w:rPr>
          <w:b w:val="0"/>
          <w:sz w:val="22"/>
          <w:lang w:val="en-US"/>
        </w:rPr>
        <w:t xml:space="preserve">. </w:t>
      </w:r>
    </w:p>
    <w:p w14:paraId="06BC65BC" w14:textId="1FBE24BA" w:rsidR="005C6E21" w:rsidRDefault="00E673E1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B</w:t>
      </w:r>
      <w:r>
        <w:rPr>
          <w:b w:val="0"/>
          <w:sz w:val="22"/>
          <w:lang w:val="en-US"/>
        </w:rPr>
        <w:t>ased on above discussion</w:t>
      </w:r>
      <w:r w:rsidR="005C6E21">
        <w:rPr>
          <w:b w:val="0"/>
          <w:sz w:val="22"/>
          <w:lang w:val="en-US"/>
        </w:rPr>
        <w:t>, the Option 2 is preferred ove</w:t>
      </w:r>
      <w:r w:rsidR="00FA3537">
        <w:rPr>
          <w:b w:val="0"/>
          <w:sz w:val="22"/>
          <w:lang w:val="en-US"/>
        </w:rPr>
        <w:t>r the Option 1</w:t>
      </w:r>
      <w:r w:rsidR="009C67F0">
        <w:rPr>
          <w:b w:val="0"/>
          <w:sz w:val="22"/>
          <w:lang w:val="en-US"/>
        </w:rPr>
        <w:t>, because the UE complexity does not increase</w:t>
      </w:r>
      <w:r w:rsidR="00FA3537">
        <w:rPr>
          <w:b w:val="0"/>
          <w:sz w:val="22"/>
          <w:lang w:val="en-US"/>
        </w:rPr>
        <w:t>. However, if Option 1 should be supported, the second approach (</w:t>
      </w:r>
      <w:r w:rsidR="00FA3537">
        <w:rPr>
          <w:rFonts w:hint="eastAsia"/>
          <w:b w:val="0"/>
          <w:sz w:val="22"/>
          <w:lang w:val="en-US"/>
        </w:rPr>
        <w:t>i.e.,</w:t>
      </w:r>
      <w:r w:rsidR="00FA3537">
        <w:rPr>
          <w:b w:val="0"/>
          <w:sz w:val="22"/>
          <w:lang w:val="en-US"/>
        </w:rPr>
        <w:t xml:space="preserve"> the </w:t>
      </w:r>
      <w:r w:rsidR="00FA3537">
        <w:rPr>
          <w:rFonts w:hint="eastAsia"/>
          <w:b w:val="0"/>
          <w:sz w:val="22"/>
          <w:lang w:val="en-US"/>
        </w:rPr>
        <w:t xml:space="preserve">UE specific differential TA </w:t>
      </w:r>
      <w:r w:rsidR="00FA3537">
        <w:rPr>
          <w:b w:val="0"/>
          <w:sz w:val="22"/>
          <w:lang w:val="en-US"/>
        </w:rPr>
        <w:t>only should</w:t>
      </w:r>
      <w:r w:rsidR="00FA3537">
        <w:rPr>
          <w:rFonts w:hint="eastAsia"/>
          <w:b w:val="0"/>
          <w:sz w:val="22"/>
          <w:lang w:val="en-US"/>
        </w:rPr>
        <w:t xml:space="preserve"> be compensated at the UE side</w:t>
      </w:r>
      <w:r w:rsidR="00FA3537">
        <w:rPr>
          <w:b w:val="0"/>
          <w:sz w:val="22"/>
          <w:lang w:val="en-US"/>
        </w:rPr>
        <w:t>) is preferred over the first approach (i.e., the full TA should</w:t>
      </w:r>
      <w:r w:rsidR="00FA3537">
        <w:rPr>
          <w:rFonts w:hint="eastAsia"/>
          <w:b w:val="0"/>
          <w:sz w:val="22"/>
          <w:lang w:val="en-US"/>
        </w:rPr>
        <w:t xml:space="preserve"> be compensated at the UE side</w:t>
      </w:r>
      <w:r w:rsidR="00FA3537">
        <w:rPr>
          <w:b w:val="0"/>
          <w:sz w:val="22"/>
          <w:lang w:val="en-US"/>
        </w:rPr>
        <w:t>).</w:t>
      </w:r>
    </w:p>
    <w:p w14:paraId="71DF1FE1" w14:textId="77777777" w:rsidR="005C6E21" w:rsidRDefault="005C6E21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BF40046" w14:textId="27374C23" w:rsidR="00FA3537" w:rsidRPr="009C67F0" w:rsidRDefault="00FA3537" w:rsidP="009C67F0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9C67F0">
        <w:rPr>
          <w:sz w:val="22"/>
          <w:lang w:val="en-US"/>
        </w:rPr>
        <w:t>Proposal</w:t>
      </w:r>
      <w:r w:rsidR="009C67F0">
        <w:rPr>
          <w:sz w:val="22"/>
          <w:lang w:val="en-US"/>
        </w:rPr>
        <w:t xml:space="preserve"> 1.</w:t>
      </w:r>
      <w:r w:rsidRPr="009C67F0">
        <w:rPr>
          <w:sz w:val="22"/>
          <w:lang w:val="en-US"/>
        </w:rPr>
        <w:t xml:space="preserve"> </w:t>
      </w:r>
      <w:r w:rsidR="009C67F0">
        <w:rPr>
          <w:sz w:val="22"/>
          <w:lang w:val="en-US"/>
        </w:rPr>
        <w:t>For the timing advance (TA)</w:t>
      </w:r>
      <w:r w:rsidR="009C67F0" w:rsidRPr="009C67F0">
        <w:rPr>
          <w:sz w:val="22"/>
          <w:lang w:val="en-US"/>
        </w:rPr>
        <w:t xml:space="preserve"> in the initial access and the subsequent TA maintenance,</w:t>
      </w:r>
      <w:r w:rsidR="009C67F0">
        <w:rPr>
          <w:sz w:val="22"/>
          <w:lang w:val="en-US"/>
        </w:rPr>
        <w:t xml:space="preserve"> the option that the gNB can provide both common TA and UE specific differential TA (i.e., </w:t>
      </w:r>
      <w:r w:rsidRPr="009C67F0">
        <w:rPr>
          <w:sz w:val="22"/>
          <w:lang w:val="en-US"/>
        </w:rPr>
        <w:t>Option 2</w:t>
      </w:r>
      <w:r w:rsidR="009C67F0">
        <w:rPr>
          <w:sz w:val="22"/>
          <w:lang w:val="en-US"/>
        </w:rPr>
        <w:t>)</w:t>
      </w:r>
      <w:r w:rsidRPr="009C67F0">
        <w:rPr>
          <w:sz w:val="22"/>
          <w:lang w:val="en-US"/>
        </w:rPr>
        <w:t xml:space="preserve"> is preferred over </w:t>
      </w:r>
      <w:r w:rsidR="003F5D41">
        <w:rPr>
          <w:sz w:val="22"/>
          <w:lang w:val="en-US"/>
        </w:rPr>
        <w:t xml:space="preserve">the </w:t>
      </w:r>
      <w:r w:rsidR="009C67F0">
        <w:rPr>
          <w:sz w:val="22"/>
          <w:lang w:val="en-US"/>
        </w:rPr>
        <w:t>a</w:t>
      </w:r>
      <w:r w:rsidR="009C67F0" w:rsidRPr="009C67F0">
        <w:rPr>
          <w:sz w:val="22"/>
          <w:lang w:val="en-US"/>
        </w:rPr>
        <w:t>utonomous acquisition of the TA at UE</w:t>
      </w:r>
      <w:r w:rsidR="009C67F0">
        <w:rPr>
          <w:sz w:val="22"/>
          <w:lang w:val="en-US"/>
        </w:rPr>
        <w:t xml:space="preserve"> side (i.e., </w:t>
      </w:r>
      <w:r w:rsidRPr="009C67F0">
        <w:rPr>
          <w:sz w:val="22"/>
          <w:lang w:val="en-US"/>
        </w:rPr>
        <w:t>Option 1</w:t>
      </w:r>
      <w:r w:rsidR="009C67F0">
        <w:rPr>
          <w:sz w:val="22"/>
          <w:lang w:val="en-US"/>
        </w:rPr>
        <w:t>).</w:t>
      </w:r>
    </w:p>
    <w:p w14:paraId="1FFFC351" w14:textId="77777777" w:rsidR="0018590A" w:rsidRDefault="0018590A" w:rsidP="0018590A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0659ED5F" w14:textId="0F70A3EC" w:rsidR="00FA3537" w:rsidRDefault="00FA3537" w:rsidP="0018590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18590A">
        <w:rPr>
          <w:sz w:val="22"/>
          <w:lang w:val="en-US"/>
        </w:rPr>
        <w:lastRenderedPageBreak/>
        <w:t>Proposal</w:t>
      </w:r>
      <w:r w:rsidR="0018590A">
        <w:rPr>
          <w:sz w:val="22"/>
          <w:lang w:val="en-US"/>
        </w:rPr>
        <w:t xml:space="preserve"> 2.</w:t>
      </w:r>
      <w:r w:rsidRPr="0018590A">
        <w:rPr>
          <w:sz w:val="22"/>
          <w:lang w:val="en-US"/>
        </w:rPr>
        <w:t xml:space="preserve"> </w:t>
      </w:r>
      <w:r w:rsidR="0018590A">
        <w:rPr>
          <w:sz w:val="22"/>
          <w:lang w:val="en-US"/>
        </w:rPr>
        <w:t>If</w:t>
      </w:r>
      <w:r w:rsidRPr="0018590A">
        <w:rPr>
          <w:sz w:val="22"/>
          <w:lang w:val="en-US"/>
        </w:rPr>
        <w:t xml:space="preserve"> Option 1 </w:t>
      </w:r>
      <w:r w:rsidR="003F5D41">
        <w:rPr>
          <w:sz w:val="22"/>
          <w:lang w:val="en-US"/>
        </w:rPr>
        <w:t>is down-selected</w:t>
      </w:r>
      <w:r w:rsidRPr="0018590A">
        <w:rPr>
          <w:sz w:val="22"/>
          <w:lang w:val="en-US"/>
        </w:rPr>
        <w:t xml:space="preserve">, </w:t>
      </w:r>
      <w:r w:rsidR="0018590A">
        <w:rPr>
          <w:sz w:val="22"/>
          <w:lang w:val="en-US"/>
        </w:rPr>
        <w:t xml:space="preserve">the approach that </w:t>
      </w:r>
      <w:r w:rsidR="0018590A" w:rsidRPr="009C67F0">
        <w:rPr>
          <w:sz w:val="22"/>
          <w:lang w:val="en-US"/>
        </w:rPr>
        <w:t xml:space="preserve">the </w:t>
      </w:r>
      <w:r w:rsidR="0018590A">
        <w:rPr>
          <w:sz w:val="22"/>
          <w:lang w:val="en-US"/>
        </w:rPr>
        <w:t xml:space="preserve">only </w:t>
      </w:r>
      <w:r w:rsidR="0018590A" w:rsidRPr="009C67F0">
        <w:rPr>
          <w:sz w:val="22"/>
          <w:lang w:val="en-US"/>
        </w:rPr>
        <w:t xml:space="preserve">UE specific differential TA </w:t>
      </w:r>
      <w:r w:rsidR="0018590A">
        <w:rPr>
          <w:sz w:val="22"/>
          <w:lang w:val="en-US"/>
        </w:rPr>
        <w:t>should be</w:t>
      </w:r>
      <w:r w:rsidR="0018590A" w:rsidRPr="009C67F0">
        <w:rPr>
          <w:sz w:val="22"/>
          <w:lang w:val="en-US"/>
        </w:rPr>
        <w:t xml:space="preserve"> compensated at the UE side</w:t>
      </w:r>
      <w:r w:rsidR="0018590A">
        <w:rPr>
          <w:sz w:val="22"/>
          <w:lang w:val="en-US"/>
        </w:rPr>
        <w:t xml:space="preserve"> is preferred</w:t>
      </w:r>
      <w:r w:rsidRPr="0018590A">
        <w:rPr>
          <w:sz w:val="22"/>
          <w:lang w:val="en-US"/>
        </w:rPr>
        <w:t>.</w:t>
      </w:r>
    </w:p>
    <w:p w14:paraId="495CC0B6" w14:textId="77777777" w:rsidR="00FA3537" w:rsidRPr="003F5D41" w:rsidRDefault="00FA353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178B680" w14:textId="27EA4EF0" w:rsidR="006E01C7" w:rsidRDefault="006E01C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case</w:t>
      </w:r>
      <w:r>
        <w:rPr>
          <w:b w:val="0"/>
          <w:sz w:val="22"/>
          <w:lang w:val="en-US"/>
        </w:rPr>
        <w:t>s</w:t>
      </w:r>
      <w:r>
        <w:rPr>
          <w:rFonts w:hint="eastAsia"/>
          <w:b w:val="0"/>
          <w:sz w:val="22"/>
          <w:lang w:val="en-US"/>
        </w:rPr>
        <w:t xml:space="preserve"> when the common TA is provided by gNB, </w:t>
      </w:r>
      <w:r>
        <w:rPr>
          <w:b w:val="0"/>
          <w:sz w:val="22"/>
          <w:lang w:val="en-US"/>
        </w:rPr>
        <w:t>i</w:t>
      </w:r>
      <w:r w:rsidRPr="006E01C7">
        <w:rPr>
          <w:b w:val="0"/>
          <w:sz w:val="22"/>
          <w:lang w:val="en-US"/>
        </w:rPr>
        <w:t xml:space="preserve">t is necessary to discuss the common TA will be </w:t>
      </w:r>
      <w:r>
        <w:rPr>
          <w:b w:val="0"/>
          <w:sz w:val="22"/>
          <w:lang w:val="en-US"/>
        </w:rPr>
        <w:t>provided</w:t>
      </w:r>
      <w:r w:rsidRPr="006E01C7">
        <w:rPr>
          <w:b w:val="0"/>
          <w:sz w:val="22"/>
          <w:lang w:val="en-US"/>
        </w:rPr>
        <w:t xml:space="preserve"> which DL signals and/or channels.</w:t>
      </w:r>
      <w:r>
        <w:rPr>
          <w:b w:val="0"/>
          <w:sz w:val="22"/>
          <w:lang w:val="en-US"/>
        </w:rPr>
        <w:t xml:space="preserve"> As mentioned earlier, due to the situations in which common TA values can change rapidly, such as LEO, the semi-static signaling (e.g., SIB) </w:t>
      </w:r>
      <w:r w:rsidR="00DD5CCD">
        <w:rPr>
          <w:b w:val="0"/>
          <w:sz w:val="22"/>
          <w:lang w:val="en-US"/>
        </w:rPr>
        <w:t>may</w:t>
      </w:r>
      <w:r>
        <w:rPr>
          <w:b w:val="0"/>
          <w:sz w:val="22"/>
          <w:lang w:val="en-US"/>
        </w:rPr>
        <w:t xml:space="preserve"> not </w:t>
      </w:r>
      <w:r w:rsidR="005C6E21">
        <w:rPr>
          <w:b w:val="0"/>
          <w:sz w:val="22"/>
          <w:lang w:val="en-US"/>
        </w:rPr>
        <w:t xml:space="preserve">be </w:t>
      </w:r>
      <w:r>
        <w:rPr>
          <w:b w:val="0"/>
          <w:sz w:val="22"/>
          <w:lang w:val="en-US"/>
        </w:rPr>
        <w:t xml:space="preserve">suitable. </w:t>
      </w:r>
      <w:r w:rsidR="00DD5CCD">
        <w:rPr>
          <w:b w:val="0"/>
          <w:sz w:val="22"/>
          <w:lang w:val="en-US"/>
        </w:rPr>
        <w:t xml:space="preserve">Therefore, it can be considered that the one or multiple common TA values can be provided by group common PDCCH. </w:t>
      </w:r>
      <w:r w:rsidR="00DD5CCD" w:rsidRPr="00D92489">
        <w:rPr>
          <w:b w:val="0"/>
          <w:sz w:val="22"/>
          <w:lang w:val="en-US"/>
        </w:rPr>
        <w:t>Alternat</w:t>
      </w:r>
      <w:r w:rsidR="003F5D41" w:rsidRPr="00D92489">
        <w:rPr>
          <w:b w:val="0"/>
          <w:sz w:val="22"/>
          <w:lang w:val="en-US"/>
        </w:rPr>
        <w:t>iv</w:t>
      </w:r>
      <w:r w:rsidR="00DD5CCD" w:rsidRPr="00D92489">
        <w:rPr>
          <w:b w:val="0"/>
          <w:sz w:val="22"/>
          <w:lang w:val="en-US"/>
        </w:rPr>
        <w:t xml:space="preserve">ely, initial common TA can be provided by semi-static signaling (e.g., SIB) and after that, the </w:t>
      </w:r>
      <w:r w:rsidR="005C6E21" w:rsidRPr="00D92489">
        <w:rPr>
          <w:b w:val="0"/>
          <w:sz w:val="22"/>
          <w:lang w:val="en-US"/>
        </w:rPr>
        <w:t xml:space="preserve">updated </w:t>
      </w:r>
      <w:r w:rsidR="00DD5CCD" w:rsidRPr="00D92489">
        <w:rPr>
          <w:b w:val="0"/>
          <w:sz w:val="22"/>
          <w:lang w:val="en-US"/>
        </w:rPr>
        <w:t xml:space="preserve">common TA will be </w:t>
      </w:r>
      <w:r w:rsidR="005C6E21" w:rsidRPr="00D92489">
        <w:rPr>
          <w:b w:val="0"/>
          <w:sz w:val="22"/>
          <w:lang w:val="en-US"/>
        </w:rPr>
        <w:t xml:space="preserve">provided </w:t>
      </w:r>
      <w:r w:rsidR="00DD5CCD" w:rsidRPr="00D92489">
        <w:rPr>
          <w:b w:val="0"/>
          <w:sz w:val="22"/>
          <w:lang w:val="en-US"/>
        </w:rPr>
        <w:t>by dynamic signaling (e.g., GC PDCCH).</w:t>
      </w:r>
    </w:p>
    <w:p w14:paraId="545AA439" w14:textId="77777777" w:rsidR="00F61E17" w:rsidRPr="006E01C7" w:rsidRDefault="00F61E17" w:rsidP="00F61E17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0157DCD8" w14:textId="7A819D74" w:rsidR="00CD6707" w:rsidRDefault="00CD6707" w:rsidP="00CD6707">
      <w:pPr>
        <w:pStyle w:val="2"/>
        <w:ind w:left="620" w:right="220"/>
        <w:rPr>
          <w:rFonts w:eastAsiaTheme="minorEastAsia"/>
        </w:rPr>
      </w:pPr>
      <w:r>
        <w:rPr>
          <w:rFonts w:eastAsiaTheme="minorEastAsia" w:hint="eastAsia"/>
        </w:rPr>
        <w:t xml:space="preserve">Enhancement on </w:t>
      </w:r>
      <w:r w:rsidR="0008332C">
        <w:rPr>
          <w:rFonts w:eastAsiaTheme="minorEastAsia"/>
        </w:rPr>
        <w:t xml:space="preserve">UL </w:t>
      </w:r>
      <w:r w:rsidR="001D756F">
        <w:rPr>
          <w:rFonts w:eastAsiaTheme="minorEastAsia"/>
        </w:rPr>
        <w:t>frequency synchronization</w:t>
      </w:r>
    </w:p>
    <w:p w14:paraId="13CA6DE1" w14:textId="3EDB9443" w:rsidR="00CD6707" w:rsidRPr="00F61E17" w:rsidRDefault="0044652B" w:rsidP="0044652B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According to the FL summaries of Rel-16 NTN Study Item phase, </w:t>
      </w:r>
      <w:r w:rsidR="00E0681E">
        <w:rPr>
          <w:b w:val="0"/>
          <w:sz w:val="22"/>
          <w:lang w:val="en-US"/>
        </w:rPr>
        <w:t xml:space="preserve">it said that </w:t>
      </w:r>
      <w:r>
        <w:rPr>
          <w:b w:val="0"/>
          <w:sz w:val="22"/>
          <w:lang w:val="en-US"/>
        </w:rPr>
        <w:t xml:space="preserve">there is no critical issue with respect to the tracking performance including the impact of frequency shift. However, </w:t>
      </w:r>
      <w:r w:rsidRPr="0044652B">
        <w:rPr>
          <w:b w:val="0"/>
          <w:sz w:val="22"/>
          <w:lang w:val="en-US"/>
        </w:rPr>
        <w:t>due to the lack of the simulation results</w:t>
      </w:r>
      <w:r>
        <w:rPr>
          <w:b w:val="0"/>
          <w:sz w:val="22"/>
          <w:lang w:val="en-US"/>
        </w:rPr>
        <w:t xml:space="preserve"> regarding to UL frequency synchronization, some companies </w:t>
      </w:r>
      <w:r w:rsidR="006B1CEE">
        <w:rPr>
          <w:b w:val="0"/>
          <w:sz w:val="22"/>
          <w:lang w:val="en-US"/>
        </w:rPr>
        <w:t>expect</w:t>
      </w:r>
      <w:r>
        <w:rPr>
          <w:b w:val="0"/>
          <w:sz w:val="22"/>
          <w:lang w:val="en-US"/>
        </w:rPr>
        <w:t xml:space="preserve"> to see more companies view </w:t>
      </w:r>
      <w:r w:rsidR="00E0681E">
        <w:rPr>
          <w:b w:val="0"/>
          <w:sz w:val="22"/>
          <w:lang w:val="en-US"/>
        </w:rPr>
        <w:t>in WI phase</w:t>
      </w:r>
      <w:r>
        <w:rPr>
          <w:b w:val="0"/>
          <w:sz w:val="22"/>
          <w:lang w:val="en-US"/>
        </w:rPr>
        <w:t>. Therefore, if there is critical issues on UL frequency synchronization</w:t>
      </w:r>
      <w:r w:rsidR="00E0681E">
        <w:rPr>
          <w:b w:val="0"/>
          <w:sz w:val="22"/>
          <w:lang w:val="en-US"/>
        </w:rPr>
        <w:t xml:space="preserve">, some technical discussions may be needed in Rel-17 NTN Work Item phase. </w:t>
      </w:r>
    </w:p>
    <w:p w14:paraId="61D7837B" w14:textId="77777777" w:rsidR="00CD6707" w:rsidRPr="002F3E41" w:rsidRDefault="00CD6707" w:rsidP="00CD670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350CDB46" w14:textId="6A3EB6FA" w:rsidR="00332ADC" w:rsidRDefault="00CD6707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</w:t>
      </w:r>
      <w:r w:rsidR="00E0681E">
        <w:rPr>
          <w:b w:val="0"/>
          <w:sz w:val="22"/>
          <w:lang w:val="en-US"/>
        </w:rPr>
        <w:t>t</w:t>
      </w:r>
      <w:r w:rsidR="00E0681E" w:rsidRPr="00F61E17">
        <w:rPr>
          <w:b w:val="0"/>
          <w:sz w:val="22"/>
          <w:lang w:val="en-US"/>
        </w:rPr>
        <w:t>he enhancement on UL time and frequency synchronization in NTN</w:t>
      </w:r>
      <w:r w:rsidRPr="00CD6707">
        <w:rPr>
          <w:b w:val="0"/>
          <w:sz w:val="22"/>
          <w:lang w:val="en-US"/>
        </w:rPr>
        <w:t>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observations and proposals:</w:t>
      </w:r>
    </w:p>
    <w:p w14:paraId="3E6D9C76" w14:textId="77777777" w:rsidR="004A7E2D" w:rsidRDefault="004A7E2D" w:rsidP="004A7E2D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058152A5" w14:textId="77777777" w:rsidR="009B35B5" w:rsidRDefault="00D92489" w:rsidP="004A7E2D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9C67F0">
        <w:rPr>
          <w:rFonts w:hint="eastAsia"/>
          <w:sz w:val="22"/>
          <w:lang w:val="en-US"/>
        </w:rPr>
        <w:t>Observation</w:t>
      </w:r>
      <w:r w:rsidRPr="009C67F0">
        <w:rPr>
          <w:sz w:val="22"/>
          <w:lang w:val="en-US"/>
        </w:rPr>
        <w:t xml:space="preserve"> 1.</w:t>
      </w:r>
      <w:r w:rsidRPr="009C67F0">
        <w:rPr>
          <w:rFonts w:hint="eastAsia"/>
          <w:sz w:val="22"/>
          <w:lang w:val="en-US"/>
        </w:rPr>
        <w:t xml:space="preserve"> </w:t>
      </w:r>
      <w:r w:rsidRPr="009C67F0">
        <w:rPr>
          <w:sz w:val="22"/>
          <w:lang w:val="en-US"/>
        </w:rPr>
        <w:t xml:space="preserve">Regarding to Option 1, </w:t>
      </w:r>
      <w:r>
        <w:rPr>
          <w:sz w:val="22"/>
          <w:lang w:val="en-US"/>
        </w:rPr>
        <w:t xml:space="preserve">the approach that </w:t>
      </w:r>
      <w:r w:rsidRPr="009C67F0">
        <w:rPr>
          <w:sz w:val="22"/>
          <w:lang w:val="en-US"/>
        </w:rPr>
        <w:t xml:space="preserve">the </w:t>
      </w:r>
      <w:r>
        <w:rPr>
          <w:sz w:val="22"/>
          <w:lang w:val="en-US"/>
        </w:rPr>
        <w:t xml:space="preserve">only </w:t>
      </w:r>
      <w:r w:rsidRPr="009C67F0">
        <w:rPr>
          <w:sz w:val="22"/>
          <w:lang w:val="en-US"/>
        </w:rPr>
        <w:t xml:space="preserve">UE specific differential TA </w:t>
      </w:r>
      <w:r>
        <w:rPr>
          <w:sz w:val="22"/>
          <w:lang w:val="en-US"/>
        </w:rPr>
        <w:t>should be</w:t>
      </w:r>
      <w:r w:rsidRPr="009C67F0">
        <w:rPr>
          <w:sz w:val="22"/>
          <w:lang w:val="en-US"/>
        </w:rPr>
        <w:t xml:space="preserve"> compensated at the UE side</w:t>
      </w:r>
      <w:r>
        <w:rPr>
          <w:sz w:val="22"/>
          <w:lang w:val="en-US"/>
        </w:rPr>
        <w:t xml:space="preserve"> is preferred over the approach that </w:t>
      </w:r>
      <w:r w:rsidRPr="009C67F0">
        <w:rPr>
          <w:sz w:val="22"/>
          <w:lang w:val="en-US"/>
        </w:rPr>
        <w:t xml:space="preserve">the full TA </w:t>
      </w:r>
      <w:r>
        <w:rPr>
          <w:sz w:val="22"/>
          <w:lang w:val="en-US"/>
        </w:rPr>
        <w:t>should</w:t>
      </w:r>
      <w:r w:rsidRPr="009C67F0">
        <w:rPr>
          <w:sz w:val="22"/>
          <w:lang w:val="en-US"/>
        </w:rPr>
        <w:t xml:space="preserve"> be compensated at the UE side</w:t>
      </w:r>
      <w:r>
        <w:rPr>
          <w:sz w:val="22"/>
          <w:lang w:val="en-US"/>
        </w:rPr>
        <w:t>.</w:t>
      </w:r>
    </w:p>
    <w:p w14:paraId="0BC03960" w14:textId="77777777" w:rsidR="00B163A9" w:rsidRDefault="00B163A9" w:rsidP="004A7E2D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60E1D425" w14:textId="4D4C256F" w:rsidR="004A7E2D" w:rsidRDefault="004A7E2D" w:rsidP="004A7E2D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9C67F0">
        <w:rPr>
          <w:sz w:val="22"/>
          <w:lang w:val="en-US"/>
        </w:rPr>
        <w:t>Proposal</w:t>
      </w:r>
      <w:r>
        <w:rPr>
          <w:sz w:val="22"/>
          <w:lang w:val="en-US"/>
        </w:rPr>
        <w:t xml:space="preserve"> 1.</w:t>
      </w:r>
      <w:r w:rsidRPr="009C67F0">
        <w:rPr>
          <w:sz w:val="22"/>
          <w:lang w:val="en-US"/>
        </w:rPr>
        <w:t xml:space="preserve"> </w:t>
      </w:r>
      <w:r>
        <w:rPr>
          <w:sz w:val="22"/>
          <w:lang w:val="en-US"/>
        </w:rPr>
        <w:t>For the timing advance (TA)</w:t>
      </w:r>
      <w:r w:rsidRPr="009C67F0">
        <w:rPr>
          <w:sz w:val="22"/>
          <w:lang w:val="en-US"/>
        </w:rPr>
        <w:t xml:space="preserve"> in the initial access and the subsequent TA maintenance,</w:t>
      </w:r>
      <w:r>
        <w:rPr>
          <w:sz w:val="22"/>
          <w:lang w:val="en-US"/>
        </w:rPr>
        <w:t xml:space="preserve"> the option that the gNB can provide both common TA and UE specific differential TA (i.e., </w:t>
      </w:r>
      <w:r w:rsidRPr="009C67F0">
        <w:rPr>
          <w:sz w:val="22"/>
          <w:lang w:val="en-US"/>
        </w:rPr>
        <w:t>Option 2</w:t>
      </w:r>
      <w:r>
        <w:rPr>
          <w:sz w:val="22"/>
          <w:lang w:val="en-US"/>
        </w:rPr>
        <w:t>)</w:t>
      </w:r>
      <w:r w:rsidRPr="009C67F0">
        <w:rPr>
          <w:sz w:val="22"/>
          <w:lang w:val="en-US"/>
        </w:rPr>
        <w:t xml:space="preserve"> is preferred over </w:t>
      </w:r>
      <w:r>
        <w:rPr>
          <w:sz w:val="22"/>
          <w:lang w:val="en-US"/>
        </w:rPr>
        <w:t>the a</w:t>
      </w:r>
      <w:r w:rsidRPr="009C67F0">
        <w:rPr>
          <w:sz w:val="22"/>
          <w:lang w:val="en-US"/>
        </w:rPr>
        <w:t>utonomous acquisition of the TA at UE</w:t>
      </w:r>
      <w:r>
        <w:rPr>
          <w:sz w:val="22"/>
          <w:lang w:val="en-US"/>
        </w:rPr>
        <w:t xml:space="preserve"> side (i.e., </w:t>
      </w:r>
      <w:r w:rsidRPr="009C67F0">
        <w:rPr>
          <w:sz w:val="22"/>
          <w:lang w:val="en-US"/>
        </w:rPr>
        <w:t>Option 1</w:t>
      </w:r>
      <w:r>
        <w:rPr>
          <w:sz w:val="22"/>
          <w:lang w:val="en-US"/>
        </w:rPr>
        <w:t>).</w:t>
      </w:r>
    </w:p>
    <w:p w14:paraId="6865DDB5" w14:textId="77777777" w:rsidR="00B163A9" w:rsidRPr="009C67F0" w:rsidRDefault="00B163A9" w:rsidP="004A7E2D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25AB5D65" w14:textId="77777777" w:rsidR="004A7E2D" w:rsidRDefault="004A7E2D" w:rsidP="004A7E2D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18590A">
        <w:rPr>
          <w:sz w:val="22"/>
          <w:lang w:val="en-US"/>
        </w:rPr>
        <w:t>Proposal</w:t>
      </w:r>
      <w:r>
        <w:rPr>
          <w:sz w:val="22"/>
          <w:lang w:val="en-US"/>
        </w:rPr>
        <w:t xml:space="preserve"> 2.</w:t>
      </w:r>
      <w:r w:rsidRPr="0018590A">
        <w:rPr>
          <w:sz w:val="22"/>
          <w:lang w:val="en-US"/>
        </w:rPr>
        <w:t xml:space="preserve"> </w:t>
      </w:r>
      <w:r>
        <w:rPr>
          <w:sz w:val="22"/>
          <w:lang w:val="en-US"/>
        </w:rPr>
        <w:t>If</w:t>
      </w:r>
      <w:r w:rsidRPr="0018590A">
        <w:rPr>
          <w:sz w:val="22"/>
          <w:lang w:val="en-US"/>
        </w:rPr>
        <w:t xml:space="preserve"> Option 1 </w:t>
      </w:r>
      <w:r>
        <w:rPr>
          <w:sz w:val="22"/>
          <w:lang w:val="en-US"/>
        </w:rPr>
        <w:t>is down-selected</w:t>
      </w:r>
      <w:r w:rsidRPr="0018590A">
        <w:rPr>
          <w:sz w:val="22"/>
          <w:lang w:val="en-US"/>
        </w:rPr>
        <w:t xml:space="preserve">, </w:t>
      </w:r>
      <w:r>
        <w:rPr>
          <w:sz w:val="22"/>
          <w:lang w:val="en-US"/>
        </w:rPr>
        <w:t xml:space="preserve">the approach that </w:t>
      </w:r>
      <w:r w:rsidRPr="009C67F0">
        <w:rPr>
          <w:sz w:val="22"/>
          <w:lang w:val="en-US"/>
        </w:rPr>
        <w:t xml:space="preserve">the </w:t>
      </w:r>
      <w:r>
        <w:rPr>
          <w:sz w:val="22"/>
          <w:lang w:val="en-US"/>
        </w:rPr>
        <w:t xml:space="preserve">only </w:t>
      </w:r>
      <w:r w:rsidRPr="009C67F0">
        <w:rPr>
          <w:sz w:val="22"/>
          <w:lang w:val="en-US"/>
        </w:rPr>
        <w:t xml:space="preserve">UE specific differential TA </w:t>
      </w:r>
      <w:r>
        <w:rPr>
          <w:sz w:val="22"/>
          <w:lang w:val="en-US"/>
        </w:rPr>
        <w:t>should be</w:t>
      </w:r>
      <w:r w:rsidRPr="009C67F0">
        <w:rPr>
          <w:sz w:val="22"/>
          <w:lang w:val="en-US"/>
        </w:rPr>
        <w:t xml:space="preserve"> compensated at the UE side</w:t>
      </w:r>
      <w:r>
        <w:rPr>
          <w:sz w:val="22"/>
          <w:lang w:val="en-US"/>
        </w:rPr>
        <w:t xml:space="preserve"> is preferred</w:t>
      </w:r>
      <w:r w:rsidRPr="0018590A">
        <w:rPr>
          <w:sz w:val="22"/>
          <w:lang w:val="en-US"/>
        </w:rPr>
        <w:t>.</w:t>
      </w:r>
    </w:p>
    <w:p w14:paraId="32B467BE" w14:textId="77777777" w:rsidR="00854580" w:rsidRDefault="00854580" w:rsidP="00C46AC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FE44A34" w14:textId="054FA089" w:rsidR="00C46AC5" w:rsidRPr="002F3E41" w:rsidRDefault="00C46AC5" w:rsidP="00C46AC5">
      <w:pPr>
        <w:pStyle w:val="1"/>
        <w:widowControl/>
        <w:tabs>
          <w:tab w:val="left" w:pos="0"/>
        </w:tabs>
        <w:wordWrap/>
        <w:autoSpaceDE/>
        <w:autoSpaceDN/>
        <w:spacing w:before="300" w:after="60" w:line="360" w:lineRule="atLeast"/>
        <w:jc w:val="both"/>
        <w:rPr>
          <w:rFonts w:eastAsia="바탕"/>
          <w:sz w:val="28"/>
        </w:rPr>
      </w:pPr>
      <w:r w:rsidRPr="002F3E41">
        <w:rPr>
          <w:rFonts w:eastAsia="바탕"/>
        </w:rPr>
        <w:lastRenderedPageBreak/>
        <w:t>Reference</w:t>
      </w:r>
    </w:p>
    <w:p w14:paraId="09089AEB" w14:textId="43C5BACD" w:rsidR="00C46AC5" w:rsidRDefault="00854580" w:rsidP="00854580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[1]</w:t>
      </w:r>
      <w:r>
        <w:rPr>
          <w:b w:val="0"/>
          <w:sz w:val="20"/>
          <w:lang w:val="en-US"/>
        </w:rPr>
        <w:t xml:space="preserve"> RP-</w:t>
      </w:r>
      <w:r w:rsidR="00437EF9">
        <w:rPr>
          <w:b w:val="0"/>
          <w:sz w:val="20"/>
          <w:lang w:val="en-US"/>
        </w:rPr>
        <w:t>201256</w:t>
      </w:r>
      <w:r>
        <w:rPr>
          <w:b w:val="0"/>
          <w:sz w:val="20"/>
          <w:lang w:val="en-US"/>
        </w:rPr>
        <w:t>, “</w:t>
      </w:r>
      <w:r w:rsidRPr="00854580">
        <w:rPr>
          <w:b w:val="0"/>
          <w:sz w:val="20"/>
          <w:lang w:val="en-US"/>
        </w:rPr>
        <w:t>Solutions for NR to support non-terrestrial networks (NTN)</w:t>
      </w:r>
      <w:r>
        <w:rPr>
          <w:b w:val="0"/>
          <w:sz w:val="20"/>
          <w:lang w:val="en-US"/>
        </w:rPr>
        <w:t>”, Thales</w:t>
      </w:r>
    </w:p>
    <w:p w14:paraId="3297DB97" w14:textId="42AFE46F" w:rsidR="0008332C" w:rsidRPr="00CC62EB" w:rsidRDefault="0008332C" w:rsidP="00854580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[2] 3</w:t>
      </w:r>
      <w:r>
        <w:rPr>
          <w:rFonts w:hint="eastAsia"/>
          <w:b w:val="0"/>
          <w:sz w:val="20"/>
          <w:lang w:val="en-US"/>
        </w:rPr>
        <w:t>GPP TR 38.821 V1.0.0 (Release 16)</w:t>
      </w:r>
    </w:p>
    <w:p w14:paraId="6A05D34D" w14:textId="60BDD858" w:rsidR="00133727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1337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AF18A" w14:textId="77777777" w:rsidR="00A21725" w:rsidRDefault="00A21725" w:rsidP="00D30654">
      <w:pPr>
        <w:spacing w:after="0" w:line="240" w:lineRule="auto"/>
      </w:pPr>
      <w:r>
        <w:separator/>
      </w:r>
    </w:p>
  </w:endnote>
  <w:endnote w:type="continuationSeparator" w:id="0">
    <w:p w14:paraId="680BA75D" w14:textId="77777777" w:rsidR="00A21725" w:rsidRDefault="00A21725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A0C64" w14:textId="77777777" w:rsidR="00A21725" w:rsidRDefault="00A21725" w:rsidP="00D30654">
      <w:pPr>
        <w:spacing w:after="0" w:line="240" w:lineRule="auto"/>
      </w:pPr>
      <w:r>
        <w:separator/>
      </w:r>
    </w:p>
  </w:footnote>
  <w:footnote w:type="continuationSeparator" w:id="0">
    <w:p w14:paraId="7BF1FE4E" w14:textId="77777777" w:rsidR="00A21725" w:rsidRDefault="00A21725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05FB6"/>
    <w:multiLevelType w:val="hybridMultilevel"/>
    <w:tmpl w:val="9BFA304A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4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6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F1E"/>
    <w:rsid w:val="00015105"/>
    <w:rsid w:val="000246EC"/>
    <w:rsid w:val="000261E9"/>
    <w:rsid w:val="00026AE1"/>
    <w:rsid w:val="0003080C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332C"/>
    <w:rsid w:val="00084680"/>
    <w:rsid w:val="0009000C"/>
    <w:rsid w:val="0009085C"/>
    <w:rsid w:val="00090DE1"/>
    <w:rsid w:val="00092020"/>
    <w:rsid w:val="000951F4"/>
    <w:rsid w:val="00097BE8"/>
    <w:rsid w:val="000A00AE"/>
    <w:rsid w:val="000A407B"/>
    <w:rsid w:val="000A429C"/>
    <w:rsid w:val="000A447E"/>
    <w:rsid w:val="000A5252"/>
    <w:rsid w:val="000A56C1"/>
    <w:rsid w:val="000B263D"/>
    <w:rsid w:val="000B4500"/>
    <w:rsid w:val="000B5357"/>
    <w:rsid w:val="000C24C7"/>
    <w:rsid w:val="000C2EFD"/>
    <w:rsid w:val="000C45F7"/>
    <w:rsid w:val="000C6453"/>
    <w:rsid w:val="000D0EF1"/>
    <w:rsid w:val="000D2DF7"/>
    <w:rsid w:val="000D572C"/>
    <w:rsid w:val="000E1D15"/>
    <w:rsid w:val="000E2B6F"/>
    <w:rsid w:val="000E4730"/>
    <w:rsid w:val="000E7C34"/>
    <w:rsid w:val="000F2690"/>
    <w:rsid w:val="00100619"/>
    <w:rsid w:val="00102536"/>
    <w:rsid w:val="001041A5"/>
    <w:rsid w:val="00104D33"/>
    <w:rsid w:val="00114911"/>
    <w:rsid w:val="00122A95"/>
    <w:rsid w:val="00131B6F"/>
    <w:rsid w:val="00133727"/>
    <w:rsid w:val="0013779D"/>
    <w:rsid w:val="00137FC8"/>
    <w:rsid w:val="00145D4E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5AA6"/>
    <w:rsid w:val="00184F56"/>
    <w:rsid w:val="00184F73"/>
    <w:rsid w:val="0018590A"/>
    <w:rsid w:val="00185E47"/>
    <w:rsid w:val="00186789"/>
    <w:rsid w:val="00192DE4"/>
    <w:rsid w:val="00195087"/>
    <w:rsid w:val="001950B1"/>
    <w:rsid w:val="00197C14"/>
    <w:rsid w:val="001B0EDE"/>
    <w:rsid w:val="001B19FC"/>
    <w:rsid w:val="001B7A87"/>
    <w:rsid w:val="001C5D48"/>
    <w:rsid w:val="001D4524"/>
    <w:rsid w:val="001D4E98"/>
    <w:rsid w:val="001D5B81"/>
    <w:rsid w:val="001D5C1F"/>
    <w:rsid w:val="001D756F"/>
    <w:rsid w:val="001E00D4"/>
    <w:rsid w:val="001E0A1A"/>
    <w:rsid w:val="001E45C6"/>
    <w:rsid w:val="001F0A3A"/>
    <w:rsid w:val="001F1760"/>
    <w:rsid w:val="001F24CE"/>
    <w:rsid w:val="001F54EB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0220"/>
    <w:rsid w:val="0027358F"/>
    <w:rsid w:val="00274B25"/>
    <w:rsid w:val="00275039"/>
    <w:rsid w:val="00275446"/>
    <w:rsid w:val="00275899"/>
    <w:rsid w:val="002776CA"/>
    <w:rsid w:val="002817FB"/>
    <w:rsid w:val="00283CBC"/>
    <w:rsid w:val="00290587"/>
    <w:rsid w:val="00291B1A"/>
    <w:rsid w:val="002951C3"/>
    <w:rsid w:val="002A3193"/>
    <w:rsid w:val="002B4D95"/>
    <w:rsid w:val="002C517E"/>
    <w:rsid w:val="002E0FB4"/>
    <w:rsid w:val="002E5D8A"/>
    <w:rsid w:val="002E6702"/>
    <w:rsid w:val="002E6FC5"/>
    <w:rsid w:val="002E7C8B"/>
    <w:rsid w:val="002F150E"/>
    <w:rsid w:val="002F21F7"/>
    <w:rsid w:val="002F3E41"/>
    <w:rsid w:val="00303C10"/>
    <w:rsid w:val="00305BCE"/>
    <w:rsid w:val="003064E5"/>
    <w:rsid w:val="0031273A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A3A28"/>
    <w:rsid w:val="003B0CA9"/>
    <w:rsid w:val="003B1856"/>
    <w:rsid w:val="003B7ADF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3F5D41"/>
    <w:rsid w:val="00404A52"/>
    <w:rsid w:val="00410BFD"/>
    <w:rsid w:val="00416BB4"/>
    <w:rsid w:val="0041723A"/>
    <w:rsid w:val="00420DEF"/>
    <w:rsid w:val="00425BAC"/>
    <w:rsid w:val="00427F68"/>
    <w:rsid w:val="004336D3"/>
    <w:rsid w:val="00437EF9"/>
    <w:rsid w:val="0044216A"/>
    <w:rsid w:val="0044328E"/>
    <w:rsid w:val="004441F5"/>
    <w:rsid w:val="0044652B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772D1"/>
    <w:rsid w:val="00484234"/>
    <w:rsid w:val="004923D1"/>
    <w:rsid w:val="00494474"/>
    <w:rsid w:val="00496242"/>
    <w:rsid w:val="004967DF"/>
    <w:rsid w:val="004A0633"/>
    <w:rsid w:val="004A0E9B"/>
    <w:rsid w:val="004A6D8B"/>
    <w:rsid w:val="004A7E2D"/>
    <w:rsid w:val="004B5AD0"/>
    <w:rsid w:val="004B7B9E"/>
    <w:rsid w:val="004C50BE"/>
    <w:rsid w:val="004C65C7"/>
    <w:rsid w:val="004C6957"/>
    <w:rsid w:val="004D2D8F"/>
    <w:rsid w:val="004D52D0"/>
    <w:rsid w:val="004E1800"/>
    <w:rsid w:val="004F21C0"/>
    <w:rsid w:val="004F60D7"/>
    <w:rsid w:val="004F6F02"/>
    <w:rsid w:val="00501539"/>
    <w:rsid w:val="0050353F"/>
    <w:rsid w:val="005056DA"/>
    <w:rsid w:val="0051172B"/>
    <w:rsid w:val="005144B1"/>
    <w:rsid w:val="00521A2F"/>
    <w:rsid w:val="005266A9"/>
    <w:rsid w:val="0053062A"/>
    <w:rsid w:val="00532A21"/>
    <w:rsid w:val="005356B4"/>
    <w:rsid w:val="005373A2"/>
    <w:rsid w:val="00547287"/>
    <w:rsid w:val="00551816"/>
    <w:rsid w:val="0055418F"/>
    <w:rsid w:val="00557D9F"/>
    <w:rsid w:val="00561DC2"/>
    <w:rsid w:val="0056216F"/>
    <w:rsid w:val="005660D8"/>
    <w:rsid w:val="00566F6A"/>
    <w:rsid w:val="00567AE8"/>
    <w:rsid w:val="00570571"/>
    <w:rsid w:val="00570FF9"/>
    <w:rsid w:val="00575C6F"/>
    <w:rsid w:val="00580629"/>
    <w:rsid w:val="00584597"/>
    <w:rsid w:val="0058480E"/>
    <w:rsid w:val="005865A9"/>
    <w:rsid w:val="00586BC5"/>
    <w:rsid w:val="00596AD8"/>
    <w:rsid w:val="005A4225"/>
    <w:rsid w:val="005A45B1"/>
    <w:rsid w:val="005A575F"/>
    <w:rsid w:val="005A73B7"/>
    <w:rsid w:val="005B0AE5"/>
    <w:rsid w:val="005C645F"/>
    <w:rsid w:val="005C6DAE"/>
    <w:rsid w:val="005C6E21"/>
    <w:rsid w:val="005C7A77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552C"/>
    <w:rsid w:val="00612827"/>
    <w:rsid w:val="0061328E"/>
    <w:rsid w:val="00615675"/>
    <w:rsid w:val="006169A9"/>
    <w:rsid w:val="006236E8"/>
    <w:rsid w:val="00624558"/>
    <w:rsid w:val="00626466"/>
    <w:rsid w:val="0063099A"/>
    <w:rsid w:val="006318FA"/>
    <w:rsid w:val="006338B9"/>
    <w:rsid w:val="00634E08"/>
    <w:rsid w:val="00637305"/>
    <w:rsid w:val="006420A8"/>
    <w:rsid w:val="00643C8B"/>
    <w:rsid w:val="006577A2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926A9"/>
    <w:rsid w:val="006A35DA"/>
    <w:rsid w:val="006A4330"/>
    <w:rsid w:val="006A44DF"/>
    <w:rsid w:val="006A5BDB"/>
    <w:rsid w:val="006B1CEE"/>
    <w:rsid w:val="006B33A7"/>
    <w:rsid w:val="006B516C"/>
    <w:rsid w:val="006C226F"/>
    <w:rsid w:val="006D0BA9"/>
    <w:rsid w:val="006D1608"/>
    <w:rsid w:val="006D21D0"/>
    <w:rsid w:val="006D5D0B"/>
    <w:rsid w:val="006D5FB1"/>
    <w:rsid w:val="006D7185"/>
    <w:rsid w:val="006E007E"/>
    <w:rsid w:val="006E01C7"/>
    <w:rsid w:val="006E1160"/>
    <w:rsid w:val="006E2160"/>
    <w:rsid w:val="006E307E"/>
    <w:rsid w:val="006E4A3A"/>
    <w:rsid w:val="006E722D"/>
    <w:rsid w:val="006F1829"/>
    <w:rsid w:val="006F2A94"/>
    <w:rsid w:val="006F2CD9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168"/>
    <w:rsid w:val="00735EEB"/>
    <w:rsid w:val="00742118"/>
    <w:rsid w:val="00750C2D"/>
    <w:rsid w:val="00752C9F"/>
    <w:rsid w:val="007535A8"/>
    <w:rsid w:val="00753BFF"/>
    <w:rsid w:val="00772D72"/>
    <w:rsid w:val="0078127D"/>
    <w:rsid w:val="00784301"/>
    <w:rsid w:val="00785E7A"/>
    <w:rsid w:val="00786BB8"/>
    <w:rsid w:val="00790613"/>
    <w:rsid w:val="00791235"/>
    <w:rsid w:val="007A2989"/>
    <w:rsid w:val="007A4618"/>
    <w:rsid w:val="007A6DEF"/>
    <w:rsid w:val="007A716B"/>
    <w:rsid w:val="007B24CD"/>
    <w:rsid w:val="007B2CBA"/>
    <w:rsid w:val="007B7EE4"/>
    <w:rsid w:val="007C204C"/>
    <w:rsid w:val="007C206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F27A3"/>
    <w:rsid w:val="007F418A"/>
    <w:rsid w:val="007F6F85"/>
    <w:rsid w:val="00805CFC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5159"/>
    <w:rsid w:val="00841E13"/>
    <w:rsid w:val="0084248D"/>
    <w:rsid w:val="00842B13"/>
    <w:rsid w:val="008445AD"/>
    <w:rsid w:val="00845420"/>
    <w:rsid w:val="00854580"/>
    <w:rsid w:val="008560D4"/>
    <w:rsid w:val="008614B5"/>
    <w:rsid w:val="0086227E"/>
    <w:rsid w:val="00865B16"/>
    <w:rsid w:val="00867B33"/>
    <w:rsid w:val="00871683"/>
    <w:rsid w:val="00873A1B"/>
    <w:rsid w:val="0087462D"/>
    <w:rsid w:val="008777CB"/>
    <w:rsid w:val="008826B2"/>
    <w:rsid w:val="00882A8E"/>
    <w:rsid w:val="0088707C"/>
    <w:rsid w:val="008918D6"/>
    <w:rsid w:val="00895A3D"/>
    <w:rsid w:val="00896AEB"/>
    <w:rsid w:val="008A0473"/>
    <w:rsid w:val="008A2292"/>
    <w:rsid w:val="008A2C71"/>
    <w:rsid w:val="008B2637"/>
    <w:rsid w:val="008C04A7"/>
    <w:rsid w:val="008C1982"/>
    <w:rsid w:val="008C1C65"/>
    <w:rsid w:val="008D5EA4"/>
    <w:rsid w:val="008D690D"/>
    <w:rsid w:val="008E3BCB"/>
    <w:rsid w:val="008E4C38"/>
    <w:rsid w:val="008E74E4"/>
    <w:rsid w:val="008E7B5B"/>
    <w:rsid w:val="008F258C"/>
    <w:rsid w:val="008F3EE1"/>
    <w:rsid w:val="008F40E0"/>
    <w:rsid w:val="00901F37"/>
    <w:rsid w:val="009034DB"/>
    <w:rsid w:val="009036EF"/>
    <w:rsid w:val="0090396C"/>
    <w:rsid w:val="009050BF"/>
    <w:rsid w:val="00905837"/>
    <w:rsid w:val="00910179"/>
    <w:rsid w:val="00912F23"/>
    <w:rsid w:val="0091388C"/>
    <w:rsid w:val="00923276"/>
    <w:rsid w:val="00923DCB"/>
    <w:rsid w:val="00926E76"/>
    <w:rsid w:val="0093102E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60BA6"/>
    <w:rsid w:val="00962965"/>
    <w:rsid w:val="00962F88"/>
    <w:rsid w:val="00964FC1"/>
    <w:rsid w:val="00970F70"/>
    <w:rsid w:val="009846E7"/>
    <w:rsid w:val="0098595E"/>
    <w:rsid w:val="00987B8F"/>
    <w:rsid w:val="0099185D"/>
    <w:rsid w:val="009935C5"/>
    <w:rsid w:val="009A0F80"/>
    <w:rsid w:val="009A586A"/>
    <w:rsid w:val="009A6121"/>
    <w:rsid w:val="009A7B26"/>
    <w:rsid w:val="009B1ADF"/>
    <w:rsid w:val="009B35B5"/>
    <w:rsid w:val="009B6B85"/>
    <w:rsid w:val="009C0BAB"/>
    <w:rsid w:val="009C116F"/>
    <w:rsid w:val="009C1846"/>
    <w:rsid w:val="009C4FCF"/>
    <w:rsid w:val="009C502C"/>
    <w:rsid w:val="009C67F0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22CF"/>
    <w:rsid w:val="009F36A2"/>
    <w:rsid w:val="009F372B"/>
    <w:rsid w:val="009F414E"/>
    <w:rsid w:val="009F534A"/>
    <w:rsid w:val="009F54F3"/>
    <w:rsid w:val="00A01AB7"/>
    <w:rsid w:val="00A10100"/>
    <w:rsid w:val="00A17D70"/>
    <w:rsid w:val="00A2012D"/>
    <w:rsid w:val="00A21725"/>
    <w:rsid w:val="00A256CA"/>
    <w:rsid w:val="00A25C2C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90917"/>
    <w:rsid w:val="00A90B99"/>
    <w:rsid w:val="00A92A6F"/>
    <w:rsid w:val="00A978AF"/>
    <w:rsid w:val="00AA1907"/>
    <w:rsid w:val="00AA22AF"/>
    <w:rsid w:val="00AB0F85"/>
    <w:rsid w:val="00AB1AA7"/>
    <w:rsid w:val="00AB6DDF"/>
    <w:rsid w:val="00AC3232"/>
    <w:rsid w:val="00AC3B86"/>
    <w:rsid w:val="00AD6741"/>
    <w:rsid w:val="00AE0715"/>
    <w:rsid w:val="00AE5249"/>
    <w:rsid w:val="00AE55F7"/>
    <w:rsid w:val="00AF1DCC"/>
    <w:rsid w:val="00AF6CB8"/>
    <w:rsid w:val="00B0116C"/>
    <w:rsid w:val="00B12E1A"/>
    <w:rsid w:val="00B163A9"/>
    <w:rsid w:val="00B22F4A"/>
    <w:rsid w:val="00B27ECA"/>
    <w:rsid w:val="00B30F7D"/>
    <w:rsid w:val="00B31B3D"/>
    <w:rsid w:val="00B32BC7"/>
    <w:rsid w:val="00B37780"/>
    <w:rsid w:val="00B4727F"/>
    <w:rsid w:val="00B53DAB"/>
    <w:rsid w:val="00B55568"/>
    <w:rsid w:val="00B563C0"/>
    <w:rsid w:val="00B568D2"/>
    <w:rsid w:val="00B56D08"/>
    <w:rsid w:val="00B62159"/>
    <w:rsid w:val="00B70D25"/>
    <w:rsid w:val="00B77767"/>
    <w:rsid w:val="00B84BDC"/>
    <w:rsid w:val="00B93085"/>
    <w:rsid w:val="00BA584F"/>
    <w:rsid w:val="00BA5E7B"/>
    <w:rsid w:val="00BB2A81"/>
    <w:rsid w:val="00BB7347"/>
    <w:rsid w:val="00BC5230"/>
    <w:rsid w:val="00BC58FD"/>
    <w:rsid w:val="00BD7EC9"/>
    <w:rsid w:val="00BE0E0C"/>
    <w:rsid w:val="00BE1CD6"/>
    <w:rsid w:val="00BE73C5"/>
    <w:rsid w:val="00BF07B8"/>
    <w:rsid w:val="00BF30BC"/>
    <w:rsid w:val="00BF506D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43340"/>
    <w:rsid w:val="00C44D3E"/>
    <w:rsid w:val="00C46AC5"/>
    <w:rsid w:val="00C47117"/>
    <w:rsid w:val="00C52337"/>
    <w:rsid w:val="00C62646"/>
    <w:rsid w:val="00C63331"/>
    <w:rsid w:val="00C6637A"/>
    <w:rsid w:val="00C668F3"/>
    <w:rsid w:val="00C8393D"/>
    <w:rsid w:val="00C8404D"/>
    <w:rsid w:val="00C90B0B"/>
    <w:rsid w:val="00C92590"/>
    <w:rsid w:val="00CA03C3"/>
    <w:rsid w:val="00CA0D3C"/>
    <w:rsid w:val="00CA4C5D"/>
    <w:rsid w:val="00CA6AF8"/>
    <w:rsid w:val="00CB3219"/>
    <w:rsid w:val="00CB5B2B"/>
    <w:rsid w:val="00CB6937"/>
    <w:rsid w:val="00CC1607"/>
    <w:rsid w:val="00CC62EB"/>
    <w:rsid w:val="00CD1190"/>
    <w:rsid w:val="00CD6707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229A9"/>
    <w:rsid w:val="00D250B7"/>
    <w:rsid w:val="00D25D1D"/>
    <w:rsid w:val="00D27FF4"/>
    <w:rsid w:val="00D30654"/>
    <w:rsid w:val="00D3521D"/>
    <w:rsid w:val="00D45AF9"/>
    <w:rsid w:val="00D46C4A"/>
    <w:rsid w:val="00D51804"/>
    <w:rsid w:val="00D52134"/>
    <w:rsid w:val="00D541ED"/>
    <w:rsid w:val="00D563AC"/>
    <w:rsid w:val="00D60505"/>
    <w:rsid w:val="00D60D65"/>
    <w:rsid w:val="00D63975"/>
    <w:rsid w:val="00D667CD"/>
    <w:rsid w:val="00D707AB"/>
    <w:rsid w:val="00D72CE5"/>
    <w:rsid w:val="00D75276"/>
    <w:rsid w:val="00D75BCB"/>
    <w:rsid w:val="00D82135"/>
    <w:rsid w:val="00D82938"/>
    <w:rsid w:val="00D84C99"/>
    <w:rsid w:val="00D861F1"/>
    <w:rsid w:val="00D92489"/>
    <w:rsid w:val="00D9563D"/>
    <w:rsid w:val="00D9716E"/>
    <w:rsid w:val="00D97C76"/>
    <w:rsid w:val="00DA0C25"/>
    <w:rsid w:val="00DA58FD"/>
    <w:rsid w:val="00DA67C6"/>
    <w:rsid w:val="00DB0203"/>
    <w:rsid w:val="00DB1306"/>
    <w:rsid w:val="00DB6AF1"/>
    <w:rsid w:val="00DC4A98"/>
    <w:rsid w:val="00DC4FC8"/>
    <w:rsid w:val="00DC51E5"/>
    <w:rsid w:val="00DD189F"/>
    <w:rsid w:val="00DD358A"/>
    <w:rsid w:val="00DD4667"/>
    <w:rsid w:val="00DD5CCD"/>
    <w:rsid w:val="00DD7D67"/>
    <w:rsid w:val="00DE0F7D"/>
    <w:rsid w:val="00DE406C"/>
    <w:rsid w:val="00DE63A0"/>
    <w:rsid w:val="00DF0A56"/>
    <w:rsid w:val="00DF1125"/>
    <w:rsid w:val="00DF475B"/>
    <w:rsid w:val="00E0046E"/>
    <w:rsid w:val="00E0393C"/>
    <w:rsid w:val="00E0548C"/>
    <w:rsid w:val="00E0681E"/>
    <w:rsid w:val="00E14BBE"/>
    <w:rsid w:val="00E15348"/>
    <w:rsid w:val="00E1546D"/>
    <w:rsid w:val="00E15CE1"/>
    <w:rsid w:val="00E21C05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4D2F"/>
    <w:rsid w:val="00E672F4"/>
    <w:rsid w:val="00E673E1"/>
    <w:rsid w:val="00E80467"/>
    <w:rsid w:val="00E84165"/>
    <w:rsid w:val="00E90FE2"/>
    <w:rsid w:val="00E91C81"/>
    <w:rsid w:val="00E9620E"/>
    <w:rsid w:val="00EA3011"/>
    <w:rsid w:val="00EA3D13"/>
    <w:rsid w:val="00EA4915"/>
    <w:rsid w:val="00EA5F45"/>
    <w:rsid w:val="00EB0BEF"/>
    <w:rsid w:val="00EC0B4F"/>
    <w:rsid w:val="00EC15C4"/>
    <w:rsid w:val="00EC4995"/>
    <w:rsid w:val="00EC7118"/>
    <w:rsid w:val="00ED3EDD"/>
    <w:rsid w:val="00ED500C"/>
    <w:rsid w:val="00ED78DC"/>
    <w:rsid w:val="00EE1C36"/>
    <w:rsid w:val="00EE755D"/>
    <w:rsid w:val="00EE7919"/>
    <w:rsid w:val="00EF1FAC"/>
    <w:rsid w:val="00EF21CA"/>
    <w:rsid w:val="00EF394C"/>
    <w:rsid w:val="00EF3F2B"/>
    <w:rsid w:val="00F00F7A"/>
    <w:rsid w:val="00F041CB"/>
    <w:rsid w:val="00F04565"/>
    <w:rsid w:val="00F0659E"/>
    <w:rsid w:val="00F13AD7"/>
    <w:rsid w:val="00F14912"/>
    <w:rsid w:val="00F153DA"/>
    <w:rsid w:val="00F31215"/>
    <w:rsid w:val="00F33EE1"/>
    <w:rsid w:val="00F3486C"/>
    <w:rsid w:val="00F37B1B"/>
    <w:rsid w:val="00F41914"/>
    <w:rsid w:val="00F420A6"/>
    <w:rsid w:val="00F44B4E"/>
    <w:rsid w:val="00F457E0"/>
    <w:rsid w:val="00F51946"/>
    <w:rsid w:val="00F61E17"/>
    <w:rsid w:val="00F71AE5"/>
    <w:rsid w:val="00F752E5"/>
    <w:rsid w:val="00F754F7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3537"/>
    <w:rsid w:val="00FA7123"/>
    <w:rsid w:val="00FC3B47"/>
    <w:rsid w:val="00FC54AC"/>
    <w:rsid w:val="00FD14E4"/>
    <w:rsid w:val="00FD2E02"/>
    <w:rsid w:val="00FD3D24"/>
    <w:rsid w:val="00FD46A0"/>
    <w:rsid w:val="00FE157D"/>
    <w:rsid w:val="00FE26A9"/>
    <w:rsid w:val="00FE2826"/>
    <w:rsid w:val="00FE6173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6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34BAA-F313-474C-AE93-B0ECAF72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LGE</cp:lastModifiedBy>
  <cp:revision>8</cp:revision>
  <cp:lastPrinted>2019-08-16T03:53:00Z</cp:lastPrinted>
  <dcterms:created xsi:type="dcterms:W3CDTF">2020-08-07T06:41:00Z</dcterms:created>
  <dcterms:modified xsi:type="dcterms:W3CDTF">2020-08-07T08:57:00Z</dcterms:modified>
</cp:coreProperties>
</file>