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567B045D" w:rsidR="00584ABE" w:rsidRPr="00C536F2" w:rsidRDefault="00843D21" w:rsidP="005923F4">
      <w:pPr>
        <w:pStyle w:val="3GPPHeader"/>
        <w:spacing w:after="60"/>
        <w:rPr>
          <w:rFonts w:ascii="Arial" w:hAnsi="Arial" w:cs="Arial"/>
        </w:rPr>
      </w:pPr>
      <w:bookmarkStart w:id="0" w:name="_Ref462817227"/>
      <w:r>
        <w:t>3GPP TSG-RAN WG1 Ad-Hoc Meeting 1901</w:t>
      </w:r>
      <w:r w:rsidR="00B548DA" w:rsidRPr="00C536F2">
        <w:rPr>
          <w:rFonts w:ascii="Arial" w:hAnsi="Arial" w:cs="Arial"/>
        </w:rPr>
        <w:tab/>
      </w:r>
      <w:proofErr w:type="spellStart"/>
      <w:r w:rsidR="00783800">
        <w:rPr>
          <w:rFonts w:ascii="Arial" w:hAnsi="Arial" w:cs="Arial"/>
        </w:rPr>
        <w:t>R1</w:t>
      </w:r>
      <w:proofErr w:type="spellEnd"/>
      <w:r w:rsidR="008E1D88">
        <w:rPr>
          <w:rFonts w:ascii="Arial" w:hAnsi="Arial" w:cs="Arial"/>
        </w:rPr>
        <w:t>-</w:t>
      </w:r>
      <w:r>
        <w:rPr>
          <w:rFonts w:ascii="Arial" w:hAnsi="Arial" w:cs="Arial"/>
        </w:rPr>
        <w:t>19</w:t>
      </w:r>
      <w:r w:rsidR="00073DB3">
        <w:rPr>
          <w:rFonts w:ascii="Arial" w:hAnsi="Arial" w:cs="Arial"/>
        </w:rPr>
        <w:t>00258</w:t>
      </w:r>
      <w:bookmarkStart w:id="1" w:name="_GoBack"/>
      <w:bookmarkEnd w:id="1"/>
      <w:r w:rsidR="005A147F" w:rsidDel="005A147F">
        <w:rPr>
          <w:rFonts w:ascii="Arial" w:hAnsi="Arial" w:cs="Arial"/>
        </w:rPr>
        <w:t xml:space="preserve"> </w:t>
      </w:r>
    </w:p>
    <w:p w14:paraId="7A9879CD" w14:textId="3F6FD246" w:rsidR="00584ABE" w:rsidRPr="007A3FE1" w:rsidRDefault="00843D21" w:rsidP="005923F4">
      <w:pPr>
        <w:pStyle w:val="3GPPHeader"/>
        <w:spacing w:after="60"/>
        <w:rPr>
          <w:rFonts w:ascii="Arial" w:hAnsi="Arial" w:cs="Arial"/>
          <w:b w:val="0"/>
          <w:noProof/>
        </w:rPr>
      </w:pPr>
      <w:r>
        <w:t>Taipei, Taiwan</w:t>
      </w:r>
      <w:r w:rsidR="00F66DDF">
        <w:t xml:space="preserve">, </w:t>
      </w:r>
      <w:r>
        <w:t>January 21</w:t>
      </w:r>
      <w:r>
        <w:rPr>
          <w:vertAlign w:val="superscript"/>
        </w:rPr>
        <w:t>st</w:t>
      </w:r>
      <w:r>
        <w:t xml:space="preserve"> – 25</w:t>
      </w:r>
      <w:r w:rsidR="00BA52AA" w:rsidRPr="00BA52AA">
        <w:rPr>
          <w:vertAlign w:val="superscript"/>
        </w:rPr>
        <w:t>th</w:t>
      </w:r>
      <w:r>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5757ABF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843D21">
        <w:rPr>
          <w:rFonts w:ascii="Arial" w:hAnsi="Arial" w:cs="Arial"/>
          <w:sz w:val="22"/>
        </w:rPr>
        <w:t>2.2.1.2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5AA1FE03"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8624AF">
        <w:rPr>
          <w:rFonts w:ascii="Arial" w:hAnsi="Arial" w:cs="Arial"/>
          <w:sz w:val="22"/>
        </w:rPr>
        <w:t>COT</w:t>
      </w:r>
      <w:r w:rsidR="00843D21">
        <w:rPr>
          <w:rFonts w:ascii="Arial" w:hAnsi="Arial" w:cs="Arial"/>
          <w:sz w:val="22"/>
        </w:rPr>
        <w:t xml:space="preserve"> structure</w:t>
      </w:r>
      <w:r w:rsidR="008624AF">
        <w:rPr>
          <w:rFonts w:ascii="Arial" w:hAnsi="Arial" w:cs="Arial"/>
          <w:sz w:val="22"/>
        </w:rPr>
        <w:t xml:space="preserve"> indication</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05767120" w14:textId="11C2C76C" w:rsidR="00D7556C" w:rsidRDefault="00D7556C" w:rsidP="00DF4B4B">
      <w:pPr>
        <w:pStyle w:val="Proposal"/>
        <w:numPr>
          <w:ilvl w:val="0"/>
          <w:numId w:val="0"/>
        </w:numPr>
        <w:tabs>
          <w:tab w:val="left" w:pos="7903"/>
        </w:tabs>
        <w:rPr>
          <w:rFonts w:ascii="Times New Roman" w:eastAsia="MS Mincho" w:hAnsi="Times New Roman" w:cs="Times New Roman"/>
          <w:b w:val="0"/>
          <w:bCs w:val="0"/>
          <w:sz w:val="20"/>
          <w:szCs w:val="20"/>
        </w:rPr>
      </w:pPr>
      <w:r w:rsidRPr="00D7556C">
        <w:rPr>
          <w:rFonts w:ascii="Times New Roman" w:eastAsia="MS Mincho" w:hAnsi="Times New Roman" w:cs="Times New Roman"/>
          <w:b w:val="0"/>
          <w:bCs w:val="0"/>
          <w:sz w:val="20"/>
          <w:szCs w:val="20"/>
        </w:rPr>
        <w:t xml:space="preserve">In NR-U study item phase, the need for </w:t>
      </w:r>
      <w:r w:rsidR="00171B79">
        <w:rPr>
          <w:rFonts w:ascii="Times New Roman" w:eastAsia="MS Mincho" w:hAnsi="Times New Roman" w:cs="Times New Roman"/>
          <w:b w:val="0"/>
          <w:bCs w:val="0"/>
          <w:sz w:val="20"/>
          <w:szCs w:val="20"/>
        </w:rPr>
        <w:t>channel occupancy time (</w:t>
      </w:r>
      <w:r w:rsidRPr="00D7556C">
        <w:rPr>
          <w:rFonts w:ascii="Times New Roman" w:eastAsia="MS Mincho" w:hAnsi="Times New Roman" w:cs="Times New Roman"/>
          <w:b w:val="0"/>
          <w:bCs w:val="0"/>
          <w:sz w:val="20"/>
          <w:szCs w:val="20"/>
        </w:rPr>
        <w:t>COT</w:t>
      </w:r>
      <w:r w:rsidR="00171B79">
        <w:rPr>
          <w:rFonts w:ascii="Times New Roman" w:eastAsia="MS Mincho" w:hAnsi="Times New Roman" w:cs="Times New Roman"/>
          <w:b w:val="0"/>
          <w:bCs w:val="0"/>
          <w:sz w:val="20"/>
          <w:szCs w:val="20"/>
        </w:rPr>
        <w:t>)</w:t>
      </w:r>
      <w:r w:rsidRPr="00D7556C">
        <w:rPr>
          <w:rFonts w:ascii="Times New Roman" w:eastAsia="MS Mincho" w:hAnsi="Times New Roman" w:cs="Times New Roman"/>
          <w:b w:val="0"/>
          <w:bCs w:val="0"/>
          <w:sz w:val="20"/>
          <w:szCs w:val="20"/>
        </w:rPr>
        <w:t xml:space="preserve"> indication has been identified. The following is the corresponding agreement</w:t>
      </w:r>
      <w:r>
        <w:rPr>
          <w:rFonts w:ascii="Times New Roman" w:eastAsia="MS Mincho" w:hAnsi="Times New Roman" w:cs="Times New Roman"/>
          <w:b w:val="0"/>
          <w:bCs w:val="0"/>
          <w:sz w:val="20"/>
          <w:szCs w:val="20"/>
        </w:rPr>
        <w:t xml:space="preserve"> </w:t>
      </w:r>
      <w:r w:rsidR="00B27A61">
        <w:rPr>
          <w:rFonts w:ascii="Times New Roman" w:eastAsia="MS Mincho" w:hAnsi="Times New Roman" w:cs="Times New Roman"/>
          <w:b w:val="0"/>
          <w:bCs w:val="0"/>
          <w:sz w:val="20"/>
          <w:szCs w:val="20"/>
        </w:rPr>
        <w:t xml:space="preserve">and captured in the study report </w:t>
      </w:r>
      <w:r>
        <w:rPr>
          <w:rFonts w:ascii="Times New Roman" w:eastAsia="MS Mincho" w:hAnsi="Times New Roman" w:cs="Times New Roman"/>
          <w:b w:val="0"/>
          <w:bCs w:val="0"/>
          <w:sz w:val="20"/>
          <w:szCs w:val="20"/>
        </w:rPr>
        <w:t>[1]:</w:t>
      </w:r>
    </w:p>
    <w:p w14:paraId="1B262873" w14:textId="0DAC5A8B" w:rsidR="00D7556C" w:rsidRPr="00D7556C" w:rsidRDefault="00D7556C" w:rsidP="00DF4B4B">
      <w:pPr>
        <w:pStyle w:val="Proposal"/>
        <w:numPr>
          <w:ilvl w:val="0"/>
          <w:numId w:val="0"/>
        </w:numPr>
        <w:tabs>
          <w:tab w:val="left" w:pos="7903"/>
        </w:tabs>
        <w:rPr>
          <w:rFonts w:ascii="Times New Roman" w:hAnsi="Times New Roman" w:cs="Times New Roman"/>
          <w:b w:val="0"/>
          <w:bCs w:val="0"/>
          <w:i/>
          <w:sz w:val="20"/>
          <w:szCs w:val="20"/>
          <w:lang w:eastAsia="en-US"/>
        </w:rPr>
      </w:pPr>
      <w:r w:rsidRPr="00D7556C">
        <w:rPr>
          <w:rFonts w:ascii="Times New Roman" w:hAnsi="Times New Roman" w:cs="Times New Roman"/>
          <w:b w:val="0"/>
          <w:bCs w:val="0"/>
          <w:i/>
          <w:sz w:val="20"/>
          <w:szCs w:val="20"/>
          <w:lang w:eastAsia="en-US"/>
        </w:rPr>
        <w:t xml:space="preserve">In addition to the functionalities provided by DCI format 2_0 in </w:t>
      </w:r>
      <w:proofErr w:type="spellStart"/>
      <w:r w:rsidRPr="00D7556C">
        <w:rPr>
          <w:rFonts w:ascii="Times New Roman" w:hAnsi="Times New Roman" w:cs="Times New Roman"/>
          <w:b w:val="0"/>
          <w:bCs w:val="0"/>
          <w:i/>
          <w:sz w:val="20"/>
          <w:szCs w:val="20"/>
          <w:lang w:eastAsia="en-US"/>
        </w:rPr>
        <w:t>Rel</w:t>
      </w:r>
      <w:proofErr w:type="spellEnd"/>
      <w:r w:rsidRPr="00D7556C">
        <w:rPr>
          <w:rFonts w:ascii="Times New Roman" w:hAnsi="Times New Roman" w:cs="Times New Roman"/>
          <w:b w:val="0"/>
          <w:bCs w:val="0"/>
          <w:i/>
          <w:sz w:val="20"/>
          <w:szCs w:val="20"/>
          <w:lang w:eastAsia="en-US"/>
        </w:rPr>
        <w:t>-15 NR, indication of the COT structure in the time domain has been identified as being beneficial.</w:t>
      </w:r>
    </w:p>
    <w:p w14:paraId="3B13F3CF" w14:textId="543EFAE6" w:rsidR="00275CAD" w:rsidRPr="00633833" w:rsidRDefault="00327044" w:rsidP="001F718F">
      <w:pPr>
        <w:pStyle w:val="Proposal"/>
        <w:numPr>
          <w:ilvl w:val="0"/>
          <w:numId w:val="0"/>
        </w:numPr>
        <w:rPr>
          <w:rFonts w:ascii="Times New Roman" w:hAnsi="Times New Roman" w:cs="Times New Roman"/>
          <w:sz w:val="20"/>
          <w:szCs w:val="20"/>
          <w:lang w:eastAsia="en-US"/>
        </w:rPr>
      </w:pPr>
      <w:r>
        <w:rPr>
          <w:rFonts w:ascii="Times New Roman" w:hAnsi="Times New Roman" w:cs="Times New Roman"/>
          <w:b w:val="0"/>
          <w:bCs w:val="0"/>
          <w:sz w:val="20"/>
          <w:szCs w:val="20"/>
          <w:lang w:eastAsia="en-US"/>
        </w:rPr>
        <w:t>In this contribution, we</w:t>
      </w:r>
      <w:r w:rsidR="00D7556C">
        <w:rPr>
          <w:rFonts w:ascii="Times New Roman" w:hAnsi="Times New Roman" w:cs="Times New Roman"/>
          <w:b w:val="0"/>
          <w:bCs w:val="0"/>
          <w:sz w:val="20"/>
          <w:szCs w:val="20"/>
          <w:lang w:eastAsia="en-US"/>
        </w:rPr>
        <w:t xml:space="preserve"> discuss</w:t>
      </w:r>
      <w:r w:rsidR="002B04A4">
        <w:rPr>
          <w:rFonts w:ascii="Times New Roman" w:hAnsi="Times New Roman" w:cs="Times New Roman"/>
          <w:b w:val="0"/>
          <w:bCs w:val="0"/>
          <w:sz w:val="20"/>
          <w:szCs w:val="20"/>
          <w:lang w:eastAsia="en-US"/>
        </w:rPr>
        <w:t xml:space="preserve"> </w:t>
      </w:r>
      <w:r w:rsidR="00D7556C">
        <w:rPr>
          <w:rFonts w:ascii="Times New Roman" w:hAnsi="Times New Roman" w:cs="Times New Roman"/>
          <w:b w:val="0"/>
          <w:bCs w:val="0"/>
          <w:sz w:val="20"/>
          <w:szCs w:val="20"/>
          <w:lang w:eastAsia="en-US"/>
        </w:rPr>
        <w:t xml:space="preserve">the main use cases of COT structure indication, </w:t>
      </w:r>
      <w:r w:rsidR="002B04A4">
        <w:rPr>
          <w:rFonts w:ascii="Times New Roman" w:hAnsi="Times New Roman" w:cs="Times New Roman"/>
          <w:b w:val="0"/>
          <w:bCs w:val="0"/>
          <w:sz w:val="20"/>
          <w:szCs w:val="20"/>
          <w:lang w:eastAsia="en-US"/>
        </w:rPr>
        <w:t xml:space="preserve">what info is included in the COT indication, and what channel/signal is used for COT structure indication. </w:t>
      </w:r>
      <w:r w:rsidR="002523D0">
        <w:rPr>
          <w:rFonts w:ascii="Times New Roman" w:hAnsi="Times New Roman" w:cs="Times New Roman"/>
          <w:b w:val="0"/>
          <w:bCs w:val="0"/>
          <w:sz w:val="20"/>
          <w:szCs w:val="20"/>
          <w:lang w:eastAsia="en-US"/>
        </w:rPr>
        <w:t xml:space="preserve"> </w:t>
      </w:r>
      <w:r w:rsidR="001F718F">
        <w:rPr>
          <w:rFonts w:ascii="Times New Roman" w:hAnsi="Times New Roman" w:cs="Times New Roman"/>
          <w:b w:val="0"/>
          <w:bCs w:val="0"/>
          <w:sz w:val="20"/>
          <w:szCs w:val="20"/>
          <w:lang w:eastAsia="en-US"/>
        </w:rPr>
        <w:t xml:space="preserve"> </w:t>
      </w:r>
      <w:r w:rsidR="00C81698">
        <w:rPr>
          <w:rFonts w:ascii="Times New Roman" w:hAnsi="Times New Roman" w:cs="Times New Roman"/>
          <w:b w:val="0"/>
          <w:bCs w:val="0"/>
          <w:sz w:val="20"/>
          <w:szCs w:val="20"/>
          <w:lang w:eastAsia="en-US"/>
        </w:rPr>
        <w:t xml:space="preserve"> </w:t>
      </w:r>
      <w:bookmarkStart w:id="2" w:name="_Ref462918989"/>
    </w:p>
    <w:p w14:paraId="55141043" w14:textId="4FCAF0A0" w:rsidR="00D8203B" w:rsidRPr="00DC33E4" w:rsidRDefault="00D8203B" w:rsidP="005923F4">
      <w:pPr>
        <w:pStyle w:val="Heading1"/>
        <w:rPr>
          <w:lang w:val="en-US"/>
        </w:rPr>
      </w:pPr>
      <w:bookmarkStart w:id="3" w:name="_Ref178064866"/>
      <w:r w:rsidRPr="00DC33E4">
        <w:rPr>
          <w:lang w:val="en-US"/>
        </w:rPr>
        <w:t>Discussion</w:t>
      </w:r>
      <w:bookmarkEnd w:id="3"/>
    </w:p>
    <w:p w14:paraId="0484C391" w14:textId="766974AC" w:rsidR="00221997" w:rsidRDefault="00221997" w:rsidP="00221997">
      <w:pPr>
        <w:pStyle w:val="Heading4"/>
        <w:numPr>
          <w:ilvl w:val="0"/>
          <w:numId w:val="0"/>
        </w:numPr>
        <w:ind w:left="864" w:right="569" w:hanging="864"/>
      </w:pPr>
      <w:r>
        <w:t xml:space="preserve">2.1 </w:t>
      </w:r>
      <w:r w:rsidR="005C1B38">
        <w:t>Use case of COT indication and COT structure info</w:t>
      </w:r>
    </w:p>
    <w:p w14:paraId="033544F6" w14:textId="28494F69" w:rsidR="00452E66" w:rsidRDefault="00452E66" w:rsidP="00AF3D15">
      <w:pPr>
        <w:spacing w:after="180" w:line="240" w:lineRule="auto"/>
        <w:rPr>
          <w:rFonts w:ascii="Times New Roman" w:eastAsia="MS Mincho" w:hAnsi="Times New Roman" w:cs="Times New Roman"/>
          <w:sz w:val="20"/>
          <w:szCs w:val="20"/>
          <w:lang w:val="en-AU"/>
        </w:rPr>
      </w:pPr>
      <w:r w:rsidRPr="00452E66">
        <w:rPr>
          <w:rFonts w:ascii="Times New Roman" w:eastAsia="MS Mincho" w:hAnsi="Times New Roman" w:cs="Times New Roman"/>
          <w:sz w:val="20"/>
          <w:szCs w:val="20"/>
          <w:lang w:val="en-AU"/>
        </w:rPr>
        <w:t xml:space="preserve">Since </w:t>
      </w:r>
      <w:r>
        <w:rPr>
          <w:rFonts w:ascii="Times New Roman" w:eastAsia="MS Mincho" w:hAnsi="Times New Roman" w:cs="Times New Roman"/>
          <w:sz w:val="20"/>
          <w:szCs w:val="20"/>
          <w:lang w:val="en-AU"/>
        </w:rPr>
        <w:t xml:space="preserve">the answer to what info should be included in the COT structure indication highly depends on the use case of such indication, we discuss </w:t>
      </w:r>
      <w:r w:rsidR="00AF3D15">
        <w:rPr>
          <w:rFonts w:ascii="Times New Roman" w:eastAsia="MS Mincho" w:hAnsi="Times New Roman" w:cs="Times New Roman"/>
          <w:sz w:val="20"/>
          <w:szCs w:val="20"/>
          <w:lang w:val="en-AU"/>
        </w:rPr>
        <w:t>following</w:t>
      </w:r>
      <w:r>
        <w:rPr>
          <w:rFonts w:ascii="Times New Roman" w:eastAsia="MS Mincho" w:hAnsi="Times New Roman" w:cs="Times New Roman"/>
          <w:sz w:val="20"/>
          <w:szCs w:val="20"/>
          <w:lang w:val="en-AU"/>
        </w:rPr>
        <w:t xml:space="preserve"> </w:t>
      </w:r>
      <w:r w:rsidR="00AA4C7D">
        <w:rPr>
          <w:rFonts w:ascii="Times New Roman" w:eastAsia="MS Mincho" w:hAnsi="Times New Roman" w:cs="Times New Roman"/>
          <w:sz w:val="20"/>
          <w:szCs w:val="20"/>
          <w:lang w:val="en-AU"/>
        </w:rPr>
        <w:t>issues together in this section.</w:t>
      </w:r>
    </w:p>
    <w:p w14:paraId="29AA116C" w14:textId="6AD5EC7D" w:rsidR="00E72CFA" w:rsidRPr="00AF3D15" w:rsidRDefault="00E72CFA" w:rsidP="00E72CFA">
      <w:pPr>
        <w:spacing w:after="180" w:line="240" w:lineRule="auto"/>
        <w:jc w:val="both"/>
        <w:rPr>
          <w:rFonts w:ascii="Times New Roman" w:eastAsia="MS Mincho" w:hAnsi="Times New Roman" w:cs="Times New Roman"/>
          <w:b/>
          <w:sz w:val="20"/>
          <w:szCs w:val="20"/>
          <w:u w:val="single"/>
        </w:rPr>
      </w:pPr>
      <w:r w:rsidRPr="005E0FF1">
        <w:rPr>
          <w:rFonts w:ascii="Times New Roman" w:eastAsia="MS Mincho" w:hAnsi="Times New Roman" w:cs="Times New Roman"/>
          <w:b/>
          <w:sz w:val="20"/>
          <w:szCs w:val="20"/>
          <w:u w:val="single"/>
          <w:lang w:val="en-AU"/>
        </w:rPr>
        <w:t xml:space="preserve">Enable </w:t>
      </w:r>
      <w:r>
        <w:rPr>
          <w:rFonts w:ascii="Times New Roman" w:eastAsia="MS Mincho" w:hAnsi="Times New Roman" w:cs="Times New Roman"/>
          <w:b/>
          <w:sz w:val="20"/>
          <w:szCs w:val="20"/>
          <w:u w:val="single"/>
          <w:lang w:val="en-AU"/>
        </w:rPr>
        <w:t xml:space="preserve">resource sharing between </w:t>
      </w:r>
      <w:proofErr w:type="spellStart"/>
      <w:r>
        <w:rPr>
          <w:rFonts w:ascii="Times New Roman" w:eastAsia="MS Mincho" w:hAnsi="Times New Roman" w:cs="Times New Roman"/>
          <w:b/>
          <w:sz w:val="20"/>
          <w:szCs w:val="20"/>
          <w:u w:val="single"/>
          <w:lang w:val="en-AU"/>
        </w:rPr>
        <w:t>gNB</w:t>
      </w:r>
      <w:proofErr w:type="spellEnd"/>
      <w:r>
        <w:rPr>
          <w:rFonts w:ascii="Times New Roman" w:eastAsia="MS Mincho" w:hAnsi="Times New Roman" w:cs="Times New Roman"/>
          <w:b/>
          <w:sz w:val="20"/>
          <w:szCs w:val="20"/>
          <w:u w:val="single"/>
          <w:lang w:val="en-AU"/>
        </w:rPr>
        <w:t xml:space="preserve"> and UE</w:t>
      </w:r>
    </w:p>
    <w:p w14:paraId="59792A50" w14:textId="0BFD4E13" w:rsidR="00E72CFA" w:rsidRDefault="00E72CFA" w:rsidP="00AF3D15">
      <w:pPr>
        <w:spacing w:after="180" w:line="240" w:lineRule="auto"/>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 xml:space="preserve">In unlicensed band operation, after acquiring the channel by LBT, the initiating device (e.g. </w:t>
      </w:r>
      <w:proofErr w:type="spellStart"/>
      <w:r>
        <w:rPr>
          <w:rFonts w:ascii="Times New Roman" w:eastAsia="MS Mincho" w:hAnsi="Times New Roman" w:cs="Times New Roman"/>
          <w:sz w:val="20"/>
          <w:szCs w:val="20"/>
          <w:lang w:val="en-AU"/>
        </w:rPr>
        <w:t>gNB</w:t>
      </w:r>
      <w:proofErr w:type="spellEnd"/>
      <w:r>
        <w:rPr>
          <w:rFonts w:ascii="Times New Roman" w:eastAsia="MS Mincho" w:hAnsi="Times New Roman" w:cs="Times New Roman"/>
          <w:sz w:val="20"/>
          <w:szCs w:val="20"/>
          <w:lang w:val="en-AU"/>
        </w:rPr>
        <w:t xml:space="preserve">) can occupy the </w:t>
      </w:r>
      <w:proofErr w:type="gramStart"/>
      <w:r>
        <w:rPr>
          <w:rFonts w:ascii="Times New Roman" w:eastAsia="MS Mincho" w:hAnsi="Times New Roman" w:cs="Times New Roman"/>
          <w:sz w:val="20"/>
          <w:szCs w:val="20"/>
          <w:lang w:val="en-AU"/>
        </w:rPr>
        <w:t>channel</w:t>
      </w:r>
      <w:proofErr w:type="gramEnd"/>
      <w:r>
        <w:rPr>
          <w:rFonts w:ascii="Times New Roman" w:eastAsia="MS Mincho" w:hAnsi="Times New Roman" w:cs="Times New Roman"/>
          <w:sz w:val="20"/>
          <w:szCs w:val="20"/>
          <w:lang w:val="en-AU"/>
        </w:rPr>
        <w:t xml:space="preserve"> up to maximum COT. During the COT, it is beneficial for </w:t>
      </w:r>
      <w:proofErr w:type="spellStart"/>
      <w:r>
        <w:rPr>
          <w:rFonts w:ascii="Times New Roman" w:eastAsia="MS Mincho" w:hAnsi="Times New Roman" w:cs="Times New Roman"/>
          <w:sz w:val="20"/>
          <w:szCs w:val="20"/>
          <w:lang w:val="en-AU"/>
        </w:rPr>
        <w:t>gNB</w:t>
      </w:r>
      <w:proofErr w:type="spellEnd"/>
      <w:r>
        <w:rPr>
          <w:rFonts w:ascii="Times New Roman" w:eastAsia="MS Mincho" w:hAnsi="Times New Roman" w:cs="Times New Roman"/>
          <w:sz w:val="20"/>
          <w:szCs w:val="20"/>
          <w:lang w:val="en-AU"/>
        </w:rPr>
        <w:t xml:space="preserve"> to share the acquired time-frequency resources with UE. The advantages include:</w:t>
      </w:r>
    </w:p>
    <w:p w14:paraId="0FA8ECB9" w14:textId="13E27ED1" w:rsidR="00E72CFA" w:rsidRDefault="00E72CFA" w:rsidP="00AF3D15">
      <w:pPr>
        <w:pStyle w:val="ListParagraph"/>
        <w:numPr>
          <w:ilvl w:val="0"/>
          <w:numId w:val="13"/>
        </w:numPr>
        <w:spacing w:after="180" w:line="240" w:lineRule="auto"/>
        <w:rPr>
          <w:rFonts w:ascii="Times New Roman" w:eastAsia="MS Mincho" w:hAnsi="Times New Roman" w:cs="Times New Roman"/>
          <w:sz w:val="20"/>
          <w:szCs w:val="20"/>
          <w:lang w:val="en-AU"/>
        </w:rPr>
      </w:pPr>
      <w:r w:rsidRPr="00E72CFA">
        <w:rPr>
          <w:rFonts w:ascii="Times New Roman" w:eastAsia="MS Mincho" w:hAnsi="Times New Roman" w:cs="Times New Roman"/>
          <w:sz w:val="20"/>
          <w:szCs w:val="20"/>
          <w:lang w:val="en-AU"/>
        </w:rPr>
        <w:t xml:space="preserve">To allow </w:t>
      </w:r>
      <w:r w:rsidRPr="002D7391">
        <w:rPr>
          <w:rFonts w:ascii="Times New Roman" w:eastAsia="MS Mincho" w:hAnsi="Times New Roman" w:cs="Times New Roman"/>
          <w:sz w:val="20"/>
          <w:szCs w:val="20"/>
          <w:lang w:val="en-AU"/>
        </w:rPr>
        <w:t xml:space="preserve">flexible resource usage among DL and UL: </w:t>
      </w:r>
      <w:r w:rsidR="002D7391">
        <w:rPr>
          <w:rFonts w:ascii="Times New Roman" w:eastAsia="MS Mincho" w:hAnsi="Times New Roman" w:cs="Times New Roman"/>
          <w:sz w:val="20"/>
          <w:szCs w:val="20"/>
          <w:lang w:val="en-AU"/>
        </w:rPr>
        <w:t>DL and UL directions can be decided more dynamically based on the traffic dynamics.</w:t>
      </w:r>
    </w:p>
    <w:p w14:paraId="40D6F806" w14:textId="47BBB219" w:rsidR="002D7391" w:rsidRPr="00A77C9E" w:rsidRDefault="002D7391" w:rsidP="00A77C9E">
      <w:pPr>
        <w:pStyle w:val="ListParagraph"/>
        <w:numPr>
          <w:ilvl w:val="0"/>
          <w:numId w:val="13"/>
        </w:numPr>
        <w:spacing w:after="180" w:line="240" w:lineRule="auto"/>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 xml:space="preserve">To allow UL transmission without performing LBT in </w:t>
      </w:r>
      <w:proofErr w:type="spellStart"/>
      <w:r>
        <w:rPr>
          <w:rFonts w:ascii="Times New Roman" w:eastAsia="MS Mincho" w:hAnsi="Times New Roman" w:cs="Times New Roman"/>
          <w:sz w:val="20"/>
          <w:szCs w:val="20"/>
          <w:lang w:val="en-AU"/>
        </w:rPr>
        <w:t>gNB</w:t>
      </w:r>
      <w:proofErr w:type="spellEnd"/>
      <w:r>
        <w:rPr>
          <w:rFonts w:ascii="Times New Roman" w:eastAsia="MS Mincho" w:hAnsi="Times New Roman" w:cs="Times New Roman"/>
          <w:sz w:val="20"/>
          <w:szCs w:val="20"/>
          <w:lang w:val="en-AU"/>
        </w:rPr>
        <w:t xml:space="preserve"> acquired COT</w:t>
      </w:r>
      <w:r w:rsidR="00AF3D15">
        <w:rPr>
          <w:rFonts w:ascii="Times New Roman" w:eastAsia="MS Mincho" w:hAnsi="Times New Roman" w:cs="Times New Roman"/>
          <w:sz w:val="20"/>
          <w:szCs w:val="20"/>
          <w:lang w:val="en-AU"/>
        </w:rPr>
        <w:t xml:space="preserve"> or only one shot LBT</w:t>
      </w:r>
      <w:r>
        <w:rPr>
          <w:rFonts w:ascii="Times New Roman" w:eastAsia="MS Mincho" w:hAnsi="Times New Roman" w:cs="Times New Roman"/>
          <w:sz w:val="20"/>
          <w:szCs w:val="20"/>
          <w:lang w:val="en-AU"/>
        </w:rPr>
        <w:t xml:space="preserve">: If the gap between DL and UL is less than </w:t>
      </w:r>
      <w:proofErr w:type="spellStart"/>
      <w:r>
        <w:rPr>
          <w:rFonts w:ascii="Times New Roman" w:eastAsia="MS Mincho" w:hAnsi="Times New Roman" w:cs="Times New Roman"/>
          <w:sz w:val="20"/>
          <w:szCs w:val="20"/>
          <w:lang w:val="en-AU"/>
        </w:rPr>
        <w:t>16us</w:t>
      </w:r>
      <w:proofErr w:type="spellEnd"/>
      <w:r>
        <w:rPr>
          <w:rFonts w:ascii="Times New Roman" w:eastAsia="MS Mincho" w:hAnsi="Times New Roman" w:cs="Times New Roman"/>
          <w:sz w:val="20"/>
          <w:szCs w:val="20"/>
          <w:lang w:val="en-AU"/>
        </w:rPr>
        <w:t>, no LBT needs for UL transmission after the DL burst</w:t>
      </w:r>
      <w:r w:rsidR="00AA4C7D">
        <w:rPr>
          <w:rFonts w:ascii="Times New Roman" w:eastAsia="MS Mincho" w:hAnsi="Times New Roman" w:cs="Times New Roman"/>
          <w:sz w:val="20"/>
          <w:szCs w:val="20"/>
          <w:lang w:val="en-AU"/>
        </w:rPr>
        <w:t xml:space="preserve"> (i.e. Cat 1 immediate transmission)</w:t>
      </w:r>
      <w:r>
        <w:rPr>
          <w:rFonts w:ascii="Times New Roman" w:eastAsia="MS Mincho" w:hAnsi="Times New Roman" w:cs="Times New Roman"/>
          <w:sz w:val="20"/>
          <w:szCs w:val="20"/>
          <w:lang w:val="en-AU"/>
        </w:rPr>
        <w:t>.</w:t>
      </w:r>
      <w:r w:rsidR="00AF3D15">
        <w:rPr>
          <w:rFonts w:ascii="Times New Roman" w:eastAsia="MS Mincho" w:hAnsi="Times New Roman" w:cs="Times New Roman"/>
          <w:sz w:val="20"/>
          <w:szCs w:val="20"/>
          <w:lang w:val="en-AU"/>
        </w:rPr>
        <w:t xml:space="preserve"> If the gap between DL and UL is less than </w:t>
      </w:r>
      <w:proofErr w:type="spellStart"/>
      <w:r w:rsidR="00AF3D15">
        <w:rPr>
          <w:rFonts w:ascii="Times New Roman" w:eastAsia="MS Mincho" w:hAnsi="Times New Roman" w:cs="Times New Roman"/>
          <w:sz w:val="20"/>
          <w:szCs w:val="20"/>
          <w:lang w:val="en-AU"/>
        </w:rPr>
        <w:t>25us</w:t>
      </w:r>
      <w:proofErr w:type="spellEnd"/>
      <w:r w:rsidR="00AF3D15">
        <w:rPr>
          <w:rFonts w:ascii="Times New Roman" w:eastAsia="MS Mincho" w:hAnsi="Times New Roman" w:cs="Times New Roman"/>
          <w:sz w:val="20"/>
          <w:szCs w:val="20"/>
          <w:lang w:val="en-AU"/>
        </w:rPr>
        <w:t>, only one LBT needs for UL transmission after the DL burst</w:t>
      </w:r>
      <w:r w:rsidR="00AA4C7D">
        <w:rPr>
          <w:rFonts w:ascii="Times New Roman" w:eastAsia="MS Mincho" w:hAnsi="Times New Roman" w:cs="Times New Roman"/>
          <w:sz w:val="20"/>
          <w:szCs w:val="20"/>
          <w:lang w:val="en-AU"/>
        </w:rPr>
        <w:t xml:space="preserve"> (i.e. Cat 2 LBT)</w:t>
      </w:r>
      <w:r w:rsidR="00AF3D15">
        <w:rPr>
          <w:rFonts w:ascii="Times New Roman" w:eastAsia="MS Mincho" w:hAnsi="Times New Roman" w:cs="Times New Roman"/>
          <w:sz w:val="20"/>
          <w:szCs w:val="20"/>
          <w:lang w:val="en-AU"/>
        </w:rPr>
        <w:t>.</w:t>
      </w:r>
    </w:p>
    <w:p w14:paraId="6C85A0CD" w14:textId="51AAC278" w:rsidR="002D7391" w:rsidRPr="00AF3D15" w:rsidRDefault="002D7391" w:rsidP="00AF3D15">
      <w:pPr>
        <w:spacing w:after="180" w:line="240" w:lineRule="auto"/>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To enable resource s</w:t>
      </w:r>
      <w:r w:rsidR="002144C9">
        <w:rPr>
          <w:rFonts w:ascii="Times New Roman" w:eastAsia="MS Mincho" w:hAnsi="Times New Roman" w:cs="Times New Roman"/>
          <w:sz w:val="20"/>
          <w:szCs w:val="20"/>
          <w:lang w:val="en-AU"/>
        </w:rPr>
        <w:t xml:space="preserve">haring, it is necessary for </w:t>
      </w:r>
      <w:proofErr w:type="spellStart"/>
      <w:r>
        <w:rPr>
          <w:rFonts w:ascii="Times New Roman" w:eastAsia="MS Mincho" w:hAnsi="Times New Roman" w:cs="Times New Roman"/>
          <w:sz w:val="20"/>
          <w:szCs w:val="20"/>
          <w:lang w:val="en-AU"/>
        </w:rPr>
        <w:t>gNB</w:t>
      </w:r>
      <w:proofErr w:type="spellEnd"/>
      <w:r>
        <w:rPr>
          <w:rFonts w:ascii="Times New Roman" w:eastAsia="MS Mincho" w:hAnsi="Times New Roman" w:cs="Times New Roman"/>
          <w:sz w:val="20"/>
          <w:szCs w:val="20"/>
          <w:lang w:val="en-AU"/>
        </w:rPr>
        <w:t xml:space="preserve"> to inform </w:t>
      </w:r>
      <w:r w:rsidR="002144C9">
        <w:rPr>
          <w:rFonts w:ascii="Times New Roman" w:eastAsia="MS Mincho" w:hAnsi="Times New Roman" w:cs="Times New Roman"/>
          <w:sz w:val="20"/>
          <w:szCs w:val="20"/>
          <w:lang w:val="en-AU"/>
        </w:rPr>
        <w:t xml:space="preserve">UE </w:t>
      </w:r>
      <w:r>
        <w:rPr>
          <w:rFonts w:ascii="Times New Roman" w:eastAsia="MS Mincho" w:hAnsi="Times New Roman" w:cs="Times New Roman"/>
          <w:sz w:val="20"/>
          <w:szCs w:val="20"/>
          <w:lang w:val="en-AU"/>
        </w:rPr>
        <w:t>which</w:t>
      </w:r>
      <w:r w:rsidR="002144C9">
        <w:rPr>
          <w:rFonts w:ascii="Times New Roman" w:eastAsia="MS Mincho" w:hAnsi="Times New Roman" w:cs="Times New Roman"/>
          <w:sz w:val="20"/>
          <w:szCs w:val="20"/>
          <w:lang w:val="en-AU"/>
        </w:rPr>
        <w:t xml:space="preserve"> symbols are DL, UL and Flexible </w:t>
      </w:r>
      <w:r w:rsidR="005628C0">
        <w:rPr>
          <w:rFonts w:ascii="Times New Roman" w:eastAsia="MS Mincho" w:hAnsi="Times New Roman" w:cs="Times New Roman"/>
          <w:sz w:val="20"/>
          <w:szCs w:val="20"/>
          <w:lang w:val="en-AU"/>
        </w:rPr>
        <w:t>by COT structure indication</w:t>
      </w:r>
      <w:r w:rsidR="002144C9">
        <w:rPr>
          <w:rFonts w:ascii="Times New Roman" w:eastAsia="MS Mincho" w:hAnsi="Times New Roman" w:cs="Times New Roman"/>
          <w:sz w:val="20"/>
          <w:szCs w:val="20"/>
          <w:lang w:val="en-AU"/>
        </w:rPr>
        <w:t xml:space="preserve">. The definition of the flexible symbol can follow what has been defined in </w:t>
      </w:r>
      <w:proofErr w:type="spellStart"/>
      <w:r w:rsidR="002144C9">
        <w:rPr>
          <w:rFonts w:ascii="Times New Roman" w:eastAsia="MS Mincho" w:hAnsi="Times New Roman" w:cs="Times New Roman"/>
          <w:sz w:val="20"/>
          <w:szCs w:val="20"/>
          <w:lang w:val="en-AU"/>
        </w:rPr>
        <w:t>Rel</w:t>
      </w:r>
      <w:proofErr w:type="spellEnd"/>
      <w:r w:rsidR="002144C9">
        <w:rPr>
          <w:rFonts w:ascii="Times New Roman" w:eastAsia="MS Mincho" w:hAnsi="Times New Roman" w:cs="Times New Roman"/>
          <w:sz w:val="20"/>
          <w:szCs w:val="20"/>
          <w:lang w:val="en-AU"/>
        </w:rPr>
        <w:t>-15 NR slot format.</w:t>
      </w:r>
      <w:r w:rsidR="00927EE8">
        <w:rPr>
          <w:rFonts w:ascii="Times New Roman" w:eastAsia="MS Mincho" w:hAnsi="Times New Roman" w:cs="Times New Roman"/>
          <w:sz w:val="20"/>
          <w:szCs w:val="20"/>
          <w:lang w:val="en-AU"/>
        </w:rPr>
        <w:t xml:space="preserve"> Namely, semi-static transmission is not allowed over flexible symbols but dynamic scheduling can make use of flexible symbols. With the DL/UL direction information indicated to the UE, resource sharing between </w:t>
      </w:r>
      <w:proofErr w:type="spellStart"/>
      <w:r w:rsidR="00927EE8">
        <w:rPr>
          <w:rFonts w:ascii="Times New Roman" w:eastAsia="MS Mincho" w:hAnsi="Times New Roman" w:cs="Times New Roman"/>
          <w:sz w:val="20"/>
          <w:szCs w:val="20"/>
          <w:lang w:val="en-AU"/>
        </w:rPr>
        <w:t>gNB</w:t>
      </w:r>
      <w:proofErr w:type="spellEnd"/>
      <w:r w:rsidR="00927EE8">
        <w:rPr>
          <w:rFonts w:ascii="Times New Roman" w:eastAsia="MS Mincho" w:hAnsi="Times New Roman" w:cs="Times New Roman"/>
          <w:sz w:val="20"/>
          <w:szCs w:val="20"/>
          <w:lang w:val="en-AU"/>
        </w:rPr>
        <w:t xml:space="preserve"> and UE for the acquired COT is realized. The additional benefit of </w:t>
      </w:r>
      <w:r w:rsidR="00260071">
        <w:rPr>
          <w:rFonts w:ascii="Times New Roman" w:eastAsia="MS Mincho" w:hAnsi="Times New Roman" w:cs="Times New Roman"/>
          <w:sz w:val="20"/>
          <w:szCs w:val="20"/>
          <w:lang w:val="en-AU"/>
        </w:rPr>
        <w:t xml:space="preserve">indicating DL/UL direction for the COT is to allow the control of semi-statically configured/periodic transmission. </w:t>
      </w:r>
      <w:r w:rsidR="00CF5C89">
        <w:rPr>
          <w:rFonts w:ascii="Times New Roman" w:eastAsia="MS Mincho" w:hAnsi="Times New Roman" w:cs="Times New Roman"/>
          <w:sz w:val="20"/>
          <w:szCs w:val="20"/>
          <w:lang w:val="en-AU"/>
        </w:rPr>
        <w:t xml:space="preserve">For example, if UL transmission configured by RRC is occurring within the </w:t>
      </w:r>
      <w:proofErr w:type="spellStart"/>
      <w:r w:rsidR="00CF5C89">
        <w:rPr>
          <w:rFonts w:ascii="Times New Roman" w:eastAsia="MS Mincho" w:hAnsi="Times New Roman" w:cs="Times New Roman"/>
          <w:sz w:val="20"/>
          <w:szCs w:val="20"/>
          <w:lang w:val="en-AU"/>
        </w:rPr>
        <w:t>gNB’s</w:t>
      </w:r>
      <w:proofErr w:type="spellEnd"/>
      <w:r w:rsidR="00CF5C89">
        <w:rPr>
          <w:rFonts w:ascii="Times New Roman" w:eastAsia="MS Mincho" w:hAnsi="Times New Roman" w:cs="Times New Roman"/>
          <w:sz w:val="20"/>
          <w:szCs w:val="20"/>
          <w:lang w:val="en-AU"/>
        </w:rPr>
        <w:t xml:space="preserve"> COT, but the configured resources are indicated as DL or flexible by </w:t>
      </w:r>
      <w:proofErr w:type="spellStart"/>
      <w:r w:rsidR="00CF5C89">
        <w:rPr>
          <w:rFonts w:ascii="Times New Roman" w:eastAsia="MS Mincho" w:hAnsi="Times New Roman" w:cs="Times New Roman"/>
          <w:sz w:val="20"/>
          <w:szCs w:val="20"/>
          <w:lang w:val="en-AU"/>
        </w:rPr>
        <w:t>gNB</w:t>
      </w:r>
      <w:proofErr w:type="spellEnd"/>
      <w:r w:rsidR="00CF5C89">
        <w:rPr>
          <w:rFonts w:ascii="Times New Roman" w:eastAsia="MS Mincho" w:hAnsi="Times New Roman" w:cs="Times New Roman"/>
          <w:sz w:val="20"/>
          <w:szCs w:val="20"/>
          <w:lang w:val="en-AU"/>
        </w:rPr>
        <w:t>, then UL transmission has to be dropped.</w:t>
      </w:r>
      <w:r w:rsidR="00163A0C">
        <w:rPr>
          <w:rFonts w:ascii="Times New Roman" w:eastAsia="MS Mincho" w:hAnsi="Times New Roman" w:cs="Times New Roman"/>
          <w:sz w:val="20"/>
          <w:szCs w:val="20"/>
          <w:lang w:val="en-AU"/>
        </w:rPr>
        <w:t xml:space="preserve"> </w:t>
      </w:r>
      <w:r>
        <w:rPr>
          <w:rFonts w:ascii="Times New Roman" w:eastAsia="MS Mincho" w:hAnsi="Times New Roman" w:cs="Times New Roman"/>
          <w:sz w:val="20"/>
          <w:szCs w:val="20"/>
          <w:lang w:val="en-AU"/>
        </w:rPr>
        <w:t xml:space="preserve"> </w:t>
      </w:r>
    </w:p>
    <w:p w14:paraId="11A597C6" w14:textId="2BF03478" w:rsidR="009E6BC0" w:rsidRDefault="005628C0" w:rsidP="005E0FF1">
      <w:pPr>
        <w:spacing w:after="180" w:line="240" w:lineRule="auto"/>
        <w:jc w:val="both"/>
        <w:rPr>
          <w:rFonts w:ascii="Times New Roman" w:eastAsia="MS Mincho" w:hAnsi="Times New Roman" w:cs="Times New Roman"/>
          <w:sz w:val="20"/>
          <w:szCs w:val="20"/>
          <w:lang w:val="en-AU"/>
        </w:rPr>
      </w:pPr>
      <w:r w:rsidRPr="005628C0">
        <w:rPr>
          <w:rFonts w:ascii="Times New Roman" w:eastAsia="MS Mincho" w:hAnsi="Times New Roman" w:cs="Times New Roman"/>
          <w:sz w:val="20"/>
          <w:szCs w:val="20"/>
          <w:lang w:val="en-AU"/>
        </w:rPr>
        <w:t>The COT structure indication is a</w:t>
      </w:r>
      <w:r>
        <w:rPr>
          <w:rFonts w:ascii="Times New Roman" w:eastAsia="MS Mincho" w:hAnsi="Times New Roman" w:cs="Times New Roman"/>
          <w:sz w:val="20"/>
          <w:szCs w:val="20"/>
          <w:lang w:val="en-AU"/>
        </w:rPr>
        <w:t>ssociated with a valid time duration. After that duration, UE will expect receiving another indication. One way is to set the valid time the same as COT duration. However, a better way is to set valid time only for one or a few slots, less than the MCOT. With the shorter valid time, the COT structure can be modified more dynamically to adapt to the traffic demand.</w:t>
      </w:r>
    </w:p>
    <w:p w14:paraId="3919B623" w14:textId="1AD40133" w:rsidR="005628C0" w:rsidRDefault="005628C0" w:rsidP="005E0FF1">
      <w:pPr>
        <w:spacing w:after="180" w:line="240" w:lineRule="auto"/>
        <w:jc w:val="both"/>
        <w:rPr>
          <w:rFonts w:ascii="Times New Roman" w:eastAsia="MS Mincho" w:hAnsi="Times New Roman" w:cs="Times New Roman"/>
          <w:sz w:val="20"/>
          <w:szCs w:val="20"/>
          <w:lang w:val="en-AU"/>
        </w:rPr>
      </w:pPr>
      <w:r>
        <w:rPr>
          <w:rFonts w:ascii="Times New Roman" w:hAnsi="Times New Roman" w:cs="Times New Roman"/>
          <w:b/>
          <w:sz w:val="20"/>
          <w:szCs w:val="20"/>
          <w:lang w:eastAsia="en-US"/>
        </w:rPr>
        <w:lastRenderedPageBreak/>
        <w:t xml:space="preserve">Proposal 1: COT structure in time domain defines which symbols are DL, UL, and Flexible for one or a few slots, similar to </w:t>
      </w:r>
      <w:proofErr w:type="spellStart"/>
      <w:r>
        <w:rPr>
          <w:rFonts w:ascii="Times New Roman" w:hAnsi="Times New Roman" w:cs="Times New Roman"/>
          <w:b/>
          <w:sz w:val="20"/>
          <w:szCs w:val="20"/>
          <w:lang w:eastAsia="en-US"/>
        </w:rPr>
        <w:t>Rel</w:t>
      </w:r>
      <w:proofErr w:type="spellEnd"/>
      <w:r>
        <w:rPr>
          <w:rFonts w:ascii="Times New Roman" w:hAnsi="Times New Roman" w:cs="Times New Roman"/>
          <w:b/>
          <w:sz w:val="20"/>
          <w:szCs w:val="20"/>
          <w:lang w:eastAsia="en-US"/>
        </w:rPr>
        <w:t>-15 Slot Format Indication.</w:t>
      </w:r>
    </w:p>
    <w:p w14:paraId="4CB8A368" w14:textId="77777777" w:rsidR="005628C0" w:rsidRPr="008865ED" w:rsidRDefault="005628C0" w:rsidP="005E0FF1">
      <w:pPr>
        <w:spacing w:after="180" w:line="240" w:lineRule="auto"/>
        <w:jc w:val="both"/>
        <w:rPr>
          <w:rFonts w:ascii="Times New Roman" w:eastAsia="MS Mincho" w:hAnsi="Times New Roman" w:cs="Times New Roman"/>
          <w:sz w:val="20"/>
          <w:szCs w:val="20"/>
          <w:lang w:val="en-AU"/>
        </w:rPr>
      </w:pPr>
    </w:p>
    <w:p w14:paraId="6F785768" w14:textId="539837E8" w:rsidR="005E0FF1" w:rsidRPr="005E0FF1" w:rsidRDefault="005E0FF1" w:rsidP="005E0FF1">
      <w:pPr>
        <w:spacing w:after="180" w:line="240" w:lineRule="auto"/>
        <w:jc w:val="both"/>
        <w:rPr>
          <w:rFonts w:ascii="Times New Roman" w:eastAsia="MS Mincho" w:hAnsi="Times New Roman" w:cs="Times New Roman"/>
          <w:b/>
          <w:sz w:val="20"/>
          <w:szCs w:val="20"/>
          <w:u w:val="single"/>
          <w:lang w:val="en-AU"/>
        </w:rPr>
      </w:pPr>
      <w:r w:rsidRPr="005E0FF1">
        <w:rPr>
          <w:rFonts w:ascii="Times New Roman" w:eastAsia="MS Mincho" w:hAnsi="Times New Roman" w:cs="Times New Roman"/>
          <w:b/>
          <w:sz w:val="20"/>
          <w:szCs w:val="20"/>
          <w:u w:val="single"/>
          <w:lang w:val="en-AU"/>
        </w:rPr>
        <w:t>Enable UE to skip RRC configured PDCCH occasions</w:t>
      </w:r>
    </w:p>
    <w:p w14:paraId="0364E542" w14:textId="0C176C94" w:rsidR="0037289A" w:rsidRDefault="001C5739" w:rsidP="008865ED">
      <w:pPr>
        <w:spacing w:after="180" w:line="240" w:lineRule="auto"/>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T</w:t>
      </w:r>
      <w:r w:rsidR="005E0FF1" w:rsidRPr="005E0FF1">
        <w:rPr>
          <w:rFonts w:ascii="Times New Roman" w:eastAsia="MS Mincho" w:hAnsi="Times New Roman" w:cs="Times New Roman"/>
          <w:sz w:val="20"/>
          <w:szCs w:val="20"/>
          <w:lang w:val="en-AU"/>
        </w:rPr>
        <w:t xml:space="preserve">here has been consensus to support different PDCCH monitoring patterns </w:t>
      </w:r>
      <w:r>
        <w:rPr>
          <w:rFonts w:ascii="Times New Roman" w:eastAsia="MS Mincho" w:hAnsi="Times New Roman" w:cs="Times New Roman"/>
          <w:sz w:val="20"/>
          <w:szCs w:val="20"/>
          <w:lang w:val="en-AU"/>
        </w:rPr>
        <w:t xml:space="preserve">in time domain </w:t>
      </w:r>
      <w:r w:rsidR="005E0FF1" w:rsidRPr="005E0FF1">
        <w:rPr>
          <w:rFonts w:ascii="Times New Roman" w:eastAsia="MS Mincho" w:hAnsi="Times New Roman" w:cs="Times New Roman"/>
          <w:sz w:val="20"/>
          <w:szCs w:val="20"/>
          <w:lang w:val="en-AU"/>
        </w:rPr>
        <w:t xml:space="preserve">within and outside a </w:t>
      </w:r>
      <w:proofErr w:type="spellStart"/>
      <w:r w:rsidR="005E0FF1" w:rsidRPr="005E0FF1">
        <w:rPr>
          <w:rFonts w:ascii="Times New Roman" w:eastAsia="MS Mincho" w:hAnsi="Times New Roman" w:cs="Times New Roman"/>
          <w:sz w:val="20"/>
          <w:szCs w:val="20"/>
          <w:lang w:val="en-AU"/>
        </w:rPr>
        <w:t>gNB’s</w:t>
      </w:r>
      <w:proofErr w:type="spellEnd"/>
      <w:r w:rsidR="005E0FF1" w:rsidRPr="005E0FF1">
        <w:rPr>
          <w:rFonts w:ascii="Times New Roman" w:eastAsia="MS Mincho" w:hAnsi="Times New Roman" w:cs="Times New Roman"/>
          <w:sz w:val="20"/>
          <w:szCs w:val="20"/>
          <w:lang w:val="en-AU"/>
        </w:rPr>
        <w:t xml:space="preserve"> COT, for example, before UE identifies the </w:t>
      </w:r>
      <w:proofErr w:type="spellStart"/>
      <w:r w:rsidR="005E0FF1" w:rsidRPr="005E0FF1">
        <w:rPr>
          <w:rFonts w:ascii="Times New Roman" w:eastAsia="MS Mincho" w:hAnsi="Times New Roman" w:cs="Times New Roman"/>
          <w:sz w:val="20"/>
          <w:szCs w:val="20"/>
          <w:lang w:val="en-AU"/>
        </w:rPr>
        <w:t>gNB’s</w:t>
      </w:r>
      <w:proofErr w:type="spellEnd"/>
      <w:r w:rsidR="005E0FF1" w:rsidRPr="005E0FF1">
        <w:rPr>
          <w:rFonts w:ascii="Times New Roman" w:eastAsia="MS Mincho" w:hAnsi="Times New Roman" w:cs="Times New Roman"/>
          <w:sz w:val="20"/>
          <w:szCs w:val="20"/>
          <w:lang w:val="en-AU"/>
        </w:rPr>
        <w:t xml:space="preserve"> COT, it adopts mini-slot monitoring to facilitate fine channel access granularity. Once UE detects the COT, UE can switch to slot-based monitoring to reduce </w:t>
      </w:r>
      <w:r w:rsidR="0037289A">
        <w:rPr>
          <w:rFonts w:ascii="Times New Roman" w:eastAsia="MS Mincho" w:hAnsi="Times New Roman" w:cs="Times New Roman"/>
          <w:sz w:val="20"/>
          <w:szCs w:val="20"/>
          <w:lang w:val="en-AU"/>
        </w:rPr>
        <w:t>power consumption and scheduling</w:t>
      </w:r>
      <w:r w:rsidR="005E0FF1" w:rsidRPr="005E0FF1">
        <w:rPr>
          <w:rFonts w:ascii="Times New Roman" w:eastAsia="MS Mincho" w:hAnsi="Times New Roman" w:cs="Times New Roman"/>
          <w:sz w:val="20"/>
          <w:szCs w:val="20"/>
          <w:lang w:val="en-AU"/>
        </w:rPr>
        <w:t xml:space="preserve"> overhead. </w:t>
      </w:r>
    </w:p>
    <w:p w14:paraId="3608AFFB" w14:textId="2D33F2B9" w:rsidR="0037289A" w:rsidRDefault="0037289A" w:rsidP="008865ED">
      <w:pPr>
        <w:spacing w:after="180" w:line="240" w:lineRule="auto"/>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Basically, there are two ways to enable s</w:t>
      </w:r>
      <w:r w:rsidR="005E0FF1" w:rsidRPr="005E0FF1">
        <w:rPr>
          <w:rFonts w:ascii="Times New Roman" w:eastAsia="MS Mincho" w:hAnsi="Times New Roman" w:cs="Times New Roman"/>
          <w:sz w:val="20"/>
          <w:szCs w:val="20"/>
          <w:lang w:val="en-AU"/>
        </w:rPr>
        <w:t>u</w:t>
      </w:r>
      <w:r>
        <w:rPr>
          <w:rFonts w:ascii="Times New Roman" w:eastAsia="MS Mincho" w:hAnsi="Times New Roman" w:cs="Times New Roman"/>
          <w:sz w:val="20"/>
          <w:szCs w:val="20"/>
          <w:lang w:val="en-AU"/>
        </w:rPr>
        <w:t>ch dynamic switching between different</w:t>
      </w:r>
      <w:r w:rsidR="005E0FF1" w:rsidRPr="005E0FF1">
        <w:rPr>
          <w:rFonts w:ascii="Times New Roman" w:eastAsia="MS Mincho" w:hAnsi="Times New Roman" w:cs="Times New Roman"/>
          <w:sz w:val="20"/>
          <w:szCs w:val="20"/>
          <w:lang w:val="en-AU"/>
        </w:rPr>
        <w:t xml:space="preserve"> PDCCH monitoring pattern</w:t>
      </w:r>
      <w:r>
        <w:rPr>
          <w:rFonts w:ascii="Times New Roman" w:eastAsia="MS Mincho" w:hAnsi="Times New Roman" w:cs="Times New Roman"/>
          <w:sz w:val="20"/>
          <w:szCs w:val="20"/>
          <w:lang w:val="en-AU"/>
        </w:rPr>
        <w:t xml:space="preserve">s: </w:t>
      </w:r>
      <w:r w:rsidR="008865ED">
        <w:rPr>
          <w:rFonts w:ascii="Times New Roman" w:eastAsia="MS Mincho" w:hAnsi="Times New Roman" w:cs="Times New Roman"/>
          <w:sz w:val="20"/>
          <w:szCs w:val="20"/>
          <w:lang w:val="en-AU"/>
        </w:rPr>
        <w:t>trigger-based</w:t>
      </w:r>
      <w:r>
        <w:rPr>
          <w:rFonts w:ascii="Times New Roman" w:eastAsia="MS Mincho" w:hAnsi="Times New Roman" w:cs="Times New Roman"/>
          <w:sz w:val="20"/>
          <w:szCs w:val="20"/>
          <w:lang w:val="en-AU"/>
        </w:rPr>
        <w:t xml:space="preserve"> method or </w:t>
      </w:r>
      <w:proofErr w:type="spellStart"/>
      <w:r w:rsidR="008865ED">
        <w:rPr>
          <w:rFonts w:ascii="Times New Roman" w:eastAsia="MS Mincho" w:hAnsi="Times New Roman" w:cs="Times New Roman"/>
          <w:sz w:val="20"/>
          <w:szCs w:val="20"/>
          <w:lang w:val="en-AU"/>
        </w:rPr>
        <w:t>signaling</w:t>
      </w:r>
      <w:proofErr w:type="spellEnd"/>
      <w:r w:rsidR="008865ED">
        <w:rPr>
          <w:rFonts w:ascii="Times New Roman" w:eastAsia="MS Mincho" w:hAnsi="Times New Roman" w:cs="Times New Roman"/>
          <w:sz w:val="20"/>
          <w:szCs w:val="20"/>
          <w:lang w:val="en-AU"/>
        </w:rPr>
        <w:t>-based</w:t>
      </w:r>
      <w:r>
        <w:rPr>
          <w:rFonts w:ascii="Times New Roman" w:eastAsia="MS Mincho" w:hAnsi="Times New Roman" w:cs="Times New Roman"/>
          <w:sz w:val="20"/>
          <w:szCs w:val="20"/>
          <w:lang w:val="en-AU"/>
        </w:rPr>
        <w:t xml:space="preserve"> method</w:t>
      </w:r>
      <w:r w:rsidR="00CF5C89">
        <w:rPr>
          <w:rFonts w:ascii="Times New Roman" w:eastAsia="MS Mincho" w:hAnsi="Times New Roman" w:cs="Times New Roman"/>
          <w:sz w:val="20"/>
          <w:szCs w:val="20"/>
          <w:lang w:val="en-AU"/>
        </w:rPr>
        <w:t xml:space="preserve"> or the combination of both</w:t>
      </w:r>
      <w:r>
        <w:rPr>
          <w:rFonts w:ascii="Times New Roman" w:eastAsia="MS Mincho" w:hAnsi="Times New Roman" w:cs="Times New Roman"/>
          <w:sz w:val="20"/>
          <w:szCs w:val="20"/>
          <w:lang w:val="en-AU"/>
        </w:rPr>
        <w:t>.</w:t>
      </w:r>
    </w:p>
    <w:p w14:paraId="36E2B698" w14:textId="1610FF24" w:rsidR="0098035C" w:rsidRPr="0098035C" w:rsidRDefault="008865ED" w:rsidP="008865ED">
      <w:pPr>
        <w:pStyle w:val="ListParagraph"/>
        <w:numPr>
          <w:ilvl w:val="0"/>
          <w:numId w:val="13"/>
        </w:numPr>
        <w:spacing w:after="180" w:line="240" w:lineRule="auto"/>
        <w:rPr>
          <w:rFonts w:ascii="Times New Roman" w:eastAsia="MS Mincho" w:hAnsi="Times New Roman" w:cs="Times New Roman"/>
          <w:sz w:val="20"/>
          <w:szCs w:val="20"/>
          <w:lang w:val="en-AU"/>
        </w:rPr>
      </w:pPr>
      <w:r>
        <w:rPr>
          <w:rFonts w:ascii="Times New Roman" w:eastAsia="MS Mincho" w:hAnsi="Times New Roman" w:cs="Times New Roman"/>
          <w:b/>
          <w:sz w:val="20"/>
          <w:szCs w:val="20"/>
          <w:lang w:val="en-AU"/>
        </w:rPr>
        <w:t>Trigger-based</w:t>
      </w:r>
      <w:r w:rsidR="0037289A" w:rsidRPr="0098035C">
        <w:rPr>
          <w:rFonts w:ascii="Times New Roman" w:eastAsia="MS Mincho" w:hAnsi="Times New Roman" w:cs="Times New Roman"/>
          <w:b/>
          <w:sz w:val="20"/>
          <w:szCs w:val="20"/>
          <w:lang w:val="en-AU"/>
        </w:rPr>
        <w:t xml:space="preserve"> method:</w:t>
      </w:r>
      <w:r w:rsidR="0037289A">
        <w:rPr>
          <w:rFonts w:ascii="Times New Roman" w:eastAsia="MS Mincho" w:hAnsi="Times New Roman" w:cs="Times New Roman"/>
          <w:sz w:val="20"/>
          <w:szCs w:val="20"/>
          <w:lang w:val="en-AU"/>
        </w:rPr>
        <w:t xml:space="preserve"> Two PDCCH monitoring patterns are preconfigured. Before UE identifies a </w:t>
      </w:r>
      <w:proofErr w:type="spellStart"/>
      <w:r w:rsidR="0037289A">
        <w:rPr>
          <w:rFonts w:ascii="Times New Roman" w:eastAsia="MS Mincho" w:hAnsi="Times New Roman" w:cs="Times New Roman"/>
          <w:sz w:val="20"/>
          <w:szCs w:val="20"/>
          <w:lang w:val="en-AU"/>
        </w:rPr>
        <w:t>gNB’s</w:t>
      </w:r>
      <w:proofErr w:type="spellEnd"/>
      <w:r w:rsidR="0037289A">
        <w:rPr>
          <w:rFonts w:ascii="Times New Roman" w:eastAsia="MS Mincho" w:hAnsi="Times New Roman" w:cs="Times New Roman"/>
          <w:sz w:val="20"/>
          <w:szCs w:val="20"/>
          <w:lang w:val="en-AU"/>
        </w:rPr>
        <w:t xml:space="preserve"> COT, UE uses pattern 1. After UE detects</w:t>
      </w:r>
      <w:r w:rsidR="005E0FF1" w:rsidRPr="0037289A">
        <w:rPr>
          <w:rFonts w:ascii="Times New Roman" w:eastAsia="MS Mincho" w:hAnsi="Times New Roman" w:cs="Times New Roman"/>
          <w:sz w:val="20"/>
          <w:szCs w:val="20"/>
          <w:lang w:val="en-AU"/>
        </w:rPr>
        <w:t xml:space="preserve"> some initial signal at the beginning of the COT (e.g. wideband DM-RS)</w:t>
      </w:r>
      <w:r w:rsidR="005E0FF1" w:rsidRPr="0037289A">
        <w:rPr>
          <w:rFonts w:ascii="Times New Roman" w:eastAsia="MS Mincho" w:hAnsi="Times New Roman" w:cs="Times New Roman"/>
          <w:sz w:val="20"/>
          <w:szCs w:val="20"/>
        </w:rPr>
        <w:t xml:space="preserve">, </w:t>
      </w:r>
      <w:r w:rsidR="0037289A">
        <w:rPr>
          <w:rFonts w:ascii="Times New Roman" w:eastAsia="MS Mincho" w:hAnsi="Times New Roman" w:cs="Times New Roman"/>
          <w:sz w:val="20"/>
          <w:szCs w:val="20"/>
        </w:rPr>
        <w:t>UE switches to pattern 2</w:t>
      </w:r>
      <w:r>
        <w:rPr>
          <w:rFonts w:ascii="Times New Roman" w:eastAsia="MS Mincho" w:hAnsi="Times New Roman" w:cs="Times New Roman"/>
          <w:sz w:val="20"/>
          <w:szCs w:val="20"/>
        </w:rPr>
        <w:t xml:space="preserve"> (i.e. the identification of COT triggers another PDCCH monitoring pattern)</w:t>
      </w:r>
      <w:r w:rsidR="0037289A">
        <w:rPr>
          <w:rFonts w:ascii="Times New Roman" w:eastAsia="MS Mincho" w:hAnsi="Times New Roman" w:cs="Times New Roman"/>
          <w:sz w:val="20"/>
          <w:szCs w:val="20"/>
        </w:rPr>
        <w:t xml:space="preserve">. </w:t>
      </w:r>
    </w:p>
    <w:p w14:paraId="76BE2BBC" w14:textId="41D89023" w:rsidR="005E0FF1" w:rsidRDefault="008865ED" w:rsidP="008865ED">
      <w:pPr>
        <w:pStyle w:val="ListParagraph"/>
        <w:numPr>
          <w:ilvl w:val="0"/>
          <w:numId w:val="13"/>
        </w:numPr>
        <w:spacing w:after="180" w:line="240" w:lineRule="auto"/>
        <w:rPr>
          <w:rFonts w:ascii="Times New Roman" w:eastAsia="MS Mincho" w:hAnsi="Times New Roman" w:cs="Times New Roman"/>
          <w:sz w:val="20"/>
          <w:szCs w:val="20"/>
          <w:lang w:val="en-AU"/>
        </w:rPr>
      </w:pPr>
      <w:r>
        <w:rPr>
          <w:rFonts w:ascii="Times New Roman" w:eastAsia="MS Mincho" w:hAnsi="Times New Roman" w:cs="Times New Roman"/>
          <w:b/>
          <w:sz w:val="20"/>
          <w:szCs w:val="20"/>
        </w:rPr>
        <w:t>Signalling-based</w:t>
      </w:r>
      <w:r w:rsidR="0098035C" w:rsidRPr="0098035C">
        <w:rPr>
          <w:rFonts w:ascii="Times New Roman" w:eastAsia="MS Mincho" w:hAnsi="Times New Roman" w:cs="Times New Roman"/>
          <w:b/>
          <w:sz w:val="20"/>
          <w:szCs w:val="20"/>
        </w:rPr>
        <w:t xml:space="preserve"> method:</w:t>
      </w:r>
      <w:r w:rsidR="0098035C">
        <w:rPr>
          <w:rFonts w:ascii="Times New Roman" w:eastAsia="MS Mincho" w:hAnsi="Times New Roman" w:cs="Times New Roman"/>
          <w:sz w:val="20"/>
          <w:szCs w:val="20"/>
        </w:rPr>
        <w:t xml:space="preserve"> UE is</w:t>
      </w:r>
      <w:r w:rsidR="005E0FF1" w:rsidRPr="0037289A">
        <w:rPr>
          <w:rFonts w:ascii="Times New Roman" w:eastAsia="MS Mincho" w:hAnsi="Times New Roman" w:cs="Times New Roman"/>
          <w:sz w:val="20"/>
          <w:szCs w:val="20"/>
        </w:rPr>
        <w:t xml:space="preserve"> explicitly signall</w:t>
      </w:r>
      <w:r w:rsidR="0098035C">
        <w:rPr>
          <w:rFonts w:ascii="Times New Roman" w:eastAsia="MS Mincho" w:hAnsi="Times New Roman" w:cs="Times New Roman"/>
          <w:sz w:val="20"/>
          <w:szCs w:val="20"/>
        </w:rPr>
        <w:t>ed</w:t>
      </w:r>
      <w:r w:rsidR="005E0FF1" w:rsidRPr="0037289A">
        <w:rPr>
          <w:rFonts w:ascii="Times New Roman" w:eastAsia="MS Mincho" w:hAnsi="Times New Roman" w:cs="Times New Roman"/>
          <w:sz w:val="20"/>
          <w:szCs w:val="20"/>
        </w:rPr>
        <w:t xml:space="preserve"> via COT structure info</w:t>
      </w:r>
      <w:r w:rsidR="0098035C">
        <w:rPr>
          <w:rFonts w:ascii="Times New Roman" w:eastAsia="MS Mincho" w:hAnsi="Times New Roman" w:cs="Times New Roman"/>
          <w:sz w:val="20"/>
          <w:szCs w:val="20"/>
        </w:rPr>
        <w:t xml:space="preserve"> whether UE should spend or reduce its effort on PDCCH decoding</w:t>
      </w:r>
      <w:r w:rsidR="005E0FF1" w:rsidRPr="0037289A">
        <w:rPr>
          <w:rFonts w:ascii="Times New Roman" w:eastAsia="MS Mincho" w:hAnsi="Times New Roman" w:cs="Times New Roman"/>
          <w:sz w:val="20"/>
          <w:szCs w:val="20"/>
        </w:rPr>
        <w:t xml:space="preserve">. </w:t>
      </w:r>
      <w:r w:rsidR="005E0FF1" w:rsidRPr="0037289A">
        <w:rPr>
          <w:rFonts w:ascii="Times New Roman" w:eastAsia="MS Mincho" w:hAnsi="Times New Roman" w:cs="Times New Roman"/>
          <w:sz w:val="20"/>
          <w:szCs w:val="20"/>
          <w:lang w:val="en-AU"/>
        </w:rPr>
        <w:t>For examp</w:t>
      </w:r>
      <w:r w:rsidR="0098035C">
        <w:rPr>
          <w:rFonts w:ascii="Times New Roman" w:eastAsia="MS Mincho" w:hAnsi="Times New Roman" w:cs="Times New Roman"/>
          <w:sz w:val="20"/>
          <w:szCs w:val="20"/>
          <w:lang w:val="en-AU"/>
        </w:rPr>
        <w:t xml:space="preserve">le, COT structure info </w:t>
      </w:r>
      <w:r w:rsidR="005E0FF1" w:rsidRPr="0037289A">
        <w:rPr>
          <w:rFonts w:ascii="Times New Roman" w:eastAsia="MS Mincho" w:hAnsi="Times New Roman" w:cs="Times New Roman"/>
          <w:sz w:val="20"/>
          <w:szCs w:val="20"/>
          <w:lang w:val="en-AU"/>
        </w:rPr>
        <w:t xml:space="preserve">can </w:t>
      </w:r>
      <w:r w:rsidR="0037289A" w:rsidRPr="0037289A">
        <w:rPr>
          <w:rFonts w:ascii="Times New Roman" w:eastAsia="MS Mincho" w:hAnsi="Times New Roman" w:cs="Times New Roman"/>
          <w:sz w:val="20"/>
          <w:szCs w:val="20"/>
          <w:lang w:val="en-AU"/>
        </w:rPr>
        <w:t>dynamically indicate some CORESET symbols within a COT</w:t>
      </w:r>
      <w:r w:rsidR="005E0FF1" w:rsidRPr="0037289A">
        <w:rPr>
          <w:rFonts w:ascii="Times New Roman" w:eastAsia="MS Mincho" w:hAnsi="Times New Roman" w:cs="Times New Roman"/>
          <w:sz w:val="20"/>
          <w:szCs w:val="20"/>
          <w:lang w:val="en-AU"/>
        </w:rPr>
        <w:t xml:space="preserve"> are non-DL symbols, such that UE can skip monitoring those symbols.</w:t>
      </w:r>
    </w:p>
    <w:p w14:paraId="540E59FC" w14:textId="4DA85A84" w:rsidR="0098035C" w:rsidRDefault="0098035C" w:rsidP="008865ED">
      <w:pPr>
        <w:spacing w:after="180" w:line="240" w:lineRule="auto"/>
        <w:rPr>
          <w:rFonts w:ascii="Times New Roman" w:eastAsia="MS Mincho" w:hAnsi="Times New Roman" w:cs="Times New Roman"/>
          <w:sz w:val="20"/>
          <w:szCs w:val="20"/>
          <w:lang w:val="en-AU"/>
        </w:rPr>
      </w:pPr>
      <w:r w:rsidRPr="0098035C">
        <w:rPr>
          <w:rFonts w:ascii="Times New Roman" w:eastAsia="MS Mincho" w:hAnsi="Times New Roman" w:cs="Times New Roman"/>
          <w:sz w:val="20"/>
          <w:szCs w:val="20"/>
          <w:lang w:val="en-AU"/>
        </w:rPr>
        <w:t>The advantage of explicit signalling is that within the COT more flexible PDCCH monitoring pattern can be indicated</w:t>
      </w:r>
      <w:r>
        <w:rPr>
          <w:rFonts w:ascii="Times New Roman" w:eastAsia="MS Mincho" w:hAnsi="Times New Roman" w:cs="Times New Roman"/>
          <w:sz w:val="20"/>
          <w:szCs w:val="20"/>
          <w:lang w:val="en-AU"/>
        </w:rPr>
        <w:t>, and it is not limited to one single PDCCH monitoring pattern for the entire COT</w:t>
      </w:r>
      <w:r w:rsidRPr="0098035C">
        <w:rPr>
          <w:rFonts w:ascii="Times New Roman" w:eastAsia="MS Mincho" w:hAnsi="Times New Roman" w:cs="Times New Roman"/>
          <w:sz w:val="20"/>
          <w:szCs w:val="20"/>
          <w:lang w:val="en-AU"/>
        </w:rPr>
        <w:t>.</w:t>
      </w:r>
      <w:r>
        <w:rPr>
          <w:rFonts w:ascii="Times New Roman" w:eastAsia="MS Mincho" w:hAnsi="Times New Roman" w:cs="Times New Roman"/>
          <w:sz w:val="20"/>
          <w:szCs w:val="20"/>
          <w:lang w:val="en-AU"/>
        </w:rPr>
        <w:t xml:space="preserve"> Therefore, we suggest that COT structure indication should support such use case. </w:t>
      </w:r>
    </w:p>
    <w:p w14:paraId="031A20EA" w14:textId="65742D0B" w:rsidR="0003000D" w:rsidRDefault="0003000D" w:rsidP="009E6BC0">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w:t>
      </w:r>
      <w:r w:rsidR="00A3116E">
        <w:rPr>
          <w:rFonts w:ascii="Times New Roman" w:hAnsi="Times New Roman" w:cs="Times New Roman"/>
          <w:b/>
          <w:sz w:val="20"/>
          <w:szCs w:val="20"/>
          <w:lang w:eastAsia="en-US"/>
        </w:rPr>
        <w:t>2</w:t>
      </w:r>
      <w:r>
        <w:rPr>
          <w:rFonts w:ascii="Times New Roman" w:hAnsi="Times New Roman" w:cs="Times New Roman"/>
          <w:b/>
          <w:sz w:val="20"/>
          <w:szCs w:val="20"/>
          <w:lang w:eastAsia="en-US"/>
        </w:rPr>
        <w:t xml:space="preserve">: COT structure indication </w:t>
      </w:r>
      <w:r w:rsidR="00A3116E">
        <w:rPr>
          <w:rFonts w:ascii="Times New Roman" w:hAnsi="Times New Roman" w:cs="Times New Roman"/>
          <w:b/>
          <w:sz w:val="20"/>
          <w:szCs w:val="20"/>
          <w:lang w:eastAsia="en-US"/>
        </w:rPr>
        <w:t xml:space="preserve">defining DL, UL and Flexible symbols can be used to </w:t>
      </w:r>
      <w:r>
        <w:rPr>
          <w:rFonts w:ascii="Times New Roman" w:hAnsi="Times New Roman" w:cs="Times New Roman"/>
          <w:b/>
          <w:sz w:val="20"/>
          <w:szCs w:val="20"/>
          <w:lang w:eastAsia="en-US"/>
        </w:rPr>
        <w:t xml:space="preserve">dynamically indicate whether to skip some RRC configured PDCCH monitoring occasions. </w:t>
      </w:r>
    </w:p>
    <w:p w14:paraId="7D0D0A30" w14:textId="756D5E9C" w:rsidR="0003000D" w:rsidRPr="0003000D" w:rsidRDefault="0003000D" w:rsidP="0098035C">
      <w:pPr>
        <w:spacing w:after="180" w:line="240" w:lineRule="auto"/>
        <w:jc w:val="both"/>
        <w:rPr>
          <w:rFonts w:ascii="Times New Roman" w:eastAsia="MS Mincho" w:hAnsi="Times New Roman" w:cs="Times New Roman"/>
          <w:sz w:val="20"/>
          <w:szCs w:val="20"/>
        </w:rPr>
      </w:pPr>
    </w:p>
    <w:p w14:paraId="7FD37B7B" w14:textId="77777777" w:rsidR="0003000D" w:rsidRPr="0098035C" w:rsidRDefault="0003000D" w:rsidP="0098035C">
      <w:pPr>
        <w:spacing w:after="180" w:line="240" w:lineRule="auto"/>
        <w:jc w:val="both"/>
        <w:rPr>
          <w:rFonts w:ascii="Times New Roman" w:eastAsia="MS Mincho" w:hAnsi="Times New Roman" w:cs="Times New Roman"/>
          <w:sz w:val="20"/>
          <w:szCs w:val="20"/>
          <w:lang w:val="en-AU"/>
        </w:rPr>
      </w:pPr>
    </w:p>
    <w:p w14:paraId="735CA5A6" w14:textId="21397EB4" w:rsidR="001C5739" w:rsidRDefault="001C5739" w:rsidP="001C5739">
      <w:pPr>
        <w:spacing w:after="180" w:line="240" w:lineRule="auto"/>
        <w:jc w:val="both"/>
        <w:rPr>
          <w:rFonts w:ascii="Times New Roman" w:eastAsia="MS Mincho" w:hAnsi="Times New Roman" w:cs="Times New Roman"/>
          <w:b/>
          <w:sz w:val="20"/>
          <w:szCs w:val="20"/>
          <w:u w:val="single"/>
          <w:lang w:val="en-AU"/>
        </w:rPr>
      </w:pPr>
      <w:r>
        <w:rPr>
          <w:rFonts w:ascii="Times New Roman" w:eastAsia="MS Mincho" w:hAnsi="Times New Roman" w:cs="Times New Roman"/>
          <w:b/>
          <w:sz w:val="20"/>
          <w:szCs w:val="20"/>
          <w:u w:val="single"/>
          <w:lang w:val="en-AU"/>
        </w:rPr>
        <w:t>Indicate the DL</w:t>
      </w:r>
      <w:r w:rsidR="00E10B1C">
        <w:rPr>
          <w:rFonts w:ascii="Times New Roman" w:eastAsia="MS Mincho" w:hAnsi="Times New Roman" w:cs="Times New Roman"/>
          <w:b/>
          <w:sz w:val="20"/>
          <w:szCs w:val="20"/>
          <w:u w:val="single"/>
          <w:lang w:val="en-AU"/>
        </w:rPr>
        <w:t>/UL</w:t>
      </w:r>
      <w:r>
        <w:rPr>
          <w:rFonts w:ascii="Times New Roman" w:eastAsia="MS Mincho" w:hAnsi="Times New Roman" w:cs="Times New Roman"/>
          <w:b/>
          <w:sz w:val="20"/>
          <w:szCs w:val="20"/>
          <w:u w:val="single"/>
          <w:lang w:val="en-AU"/>
        </w:rPr>
        <w:t xml:space="preserve"> bandwidth in a</w:t>
      </w:r>
      <w:r w:rsidRPr="004221B6">
        <w:rPr>
          <w:rFonts w:ascii="Times New Roman" w:eastAsia="MS Mincho" w:hAnsi="Times New Roman" w:cs="Times New Roman"/>
          <w:b/>
          <w:sz w:val="20"/>
          <w:szCs w:val="20"/>
          <w:u w:val="single"/>
          <w:lang w:val="en-AU"/>
        </w:rPr>
        <w:t xml:space="preserve"> </w:t>
      </w:r>
      <w:proofErr w:type="spellStart"/>
      <w:r>
        <w:rPr>
          <w:rFonts w:ascii="Times New Roman" w:eastAsia="MS Mincho" w:hAnsi="Times New Roman" w:cs="Times New Roman"/>
          <w:b/>
          <w:sz w:val="20"/>
          <w:szCs w:val="20"/>
          <w:u w:val="single"/>
          <w:lang w:val="en-AU"/>
        </w:rPr>
        <w:t>gNB</w:t>
      </w:r>
      <w:proofErr w:type="spellEnd"/>
      <w:r>
        <w:rPr>
          <w:rFonts w:ascii="Times New Roman" w:eastAsia="MS Mincho" w:hAnsi="Times New Roman" w:cs="Times New Roman"/>
          <w:b/>
          <w:sz w:val="20"/>
          <w:szCs w:val="20"/>
          <w:u w:val="single"/>
          <w:lang w:val="en-AU"/>
        </w:rPr>
        <w:t xml:space="preserve"> acquired </w:t>
      </w:r>
      <w:r w:rsidRPr="004221B6">
        <w:rPr>
          <w:rFonts w:ascii="Times New Roman" w:eastAsia="MS Mincho" w:hAnsi="Times New Roman" w:cs="Times New Roman"/>
          <w:b/>
          <w:sz w:val="20"/>
          <w:szCs w:val="20"/>
          <w:u w:val="single"/>
          <w:lang w:val="en-AU"/>
        </w:rPr>
        <w:t>COT</w:t>
      </w:r>
    </w:p>
    <w:p w14:paraId="78A0CE58" w14:textId="1D048EB3" w:rsidR="005E0FF1" w:rsidRPr="005E0FF1" w:rsidRDefault="002E7C0C" w:rsidP="00030866">
      <w:pPr>
        <w:spacing w:after="180" w:line="240" w:lineRule="auto"/>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As concluded in the study report, wideband operation where a serving cell is configured with bandwidth larger than 20 MHz should be supported in NR-U. In such case, the bandwidth of one NR-U cell may include</w:t>
      </w:r>
      <w:r w:rsidR="005E0FF1" w:rsidRPr="005E0FF1">
        <w:rPr>
          <w:rFonts w:ascii="Times New Roman" w:eastAsia="MS Mincho" w:hAnsi="Times New Roman" w:cs="Times New Roman"/>
          <w:sz w:val="20"/>
          <w:szCs w:val="20"/>
          <w:lang w:val="en-AU"/>
        </w:rPr>
        <w:t xml:space="preserve"> multiple 20</w:t>
      </w:r>
      <w:r w:rsidR="0037289A">
        <w:rPr>
          <w:rFonts w:ascii="Times New Roman" w:eastAsia="MS Mincho" w:hAnsi="Times New Roman" w:cs="Times New Roman"/>
          <w:sz w:val="20"/>
          <w:szCs w:val="20"/>
          <w:lang w:val="en-AU"/>
        </w:rPr>
        <w:t xml:space="preserve"> MHz LBT sub-bands</w:t>
      </w:r>
      <w:r w:rsidR="005E0FF1" w:rsidRPr="005E0FF1">
        <w:rPr>
          <w:rFonts w:ascii="Times New Roman" w:eastAsia="MS Mincho" w:hAnsi="Times New Roman" w:cs="Times New Roman"/>
          <w:sz w:val="20"/>
          <w:szCs w:val="20"/>
          <w:lang w:val="en-AU"/>
        </w:rPr>
        <w:t>. Currently, option 3 of single BWP operation is supported by majority of companies:</w:t>
      </w:r>
    </w:p>
    <w:p w14:paraId="4C18FA55" w14:textId="77777777" w:rsidR="005E0FF1" w:rsidRPr="005E0FF1" w:rsidRDefault="005E0FF1" w:rsidP="00963FF9">
      <w:pPr>
        <w:numPr>
          <w:ilvl w:val="0"/>
          <w:numId w:val="12"/>
        </w:numPr>
        <w:spacing w:after="0" w:line="240" w:lineRule="auto"/>
        <w:rPr>
          <w:rFonts w:ascii="Times New Roman" w:eastAsia="MS Mincho" w:hAnsi="Times New Roman" w:cs="Times New Roman"/>
          <w:i/>
          <w:sz w:val="20"/>
          <w:szCs w:val="20"/>
          <w:lang w:val="en-US" w:eastAsia="en-US"/>
        </w:rPr>
      </w:pPr>
      <w:r w:rsidRPr="005E0FF1">
        <w:rPr>
          <w:rFonts w:ascii="Times New Roman" w:eastAsia="MS Mincho" w:hAnsi="Times New Roman" w:cs="Times New Roman"/>
          <w:i/>
          <w:sz w:val="20"/>
          <w:szCs w:val="20"/>
          <w:lang w:val="en-US" w:eastAsia="en-US"/>
        </w:rPr>
        <w:t xml:space="preserve">Option 3: Multiple BWPs can be configured, single BWP activated, </w:t>
      </w:r>
      <w:proofErr w:type="spellStart"/>
      <w:r w:rsidRPr="005E0FF1">
        <w:rPr>
          <w:rFonts w:ascii="Times New Roman" w:eastAsia="MS Mincho" w:hAnsi="Times New Roman" w:cs="Times New Roman"/>
          <w:i/>
          <w:sz w:val="20"/>
          <w:szCs w:val="20"/>
          <w:lang w:val="en-US" w:eastAsia="en-US"/>
        </w:rPr>
        <w:t>gNB</w:t>
      </w:r>
      <w:proofErr w:type="spellEnd"/>
      <w:r w:rsidRPr="005E0FF1">
        <w:rPr>
          <w:rFonts w:ascii="Times New Roman" w:eastAsia="MS Mincho" w:hAnsi="Times New Roman" w:cs="Times New Roman"/>
          <w:i/>
          <w:sz w:val="20"/>
          <w:szCs w:val="20"/>
          <w:lang w:val="en-US" w:eastAsia="en-US"/>
        </w:rPr>
        <w:t xml:space="preserve"> transmits PDSCH on parts or whole of single BWP where CCA is successful at </w:t>
      </w:r>
      <w:proofErr w:type="spellStart"/>
      <w:r w:rsidRPr="005E0FF1">
        <w:rPr>
          <w:rFonts w:ascii="Times New Roman" w:eastAsia="MS Mincho" w:hAnsi="Times New Roman" w:cs="Times New Roman"/>
          <w:i/>
          <w:sz w:val="20"/>
          <w:szCs w:val="20"/>
          <w:lang w:val="en-US" w:eastAsia="en-US"/>
        </w:rPr>
        <w:t>gNB</w:t>
      </w:r>
      <w:proofErr w:type="spellEnd"/>
    </w:p>
    <w:p w14:paraId="593B0CFF" w14:textId="77777777" w:rsidR="00E10B1C" w:rsidRDefault="00E10B1C" w:rsidP="00030866">
      <w:pPr>
        <w:spacing w:after="180" w:line="240" w:lineRule="auto"/>
        <w:rPr>
          <w:rFonts w:ascii="Times New Roman" w:eastAsia="MS Mincho" w:hAnsi="Times New Roman" w:cs="Times New Roman"/>
          <w:sz w:val="20"/>
          <w:szCs w:val="20"/>
          <w:lang w:val="en-AU"/>
        </w:rPr>
      </w:pPr>
    </w:p>
    <w:p w14:paraId="4B89B148" w14:textId="6755532E" w:rsidR="00530867" w:rsidRDefault="005E0FF1" w:rsidP="00030866">
      <w:pPr>
        <w:spacing w:after="180" w:line="240" w:lineRule="auto"/>
        <w:rPr>
          <w:rFonts w:ascii="Times New Roman" w:eastAsia="MS Mincho" w:hAnsi="Times New Roman" w:cs="Times New Roman"/>
          <w:sz w:val="20"/>
          <w:szCs w:val="20"/>
          <w:lang w:val="en-AU"/>
        </w:rPr>
      </w:pPr>
      <w:r w:rsidRPr="005E0FF1">
        <w:rPr>
          <w:rFonts w:ascii="Times New Roman" w:eastAsia="MS Mincho" w:hAnsi="Times New Roman" w:cs="Times New Roman"/>
          <w:sz w:val="20"/>
          <w:szCs w:val="20"/>
          <w:lang w:val="en-AU"/>
        </w:rPr>
        <w:t xml:space="preserve">Option 3 allows </w:t>
      </w:r>
      <w:proofErr w:type="spellStart"/>
      <w:r w:rsidRPr="005E0FF1">
        <w:rPr>
          <w:rFonts w:ascii="Times New Roman" w:eastAsia="MS Mincho" w:hAnsi="Times New Roman" w:cs="Times New Roman"/>
          <w:sz w:val="20"/>
          <w:szCs w:val="20"/>
          <w:lang w:val="en-AU"/>
        </w:rPr>
        <w:t>gNB</w:t>
      </w:r>
      <w:proofErr w:type="spellEnd"/>
      <w:r w:rsidRPr="005E0FF1">
        <w:rPr>
          <w:rFonts w:ascii="Times New Roman" w:eastAsia="MS Mincho" w:hAnsi="Times New Roman" w:cs="Times New Roman"/>
          <w:sz w:val="20"/>
          <w:szCs w:val="20"/>
          <w:lang w:val="en-AU"/>
        </w:rPr>
        <w:t xml:space="preserve"> to grab the </w:t>
      </w:r>
      <w:r w:rsidRPr="005E0FF1">
        <w:rPr>
          <w:rFonts w:ascii="Times New Roman" w:eastAsia="MS Mincho" w:hAnsi="Times New Roman" w:cs="Times New Roman"/>
          <w:b/>
          <w:i/>
          <w:sz w:val="20"/>
          <w:szCs w:val="20"/>
          <w:lang w:val="en-AU"/>
        </w:rPr>
        <w:t>partial</w:t>
      </w:r>
      <w:r w:rsidRPr="005E0FF1">
        <w:rPr>
          <w:rFonts w:ascii="Times New Roman" w:eastAsia="MS Mincho" w:hAnsi="Times New Roman" w:cs="Times New Roman"/>
          <w:sz w:val="20"/>
          <w:szCs w:val="20"/>
          <w:lang w:val="en-AU"/>
        </w:rPr>
        <w:t xml:space="preserve"> wideband channel that is clear from channel assessment even if the whole wideband is configured as one BWP. In other words, it may happen that </w:t>
      </w:r>
      <w:proofErr w:type="spellStart"/>
      <w:r w:rsidRPr="005E0FF1">
        <w:rPr>
          <w:rFonts w:ascii="Times New Roman" w:eastAsia="MS Mincho" w:hAnsi="Times New Roman" w:cs="Times New Roman"/>
          <w:sz w:val="20"/>
          <w:szCs w:val="20"/>
          <w:lang w:val="en-AU"/>
        </w:rPr>
        <w:t>gNB</w:t>
      </w:r>
      <w:proofErr w:type="spellEnd"/>
      <w:r w:rsidRPr="005E0FF1">
        <w:rPr>
          <w:rFonts w:ascii="Times New Roman" w:eastAsia="MS Mincho" w:hAnsi="Times New Roman" w:cs="Times New Roman"/>
          <w:sz w:val="20"/>
          <w:szCs w:val="20"/>
          <w:lang w:val="en-AU"/>
        </w:rPr>
        <w:t xml:space="preserve"> does not gain access on some portion of UE’s active BWP due to LBT failure over those portions, but </w:t>
      </w:r>
      <w:proofErr w:type="spellStart"/>
      <w:r w:rsidRPr="005E0FF1">
        <w:rPr>
          <w:rFonts w:ascii="Times New Roman" w:eastAsia="MS Mincho" w:hAnsi="Times New Roman" w:cs="Times New Roman"/>
          <w:sz w:val="20"/>
          <w:szCs w:val="20"/>
          <w:lang w:val="en-AU"/>
        </w:rPr>
        <w:t>gNB</w:t>
      </w:r>
      <w:proofErr w:type="spellEnd"/>
      <w:r w:rsidRPr="005E0FF1">
        <w:rPr>
          <w:rFonts w:ascii="Times New Roman" w:eastAsia="MS Mincho" w:hAnsi="Times New Roman" w:cs="Times New Roman"/>
          <w:sz w:val="20"/>
          <w:szCs w:val="20"/>
          <w:lang w:val="en-AU"/>
        </w:rPr>
        <w:t xml:space="preserve"> still proceeds for DL transmission over the acquired part. In such case, it is beneficial for the UE to know which part of the active BWP that </w:t>
      </w:r>
      <w:proofErr w:type="spellStart"/>
      <w:r w:rsidRPr="005E0FF1">
        <w:rPr>
          <w:rFonts w:ascii="Times New Roman" w:eastAsia="MS Mincho" w:hAnsi="Times New Roman" w:cs="Times New Roman"/>
          <w:sz w:val="20"/>
          <w:szCs w:val="20"/>
          <w:lang w:val="en-AU"/>
        </w:rPr>
        <w:t>gNB</w:t>
      </w:r>
      <w:proofErr w:type="spellEnd"/>
      <w:r w:rsidRPr="005E0FF1">
        <w:rPr>
          <w:rFonts w:ascii="Times New Roman" w:eastAsia="MS Mincho" w:hAnsi="Times New Roman" w:cs="Times New Roman"/>
          <w:sz w:val="20"/>
          <w:szCs w:val="20"/>
          <w:lang w:val="en-AU"/>
        </w:rPr>
        <w:t xml:space="preserve"> has failed gaining control, such that UE can skip the PDCCH/PDSCH over those portions. </w:t>
      </w:r>
      <w:r w:rsidR="00391568">
        <w:rPr>
          <w:rFonts w:ascii="Times New Roman" w:eastAsia="MS Mincho" w:hAnsi="Times New Roman" w:cs="Times New Roman"/>
          <w:sz w:val="20"/>
          <w:szCs w:val="20"/>
          <w:lang w:val="en-AU"/>
        </w:rPr>
        <w:t xml:space="preserve">On the other hand, for semi-static configured UL transmission such as PRACH, configured grant type-1 within </w:t>
      </w:r>
      <w:proofErr w:type="spellStart"/>
      <w:r w:rsidR="00391568">
        <w:rPr>
          <w:rFonts w:ascii="Times New Roman" w:eastAsia="MS Mincho" w:hAnsi="Times New Roman" w:cs="Times New Roman"/>
          <w:sz w:val="20"/>
          <w:szCs w:val="20"/>
          <w:lang w:val="en-AU"/>
        </w:rPr>
        <w:t>gNB’s</w:t>
      </w:r>
      <w:proofErr w:type="spellEnd"/>
      <w:r w:rsidR="00391568">
        <w:rPr>
          <w:rFonts w:ascii="Times New Roman" w:eastAsia="MS Mincho" w:hAnsi="Times New Roman" w:cs="Times New Roman"/>
          <w:sz w:val="20"/>
          <w:szCs w:val="20"/>
          <w:lang w:val="en-AU"/>
        </w:rPr>
        <w:t xml:space="preserve"> COT, it is also important for UE to know which </w:t>
      </w:r>
      <w:proofErr w:type="spellStart"/>
      <w:r w:rsidR="00391568">
        <w:rPr>
          <w:rFonts w:ascii="Times New Roman" w:eastAsia="MS Mincho" w:hAnsi="Times New Roman" w:cs="Times New Roman"/>
          <w:sz w:val="20"/>
          <w:szCs w:val="20"/>
          <w:lang w:val="en-AU"/>
        </w:rPr>
        <w:t>20MHz</w:t>
      </w:r>
      <w:proofErr w:type="spellEnd"/>
      <w:r w:rsidR="00391568">
        <w:rPr>
          <w:rFonts w:ascii="Times New Roman" w:eastAsia="MS Mincho" w:hAnsi="Times New Roman" w:cs="Times New Roman"/>
          <w:sz w:val="20"/>
          <w:szCs w:val="20"/>
          <w:lang w:val="en-AU"/>
        </w:rPr>
        <w:t xml:space="preserve"> LBT sub-band(s) of the active BWP are allowed.</w:t>
      </w:r>
    </w:p>
    <w:p w14:paraId="0CE60DAB" w14:textId="2A44B9A6" w:rsidR="00530867" w:rsidRDefault="00030866" w:rsidP="00030866">
      <w:pPr>
        <w:spacing w:after="180" w:line="240" w:lineRule="auto"/>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E</w:t>
      </w:r>
      <w:r w:rsidR="00530867">
        <w:rPr>
          <w:rFonts w:ascii="Times New Roman" w:eastAsia="MS Mincho" w:hAnsi="Times New Roman" w:cs="Times New Roman"/>
          <w:sz w:val="20"/>
          <w:szCs w:val="20"/>
          <w:lang w:val="en-AU"/>
        </w:rPr>
        <w:t>ither implicit identification or explicit signalling can be considered as follows:</w:t>
      </w:r>
    </w:p>
    <w:p w14:paraId="39E3A8A4" w14:textId="500F6FEE" w:rsidR="00530867" w:rsidRPr="0098035C" w:rsidRDefault="00530867" w:rsidP="00030866">
      <w:pPr>
        <w:pStyle w:val="ListParagraph"/>
        <w:numPr>
          <w:ilvl w:val="0"/>
          <w:numId w:val="13"/>
        </w:numPr>
        <w:spacing w:after="180" w:line="240" w:lineRule="auto"/>
        <w:rPr>
          <w:rFonts w:ascii="Times New Roman" w:eastAsia="MS Mincho" w:hAnsi="Times New Roman" w:cs="Times New Roman"/>
          <w:sz w:val="20"/>
          <w:szCs w:val="20"/>
          <w:lang w:val="en-AU"/>
        </w:rPr>
      </w:pPr>
      <w:r w:rsidRPr="0098035C">
        <w:rPr>
          <w:rFonts w:ascii="Times New Roman" w:eastAsia="MS Mincho" w:hAnsi="Times New Roman" w:cs="Times New Roman"/>
          <w:b/>
          <w:sz w:val="20"/>
          <w:szCs w:val="20"/>
          <w:lang w:val="en-AU"/>
        </w:rPr>
        <w:t>Implicit method:</w:t>
      </w:r>
      <w:r>
        <w:rPr>
          <w:rFonts w:ascii="Times New Roman" w:eastAsia="MS Mincho" w:hAnsi="Times New Roman" w:cs="Times New Roman"/>
          <w:sz w:val="20"/>
          <w:szCs w:val="20"/>
          <w:lang w:val="en-AU"/>
        </w:rPr>
        <w:t xml:space="preserve"> the DL transmission BW is identified by checking wideband DMRS, TRS, or some kind of preamble at the beginning of DL burst (if supported)</w:t>
      </w:r>
      <w:r w:rsidR="00391568">
        <w:rPr>
          <w:rFonts w:ascii="Times New Roman" w:eastAsia="MS Mincho" w:hAnsi="Times New Roman" w:cs="Times New Roman"/>
          <w:sz w:val="20"/>
          <w:szCs w:val="20"/>
        </w:rPr>
        <w:t>, then UL BW follows the DL BW.</w:t>
      </w:r>
      <w:r>
        <w:rPr>
          <w:rFonts w:ascii="Times New Roman" w:eastAsia="MS Mincho" w:hAnsi="Times New Roman" w:cs="Times New Roman"/>
          <w:sz w:val="20"/>
          <w:szCs w:val="20"/>
        </w:rPr>
        <w:t xml:space="preserve"> </w:t>
      </w:r>
    </w:p>
    <w:p w14:paraId="6DC9647B" w14:textId="00C451BB" w:rsidR="00530867" w:rsidRDefault="00530867" w:rsidP="00030866">
      <w:pPr>
        <w:pStyle w:val="ListParagraph"/>
        <w:numPr>
          <w:ilvl w:val="0"/>
          <w:numId w:val="13"/>
        </w:numPr>
        <w:spacing w:after="180" w:line="240" w:lineRule="auto"/>
        <w:rPr>
          <w:rFonts w:ascii="Times New Roman" w:eastAsia="MS Mincho" w:hAnsi="Times New Roman" w:cs="Times New Roman"/>
          <w:sz w:val="20"/>
          <w:szCs w:val="20"/>
          <w:lang w:val="en-AU"/>
        </w:rPr>
      </w:pPr>
      <w:r w:rsidRPr="0098035C">
        <w:rPr>
          <w:rFonts w:ascii="Times New Roman" w:eastAsia="MS Mincho" w:hAnsi="Times New Roman" w:cs="Times New Roman"/>
          <w:b/>
          <w:sz w:val="20"/>
          <w:szCs w:val="20"/>
        </w:rPr>
        <w:t>Explicit method:</w:t>
      </w:r>
      <w:r>
        <w:rPr>
          <w:rFonts w:ascii="Times New Roman" w:eastAsia="MS Mincho" w:hAnsi="Times New Roman" w:cs="Times New Roman"/>
          <w:sz w:val="20"/>
          <w:szCs w:val="20"/>
        </w:rPr>
        <w:t xml:space="preserve"> UE is</w:t>
      </w:r>
      <w:r w:rsidRPr="0037289A">
        <w:rPr>
          <w:rFonts w:ascii="Times New Roman" w:eastAsia="MS Mincho" w:hAnsi="Times New Roman" w:cs="Times New Roman"/>
          <w:sz w:val="20"/>
          <w:szCs w:val="20"/>
        </w:rPr>
        <w:t xml:space="preserve"> explicitly signall</w:t>
      </w:r>
      <w:r>
        <w:rPr>
          <w:rFonts w:ascii="Times New Roman" w:eastAsia="MS Mincho" w:hAnsi="Times New Roman" w:cs="Times New Roman"/>
          <w:sz w:val="20"/>
          <w:szCs w:val="20"/>
        </w:rPr>
        <w:t>ed</w:t>
      </w:r>
      <w:r w:rsidRPr="0037289A">
        <w:rPr>
          <w:rFonts w:ascii="Times New Roman" w:eastAsia="MS Mincho" w:hAnsi="Times New Roman" w:cs="Times New Roman"/>
          <w:sz w:val="20"/>
          <w:szCs w:val="20"/>
        </w:rPr>
        <w:t xml:space="preserve"> via</w:t>
      </w:r>
      <w:r>
        <w:rPr>
          <w:rFonts w:ascii="Times New Roman" w:eastAsia="MS Mincho" w:hAnsi="Times New Roman" w:cs="Times New Roman"/>
          <w:sz w:val="20"/>
          <w:szCs w:val="20"/>
        </w:rPr>
        <w:t xml:space="preserve"> COT structure indication the DL</w:t>
      </w:r>
      <w:r w:rsidR="00391568">
        <w:rPr>
          <w:rFonts w:ascii="Times New Roman" w:eastAsia="MS Mincho" w:hAnsi="Times New Roman" w:cs="Times New Roman"/>
          <w:sz w:val="20"/>
          <w:szCs w:val="20"/>
        </w:rPr>
        <w:t>/UL</w:t>
      </w:r>
      <w:r>
        <w:rPr>
          <w:rFonts w:ascii="Times New Roman" w:eastAsia="MS Mincho" w:hAnsi="Times New Roman" w:cs="Times New Roman"/>
          <w:sz w:val="20"/>
          <w:szCs w:val="20"/>
        </w:rPr>
        <w:t xml:space="preserve"> BW</w:t>
      </w:r>
      <w:r w:rsidRPr="0037289A">
        <w:rPr>
          <w:rFonts w:ascii="Times New Roman" w:eastAsia="MS Mincho" w:hAnsi="Times New Roman" w:cs="Times New Roman"/>
          <w:sz w:val="20"/>
          <w:szCs w:val="20"/>
          <w:lang w:val="en-AU"/>
        </w:rPr>
        <w:t>.</w:t>
      </w:r>
    </w:p>
    <w:p w14:paraId="766A6690" w14:textId="7435B6C4" w:rsidR="005E0FF1" w:rsidRPr="005E0FF1" w:rsidRDefault="001502BC" w:rsidP="00030866">
      <w:pPr>
        <w:spacing w:after="180" w:line="240" w:lineRule="auto"/>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Both methods are workable. However, c</w:t>
      </w:r>
      <w:r w:rsidR="00530867">
        <w:rPr>
          <w:rFonts w:ascii="Times New Roman" w:eastAsia="MS Mincho" w:hAnsi="Times New Roman" w:cs="Times New Roman"/>
          <w:sz w:val="20"/>
          <w:szCs w:val="20"/>
          <w:lang w:val="en-AU"/>
        </w:rPr>
        <w:t xml:space="preserve">omparing these two methods, explicit signalling can achieve better flexibility, </w:t>
      </w:r>
      <w:r w:rsidR="00C1237D">
        <w:rPr>
          <w:rFonts w:ascii="Times New Roman" w:eastAsia="MS Mincho" w:hAnsi="Times New Roman" w:cs="Times New Roman"/>
          <w:sz w:val="20"/>
          <w:szCs w:val="20"/>
          <w:lang w:val="en-AU"/>
        </w:rPr>
        <w:t xml:space="preserve">because it gives more freedom for </w:t>
      </w:r>
      <w:proofErr w:type="spellStart"/>
      <w:r w:rsidR="00C1237D">
        <w:rPr>
          <w:rFonts w:ascii="Times New Roman" w:eastAsia="MS Mincho" w:hAnsi="Times New Roman" w:cs="Times New Roman"/>
          <w:sz w:val="20"/>
          <w:szCs w:val="20"/>
          <w:lang w:val="en-AU"/>
        </w:rPr>
        <w:t>gNB</w:t>
      </w:r>
      <w:proofErr w:type="spellEnd"/>
      <w:r w:rsidR="00C1237D">
        <w:rPr>
          <w:rFonts w:ascii="Times New Roman" w:eastAsia="MS Mincho" w:hAnsi="Times New Roman" w:cs="Times New Roman"/>
          <w:sz w:val="20"/>
          <w:szCs w:val="20"/>
          <w:lang w:val="en-AU"/>
        </w:rPr>
        <w:t xml:space="preserve"> to control </w:t>
      </w:r>
      <w:r w:rsidR="00391568">
        <w:rPr>
          <w:rFonts w:ascii="Times New Roman" w:eastAsia="MS Mincho" w:hAnsi="Times New Roman" w:cs="Times New Roman"/>
          <w:sz w:val="20"/>
          <w:szCs w:val="20"/>
          <w:lang w:val="en-AU"/>
        </w:rPr>
        <w:t>UE’s reception and transmission</w:t>
      </w:r>
      <w:r w:rsidR="00C1237D">
        <w:rPr>
          <w:rFonts w:ascii="Times New Roman" w:eastAsia="MS Mincho" w:hAnsi="Times New Roman" w:cs="Times New Roman"/>
          <w:sz w:val="20"/>
          <w:szCs w:val="20"/>
          <w:lang w:val="en-AU"/>
        </w:rPr>
        <w:t>. More importantly, if COT structure indication is carried by a certain channel such as group common PDCCH, it is much more robust compared to the implicit method which relies on sequence detection without protection of channel coding</w:t>
      </w:r>
      <w:r w:rsidR="00BB09BC">
        <w:rPr>
          <w:rFonts w:ascii="Times New Roman" w:eastAsia="MS Mincho" w:hAnsi="Times New Roman" w:cs="Times New Roman"/>
          <w:sz w:val="20"/>
          <w:szCs w:val="20"/>
          <w:lang w:val="en-AU"/>
        </w:rPr>
        <w:t xml:space="preserve"> including CRC</w:t>
      </w:r>
      <w:r w:rsidR="00C1237D">
        <w:rPr>
          <w:rFonts w:ascii="Times New Roman" w:eastAsia="MS Mincho" w:hAnsi="Times New Roman" w:cs="Times New Roman"/>
          <w:sz w:val="20"/>
          <w:szCs w:val="20"/>
          <w:lang w:val="en-AU"/>
        </w:rPr>
        <w:t xml:space="preserve">. </w:t>
      </w:r>
    </w:p>
    <w:p w14:paraId="394B2F3E" w14:textId="3760E081" w:rsidR="005E0FF1" w:rsidRDefault="00391568" w:rsidP="00963FF9">
      <w:pPr>
        <w:pStyle w:val="BodyText"/>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 xml:space="preserve">Therefore, </w:t>
      </w:r>
      <w:r w:rsidR="00C1237D">
        <w:rPr>
          <w:rFonts w:ascii="Times New Roman" w:eastAsia="MS Mincho" w:hAnsi="Times New Roman" w:cs="Times New Roman"/>
          <w:sz w:val="20"/>
          <w:szCs w:val="20"/>
          <w:lang w:val="en-AU"/>
        </w:rPr>
        <w:t>in wideband operation</w:t>
      </w:r>
      <w:r w:rsidR="005E0FF1" w:rsidRPr="005E0FF1">
        <w:rPr>
          <w:rFonts w:ascii="Times New Roman" w:eastAsia="MS Mincho" w:hAnsi="Times New Roman" w:cs="Times New Roman"/>
          <w:sz w:val="20"/>
          <w:szCs w:val="20"/>
          <w:lang w:val="en-AU"/>
        </w:rPr>
        <w:t xml:space="preserve">, the COT structure should include 2-dimension information, time and frequency. </w:t>
      </w:r>
      <w:r w:rsidR="009804F1">
        <w:rPr>
          <w:rFonts w:ascii="Times New Roman" w:eastAsia="MS Mincho" w:hAnsi="Times New Roman" w:cs="Times New Roman"/>
          <w:sz w:val="20"/>
          <w:szCs w:val="20"/>
          <w:lang w:val="en-AU"/>
        </w:rPr>
        <w:t xml:space="preserve">Or more precisely, the original meaning of COT structure (as its name suggested) should be associated with a frequency </w:t>
      </w:r>
      <w:r w:rsidR="009804F1">
        <w:rPr>
          <w:rFonts w:ascii="Times New Roman" w:eastAsia="MS Mincho" w:hAnsi="Times New Roman" w:cs="Times New Roman"/>
          <w:sz w:val="20"/>
          <w:szCs w:val="20"/>
          <w:lang w:val="en-AU"/>
        </w:rPr>
        <w:lastRenderedPageBreak/>
        <w:t>domain applicable range</w:t>
      </w:r>
      <w:r w:rsidR="002144C9">
        <w:rPr>
          <w:rFonts w:ascii="Times New Roman" w:eastAsia="MS Mincho" w:hAnsi="Times New Roman" w:cs="Times New Roman"/>
          <w:sz w:val="20"/>
          <w:szCs w:val="20"/>
          <w:lang w:val="en-AU"/>
        </w:rPr>
        <w:t>,</w:t>
      </w:r>
      <w:r w:rsidR="009804F1">
        <w:rPr>
          <w:rFonts w:ascii="Times New Roman" w:eastAsia="MS Mincho" w:hAnsi="Times New Roman" w:cs="Times New Roman"/>
          <w:sz w:val="20"/>
          <w:szCs w:val="20"/>
          <w:lang w:val="en-AU"/>
        </w:rPr>
        <w:t xml:space="preserve"> </w:t>
      </w:r>
      <w:r w:rsidR="002144C9">
        <w:rPr>
          <w:rFonts w:ascii="Times New Roman" w:eastAsia="MS Mincho" w:hAnsi="Times New Roman" w:cs="Times New Roman"/>
          <w:sz w:val="20"/>
          <w:szCs w:val="20"/>
          <w:lang w:val="en-AU"/>
        </w:rPr>
        <w:t>where t</w:t>
      </w:r>
      <w:r w:rsidR="005E0FF1" w:rsidRPr="005E0FF1">
        <w:rPr>
          <w:rFonts w:ascii="Times New Roman" w:eastAsia="MS Mincho" w:hAnsi="Times New Roman" w:cs="Times New Roman"/>
          <w:sz w:val="20"/>
          <w:szCs w:val="20"/>
          <w:lang w:val="en-AU"/>
        </w:rPr>
        <w:t>he granul</w:t>
      </w:r>
      <w:r w:rsidR="00390515">
        <w:rPr>
          <w:rFonts w:ascii="Times New Roman" w:eastAsia="MS Mincho" w:hAnsi="Times New Roman" w:cs="Times New Roman"/>
          <w:sz w:val="20"/>
          <w:szCs w:val="20"/>
          <w:lang w:val="en-AU"/>
        </w:rPr>
        <w:t xml:space="preserve">arity can be per </w:t>
      </w:r>
      <w:proofErr w:type="spellStart"/>
      <w:r w:rsidR="00390515">
        <w:rPr>
          <w:rFonts w:ascii="Times New Roman" w:eastAsia="MS Mincho" w:hAnsi="Times New Roman" w:cs="Times New Roman"/>
          <w:sz w:val="20"/>
          <w:szCs w:val="20"/>
          <w:lang w:val="en-AU"/>
        </w:rPr>
        <w:t>20MHz</w:t>
      </w:r>
      <w:proofErr w:type="spellEnd"/>
      <w:r w:rsidR="00390515">
        <w:rPr>
          <w:rFonts w:ascii="Times New Roman" w:eastAsia="MS Mincho" w:hAnsi="Times New Roman" w:cs="Times New Roman"/>
          <w:sz w:val="20"/>
          <w:szCs w:val="20"/>
          <w:lang w:val="en-AU"/>
        </w:rPr>
        <w:t xml:space="preserve"> LBT sub-band</w:t>
      </w:r>
      <w:r w:rsidR="005E0FF1" w:rsidRPr="005E0FF1">
        <w:rPr>
          <w:rFonts w:ascii="Times New Roman" w:eastAsia="MS Mincho" w:hAnsi="Times New Roman" w:cs="Times New Roman"/>
          <w:sz w:val="20"/>
          <w:szCs w:val="20"/>
          <w:lang w:val="en-AU"/>
        </w:rPr>
        <w:t>.</w:t>
      </w:r>
      <w:r w:rsidR="00390515">
        <w:rPr>
          <w:rFonts w:ascii="Times New Roman" w:eastAsia="MS Mincho" w:hAnsi="Times New Roman" w:cs="Times New Roman"/>
          <w:sz w:val="20"/>
          <w:szCs w:val="20"/>
          <w:lang w:val="en-AU"/>
        </w:rPr>
        <w:t xml:space="preserve"> Specifically, we have the following proposal </w:t>
      </w:r>
      <w:r w:rsidR="00030866">
        <w:rPr>
          <w:rFonts w:ascii="Times New Roman" w:eastAsia="MS Mincho" w:hAnsi="Times New Roman" w:cs="Times New Roman"/>
          <w:sz w:val="20"/>
          <w:szCs w:val="20"/>
          <w:lang w:val="en-AU"/>
        </w:rPr>
        <w:t>3</w:t>
      </w:r>
      <w:r w:rsidR="00390515">
        <w:rPr>
          <w:rFonts w:ascii="Times New Roman" w:eastAsia="MS Mincho" w:hAnsi="Times New Roman" w:cs="Times New Roman"/>
          <w:sz w:val="20"/>
          <w:szCs w:val="20"/>
          <w:lang w:val="en-AU"/>
        </w:rPr>
        <w:t>.</w:t>
      </w:r>
    </w:p>
    <w:p w14:paraId="54A6187F" w14:textId="0F9BC39B" w:rsidR="00030866" w:rsidRDefault="00030866" w:rsidP="00030866">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3: For wideband operation, in addition to time domain structure defining DL, UL and Flexible symbols, COT structure defines in frequency domain which LBT sub-band(s) are accessible to the UE.</w:t>
      </w:r>
    </w:p>
    <w:p w14:paraId="584B6723" w14:textId="77777777" w:rsidR="004221B6" w:rsidRPr="00030866" w:rsidRDefault="004221B6" w:rsidP="004221B6">
      <w:pPr>
        <w:spacing w:after="180" w:line="240" w:lineRule="auto"/>
        <w:jc w:val="both"/>
        <w:rPr>
          <w:rFonts w:ascii="Times New Roman" w:eastAsia="MS Mincho" w:hAnsi="Times New Roman" w:cs="Times New Roman"/>
          <w:b/>
          <w:sz w:val="20"/>
          <w:szCs w:val="20"/>
          <w:u w:val="single"/>
        </w:rPr>
      </w:pPr>
    </w:p>
    <w:p w14:paraId="4F5DD0C0" w14:textId="396AD289" w:rsidR="0056356C" w:rsidRDefault="005C1B38" w:rsidP="0056356C">
      <w:pPr>
        <w:pStyle w:val="Heading4"/>
        <w:numPr>
          <w:ilvl w:val="0"/>
          <w:numId w:val="0"/>
        </w:numPr>
        <w:ind w:left="864" w:right="569" w:hanging="864"/>
      </w:pPr>
      <w:r>
        <w:t>2.2 Signalling design of COT structure indication</w:t>
      </w:r>
    </w:p>
    <w:p w14:paraId="6C0DEC7A" w14:textId="77777777" w:rsidR="00763BFE" w:rsidRDefault="00AC4D71"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w:t>
      </w:r>
      <w:proofErr w:type="spellStart"/>
      <w:r>
        <w:rPr>
          <w:rFonts w:ascii="Times New Roman" w:hAnsi="Times New Roman" w:cs="Times New Roman"/>
          <w:sz w:val="20"/>
          <w:szCs w:val="20"/>
          <w:lang w:eastAsia="en-US"/>
        </w:rPr>
        <w:t>Rel</w:t>
      </w:r>
      <w:proofErr w:type="spellEnd"/>
      <w:r>
        <w:rPr>
          <w:rFonts w:ascii="Times New Roman" w:hAnsi="Times New Roman" w:cs="Times New Roman"/>
          <w:sz w:val="20"/>
          <w:szCs w:val="20"/>
          <w:lang w:eastAsia="en-US"/>
        </w:rPr>
        <w:t xml:space="preserve">-15 NR, a slot format defining DL, UL and Flexible symbols is indicated via group-common PDCCH (DCI format 2_0). It is reasonable for COT structure indication in NR-U to inherit such design as much as possible, because the COT structure indication is to define DL, UL Flexible symbols similarly. Therefore, we propose to use group-common PDCCH for COT structure indication. </w:t>
      </w:r>
      <w:r w:rsidR="00D37B54">
        <w:rPr>
          <w:rFonts w:ascii="Times New Roman" w:hAnsi="Times New Roman" w:cs="Times New Roman"/>
          <w:sz w:val="20"/>
          <w:szCs w:val="20"/>
          <w:lang w:eastAsia="en-US"/>
        </w:rPr>
        <w:t xml:space="preserve">Compared to DCI format 2_0, additional fields may be added, e.g. for the frequency domain occupancy. </w:t>
      </w:r>
    </w:p>
    <w:p w14:paraId="783F2EE5" w14:textId="0DEF2A4A" w:rsidR="00E7778E" w:rsidRDefault="00763BFE"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the previous meeting, there was proposal to use sequence identification </w:t>
      </w:r>
      <w:r w:rsidR="00E7778E">
        <w:rPr>
          <w:rFonts w:ascii="Times New Roman" w:hAnsi="Times New Roman" w:cs="Times New Roman"/>
          <w:sz w:val="20"/>
          <w:szCs w:val="20"/>
          <w:lang w:eastAsia="en-US"/>
        </w:rPr>
        <w:t>to indicate COT structure information. Such design would have less reliability compared to PDCCH which is protected by channel coding</w:t>
      </w:r>
      <w:r w:rsidR="00BB09BC">
        <w:rPr>
          <w:rFonts w:ascii="Times New Roman" w:hAnsi="Times New Roman" w:cs="Times New Roman"/>
          <w:sz w:val="20"/>
          <w:szCs w:val="20"/>
          <w:lang w:eastAsia="en-US"/>
        </w:rPr>
        <w:t xml:space="preserve"> including CRC</w:t>
      </w:r>
      <w:r w:rsidR="00E7778E">
        <w:rPr>
          <w:rFonts w:ascii="Times New Roman" w:hAnsi="Times New Roman" w:cs="Times New Roman"/>
          <w:sz w:val="20"/>
          <w:szCs w:val="20"/>
          <w:lang w:eastAsia="en-US"/>
        </w:rPr>
        <w:t xml:space="preserve">. Furthermore, the </w:t>
      </w:r>
      <w:proofErr w:type="spellStart"/>
      <w:r w:rsidR="00E7778E">
        <w:rPr>
          <w:rFonts w:ascii="Times New Roman" w:hAnsi="Times New Roman" w:cs="Times New Roman"/>
          <w:sz w:val="20"/>
          <w:szCs w:val="20"/>
          <w:lang w:eastAsia="en-US"/>
        </w:rPr>
        <w:t>Rel</w:t>
      </w:r>
      <w:proofErr w:type="spellEnd"/>
      <w:r w:rsidR="00E7778E">
        <w:rPr>
          <w:rFonts w:ascii="Times New Roman" w:hAnsi="Times New Roman" w:cs="Times New Roman"/>
          <w:sz w:val="20"/>
          <w:szCs w:val="20"/>
          <w:lang w:eastAsia="en-US"/>
        </w:rPr>
        <w:t xml:space="preserve">-15 NR slot format requires 8 bits already. Considering the additional bits required for COT structure information, significant amount of orthogonal sequences would be needed, which may not be feasible. </w:t>
      </w:r>
    </w:p>
    <w:p w14:paraId="3C6AEE49" w14:textId="3ACB6660" w:rsidR="00E15E3A" w:rsidRDefault="00E15E3A" w:rsidP="00E15E3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If the group-common PDCCH is adopted to indicate the COT structure at the beginning of the COT, it would be a natural choice to define group-common PDCCH as the only PDCCH that UE needs to monitor before knowing the COT. This would bring the power saving benefit compared to the case where UE performs full BD</w:t>
      </w:r>
      <w:r w:rsidR="00BB09BC">
        <w:rPr>
          <w:rFonts w:ascii="Times New Roman" w:hAnsi="Times New Roman" w:cs="Times New Roman"/>
          <w:sz w:val="20"/>
          <w:szCs w:val="20"/>
          <w:lang w:eastAsia="en-US"/>
        </w:rPr>
        <w:t>s</w:t>
      </w:r>
      <w:r>
        <w:rPr>
          <w:rFonts w:ascii="Times New Roman" w:hAnsi="Times New Roman" w:cs="Times New Roman"/>
          <w:sz w:val="20"/>
          <w:szCs w:val="20"/>
          <w:lang w:eastAsia="en-US"/>
        </w:rPr>
        <w:t xml:space="preserve"> all the time. If further power saving needs to be pursuit, as an </w:t>
      </w:r>
      <w:r w:rsidR="00BB09BC">
        <w:rPr>
          <w:rFonts w:ascii="Times New Roman" w:hAnsi="Times New Roman" w:cs="Times New Roman"/>
          <w:sz w:val="20"/>
          <w:szCs w:val="20"/>
          <w:lang w:eastAsia="en-US"/>
        </w:rPr>
        <w:t xml:space="preserve">UE </w:t>
      </w:r>
      <w:r>
        <w:rPr>
          <w:rFonts w:ascii="Times New Roman" w:hAnsi="Times New Roman" w:cs="Times New Roman"/>
          <w:sz w:val="20"/>
          <w:szCs w:val="20"/>
          <w:lang w:eastAsia="en-US"/>
        </w:rPr>
        <w:t>implementation option, DM-RS sequence correlation in the group-common PDCCH can be used as the first step instead, meaning that UE would try to decode group-common PDCCH if and only if the DM-RS sequence correlation passes the threshold or the channel estimation from DM-RS provides good enough channel strength.</w:t>
      </w:r>
    </w:p>
    <w:p w14:paraId="77CD782A" w14:textId="4EF83E38" w:rsidR="00E15E3A" w:rsidRDefault="00E15E3A" w:rsidP="00E15E3A">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w:t>
      </w:r>
      <w:r w:rsidR="00030866">
        <w:rPr>
          <w:rFonts w:ascii="Times New Roman" w:hAnsi="Times New Roman" w:cs="Times New Roman"/>
          <w:b/>
          <w:sz w:val="20"/>
          <w:szCs w:val="20"/>
          <w:lang w:eastAsia="en-US"/>
        </w:rPr>
        <w:t>4</w:t>
      </w:r>
      <w:r>
        <w:rPr>
          <w:rFonts w:ascii="Times New Roman" w:hAnsi="Times New Roman" w:cs="Times New Roman"/>
          <w:b/>
          <w:sz w:val="20"/>
          <w:szCs w:val="20"/>
          <w:lang w:eastAsia="en-US"/>
        </w:rPr>
        <w:t>: Group-common PDCCH based on SFI-PDCCH is used to indicate COT structure info.</w:t>
      </w:r>
    </w:p>
    <w:bookmarkEnd w:id="2"/>
    <w:p w14:paraId="183153B4" w14:textId="44E01457" w:rsidR="00E32C7B" w:rsidRDefault="00E32C7B" w:rsidP="001632FD">
      <w:pPr>
        <w:pStyle w:val="BodyText"/>
        <w:rPr>
          <w:rFonts w:ascii="Times New Roman" w:hAnsi="Times New Roman" w:cs="Times New Roman"/>
          <w:b/>
          <w:bCs/>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65866D96"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propose following. </w:t>
      </w:r>
    </w:p>
    <w:p w14:paraId="51B1FE60" w14:textId="2F7E68D2" w:rsidR="00CF5C89" w:rsidRDefault="00CF5C89" w:rsidP="00CF5C89">
      <w:pPr>
        <w:spacing w:after="180" w:line="240" w:lineRule="auto"/>
        <w:jc w:val="both"/>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1: COT structure in time domain defines which symbols are DL, UL, and Flexible for one or a few slots, similar to </w:t>
      </w:r>
      <w:proofErr w:type="spellStart"/>
      <w:r>
        <w:rPr>
          <w:rFonts w:ascii="Times New Roman" w:hAnsi="Times New Roman" w:cs="Times New Roman"/>
          <w:b/>
          <w:sz w:val="20"/>
          <w:szCs w:val="20"/>
          <w:lang w:eastAsia="en-US"/>
        </w:rPr>
        <w:t>Rel</w:t>
      </w:r>
      <w:proofErr w:type="spellEnd"/>
      <w:r>
        <w:rPr>
          <w:rFonts w:ascii="Times New Roman" w:hAnsi="Times New Roman" w:cs="Times New Roman"/>
          <w:b/>
          <w:sz w:val="20"/>
          <w:szCs w:val="20"/>
          <w:lang w:eastAsia="en-US"/>
        </w:rPr>
        <w:t>-15 Slot Format Indication.</w:t>
      </w:r>
    </w:p>
    <w:p w14:paraId="0A608783" w14:textId="77777777" w:rsidR="00CF5C89" w:rsidRDefault="00CF5C89" w:rsidP="00CF5C89">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2: COT structure indication defining DL, UL and Flexible symbols can be used to dynamically indicate whether to skip some RRC configured PDCCH monitoring occasions. </w:t>
      </w:r>
    </w:p>
    <w:p w14:paraId="4346FAD2" w14:textId="77777777" w:rsidR="00CF5C89" w:rsidRDefault="00CF5C89" w:rsidP="00CF5C89">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3: For wideband operation, in addition to time domain structure defining DL, UL and Flexible symbols, COT structure defines in frequency domain which LBT sub-band(s) are accessible to the UE.</w:t>
      </w:r>
    </w:p>
    <w:p w14:paraId="280B9B7E" w14:textId="77777777" w:rsidR="00CF5C89" w:rsidRDefault="00CF5C89" w:rsidP="00CF5C89">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4: Group-common PDCCH based on SFI-PDCCH is used to indicate COT structure info.</w:t>
      </w:r>
    </w:p>
    <w:p w14:paraId="1F881A21" w14:textId="77777777" w:rsidR="00CF5C89" w:rsidRPr="00A77C9E" w:rsidRDefault="00CF5C89" w:rsidP="00CF5C89">
      <w:pPr>
        <w:spacing w:after="180" w:line="240" w:lineRule="auto"/>
        <w:jc w:val="both"/>
        <w:rPr>
          <w:rFonts w:ascii="Times New Roman" w:eastAsia="MS Mincho" w:hAnsi="Times New Roman" w:cs="Times New Roman"/>
          <w:sz w:val="20"/>
          <w:szCs w:val="20"/>
        </w:rPr>
      </w:pPr>
    </w:p>
    <w:p w14:paraId="7D9142B9" w14:textId="77777777" w:rsidR="00D7556C" w:rsidRPr="00A77C9E" w:rsidRDefault="00D7556C" w:rsidP="00D7556C">
      <w:pPr>
        <w:pStyle w:val="BodyText"/>
        <w:rPr>
          <w:rFonts w:ascii="Times New Roman" w:hAnsi="Times New Roman" w:cs="Times New Roman"/>
          <w:b/>
          <w:bCs/>
          <w:sz w:val="20"/>
          <w:szCs w:val="20"/>
          <w:lang w:val="en-AU" w:eastAsia="en-US"/>
        </w:rPr>
      </w:pPr>
    </w:p>
    <w:p w14:paraId="48B9A5C6" w14:textId="4078DC4D" w:rsidR="00D7556C" w:rsidRPr="00DC33E4" w:rsidRDefault="00D7556C" w:rsidP="00D7556C">
      <w:pPr>
        <w:pStyle w:val="Heading1"/>
        <w:rPr>
          <w:lang w:val="en-US"/>
        </w:rPr>
      </w:pPr>
      <w:r>
        <w:rPr>
          <w:lang w:val="en-US"/>
        </w:rPr>
        <w:t>Reference</w:t>
      </w:r>
    </w:p>
    <w:p w14:paraId="42DC7235" w14:textId="78D3298B" w:rsidR="001F718F" w:rsidRDefault="00D7556C" w:rsidP="001F718F">
      <w:pPr>
        <w:pStyle w:val="Reference"/>
        <w:numPr>
          <w:ilvl w:val="0"/>
          <w:numId w:val="0"/>
        </w:numPr>
        <w:ind w:left="567" w:hanging="567"/>
        <w:rPr>
          <w:rFonts w:ascii="Times New Roman" w:hAnsi="Times New Roman" w:cs="Times New Roman"/>
          <w:sz w:val="20"/>
          <w:szCs w:val="20"/>
          <w:lang w:eastAsia="en-US"/>
        </w:rPr>
      </w:pPr>
      <w:r>
        <w:rPr>
          <w:rFonts w:ascii="Times New Roman" w:hAnsi="Times New Roman" w:cs="Times New Roman"/>
          <w:sz w:val="20"/>
          <w:szCs w:val="20"/>
          <w:lang w:eastAsia="en-US"/>
        </w:rPr>
        <w:t xml:space="preserve">[1] </w:t>
      </w:r>
      <w:r w:rsidR="00171B79">
        <w:rPr>
          <w:rFonts w:ascii="Times New Roman" w:hAnsi="Times New Roman" w:cs="Times New Roman"/>
          <w:sz w:val="20"/>
          <w:szCs w:val="20"/>
          <w:lang w:eastAsia="en-US"/>
        </w:rPr>
        <w:t>TR</w:t>
      </w:r>
      <w:r>
        <w:rPr>
          <w:rFonts w:ascii="Times New Roman" w:hAnsi="Times New Roman" w:cs="Times New Roman"/>
          <w:sz w:val="20"/>
          <w:szCs w:val="20"/>
          <w:lang w:eastAsia="en-US"/>
        </w:rPr>
        <w:t>38.889</w:t>
      </w:r>
      <w:r w:rsidR="00171B79">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w:t>
      </w:r>
      <w:r w:rsidRPr="00D7556C">
        <w:rPr>
          <w:rFonts w:ascii="Times New Roman" w:hAnsi="Times New Roman" w:cs="Times New Roman"/>
          <w:sz w:val="20"/>
          <w:szCs w:val="20"/>
          <w:lang w:eastAsia="en-US"/>
        </w:rPr>
        <w:t>Study on NR-based access to unlicensed spectrum</w:t>
      </w:r>
      <w:r w:rsidR="00171B79">
        <w:rPr>
          <w:rFonts w:ascii="Times New Roman" w:hAnsi="Times New Roman" w:cs="Times New Roman"/>
          <w:sz w:val="20"/>
          <w:szCs w:val="20"/>
          <w:lang w:eastAsia="en-US"/>
        </w:rPr>
        <w:t xml:space="preserve">, </w:t>
      </w:r>
      <w:proofErr w:type="spellStart"/>
      <w:r w:rsidR="00171B79">
        <w:rPr>
          <w:rFonts w:ascii="Times New Roman" w:hAnsi="Times New Roman" w:cs="Times New Roman"/>
          <w:sz w:val="20"/>
          <w:szCs w:val="20"/>
          <w:lang w:eastAsia="en-US"/>
        </w:rPr>
        <w:t>v16.0.0</w:t>
      </w:r>
      <w:proofErr w:type="spellEnd"/>
      <w:r w:rsidR="00171B79">
        <w:rPr>
          <w:rFonts w:ascii="Times New Roman" w:hAnsi="Times New Roman" w:cs="Times New Roman"/>
          <w:sz w:val="20"/>
          <w:szCs w:val="20"/>
          <w:lang w:eastAsia="en-US"/>
        </w:rPr>
        <w:t>, 2018-12</w:t>
      </w:r>
    </w:p>
    <w:p w14:paraId="57EDA278" w14:textId="77777777" w:rsidR="00171B79" w:rsidRPr="00CE032F" w:rsidRDefault="00171B79" w:rsidP="001F718F">
      <w:pPr>
        <w:pStyle w:val="Reference"/>
        <w:numPr>
          <w:ilvl w:val="0"/>
          <w:numId w:val="0"/>
        </w:numPr>
        <w:ind w:left="567" w:hanging="567"/>
        <w:rPr>
          <w:rFonts w:ascii="Times New Roman" w:hAnsi="Times New Roman" w:cs="Times New Roman"/>
          <w:sz w:val="20"/>
          <w:szCs w:val="20"/>
          <w:lang w:eastAsia="en-US"/>
        </w:rPr>
      </w:pPr>
    </w:p>
    <w:sectPr w:rsidR="00171B79" w:rsidRPr="00CE032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5F4EE" w16cid:durableId="1FDEFD90"/>
  <w16cid:commentId w16cid:paraId="7C88E259" w16cid:durableId="1FDEFBB3"/>
  <w16cid:commentId w16cid:paraId="58C1FD22" w16cid:durableId="1FDE48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2318F" w14:textId="77777777" w:rsidR="00253FA7" w:rsidRDefault="00253FA7">
      <w:r>
        <w:separator/>
      </w:r>
    </w:p>
  </w:endnote>
  <w:endnote w:type="continuationSeparator" w:id="0">
    <w:p w14:paraId="019FF774" w14:textId="77777777" w:rsidR="00253FA7" w:rsidRDefault="00253FA7">
      <w:r>
        <w:continuationSeparator/>
      </w:r>
    </w:p>
  </w:endnote>
  <w:endnote w:type="continuationNotice" w:id="1">
    <w:p w14:paraId="160724DC" w14:textId="77777777" w:rsidR="00253FA7" w:rsidRDefault="00253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197EEF5"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3DB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3DB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D9969" w14:textId="77777777" w:rsidR="00253FA7" w:rsidRDefault="00253FA7">
      <w:r>
        <w:separator/>
      </w:r>
    </w:p>
  </w:footnote>
  <w:footnote w:type="continuationSeparator" w:id="0">
    <w:p w14:paraId="0F653465" w14:textId="77777777" w:rsidR="00253FA7" w:rsidRDefault="00253FA7">
      <w:r>
        <w:continuationSeparator/>
      </w:r>
    </w:p>
  </w:footnote>
  <w:footnote w:type="continuationNotice" w:id="1">
    <w:p w14:paraId="2EA5C29D" w14:textId="77777777" w:rsidR="00253FA7" w:rsidRDefault="00253FA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15BD302C"/>
    <w:multiLevelType w:val="hybridMultilevel"/>
    <w:tmpl w:val="9FB69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3"/>
  </w:num>
  <w:num w:numId="11">
    <w:abstractNumId w:val="4"/>
  </w:num>
  <w:num w:numId="12">
    <w:abstractNumId w:val="1"/>
  </w:num>
  <w:num w:numId="13">
    <w:abstractNumId w:val="3"/>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85C"/>
    <w:rsid w:val="00014E6A"/>
    <w:rsid w:val="00015D15"/>
    <w:rsid w:val="00016E88"/>
    <w:rsid w:val="000176B2"/>
    <w:rsid w:val="00020538"/>
    <w:rsid w:val="0002564D"/>
    <w:rsid w:val="00025ECA"/>
    <w:rsid w:val="00026008"/>
    <w:rsid w:val="0002609C"/>
    <w:rsid w:val="00027939"/>
    <w:rsid w:val="0003000D"/>
    <w:rsid w:val="000302D0"/>
    <w:rsid w:val="00030866"/>
    <w:rsid w:val="000325B8"/>
    <w:rsid w:val="00033F83"/>
    <w:rsid w:val="000344F1"/>
    <w:rsid w:val="00034AE9"/>
    <w:rsid w:val="00034C15"/>
    <w:rsid w:val="000364F5"/>
    <w:rsid w:val="00036BA1"/>
    <w:rsid w:val="00042049"/>
    <w:rsid w:val="000422E2"/>
    <w:rsid w:val="00042F22"/>
    <w:rsid w:val="000444EF"/>
    <w:rsid w:val="000455B9"/>
    <w:rsid w:val="00050B9F"/>
    <w:rsid w:val="00051FE1"/>
    <w:rsid w:val="00052A07"/>
    <w:rsid w:val="000534E3"/>
    <w:rsid w:val="0005606A"/>
    <w:rsid w:val="00057117"/>
    <w:rsid w:val="00057E2C"/>
    <w:rsid w:val="00060FD1"/>
    <w:rsid w:val="000616E7"/>
    <w:rsid w:val="00063C67"/>
    <w:rsid w:val="0006487E"/>
    <w:rsid w:val="00065E1A"/>
    <w:rsid w:val="00067548"/>
    <w:rsid w:val="00070760"/>
    <w:rsid w:val="00072D36"/>
    <w:rsid w:val="00073DB3"/>
    <w:rsid w:val="00075168"/>
    <w:rsid w:val="00077E5F"/>
    <w:rsid w:val="0008036A"/>
    <w:rsid w:val="00081AE6"/>
    <w:rsid w:val="00082017"/>
    <w:rsid w:val="000821B8"/>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8C3"/>
    <w:rsid w:val="000B61E9"/>
    <w:rsid w:val="000B7068"/>
    <w:rsid w:val="000B7CF7"/>
    <w:rsid w:val="000C0B03"/>
    <w:rsid w:val="000C0F46"/>
    <w:rsid w:val="000C165A"/>
    <w:rsid w:val="000C2E19"/>
    <w:rsid w:val="000C302A"/>
    <w:rsid w:val="000C3084"/>
    <w:rsid w:val="000C349B"/>
    <w:rsid w:val="000C3BB5"/>
    <w:rsid w:val="000C65B7"/>
    <w:rsid w:val="000D0D07"/>
    <w:rsid w:val="000D1C00"/>
    <w:rsid w:val="000D2ACE"/>
    <w:rsid w:val="000D4797"/>
    <w:rsid w:val="000D4C5E"/>
    <w:rsid w:val="000E0527"/>
    <w:rsid w:val="000E1E92"/>
    <w:rsid w:val="000E58DF"/>
    <w:rsid w:val="000E5D8D"/>
    <w:rsid w:val="000E7C6F"/>
    <w:rsid w:val="000F06D6"/>
    <w:rsid w:val="000F0EB1"/>
    <w:rsid w:val="000F1106"/>
    <w:rsid w:val="000F3AF3"/>
    <w:rsid w:val="000F3BE9"/>
    <w:rsid w:val="000F3F6C"/>
    <w:rsid w:val="000F6DF3"/>
    <w:rsid w:val="001005FF"/>
    <w:rsid w:val="001062FB"/>
    <w:rsid w:val="001063E6"/>
    <w:rsid w:val="00107197"/>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FD0"/>
    <w:rsid w:val="00133CEB"/>
    <w:rsid w:val="001344C0"/>
    <w:rsid w:val="001346FA"/>
    <w:rsid w:val="00135252"/>
    <w:rsid w:val="00135588"/>
    <w:rsid w:val="00137AB5"/>
    <w:rsid w:val="00137ED0"/>
    <w:rsid w:val="00137F0B"/>
    <w:rsid w:val="001406B8"/>
    <w:rsid w:val="001416F8"/>
    <w:rsid w:val="00141A7D"/>
    <w:rsid w:val="00145D40"/>
    <w:rsid w:val="00146270"/>
    <w:rsid w:val="00146AD8"/>
    <w:rsid w:val="001502BC"/>
    <w:rsid w:val="00151723"/>
    <w:rsid w:val="00151E23"/>
    <w:rsid w:val="001526E0"/>
    <w:rsid w:val="001550E1"/>
    <w:rsid w:val="001551B5"/>
    <w:rsid w:val="0015525E"/>
    <w:rsid w:val="0015531C"/>
    <w:rsid w:val="00155652"/>
    <w:rsid w:val="00155888"/>
    <w:rsid w:val="001608F0"/>
    <w:rsid w:val="00160DD8"/>
    <w:rsid w:val="001632FD"/>
    <w:rsid w:val="00163A0C"/>
    <w:rsid w:val="001643A8"/>
    <w:rsid w:val="0016465B"/>
    <w:rsid w:val="0016522A"/>
    <w:rsid w:val="001659C1"/>
    <w:rsid w:val="00165A59"/>
    <w:rsid w:val="0016607D"/>
    <w:rsid w:val="00171A1F"/>
    <w:rsid w:val="00171B79"/>
    <w:rsid w:val="00171D4D"/>
    <w:rsid w:val="00171D60"/>
    <w:rsid w:val="00173A8E"/>
    <w:rsid w:val="0017489D"/>
    <w:rsid w:val="00177795"/>
    <w:rsid w:val="00180D4C"/>
    <w:rsid w:val="0018143F"/>
    <w:rsid w:val="00181887"/>
    <w:rsid w:val="00181F5C"/>
    <w:rsid w:val="00184585"/>
    <w:rsid w:val="00190AC1"/>
    <w:rsid w:val="001928DE"/>
    <w:rsid w:val="00192C10"/>
    <w:rsid w:val="0019341A"/>
    <w:rsid w:val="00195520"/>
    <w:rsid w:val="001963B6"/>
    <w:rsid w:val="00197BC4"/>
    <w:rsid w:val="00197DF9"/>
    <w:rsid w:val="001A1987"/>
    <w:rsid w:val="001A2564"/>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739"/>
    <w:rsid w:val="001C5950"/>
    <w:rsid w:val="001C6495"/>
    <w:rsid w:val="001C67E3"/>
    <w:rsid w:val="001C7060"/>
    <w:rsid w:val="001D02D8"/>
    <w:rsid w:val="001D05CD"/>
    <w:rsid w:val="001D280D"/>
    <w:rsid w:val="001D2FFD"/>
    <w:rsid w:val="001D3AD3"/>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661F"/>
    <w:rsid w:val="002069B2"/>
    <w:rsid w:val="00206C08"/>
    <w:rsid w:val="00207F96"/>
    <w:rsid w:val="00207FA3"/>
    <w:rsid w:val="002144C9"/>
    <w:rsid w:val="00214DA8"/>
    <w:rsid w:val="00215423"/>
    <w:rsid w:val="002158FA"/>
    <w:rsid w:val="00216564"/>
    <w:rsid w:val="00216EB1"/>
    <w:rsid w:val="002202E1"/>
    <w:rsid w:val="00220600"/>
    <w:rsid w:val="00221997"/>
    <w:rsid w:val="002224DB"/>
    <w:rsid w:val="00222DEF"/>
    <w:rsid w:val="00223FCB"/>
    <w:rsid w:val="002252C3"/>
    <w:rsid w:val="00225C54"/>
    <w:rsid w:val="00225E7C"/>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23D0"/>
    <w:rsid w:val="00253FA7"/>
    <w:rsid w:val="00254378"/>
    <w:rsid w:val="002558D7"/>
    <w:rsid w:val="00256B9A"/>
    <w:rsid w:val="00257543"/>
    <w:rsid w:val="00257F88"/>
    <w:rsid w:val="00260071"/>
    <w:rsid w:val="00261285"/>
    <w:rsid w:val="002617E7"/>
    <w:rsid w:val="00261FC8"/>
    <w:rsid w:val="00264109"/>
    <w:rsid w:val="00264228"/>
    <w:rsid w:val="00264334"/>
    <w:rsid w:val="0026473E"/>
    <w:rsid w:val="00266214"/>
    <w:rsid w:val="00267C58"/>
    <w:rsid w:val="00267C83"/>
    <w:rsid w:val="002708D0"/>
    <w:rsid w:val="0027144F"/>
    <w:rsid w:val="00271F3A"/>
    <w:rsid w:val="0027208A"/>
    <w:rsid w:val="00272796"/>
    <w:rsid w:val="00273278"/>
    <w:rsid w:val="002737F4"/>
    <w:rsid w:val="0027455E"/>
    <w:rsid w:val="00274DAA"/>
    <w:rsid w:val="00275CAD"/>
    <w:rsid w:val="002803F3"/>
    <w:rsid w:val="002805F5"/>
    <w:rsid w:val="00280751"/>
    <w:rsid w:val="0028280A"/>
    <w:rsid w:val="0028698F"/>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45C6"/>
    <w:rsid w:val="002A50D7"/>
    <w:rsid w:val="002A5160"/>
    <w:rsid w:val="002A75FE"/>
    <w:rsid w:val="002B04A4"/>
    <w:rsid w:val="002B06F0"/>
    <w:rsid w:val="002B0B1F"/>
    <w:rsid w:val="002B24D6"/>
    <w:rsid w:val="002B2CC5"/>
    <w:rsid w:val="002B467E"/>
    <w:rsid w:val="002B47B7"/>
    <w:rsid w:val="002B4AA0"/>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7391"/>
    <w:rsid w:val="002D7637"/>
    <w:rsid w:val="002E14D6"/>
    <w:rsid w:val="002E17F2"/>
    <w:rsid w:val="002E3CAE"/>
    <w:rsid w:val="002E3DED"/>
    <w:rsid w:val="002E64DB"/>
    <w:rsid w:val="002E7C0C"/>
    <w:rsid w:val="002E7CAE"/>
    <w:rsid w:val="002F246A"/>
    <w:rsid w:val="002F2771"/>
    <w:rsid w:val="002F3420"/>
    <w:rsid w:val="002F37A9"/>
    <w:rsid w:val="002F421A"/>
    <w:rsid w:val="002F4796"/>
    <w:rsid w:val="00300010"/>
    <w:rsid w:val="00301CE6"/>
    <w:rsid w:val="0030256B"/>
    <w:rsid w:val="00303FC5"/>
    <w:rsid w:val="0030501F"/>
    <w:rsid w:val="00305A9E"/>
    <w:rsid w:val="00305D11"/>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4EEF"/>
    <w:rsid w:val="003261A9"/>
    <w:rsid w:val="00327044"/>
    <w:rsid w:val="00331751"/>
    <w:rsid w:val="00334579"/>
    <w:rsid w:val="00334708"/>
    <w:rsid w:val="00335858"/>
    <w:rsid w:val="00335A88"/>
    <w:rsid w:val="0033621A"/>
    <w:rsid w:val="00336BDA"/>
    <w:rsid w:val="0034033C"/>
    <w:rsid w:val="003408A5"/>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0627"/>
    <w:rsid w:val="00361478"/>
    <w:rsid w:val="0036161E"/>
    <w:rsid w:val="00362DE3"/>
    <w:rsid w:val="00365A6D"/>
    <w:rsid w:val="00366717"/>
    <w:rsid w:val="00366D3B"/>
    <w:rsid w:val="003670B6"/>
    <w:rsid w:val="00370E47"/>
    <w:rsid w:val="003714E8"/>
    <w:rsid w:val="0037289A"/>
    <w:rsid w:val="003735E5"/>
    <w:rsid w:val="003742AC"/>
    <w:rsid w:val="00374C70"/>
    <w:rsid w:val="00375204"/>
    <w:rsid w:val="00375DA2"/>
    <w:rsid w:val="003768C5"/>
    <w:rsid w:val="00377CE1"/>
    <w:rsid w:val="00385BF0"/>
    <w:rsid w:val="0038629C"/>
    <w:rsid w:val="00387618"/>
    <w:rsid w:val="00387BA7"/>
    <w:rsid w:val="00390264"/>
    <w:rsid w:val="00390515"/>
    <w:rsid w:val="00391568"/>
    <w:rsid w:val="003939FF"/>
    <w:rsid w:val="00396A2D"/>
    <w:rsid w:val="00397681"/>
    <w:rsid w:val="003A127C"/>
    <w:rsid w:val="003A2223"/>
    <w:rsid w:val="003A23C7"/>
    <w:rsid w:val="003A254F"/>
    <w:rsid w:val="003A2A0F"/>
    <w:rsid w:val="003A369D"/>
    <w:rsid w:val="003A45A1"/>
    <w:rsid w:val="003A5B0A"/>
    <w:rsid w:val="003A6BAC"/>
    <w:rsid w:val="003A7EF3"/>
    <w:rsid w:val="003B159C"/>
    <w:rsid w:val="003B2930"/>
    <w:rsid w:val="003B2D90"/>
    <w:rsid w:val="003B369F"/>
    <w:rsid w:val="003B36A3"/>
    <w:rsid w:val="003B4D22"/>
    <w:rsid w:val="003B4F17"/>
    <w:rsid w:val="003B608D"/>
    <w:rsid w:val="003B72A4"/>
    <w:rsid w:val="003B7FE5"/>
    <w:rsid w:val="003C10D1"/>
    <w:rsid w:val="003C11C8"/>
    <w:rsid w:val="003C1869"/>
    <w:rsid w:val="003C2702"/>
    <w:rsid w:val="003C2F3A"/>
    <w:rsid w:val="003C383A"/>
    <w:rsid w:val="003C4788"/>
    <w:rsid w:val="003C651C"/>
    <w:rsid w:val="003C7806"/>
    <w:rsid w:val="003D03A4"/>
    <w:rsid w:val="003D109F"/>
    <w:rsid w:val="003D1E65"/>
    <w:rsid w:val="003D2478"/>
    <w:rsid w:val="003D2D9C"/>
    <w:rsid w:val="003D2FC4"/>
    <w:rsid w:val="003D387A"/>
    <w:rsid w:val="003D3C45"/>
    <w:rsid w:val="003D3CD0"/>
    <w:rsid w:val="003D4532"/>
    <w:rsid w:val="003D5B1F"/>
    <w:rsid w:val="003D5E2C"/>
    <w:rsid w:val="003E10E7"/>
    <w:rsid w:val="003E15FA"/>
    <w:rsid w:val="003E3CA5"/>
    <w:rsid w:val="003E45F5"/>
    <w:rsid w:val="003E4EAD"/>
    <w:rsid w:val="003E55E4"/>
    <w:rsid w:val="003E5613"/>
    <w:rsid w:val="003E6588"/>
    <w:rsid w:val="003E74E3"/>
    <w:rsid w:val="003E75BA"/>
    <w:rsid w:val="003F05C7"/>
    <w:rsid w:val="003F0A7F"/>
    <w:rsid w:val="003F1D11"/>
    <w:rsid w:val="003F1D35"/>
    <w:rsid w:val="003F2CD4"/>
    <w:rsid w:val="003F3088"/>
    <w:rsid w:val="003F38B8"/>
    <w:rsid w:val="003F670A"/>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6B1B"/>
    <w:rsid w:val="00417BAF"/>
    <w:rsid w:val="00417EB0"/>
    <w:rsid w:val="00420DC3"/>
    <w:rsid w:val="00421105"/>
    <w:rsid w:val="00421755"/>
    <w:rsid w:val="004221B6"/>
    <w:rsid w:val="004234D8"/>
    <w:rsid w:val="00423C9D"/>
    <w:rsid w:val="004242F4"/>
    <w:rsid w:val="00427248"/>
    <w:rsid w:val="00427C68"/>
    <w:rsid w:val="0043123D"/>
    <w:rsid w:val="004332BB"/>
    <w:rsid w:val="00433B47"/>
    <w:rsid w:val="004351A3"/>
    <w:rsid w:val="00435213"/>
    <w:rsid w:val="00435CD3"/>
    <w:rsid w:val="00435ECC"/>
    <w:rsid w:val="00437447"/>
    <w:rsid w:val="004374BA"/>
    <w:rsid w:val="00437E3D"/>
    <w:rsid w:val="00440548"/>
    <w:rsid w:val="00440B16"/>
    <w:rsid w:val="00441A92"/>
    <w:rsid w:val="00443BE9"/>
    <w:rsid w:val="00444AAD"/>
    <w:rsid w:val="00444C54"/>
    <w:rsid w:val="00444C6F"/>
    <w:rsid w:val="00444F56"/>
    <w:rsid w:val="004462C8"/>
    <w:rsid w:val="00446488"/>
    <w:rsid w:val="004517AA"/>
    <w:rsid w:val="00451811"/>
    <w:rsid w:val="004521EC"/>
    <w:rsid w:val="00452CAC"/>
    <w:rsid w:val="00452E66"/>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34D0"/>
    <w:rsid w:val="00474804"/>
    <w:rsid w:val="0047556B"/>
    <w:rsid w:val="004759D0"/>
    <w:rsid w:val="004769FA"/>
    <w:rsid w:val="00476B40"/>
    <w:rsid w:val="00477768"/>
    <w:rsid w:val="004835D6"/>
    <w:rsid w:val="004846D1"/>
    <w:rsid w:val="00485BC6"/>
    <w:rsid w:val="00492BC5"/>
    <w:rsid w:val="00493F23"/>
    <w:rsid w:val="00494430"/>
    <w:rsid w:val="004961CE"/>
    <w:rsid w:val="004963BF"/>
    <w:rsid w:val="004964F1"/>
    <w:rsid w:val="004970B3"/>
    <w:rsid w:val="004A16BC"/>
    <w:rsid w:val="004A2B94"/>
    <w:rsid w:val="004A7E7F"/>
    <w:rsid w:val="004B155E"/>
    <w:rsid w:val="004B2FD1"/>
    <w:rsid w:val="004B387B"/>
    <w:rsid w:val="004B3ACB"/>
    <w:rsid w:val="004B7C0C"/>
    <w:rsid w:val="004C01C8"/>
    <w:rsid w:val="004C2328"/>
    <w:rsid w:val="004C30D4"/>
    <w:rsid w:val="004C3898"/>
    <w:rsid w:val="004C54C2"/>
    <w:rsid w:val="004C6EDD"/>
    <w:rsid w:val="004D18D8"/>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7740"/>
    <w:rsid w:val="004F7EA9"/>
    <w:rsid w:val="0050054E"/>
    <w:rsid w:val="00500754"/>
    <w:rsid w:val="00502773"/>
    <w:rsid w:val="0050361D"/>
    <w:rsid w:val="0050462F"/>
    <w:rsid w:val="00504651"/>
    <w:rsid w:val="005054B0"/>
    <w:rsid w:val="00506557"/>
    <w:rsid w:val="0050677A"/>
    <w:rsid w:val="00507454"/>
    <w:rsid w:val="005079A0"/>
    <w:rsid w:val="005108D8"/>
    <w:rsid w:val="005111A1"/>
    <w:rsid w:val="005116F9"/>
    <w:rsid w:val="005153A7"/>
    <w:rsid w:val="005154C5"/>
    <w:rsid w:val="00517303"/>
    <w:rsid w:val="005205E5"/>
    <w:rsid w:val="005219CF"/>
    <w:rsid w:val="00522D07"/>
    <w:rsid w:val="00525F75"/>
    <w:rsid w:val="005267A6"/>
    <w:rsid w:val="00526C0D"/>
    <w:rsid w:val="00530867"/>
    <w:rsid w:val="00531534"/>
    <w:rsid w:val="00531CAC"/>
    <w:rsid w:val="00531F1D"/>
    <w:rsid w:val="005336B9"/>
    <w:rsid w:val="005338D0"/>
    <w:rsid w:val="005343FA"/>
    <w:rsid w:val="00534B59"/>
    <w:rsid w:val="00536759"/>
    <w:rsid w:val="005369A8"/>
    <w:rsid w:val="00537C62"/>
    <w:rsid w:val="00543336"/>
    <w:rsid w:val="00546970"/>
    <w:rsid w:val="00547A14"/>
    <w:rsid w:val="00547F05"/>
    <w:rsid w:val="0055001B"/>
    <w:rsid w:val="00553715"/>
    <w:rsid w:val="00554E19"/>
    <w:rsid w:val="00555D73"/>
    <w:rsid w:val="005564FC"/>
    <w:rsid w:val="005579C5"/>
    <w:rsid w:val="00561182"/>
    <w:rsid w:val="0056121F"/>
    <w:rsid w:val="00561320"/>
    <w:rsid w:val="00562064"/>
    <w:rsid w:val="005628C0"/>
    <w:rsid w:val="0056299D"/>
    <w:rsid w:val="00562A1A"/>
    <w:rsid w:val="0056356C"/>
    <w:rsid w:val="005636E8"/>
    <w:rsid w:val="00572505"/>
    <w:rsid w:val="00580202"/>
    <w:rsid w:val="00582746"/>
    <w:rsid w:val="00582809"/>
    <w:rsid w:val="00582A4A"/>
    <w:rsid w:val="00584ABE"/>
    <w:rsid w:val="0058563E"/>
    <w:rsid w:val="005874C6"/>
    <w:rsid w:val="0058798C"/>
    <w:rsid w:val="005900FA"/>
    <w:rsid w:val="005923F4"/>
    <w:rsid w:val="005935A4"/>
    <w:rsid w:val="005948C2"/>
    <w:rsid w:val="00595DCA"/>
    <w:rsid w:val="0059779B"/>
    <w:rsid w:val="005A0D5F"/>
    <w:rsid w:val="005A147F"/>
    <w:rsid w:val="005A1D12"/>
    <w:rsid w:val="005A209A"/>
    <w:rsid w:val="005A2A38"/>
    <w:rsid w:val="005A3ADD"/>
    <w:rsid w:val="005A4518"/>
    <w:rsid w:val="005A5323"/>
    <w:rsid w:val="005A662D"/>
    <w:rsid w:val="005B35D7"/>
    <w:rsid w:val="005B392A"/>
    <w:rsid w:val="005B3AA3"/>
    <w:rsid w:val="005B41BD"/>
    <w:rsid w:val="005B4E16"/>
    <w:rsid w:val="005B6F83"/>
    <w:rsid w:val="005C04B6"/>
    <w:rsid w:val="005C1B38"/>
    <w:rsid w:val="005C25FC"/>
    <w:rsid w:val="005C2995"/>
    <w:rsid w:val="005C32E7"/>
    <w:rsid w:val="005C470A"/>
    <w:rsid w:val="005C493C"/>
    <w:rsid w:val="005C74FB"/>
    <w:rsid w:val="005D1498"/>
    <w:rsid w:val="005D1602"/>
    <w:rsid w:val="005D1A70"/>
    <w:rsid w:val="005D65DE"/>
    <w:rsid w:val="005D6B0B"/>
    <w:rsid w:val="005D7BBD"/>
    <w:rsid w:val="005E0FF1"/>
    <w:rsid w:val="005E12A6"/>
    <w:rsid w:val="005E30FD"/>
    <w:rsid w:val="005E385F"/>
    <w:rsid w:val="005E3915"/>
    <w:rsid w:val="005E45BC"/>
    <w:rsid w:val="005E5B81"/>
    <w:rsid w:val="005E5D85"/>
    <w:rsid w:val="005F06E0"/>
    <w:rsid w:val="005F168C"/>
    <w:rsid w:val="005F2CB1"/>
    <w:rsid w:val="005F3025"/>
    <w:rsid w:val="005F3AC1"/>
    <w:rsid w:val="005F4D03"/>
    <w:rsid w:val="005F50BF"/>
    <w:rsid w:val="005F528E"/>
    <w:rsid w:val="005F5AF7"/>
    <w:rsid w:val="005F5BB6"/>
    <w:rsid w:val="005F618C"/>
    <w:rsid w:val="005F70BD"/>
    <w:rsid w:val="00601ACA"/>
    <w:rsid w:val="0060283C"/>
    <w:rsid w:val="00602CC9"/>
    <w:rsid w:val="00604F14"/>
    <w:rsid w:val="00605F62"/>
    <w:rsid w:val="00610371"/>
    <w:rsid w:val="00611B83"/>
    <w:rsid w:val="00611BEC"/>
    <w:rsid w:val="00613257"/>
    <w:rsid w:val="00620A71"/>
    <w:rsid w:val="00620D80"/>
    <w:rsid w:val="006234A6"/>
    <w:rsid w:val="00624D23"/>
    <w:rsid w:val="00624F8F"/>
    <w:rsid w:val="00625051"/>
    <w:rsid w:val="006276C5"/>
    <w:rsid w:val="00630001"/>
    <w:rsid w:val="006311B3"/>
    <w:rsid w:val="00631B9A"/>
    <w:rsid w:val="0063284C"/>
    <w:rsid w:val="00633833"/>
    <w:rsid w:val="0063397D"/>
    <w:rsid w:val="00633BF2"/>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14A7"/>
    <w:rsid w:val="006523F3"/>
    <w:rsid w:val="006528F9"/>
    <w:rsid w:val="00652DCB"/>
    <w:rsid w:val="00654D99"/>
    <w:rsid w:val="00655733"/>
    <w:rsid w:val="00655A53"/>
    <w:rsid w:val="00655ACD"/>
    <w:rsid w:val="00656A92"/>
    <w:rsid w:val="00656DDE"/>
    <w:rsid w:val="0066011D"/>
    <w:rsid w:val="006607C0"/>
    <w:rsid w:val="006613A6"/>
    <w:rsid w:val="006627A2"/>
    <w:rsid w:val="006634E6"/>
    <w:rsid w:val="00663987"/>
    <w:rsid w:val="00663BE6"/>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AF2"/>
    <w:rsid w:val="006771F9"/>
    <w:rsid w:val="006776D7"/>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70D"/>
    <w:rsid w:val="006B5C2B"/>
    <w:rsid w:val="006B5EE4"/>
    <w:rsid w:val="006B67CF"/>
    <w:rsid w:val="006B6BC3"/>
    <w:rsid w:val="006C03B8"/>
    <w:rsid w:val="006C44C2"/>
    <w:rsid w:val="006C5EC9"/>
    <w:rsid w:val="006C6059"/>
    <w:rsid w:val="006C6BE1"/>
    <w:rsid w:val="006C7522"/>
    <w:rsid w:val="006D0580"/>
    <w:rsid w:val="006D2A46"/>
    <w:rsid w:val="006D56C8"/>
    <w:rsid w:val="006D571C"/>
    <w:rsid w:val="006D5D00"/>
    <w:rsid w:val="006D666D"/>
    <w:rsid w:val="006D6F08"/>
    <w:rsid w:val="006D7811"/>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406"/>
    <w:rsid w:val="00704EDB"/>
    <w:rsid w:val="0070537F"/>
    <w:rsid w:val="00705753"/>
    <w:rsid w:val="00706028"/>
    <w:rsid w:val="00706101"/>
    <w:rsid w:val="00707072"/>
    <w:rsid w:val="00707706"/>
    <w:rsid w:val="00707D61"/>
    <w:rsid w:val="00712287"/>
    <w:rsid w:val="007123B6"/>
    <w:rsid w:val="00712772"/>
    <w:rsid w:val="007146AF"/>
    <w:rsid w:val="007148D3"/>
    <w:rsid w:val="00715B9A"/>
    <w:rsid w:val="0071798B"/>
    <w:rsid w:val="00720376"/>
    <w:rsid w:val="007205B8"/>
    <w:rsid w:val="00721205"/>
    <w:rsid w:val="00721593"/>
    <w:rsid w:val="00726EA6"/>
    <w:rsid w:val="00726ED5"/>
    <w:rsid w:val="00727208"/>
    <w:rsid w:val="00727680"/>
    <w:rsid w:val="007348B1"/>
    <w:rsid w:val="00734B23"/>
    <w:rsid w:val="007362A6"/>
    <w:rsid w:val="00736D7D"/>
    <w:rsid w:val="00740344"/>
    <w:rsid w:val="00740E58"/>
    <w:rsid w:val="00742612"/>
    <w:rsid w:val="00742E3D"/>
    <w:rsid w:val="0074405B"/>
    <w:rsid w:val="00744142"/>
    <w:rsid w:val="007445A0"/>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3BFE"/>
    <w:rsid w:val="00764B17"/>
    <w:rsid w:val="00765281"/>
    <w:rsid w:val="00765787"/>
    <w:rsid w:val="00766BAD"/>
    <w:rsid w:val="00767A0C"/>
    <w:rsid w:val="007716C3"/>
    <w:rsid w:val="00772EEC"/>
    <w:rsid w:val="007730BD"/>
    <w:rsid w:val="00774DB2"/>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3A6"/>
    <w:rsid w:val="007A554B"/>
    <w:rsid w:val="007A58A6"/>
    <w:rsid w:val="007A5C78"/>
    <w:rsid w:val="007A7495"/>
    <w:rsid w:val="007B2981"/>
    <w:rsid w:val="007B3D2D"/>
    <w:rsid w:val="007B50AE"/>
    <w:rsid w:val="007B51DF"/>
    <w:rsid w:val="007B5ACB"/>
    <w:rsid w:val="007C05DD"/>
    <w:rsid w:val="007C0A75"/>
    <w:rsid w:val="007C2F4B"/>
    <w:rsid w:val="007C342A"/>
    <w:rsid w:val="007C3D18"/>
    <w:rsid w:val="007C40D0"/>
    <w:rsid w:val="007C528D"/>
    <w:rsid w:val="007C60BF"/>
    <w:rsid w:val="007C6A07"/>
    <w:rsid w:val="007C75A1"/>
    <w:rsid w:val="007C77A5"/>
    <w:rsid w:val="007D04E5"/>
    <w:rsid w:val="007D3941"/>
    <w:rsid w:val="007D3AD2"/>
    <w:rsid w:val="007D3FDF"/>
    <w:rsid w:val="007D5901"/>
    <w:rsid w:val="007D65C4"/>
    <w:rsid w:val="007D7526"/>
    <w:rsid w:val="007E050B"/>
    <w:rsid w:val="007E1DCF"/>
    <w:rsid w:val="007E28CE"/>
    <w:rsid w:val="007E324C"/>
    <w:rsid w:val="007E3ED6"/>
    <w:rsid w:val="007E4610"/>
    <w:rsid w:val="007E4715"/>
    <w:rsid w:val="007E505B"/>
    <w:rsid w:val="007E55D7"/>
    <w:rsid w:val="007E5FE8"/>
    <w:rsid w:val="007E6BD5"/>
    <w:rsid w:val="007E7091"/>
    <w:rsid w:val="007E728F"/>
    <w:rsid w:val="007F0115"/>
    <w:rsid w:val="007F03C3"/>
    <w:rsid w:val="007F0A6C"/>
    <w:rsid w:val="007F0C73"/>
    <w:rsid w:val="007F1359"/>
    <w:rsid w:val="007F264E"/>
    <w:rsid w:val="007F26F1"/>
    <w:rsid w:val="0080049D"/>
    <w:rsid w:val="00802BC9"/>
    <w:rsid w:val="00802DCA"/>
    <w:rsid w:val="008036DF"/>
    <w:rsid w:val="00803B8A"/>
    <w:rsid w:val="00803FAE"/>
    <w:rsid w:val="0080605F"/>
    <w:rsid w:val="00807786"/>
    <w:rsid w:val="0081055B"/>
    <w:rsid w:val="00811505"/>
    <w:rsid w:val="00811FCB"/>
    <w:rsid w:val="008144B9"/>
    <w:rsid w:val="008158D6"/>
    <w:rsid w:val="0081606D"/>
    <w:rsid w:val="00817196"/>
    <w:rsid w:val="00817EDE"/>
    <w:rsid w:val="00821D89"/>
    <w:rsid w:val="00823081"/>
    <w:rsid w:val="008235DB"/>
    <w:rsid w:val="00824AB4"/>
    <w:rsid w:val="00824B72"/>
    <w:rsid w:val="00825C42"/>
    <w:rsid w:val="00825D25"/>
    <w:rsid w:val="00827D6F"/>
    <w:rsid w:val="00827E1A"/>
    <w:rsid w:val="008311F3"/>
    <w:rsid w:val="00831210"/>
    <w:rsid w:val="00832D13"/>
    <w:rsid w:val="008338BA"/>
    <w:rsid w:val="0083765F"/>
    <w:rsid w:val="008376AC"/>
    <w:rsid w:val="0084116C"/>
    <w:rsid w:val="00841CB3"/>
    <w:rsid w:val="00842451"/>
    <w:rsid w:val="00843D21"/>
    <w:rsid w:val="008444E8"/>
    <w:rsid w:val="00844E80"/>
    <w:rsid w:val="00846834"/>
    <w:rsid w:val="00846FE7"/>
    <w:rsid w:val="00847403"/>
    <w:rsid w:val="00847FC4"/>
    <w:rsid w:val="008504A2"/>
    <w:rsid w:val="00850CEC"/>
    <w:rsid w:val="00850E9E"/>
    <w:rsid w:val="0085247B"/>
    <w:rsid w:val="00854B3A"/>
    <w:rsid w:val="00856911"/>
    <w:rsid w:val="00860458"/>
    <w:rsid w:val="008624AF"/>
    <w:rsid w:val="008628C0"/>
    <w:rsid w:val="00865044"/>
    <w:rsid w:val="00865151"/>
    <w:rsid w:val="00865698"/>
    <w:rsid w:val="0086740A"/>
    <w:rsid w:val="0086758D"/>
    <w:rsid w:val="008677FD"/>
    <w:rsid w:val="008706D4"/>
    <w:rsid w:val="00870F8A"/>
    <w:rsid w:val="008719A4"/>
    <w:rsid w:val="00871D23"/>
    <w:rsid w:val="00874312"/>
    <w:rsid w:val="0087437C"/>
    <w:rsid w:val="00875CD7"/>
    <w:rsid w:val="0087646B"/>
    <w:rsid w:val="00876B4D"/>
    <w:rsid w:val="00877F18"/>
    <w:rsid w:val="0088016B"/>
    <w:rsid w:val="008803CA"/>
    <w:rsid w:val="00884366"/>
    <w:rsid w:val="008864B9"/>
    <w:rsid w:val="008865ED"/>
    <w:rsid w:val="0089173C"/>
    <w:rsid w:val="00893C6A"/>
    <w:rsid w:val="00894A88"/>
    <w:rsid w:val="00895386"/>
    <w:rsid w:val="00895660"/>
    <w:rsid w:val="00897036"/>
    <w:rsid w:val="008A0628"/>
    <w:rsid w:val="008A21FF"/>
    <w:rsid w:val="008A2CE2"/>
    <w:rsid w:val="008A30AC"/>
    <w:rsid w:val="008A44B8"/>
    <w:rsid w:val="008A4CCF"/>
    <w:rsid w:val="008A4CE0"/>
    <w:rsid w:val="008A51A8"/>
    <w:rsid w:val="008A54C7"/>
    <w:rsid w:val="008A77D8"/>
    <w:rsid w:val="008A7858"/>
    <w:rsid w:val="008B0483"/>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5F6"/>
    <w:rsid w:val="008E065E"/>
    <w:rsid w:val="008E0927"/>
    <w:rsid w:val="008E1909"/>
    <w:rsid w:val="008E1B93"/>
    <w:rsid w:val="008E1D88"/>
    <w:rsid w:val="008E25DF"/>
    <w:rsid w:val="008E3445"/>
    <w:rsid w:val="008E6DB3"/>
    <w:rsid w:val="008E722B"/>
    <w:rsid w:val="008E76FD"/>
    <w:rsid w:val="008F0B25"/>
    <w:rsid w:val="008F109D"/>
    <w:rsid w:val="008F1EAB"/>
    <w:rsid w:val="008F33DC"/>
    <w:rsid w:val="008F477F"/>
    <w:rsid w:val="008F55FE"/>
    <w:rsid w:val="008F6C3F"/>
    <w:rsid w:val="00901380"/>
    <w:rsid w:val="00902350"/>
    <w:rsid w:val="0090336B"/>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A69"/>
    <w:rsid w:val="00926863"/>
    <w:rsid w:val="009270E9"/>
    <w:rsid w:val="009272EA"/>
    <w:rsid w:val="00927EE8"/>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6711"/>
    <w:rsid w:val="0095681E"/>
    <w:rsid w:val="009572D4"/>
    <w:rsid w:val="00957337"/>
    <w:rsid w:val="009579C0"/>
    <w:rsid w:val="00960FEA"/>
    <w:rsid w:val="00961921"/>
    <w:rsid w:val="00961DF7"/>
    <w:rsid w:val="00963FF9"/>
    <w:rsid w:val="0096430A"/>
    <w:rsid w:val="009646C1"/>
    <w:rsid w:val="00964C30"/>
    <w:rsid w:val="0096554B"/>
    <w:rsid w:val="0096584A"/>
    <w:rsid w:val="00965C53"/>
    <w:rsid w:val="00965D24"/>
    <w:rsid w:val="00967A33"/>
    <w:rsid w:val="00970523"/>
    <w:rsid w:val="00971F08"/>
    <w:rsid w:val="009739E6"/>
    <w:rsid w:val="00975997"/>
    <w:rsid w:val="0097603D"/>
    <w:rsid w:val="00976949"/>
    <w:rsid w:val="0098035C"/>
    <w:rsid w:val="00980477"/>
    <w:rsid w:val="009804F1"/>
    <w:rsid w:val="009827EF"/>
    <w:rsid w:val="00984217"/>
    <w:rsid w:val="00984EE9"/>
    <w:rsid w:val="00985253"/>
    <w:rsid w:val="009853B3"/>
    <w:rsid w:val="00985CBE"/>
    <w:rsid w:val="00990630"/>
    <w:rsid w:val="00991761"/>
    <w:rsid w:val="00992B14"/>
    <w:rsid w:val="00993727"/>
    <w:rsid w:val="00994DCA"/>
    <w:rsid w:val="00995585"/>
    <w:rsid w:val="009960EC"/>
    <w:rsid w:val="00996D46"/>
    <w:rsid w:val="009970DD"/>
    <w:rsid w:val="00997687"/>
    <w:rsid w:val="009A0FBA"/>
    <w:rsid w:val="009A1601"/>
    <w:rsid w:val="009A330C"/>
    <w:rsid w:val="009A3421"/>
    <w:rsid w:val="009A41F8"/>
    <w:rsid w:val="009A462D"/>
    <w:rsid w:val="009A5CBA"/>
    <w:rsid w:val="009A72AE"/>
    <w:rsid w:val="009B1427"/>
    <w:rsid w:val="009B19F5"/>
    <w:rsid w:val="009B1F30"/>
    <w:rsid w:val="009B3AC2"/>
    <w:rsid w:val="009B4B77"/>
    <w:rsid w:val="009B4DF4"/>
    <w:rsid w:val="009B564E"/>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14E0"/>
    <w:rsid w:val="009E35DB"/>
    <w:rsid w:val="009E47A3"/>
    <w:rsid w:val="009E537B"/>
    <w:rsid w:val="009E5902"/>
    <w:rsid w:val="009E6AA6"/>
    <w:rsid w:val="009E6AC2"/>
    <w:rsid w:val="009E6BC0"/>
    <w:rsid w:val="009E6F0C"/>
    <w:rsid w:val="009F08F3"/>
    <w:rsid w:val="009F1ECE"/>
    <w:rsid w:val="009F344F"/>
    <w:rsid w:val="009F3D98"/>
    <w:rsid w:val="009F4360"/>
    <w:rsid w:val="009F47FE"/>
    <w:rsid w:val="00A00F1F"/>
    <w:rsid w:val="00A048A8"/>
    <w:rsid w:val="00A04F49"/>
    <w:rsid w:val="00A0651F"/>
    <w:rsid w:val="00A07855"/>
    <w:rsid w:val="00A10C8A"/>
    <w:rsid w:val="00A11AB7"/>
    <w:rsid w:val="00A1305E"/>
    <w:rsid w:val="00A1364F"/>
    <w:rsid w:val="00A13991"/>
    <w:rsid w:val="00A13B7A"/>
    <w:rsid w:val="00A13E54"/>
    <w:rsid w:val="00A1595C"/>
    <w:rsid w:val="00A17F63"/>
    <w:rsid w:val="00A2193B"/>
    <w:rsid w:val="00A2351A"/>
    <w:rsid w:val="00A23945"/>
    <w:rsid w:val="00A24365"/>
    <w:rsid w:val="00A249D6"/>
    <w:rsid w:val="00A264A9"/>
    <w:rsid w:val="00A27785"/>
    <w:rsid w:val="00A30187"/>
    <w:rsid w:val="00A31044"/>
    <w:rsid w:val="00A3116E"/>
    <w:rsid w:val="00A3448A"/>
    <w:rsid w:val="00A35099"/>
    <w:rsid w:val="00A354DD"/>
    <w:rsid w:val="00A36297"/>
    <w:rsid w:val="00A3751A"/>
    <w:rsid w:val="00A4191F"/>
    <w:rsid w:val="00A41E2B"/>
    <w:rsid w:val="00A4248C"/>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4B7"/>
    <w:rsid w:val="00A657D7"/>
    <w:rsid w:val="00A65935"/>
    <w:rsid w:val="00A660AC"/>
    <w:rsid w:val="00A670A6"/>
    <w:rsid w:val="00A674D5"/>
    <w:rsid w:val="00A67E6C"/>
    <w:rsid w:val="00A71B99"/>
    <w:rsid w:val="00A739D0"/>
    <w:rsid w:val="00A74E64"/>
    <w:rsid w:val="00A758C5"/>
    <w:rsid w:val="00A761D4"/>
    <w:rsid w:val="00A77C9E"/>
    <w:rsid w:val="00A77EC4"/>
    <w:rsid w:val="00A80BAB"/>
    <w:rsid w:val="00A8392D"/>
    <w:rsid w:val="00A85AE7"/>
    <w:rsid w:val="00A9043E"/>
    <w:rsid w:val="00A908BD"/>
    <w:rsid w:val="00A92879"/>
    <w:rsid w:val="00A93F17"/>
    <w:rsid w:val="00A9442A"/>
    <w:rsid w:val="00A96CC6"/>
    <w:rsid w:val="00AA016F"/>
    <w:rsid w:val="00AA18D0"/>
    <w:rsid w:val="00AA1ED6"/>
    <w:rsid w:val="00AA2677"/>
    <w:rsid w:val="00AA4C7D"/>
    <w:rsid w:val="00AA51D6"/>
    <w:rsid w:val="00AA56AA"/>
    <w:rsid w:val="00AB0BC8"/>
    <w:rsid w:val="00AB11CA"/>
    <w:rsid w:val="00AB14D9"/>
    <w:rsid w:val="00AB1EAE"/>
    <w:rsid w:val="00AB2AA4"/>
    <w:rsid w:val="00AB3A11"/>
    <w:rsid w:val="00AB4AB8"/>
    <w:rsid w:val="00AB655E"/>
    <w:rsid w:val="00AB7AE6"/>
    <w:rsid w:val="00AC007F"/>
    <w:rsid w:val="00AC294B"/>
    <w:rsid w:val="00AC297D"/>
    <w:rsid w:val="00AC2ECD"/>
    <w:rsid w:val="00AC3119"/>
    <w:rsid w:val="00AC468A"/>
    <w:rsid w:val="00AC49FB"/>
    <w:rsid w:val="00AC4D71"/>
    <w:rsid w:val="00AC5A10"/>
    <w:rsid w:val="00AC6D53"/>
    <w:rsid w:val="00AD0348"/>
    <w:rsid w:val="00AD0AA3"/>
    <w:rsid w:val="00AD3168"/>
    <w:rsid w:val="00AD3F94"/>
    <w:rsid w:val="00AD4A5A"/>
    <w:rsid w:val="00AD7F95"/>
    <w:rsid w:val="00AE0905"/>
    <w:rsid w:val="00AE0D06"/>
    <w:rsid w:val="00AE27AC"/>
    <w:rsid w:val="00AE40E0"/>
    <w:rsid w:val="00AE4DBA"/>
    <w:rsid w:val="00AE4F07"/>
    <w:rsid w:val="00AE62E2"/>
    <w:rsid w:val="00AE7446"/>
    <w:rsid w:val="00AF0DB6"/>
    <w:rsid w:val="00AF1C5D"/>
    <w:rsid w:val="00AF2026"/>
    <w:rsid w:val="00AF3D15"/>
    <w:rsid w:val="00AF42D7"/>
    <w:rsid w:val="00AF43AB"/>
    <w:rsid w:val="00AF53B6"/>
    <w:rsid w:val="00AF5504"/>
    <w:rsid w:val="00AF5CB5"/>
    <w:rsid w:val="00B0035B"/>
    <w:rsid w:val="00B00379"/>
    <w:rsid w:val="00B006FE"/>
    <w:rsid w:val="00B007CB"/>
    <w:rsid w:val="00B0094F"/>
    <w:rsid w:val="00B010BF"/>
    <w:rsid w:val="00B02AA9"/>
    <w:rsid w:val="00B02FA3"/>
    <w:rsid w:val="00B03C4C"/>
    <w:rsid w:val="00B0419A"/>
    <w:rsid w:val="00B04D96"/>
    <w:rsid w:val="00B05084"/>
    <w:rsid w:val="00B05BA5"/>
    <w:rsid w:val="00B0611B"/>
    <w:rsid w:val="00B10B32"/>
    <w:rsid w:val="00B136CA"/>
    <w:rsid w:val="00B157F9"/>
    <w:rsid w:val="00B167F1"/>
    <w:rsid w:val="00B20256"/>
    <w:rsid w:val="00B20D09"/>
    <w:rsid w:val="00B211B2"/>
    <w:rsid w:val="00B21BE8"/>
    <w:rsid w:val="00B253E6"/>
    <w:rsid w:val="00B2763F"/>
    <w:rsid w:val="00B27A61"/>
    <w:rsid w:val="00B27AAC"/>
    <w:rsid w:val="00B30591"/>
    <w:rsid w:val="00B30929"/>
    <w:rsid w:val="00B31239"/>
    <w:rsid w:val="00B34AC3"/>
    <w:rsid w:val="00B372AA"/>
    <w:rsid w:val="00B40445"/>
    <w:rsid w:val="00B40ECB"/>
    <w:rsid w:val="00B413D6"/>
    <w:rsid w:val="00B41888"/>
    <w:rsid w:val="00B41DF0"/>
    <w:rsid w:val="00B425F8"/>
    <w:rsid w:val="00B42BDB"/>
    <w:rsid w:val="00B43407"/>
    <w:rsid w:val="00B45A52"/>
    <w:rsid w:val="00B46175"/>
    <w:rsid w:val="00B464FC"/>
    <w:rsid w:val="00B474B4"/>
    <w:rsid w:val="00B51BFF"/>
    <w:rsid w:val="00B51F19"/>
    <w:rsid w:val="00B53639"/>
    <w:rsid w:val="00B548DA"/>
    <w:rsid w:val="00B5748F"/>
    <w:rsid w:val="00B6145A"/>
    <w:rsid w:val="00B61615"/>
    <w:rsid w:val="00B61BB1"/>
    <w:rsid w:val="00B61E56"/>
    <w:rsid w:val="00B62AAA"/>
    <w:rsid w:val="00B63A15"/>
    <w:rsid w:val="00B650C1"/>
    <w:rsid w:val="00B664C7"/>
    <w:rsid w:val="00B666BC"/>
    <w:rsid w:val="00B669AD"/>
    <w:rsid w:val="00B66C81"/>
    <w:rsid w:val="00B67691"/>
    <w:rsid w:val="00B706A1"/>
    <w:rsid w:val="00B70D90"/>
    <w:rsid w:val="00B739F6"/>
    <w:rsid w:val="00B74B6C"/>
    <w:rsid w:val="00B77324"/>
    <w:rsid w:val="00B81A6C"/>
    <w:rsid w:val="00B81FDF"/>
    <w:rsid w:val="00B837ED"/>
    <w:rsid w:val="00B85DE5"/>
    <w:rsid w:val="00B90580"/>
    <w:rsid w:val="00B907EA"/>
    <w:rsid w:val="00B90F73"/>
    <w:rsid w:val="00B93188"/>
    <w:rsid w:val="00B93B59"/>
    <w:rsid w:val="00B9406A"/>
    <w:rsid w:val="00B940C7"/>
    <w:rsid w:val="00B959EC"/>
    <w:rsid w:val="00B97D9D"/>
    <w:rsid w:val="00BA04E2"/>
    <w:rsid w:val="00BA1FE5"/>
    <w:rsid w:val="00BA2280"/>
    <w:rsid w:val="00BA2A08"/>
    <w:rsid w:val="00BA4150"/>
    <w:rsid w:val="00BA52AA"/>
    <w:rsid w:val="00BA5641"/>
    <w:rsid w:val="00BA56D2"/>
    <w:rsid w:val="00BA76E0"/>
    <w:rsid w:val="00BB09BC"/>
    <w:rsid w:val="00BB2A25"/>
    <w:rsid w:val="00BB346D"/>
    <w:rsid w:val="00BB40A1"/>
    <w:rsid w:val="00BB51BB"/>
    <w:rsid w:val="00BB51E9"/>
    <w:rsid w:val="00BC0C69"/>
    <w:rsid w:val="00BC0E6A"/>
    <w:rsid w:val="00BC0FDC"/>
    <w:rsid w:val="00BC1DEE"/>
    <w:rsid w:val="00BC29AB"/>
    <w:rsid w:val="00BC3053"/>
    <w:rsid w:val="00BC4D2E"/>
    <w:rsid w:val="00BC6412"/>
    <w:rsid w:val="00BC762C"/>
    <w:rsid w:val="00BD48AC"/>
    <w:rsid w:val="00BD5F1A"/>
    <w:rsid w:val="00BD63B6"/>
    <w:rsid w:val="00BE00AA"/>
    <w:rsid w:val="00BE0792"/>
    <w:rsid w:val="00BE1234"/>
    <w:rsid w:val="00BE2D8C"/>
    <w:rsid w:val="00BE2FA6"/>
    <w:rsid w:val="00BE32F5"/>
    <w:rsid w:val="00BE333F"/>
    <w:rsid w:val="00BE7406"/>
    <w:rsid w:val="00BE7603"/>
    <w:rsid w:val="00BF058E"/>
    <w:rsid w:val="00BF0B1D"/>
    <w:rsid w:val="00BF16CF"/>
    <w:rsid w:val="00BF20C7"/>
    <w:rsid w:val="00BF3279"/>
    <w:rsid w:val="00BF6002"/>
    <w:rsid w:val="00BF74C7"/>
    <w:rsid w:val="00C00DEB"/>
    <w:rsid w:val="00C015F1"/>
    <w:rsid w:val="00C0173E"/>
    <w:rsid w:val="00C01973"/>
    <w:rsid w:val="00C01F33"/>
    <w:rsid w:val="00C02CC6"/>
    <w:rsid w:val="00C040F7"/>
    <w:rsid w:val="00C041B0"/>
    <w:rsid w:val="00C044AB"/>
    <w:rsid w:val="00C055AB"/>
    <w:rsid w:val="00C05706"/>
    <w:rsid w:val="00C07377"/>
    <w:rsid w:val="00C10478"/>
    <w:rsid w:val="00C11122"/>
    <w:rsid w:val="00C1189B"/>
    <w:rsid w:val="00C11B5A"/>
    <w:rsid w:val="00C12107"/>
    <w:rsid w:val="00C1237D"/>
    <w:rsid w:val="00C12C66"/>
    <w:rsid w:val="00C145B6"/>
    <w:rsid w:val="00C14D4B"/>
    <w:rsid w:val="00C154BB"/>
    <w:rsid w:val="00C20190"/>
    <w:rsid w:val="00C223E6"/>
    <w:rsid w:val="00C23971"/>
    <w:rsid w:val="00C24DFB"/>
    <w:rsid w:val="00C26FAA"/>
    <w:rsid w:val="00C279B5"/>
    <w:rsid w:val="00C27C45"/>
    <w:rsid w:val="00C27E0C"/>
    <w:rsid w:val="00C30437"/>
    <w:rsid w:val="00C317A7"/>
    <w:rsid w:val="00C34167"/>
    <w:rsid w:val="00C3719D"/>
    <w:rsid w:val="00C372D0"/>
    <w:rsid w:val="00C41A9D"/>
    <w:rsid w:val="00C43C3B"/>
    <w:rsid w:val="00C44AE7"/>
    <w:rsid w:val="00C4791A"/>
    <w:rsid w:val="00C47A84"/>
    <w:rsid w:val="00C50C02"/>
    <w:rsid w:val="00C536F2"/>
    <w:rsid w:val="00C5386C"/>
    <w:rsid w:val="00C54995"/>
    <w:rsid w:val="00C54D41"/>
    <w:rsid w:val="00C5639D"/>
    <w:rsid w:val="00C56496"/>
    <w:rsid w:val="00C60783"/>
    <w:rsid w:val="00C60E2B"/>
    <w:rsid w:val="00C644F7"/>
    <w:rsid w:val="00C64672"/>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98"/>
    <w:rsid w:val="00C82B92"/>
    <w:rsid w:val="00C84B71"/>
    <w:rsid w:val="00C856D5"/>
    <w:rsid w:val="00C86997"/>
    <w:rsid w:val="00C87CDD"/>
    <w:rsid w:val="00C9027A"/>
    <w:rsid w:val="00C905DF"/>
    <w:rsid w:val="00C9068E"/>
    <w:rsid w:val="00C9363F"/>
    <w:rsid w:val="00C93C4B"/>
    <w:rsid w:val="00C94175"/>
    <w:rsid w:val="00C944AB"/>
    <w:rsid w:val="00C9451D"/>
    <w:rsid w:val="00C9474E"/>
    <w:rsid w:val="00C95B40"/>
    <w:rsid w:val="00C968EC"/>
    <w:rsid w:val="00C9793A"/>
    <w:rsid w:val="00C97B29"/>
    <w:rsid w:val="00CA0805"/>
    <w:rsid w:val="00CA0A10"/>
    <w:rsid w:val="00CA1ED8"/>
    <w:rsid w:val="00CA4745"/>
    <w:rsid w:val="00CA61FB"/>
    <w:rsid w:val="00CA6CFD"/>
    <w:rsid w:val="00CA7170"/>
    <w:rsid w:val="00CB0DE9"/>
    <w:rsid w:val="00CB1F63"/>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5905"/>
    <w:rsid w:val="00CE7561"/>
    <w:rsid w:val="00CF1354"/>
    <w:rsid w:val="00CF3332"/>
    <w:rsid w:val="00CF3B1F"/>
    <w:rsid w:val="00CF3BF6"/>
    <w:rsid w:val="00CF46BC"/>
    <w:rsid w:val="00CF4E02"/>
    <w:rsid w:val="00CF4E77"/>
    <w:rsid w:val="00CF50AB"/>
    <w:rsid w:val="00CF5C89"/>
    <w:rsid w:val="00CF625B"/>
    <w:rsid w:val="00CF687E"/>
    <w:rsid w:val="00CF7216"/>
    <w:rsid w:val="00CF7673"/>
    <w:rsid w:val="00D00339"/>
    <w:rsid w:val="00D0194F"/>
    <w:rsid w:val="00D0252F"/>
    <w:rsid w:val="00D0339E"/>
    <w:rsid w:val="00D0349B"/>
    <w:rsid w:val="00D03CBF"/>
    <w:rsid w:val="00D04434"/>
    <w:rsid w:val="00D1001F"/>
    <w:rsid w:val="00D10249"/>
    <w:rsid w:val="00D115C3"/>
    <w:rsid w:val="00D11897"/>
    <w:rsid w:val="00D11F71"/>
    <w:rsid w:val="00D13135"/>
    <w:rsid w:val="00D13ABF"/>
    <w:rsid w:val="00D13E4E"/>
    <w:rsid w:val="00D15089"/>
    <w:rsid w:val="00D1723B"/>
    <w:rsid w:val="00D215AD"/>
    <w:rsid w:val="00D22874"/>
    <w:rsid w:val="00D239A7"/>
    <w:rsid w:val="00D23F47"/>
    <w:rsid w:val="00D2503E"/>
    <w:rsid w:val="00D25B3F"/>
    <w:rsid w:val="00D3005B"/>
    <w:rsid w:val="00D3020F"/>
    <w:rsid w:val="00D3101D"/>
    <w:rsid w:val="00D32166"/>
    <w:rsid w:val="00D35234"/>
    <w:rsid w:val="00D36E71"/>
    <w:rsid w:val="00D37B54"/>
    <w:rsid w:val="00D37D87"/>
    <w:rsid w:val="00D40B33"/>
    <w:rsid w:val="00D426CB"/>
    <w:rsid w:val="00D4318F"/>
    <w:rsid w:val="00D438BF"/>
    <w:rsid w:val="00D440F8"/>
    <w:rsid w:val="00D45637"/>
    <w:rsid w:val="00D46FA5"/>
    <w:rsid w:val="00D501A9"/>
    <w:rsid w:val="00D51446"/>
    <w:rsid w:val="00D537D6"/>
    <w:rsid w:val="00D546FF"/>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556C"/>
    <w:rsid w:val="00D75A8B"/>
    <w:rsid w:val="00D76F86"/>
    <w:rsid w:val="00D77B1D"/>
    <w:rsid w:val="00D8021F"/>
    <w:rsid w:val="00D80383"/>
    <w:rsid w:val="00D815D6"/>
    <w:rsid w:val="00D8203B"/>
    <w:rsid w:val="00D823C6"/>
    <w:rsid w:val="00D85EF7"/>
    <w:rsid w:val="00D86CA3"/>
    <w:rsid w:val="00D871CE"/>
    <w:rsid w:val="00D9037C"/>
    <w:rsid w:val="00D9196D"/>
    <w:rsid w:val="00D920A7"/>
    <w:rsid w:val="00D92982"/>
    <w:rsid w:val="00D95A22"/>
    <w:rsid w:val="00D965C0"/>
    <w:rsid w:val="00DA0701"/>
    <w:rsid w:val="00DA305E"/>
    <w:rsid w:val="00DA5007"/>
    <w:rsid w:val="00DA536E"/>
    <w:rsid w:val="00DA5417"/>
    <w:rsid w:val="00DA56E8"/>
    <w:rsid w:val="00DA67A6"/>
    <w:rsid w:val="00DB06D8"/>
    <w:rsid w:val="00DB0A9F"/>
    <w:rsid w:val="00DB377D"/>
    <w:rsid w:val="00DB7182"/>
    <w:rsid w:val="00DC0DB5"/>
    <w:rsid w:val="00DC21E1"/>
    <w:rsid w:val="00DC2396"/>
    <w:rsid w:val="00DC2D36"/>
    <w:rsid w:val="00DC33E4"/>
    <w:rsid w:val="00DC3DD8"/>
    <w:rsid w:val="00DC53EF"/>
    <w:rsid w:val="00DC6D71"/>
    <w:rsid w:val="00DC7FEA"/>
    <w:rsid w:val="00DD1F9F"/>
    <w:rsid w:val="00DD355C"/>
    <w:rsid w:val="00DD7867"/>
    <w:rsid w:val="00DE0910"/>
    <w:rsid w:val="00DE3A33"/>
    <w:rsid w:val="00DE5608"/>
    <w:rsid w:val="00DE58D0"/>
    <w:rsid w:val="00DE654F"/>
    <w:rsid w:val="00DF0B6E"/>
    <w:rsid w:val="00DF15E0"/>
    <w:rsid w:val="00DF20A7"/>
    <w:rsid w:val="00DF37A0"/>
    <w:rsid w:val="00DF4B4B"/>
    <w:rsid w:val="00DF5C56"/>
    <w:rsid w:val="00E008FB"/>
    <w:rsid w:val="00E009BE"/>
    <w:rsid w:val="00E02CFE"/>
    <w:rsid w:val="00E05B34"/>
    <w:rsid w:val="00E10B1C"/>
    <w:rsid w:val="00E110E7"/>
    <w:rsid w:val="00E11B20"/>
    <w:rsid w:val="00E141E3"/>
    <w:rsid w:val="00E156FA"/>
    <w:rsid w:val="00E15E3A"/>
    <w:rsid w:val="00E174CA"/>
    <w:rsid w:val="00E17944"/>
    <w:rsid w:val="00E17970"/>
    <w:rsid w:val="00E17B45"/>
    <w:rsid w:val="00E17FA2"/>
    <w:rsid w:val="00E22330"/>
    <w:rsid w:val="00E25B80"/>
    <w:rsid w:val="00E30B5A"/>
    <w:rsid w:val="00E3123D"/>
    <w:rsid w:val="00E31461"/>
    <w:rsid w:val="00E31C0F"/>
    <w:rsid w:val="00E31D43"/>
    <w:rsid w:val="00E32608"/>
    <w:rsid w:val="00E32C7B"/>
    <w:rsid w:val="00E33E4A"/>
    <w:rsid w:val="00E34188"/>
    <w:rsid w:val="00E345CD"/>
    <w:rsid w:val="00E34B6E"/>
    <w:rsid w:val="00E35559"/>
    <w:rsid w:val="00E36156"/>
    <w:rsid w:val="00E371BC"/>
    <w:rsid w:val="00E3723A"/>
    <w:rsid w:val="00E372E0"/>
    <w:rsid w:val="00E37860"/>
    <w:rsid w:val="00E446F1"/>
    <w:rsid w:val="00E44B94"/>
    <w:rsid w:val="00E46886"/>
    <w:rsid w:val="00E47AEF"/>
    <w:rsid w:val="00E52397"/>
    <w:rsid w:val="00E53B29"/>
    <w:rsid w:val="00E53B75"/>
    <w:rsid w:val="00E54E3B"/>
    <w:rsid w:val="00E557CC"/>
    <w:rsid w:val="00E57565"/>
    <w:rsid w:val="00E57A1C"/>
    <w:rsid w:val="00E604AE"/>
    <w:rsid w:val="00E62B73"/>
    <w:rsid w:val="00E63838"/>
    <w:rsid w:val="00E64434"/>
    <w:rsid w:val="00E67C51"/>
    <w:rsid w:val="00E70D86"/>
    <w:rsid w:val="00E719E7"/>
    <w:rsid w:val="00E72CFA"/>
    <w:rsid w:val="00E72EFC"/>
    <w:rsid w:val="00E758EC"/>
    <w:rsid w:val="00E76569"/>
    <w:rsid w:val="00E7778E"/>
    <w:rsid w:val="00E81B9B"/>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3284"/>
    <w:rsid w:val="00EA5B73"/>
    <w:rsid w:val="00EA6E0E"/>
    <w:rsid w:val="00EA7A41"/>
    <w:rsid w:val="00EB077B"/>
    <w:rsid w:val="00EB3697"/>
    <w:rsid w:val="00EB45F9"/>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25E7"/>
    <w:rsid w:val="00EE57B6"/>
    <w:rsid w:val="00EE6379"/>
    <w:rsid w:val="00EE6561"/>
    <w:rsid w:val="00EF0038"/>
    <w:rsid w:val="00EF10BC"/>
    <w:rsid w:val="00EF18FE"/>
    <w:rsid w:val="00EF2E6C"/>
    <w:rsid w:val="00EF2EE3"/>
    <w:rsid w:val="00EF5787"/>
    <w:rsid w:val="00EF60D0"/>
    <w:rsid w:val="00EF669D"/>
    <w:rsid w:val="00EF7136"/>
    <w:rsid w:val="00F0201B"/>
    <w:rsid w:val="00F020A9"/>
    <w:rsid w:val="00F03E8C"/>
    <w:rsid w:val="00F0528D"/>
    <w:rsid w:val="00F06C67"/>
    <w:rsid w:val="00F06DFD"/>
    <w:rsid w:val="00F071D1"/>
    <w:rsid w:val="00F07533"/>
    <w:rsid w:val="00F100FF"/>
    <w:rsid w:val="00F10629"/>
    <w:rsid w:val="00F15FA5"/>
    <w:rsid w:val="00F1625B"/>
    <w:rsid w:val="00F16BDE"/>
    <w:rsid w:val="00F209B7"/>
    <w:rsid w:val="00F20C4B"/>
    <w:rsid w:val="00F21C47"/>
    <w:rsid w:val="00F23639"/>
    <w:rsid w:val="00F2376F"/>
    <w:rsid w:val="00F243D8"/>
    <w:rsid w:val="00F24E55"/>
    <w:rsid w:val="00F30828"/>
    <w:rsid w:val="00F30E66"/>
    <w:rsid w:val="00F313D6"/>
    <w:rsid w:val="00F31E10"/>
    <w:rsid w:val="00F33DF2"/>
    <w:rsid w:val="00F34D6D"/>
    <w:rsid w:val="00F40806"/>
    <w:rsid w:val="00F40C33"/>
    <w:rsid w:val="00F40F0C"/>
    <w:rsid w:val="00F4350D"/>
    <w:rsid w:val="00F4352A"/>
    <w:rsid w:val="00F4766C"/>
    <w:rsid w:val="00F47D9C"/>
    <w:rsid w:val="00F507D1"/>
    <w:rsid w:val="00F519CE"/>
    <w:rsid w:val="00F51ADA"/>
    <w:rsid w:val="00F51CB3"/>
    <w:rsid w:val="00F539FE"/>
    <w:rsid w:val="00F54C67"/>
    <w:rsid w:val="00F56734"/>
    <w:rsid w:val="00F56AB5"/>
    <w:rsid w:val="00F607C5"/>
    <w:rsid w:val="00F60931"/>
    <w:rsid w:val="00F60DEA"/>
    <w:rsid w:val="00F61B6A"/>
    <w:rsid w:val="00F61E9C"/>
    <w:rsid w:val="00F62119"/>
    <w:rsid w:val="00F6302A"/>
    <w:rsid w:val="00F64295"/>
    <w:rsid w:val="00F64C2B"/>
    <w:rsid w:val="00F651BE"/>
    <w:rsid w:val="00F65DAC"/>
    <w:rsid w:val="00F668D2"/>
    <w:rsid w:val="00F66DDF"/>
    <w:rsid w:val="00F67F53"/>
    <w:rsid w:val="00F703BE"/>
    <w:rsid w:val="00F71F69"/>
    <w:rsid w:val="00F72052"/>
    <w:rsid w:val="00F72A1E"/>
    <w:rsid w:val="00F72A83"/>
    <w:rsid w:val="00F72B72"/>
    <w:rsid w:val="00F73C22"/>
    <w:rsid w:val="00F74BB9"/>
    <w:rsid w:val="00F75582"/>
    <w:rsid w:val="00F75A7F"/>
    <w:rsid w:val="00F76EFA"/>
    <w:rsid w:val="00F804BE"/>
    <w:rsid w:val="00F817CE"/>
    <w:rsid w:val="00F8456C"/>
    <w:rsid w:val="00F859D8"/>
    <w:rsid w:val="00F868F5"/>
    <w:rsid w:val="00F9056A"/>
    <w:rsid w:val="00F9083B"/>
    <w:rsid w:val="00F90F8D"/>
    <w:rsid w:val="00F92782"/>
    <w:rsid w:val="00F93AA9"/>
    <w:rsid w:val="00F96985"/>
    <w:rsid w:val="00F96EAE"/>
    <w:rsid w:val="00F96EFF"/>
    <w:rsid w:val="00F97838"/>
    <w:rsid w:val="00F97BE1"/>
    <w:rsid w:val="00FA05D5"/>
    <w:rsid w:val="00FA0C03"/>
    <w:rsid w:val="00FA1A08"/>
    <w:rsid w:val="00FA2BB3"/>
    <w:rsid w:val="00FA5D49"/>
    <w:rsid w:val="00FA7B90"/>
    <w:rsid w:val="00FB005F"/>
    <w:rsid w:val="00FB2583"/>
    <w:rsid w:val="00FB3D52"/>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74DB"/>
    <w:rsid w:val="00FD7660"/>
    <w:rsid w:val="00FD7C9D"/>
    <w:rsid w:val="00FE0655"/>
    <w:rsid w:val="00FE20DB"/>
    <w:rsid w:val="00FE2365"/>
    <w:rsid w:val="00FE2722"/>
    <w:rsid w:val="00FE2927"/>
    <w:rsid w:val="00FE4C7B"/>
    <w:rsid w:val="00FE69FF"/>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DB3"/>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073D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3DB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paragraph" w:customStyle="1" w:styleId="bullet">
    <w:name w:val="bullet"/>
    <w:basedOn w:val="ListParagraph"/>
    <w:link w:val="bulletChar"/>
    <w:qFormat/>
    <w:rsid w:val="008624AF"/>
    <w:pPr>
      <w:widowControl w:val="0"/>
      <w:numPr>
        <w:numId w:val="11"/>
      </w:numPr>
      <w:spacing w:after="60" w:line="240" w:lineRule="auto"/>
      <w:jc w:val="both"/>
    </w:pPr>
    <w:rPr>
      <w:rFonts w:ascii="Times New Roman" w:eastAsia="Times New Roman" w:hAnsi="Times New Roman" w:cs="Times New Roman"/>
      <w:kern w:val="2"/>
      <w:sz w:val="20"/>
      <w:szCs w:val="24"/>
      <w:lang w:eastAsia="en-US"/>
    </w:rPr>
  </w:style>
  <w:style w:type="character" w:customStyle="1" w:styleId="bulletChar">
    <w:name w:val="bullet Char"/>
    <w:link w:val="bullet"/>
    <w:rsid w:val="008624AF"/>
    <w:rPr>
      <w:rFonts w:ascii="Times New Roman" w:eastAsia="Times New Roman" w:hAnsi="Times New Roman"/>
      <w:kern w:val="2"/>
      <w:szCs w:val="24"/>
      <w:lang w:val="en-GB" w:eastAsia="en-US"/>
    </w:rPr>
  </w:style>
  <w:style w:type="character" w:customStyle="1" w:styleId="TAHCar">
    <w:name w:val="TAH Car"/>
    <w:link w:val="TAH"/>
    <w:rsid w:val="005E0FF1"/>
    <w:rPr>
      <w:rFonts w:asciiTheme="minorHAnsi" w:eastAsiaTheme="minorEastAsia" w:hAnsiTheme="minorHAnsi" w:cstheme="minorBidi"/>
      <w:b/>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34667208">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8583121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460107DC-5761-40F6-8E1B-3112A03859E6}">
  <ds:schemaRefs>
    <ds:schemaRef ds:uri="http://purl.org/dc/elements/1.1/"/>
    <ds:schemaRef ds:uri="http://schemas.microsoft.com/office/2006/metadata/properties"/>
    <ds:schemaRef ds:uri="http://schemas.microsoft.com/sharepoint/v4"/>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7789c8df-cd92-43c1-8a83-195dbc0f0a0a"/>
    <ds:schemaRef ds:uri="08b2df90-05d3-4030-90d4-c9feeb4a1cd9"/>
    <ds:schemaRef ds:uri="http://www.w3.org/XML/1998/namespace"/>
    <ds:schemaRef ds:uri="http://purl.org/dc/dcmitype/"/>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E78A44-929F-4F5B-8010-D85AA0A09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1617</Words>
  <Characters>8385</Characters>
  <Application>Microsoft Office Word</Application>
  <DocSecurity>4</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2</cp:revision>
  <cp:lastPrinted>2008-01-31T06:09:00Z</cp:lastPrinted>
  <dcterms:created xsi:type="dcterms:W3CDTF">2019-01-09T09:13:00Z</dcterms:created>
  <dcterms:modified xsi:type="dcterms:W3CDTF">2019-01-09T09:13:00Z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