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F0CF6" w14:textId="70ED8ADB" w:rsidR="00942D0C" w:rsidRPr="009C1B30" w:rsidRDefault="00942D0C" w:rsidP="00942D0C">
      <w:pPr>
        <w:tabs>
          <w:tab w:val="right" w:pos="9216"/>
        </w:tabs>
        <w:spacing w:after="0"/>
        <w:jc w:val="left"/>
        <w:rPr>
          <w:rFonts w:ascii="Arial" w:hAnsi="Arial" w:cs="Arial"/>
          <w:b/>
          <w:kern w:val="2"/>
          <w:lang w:eastAsia="zh-CN"/>
        </w:rPr>
      </w:pPr>
      <w:r w:rsidRPr="009C1B30">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54172244" wp14:editId="168A7A5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1AED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1B30">
        <w:rPr>
          <w:rFonts w:ascii="Arial" w:hAnsi="Arial" w:cs="Arial"/>
          <w:b/>
          <w:kern w:val="2"/>
          <w:lang w:eastAsia="zh-CN"/>
        </w:rPr>
        <w:t>3GPP TSG RAN WG1 Meeting #9</w:t>
      </w:r>
      <w:r w:rsidR="002767E4">
        <w:rPr>
          <w:rFonts w:ascii="Arial" w:hAnsi="Arial" w:cs="Arial"/>
          <w:b/>
          <w:kern w:val="2"/>
          <w:lang w:eastAsia="zh-CN"/>
        </w:rPr>
        <w:t>9</w:t>
      </w:r>
      <w:r w:rsidRPr="009C1B30">
        <w:rPr>
          <w:rFonts w:ascii="Arial" w:hAnsi="Arial" w:cs="Arial"/>
          <w:b/>
          <w:kern w:val="2"/>
          <w:lang w:eastAsia="zh-CN"/>
        </w:rPr>
        <w:tab/>
      </w:r>
      <w:r w:rsidRPr="00942D0C">
        <w:rPr>
          <w:rFonts w:ascii="Arial" w:hAnsi="Arial" w:cs="Arial"/>
          <w:b/>
          <w:kern w:val="2"/>
          <w:lang w:eastAsia="zh-CN"/>
        </w:rPr>
        <w:t>R1-191</w:t>
      </w:r>
      <w:r w:rsidR="00AA3430">
        <w:rPr>
          <w:rFonts w:ascii="Arial" w:hAnsi="Arial" w:cs="Arial"/>
          <w:b/>
          <w:kern w:val="2"/>
          <w:lang w:eastAsia="zh-CN"/>
        </w:rPr>
        <w:t>2434</w:t>
      </w:r>
    </w:p>
    <w:p w14:paraId="5B0131C7" w14:textId="155E8533" w:rsidR="00942D0C" w:rsidRPr="009C1B30" w:rsidRDefault="002767E4" w:rsidP="00942D0C">
      <w:pPr>
        <w:jc w:val="left"/>
        <w:rPr>
          <w:rFonts w:ascii="Arial" w:hAnsi="Arial" w:cs="Arial"/>
          <w:b/>
          <w:kern w:val="2"/>
          <w:lang w:eastAsia="zh-CN"/>
        </w:rPr>
      </w:pPr>
      <w:r>
        <w:rPr>
          <w:rFonts w:ascii="Arial" w:hAnsi="Arial" w:cs="Arial"/>
          <w:b/>
          <w:kern w:val="2"/>
          <w:lang w:eastAsia="zh-CN"/>
        </w:rPr>
        <w:t>Reno</w:t>
      </w:r>
      <w:r w:rsidR="00942D0C" w:rsidRPr="009C1B30">
        <w:rPr>
          <w:rFonts w:ascii="Arial" w:hAnsi="Arial" w:cs="Arial"/>
          <w:b/>
          <w:kern w:val="2"/>
          <w:lang w:eastAsia="zh-CN"/>
        </w:rPr>
        <w:t xml:space="preserve">, </w:t>
      </w:r>
      <w:r>
        <w:rPr>
          <w:rFonts w:ascii="Arial" w:hAnsi="Arial" w:cs="Arial"/>
          <w:b/>
          <w:kern w:val="2"/>
          <w:lang w:eastAsia="zh-CN"/>
        </w:rPr>
        <w:t>USA</w:t>
      </w:r>
      <w:r w:rsidR="00942D0C" w:rsidRPr="009C1B30">
        <w:rPr>
          <w:rFonts w:ascii="Arial" w:hAnsi="Arial" w:cs="Arial"/>
          <w:b/>
          <w:kern w:val="2"/>
          <w:lang w:eastAsia="zh-CN"/>
        </w:rPr>
        <w:t xml:space="preserve">, </w:t>
      </w:r>
      <w:r>
        <w:rPr>
          <w:rFonts w:ascii="Arial" w:hAnsi="Arial" w:cs="Arial"/>
          <w:b/>
          <w:kern w:val="2"/>
          <w:lang w:eastAsia="zh-CN"/>
        </w:rPr>
        <w:t>November</w:t>
      </w:r>
      <w:r w:rsidR="00942D0C" w:rsidRPr="009C1B30">
        <w:rPr>
          <w:rFonts w:ascii="Arial" w:hAnsi="Arial" w:cs="Arial"/>
          <w:b/>
          <w:kern w:val="2"/>
          <w:lang w:eastAsia="zh-CN"/>
        </w:rPr>
        <w:t xml:space="preserve"> 1</w:t>
      </w:r>
      <w:r>
        <w:rPr>
          <w:rFonts w:ascii="Arial" w:hAnsi="Arial" w:cs="Arial"/>
          <w:b/>
          <w:kern w:val="2"/>
          <w:lang w:eastAsia="zh-CN"/>
        </w:rPr>
        <w:t>8</w:t>
      </w:r>
      <w:r w:rsidR="00942D0C" w:rsidRPr="009C1B30">
        <w:rPr>
          <w:rFonts w:ascii="Arial" w:hAnsi="Arial" w:cs="Arial"/>
          <w:b/>
          <w:kern w:val="2"/>
          <w:lang w:eastAsia="zh-CN"/>
        </w:rPr>
        <w:t>-</w:t>
      </w:r>
      <w:r>
        <w:rPr>
          <w:rFonts w:ascii="Arial" w:hAnsi="Arial" w:cs="Arial"/>
          <w:b/>
          <w:kern w:val="2"/>
          <w:lang w:eastAsia="zh-CN"/>
        </w:rPr>
        <w:t>22</w:t>
      </w:r>
      <w:r w:rsidR="00942D0C" w:rsidRPr="009C1B30">
        <w:rPr>
          <w:rFonts w:ascii="Arial" w:hAnsi="Arial" w:cs="Arial"/>
          <w:b/>
          <w:kern w:val="2"/>
          <w:lang w:eastAsia="zh-CN"/>
        </w:rPr>
        <w:t>, 2019</w:t>
      </w:r>
    </w:p>
    <w:p w14:paraId="57DF753C" w14:textId="5B10EFC2" w:rsidR="00942D0C" w:rsidRPr="009C1B30" w:rsidRDefault="00942D0C" w:rsidP="00942D0C">
      <w:pPr>
        <w:spacing w:after="60"/>
        <w:ind w:left="1555" w:hanging="1555"/>
        <w:jc w:val="left"/>
        <w:rPr>
          <w:rFonts w:ascii="Arial" w:hAnsi="Arial" w:cs="Arial"/>
          <w:b/>
          <w:lang w:eastAsia="zh-CN"/>
        </w:rPr>
      </w:pPr>
      <w:r w:rsidRPr="009C1B30">
        <w:rPr>
          <w:rFonts w:ascii="Arial" w:hAnsi="Arial" w:cs="Arial"/>
          <w:b/>
          <w:lang w:eastAsia="zh-CN"/>
        </w:rPr>
        <w:t>Agenda Item:</w:t>
      </w:r>
      <w:r w:rsidRPr="009C1B30">
        <w:rPr>
          <w:rFonts w:ascii="Arial" w:hAnsi="Arial" w:cs="Arial"/>
          <w:b/>
          <w:lang w:eastAsia="zh-CN"/>
        </w:rPr>
        <w:tab/>
        <w:t>7.2.4.</w:t>
      </w:r>
      <w:r w:rsidR="00FA7150">
        <w:rPr>
          <w:rFonts w:ascii="Arial" w:hAnsi="Arial" w:cs="Arial"/>
          <w:b/>
          <w:lang w:eastAsia="zh-CN"/>
        </w:rPr>
        <w:t>6</w:t>
      </w:r>
    </w:p>
    <w:p w14:paraId="32A165C0" w14:textId="77777777" w:rsidR="00942D0C" w:rsidRPr="009C1B30" w:rsidRDefault="00942D0C" w:rsidP="00942D0C">
      <w:pPr>
        <w:spacing w:after="60"/>
        <w:ind w:left="1555" w:hanging="1555"/>
        <w:jc w:val="left"/>
        <w:rPr>
          <w:rFonts w:ascii="Arial" w:hAnsi="Arial" w:cs="Arial"/>
          <w:b/>
          <w:kern w:val="2"/>
          <w:lang w:eastAsia="zh-CN"/>
        </w:rPr>
      </w:pPr>
      <w:r w:rsidRPr="009C1B30">
        <w:rPr>
          <w:rFonts w:ascii="Arial" w:hAnsi="Arial" w:cs="Arial"/>
          <w:b/>
          <w:kern w:val="2"/>
          <w:lang w:eastAsia="zh-CN"/>
        </w:rPr>
        <w:t>Source:</w:t>
      </w:r>
      <w:r w:rsidRPr="009C1B30">
        <w:rPr>
          <w:rFonts w:ascii="Arial" w:hAnsi="Arial" w:cs="Arial"/>
          <w:b/>
          <w:kern w:val="2"/>
          <w:lang w:eastAsia="zh-CN"/>
        </w:rPr>
        <w:tab/>
      </w:r>
      <w:r w:rsidRPr="009C1B30">
        <w:rPr>
          <w:rFonts w:ascii="Arial" w:hAnsi="Arial" w:cs="Arial"/>
          <w:b/>
          <w:bCs/>
          <w:caps/>
          <w:sz w:val="24"/>
          <w:szCs w:val="24"/>
          <w:shd w:val="clear" w:color="auto" w:fill="FFFFFF"/>
        </w:rPr>
        <w:t>F</w:t>
      </w:r>
      <w:r w:rsidRPr="009C1B30">
        <w:rPr>
          <w:rFonts w:ascii="Arial" w:hAnsi="Arial" w:cs="Arial"/>
          <w:b/>
          <w:bCs/>
          <w:smallCaps/>
          <w:sz w:val="24"/>
          <w:szCs w:val="24"/>
          <w:shd w:val="clear" w:color="auto" w:fill="FFFFFF"/>
        </w:rPr>
        <w:t>uturewei</w:t>
      </w:r>
    </w:p>
    <w:p w14:paraId="09B689D6" w14:textId="77777777" w:rsidR="00FA7150" w:rsidRDefault="00942D0C" w:rsidP="00942D0C">
      <w:pPr>
        <w:spacing w:after="60"/>
        <w:ind w:left="1555" w:hanging="1555"/>
        <w:jc w:val="left"/>
        <w:rPr>
          <w:rFonts w:ascii="Arial" w:hAnsi="Arial" w:cs="Arial"/>
          <w:b/>
          <w:lang w:eastAsia="zh-CN"/>
        </w:rPr>
      </w:pPr>
      <w:r w:rsidRPr="009C1B30">
        <w:rPr>
          <w:rFonts w:ascii="Arial" w:hAnsi="Arial" w:cs="Arial"/>
          <w:b/>
          <w:lang w:eastAsia="zh-CN"/>
        </w:rPr>
        <w:t>Title:</w:t>
      </w:r>
      <w:r w:rsidRPr="009C1B30">
        <w:rPr>
          <w:rFonts w:ascii="Arial" w:hAnsi="Arial" w:cs="Arial"/>
          <w:b/>
          <w:lang w:eastAsia="zh-CN"/>
        </w:rPr>
        <w:tab/>
      </w:r>
      <w:r w:rsidR="00FA7150" w:rsidRPr="00FA7150">
        <w:rPr>
          <w:rFonts w:ascii="Arial" w:hAnsi="Arial" w:cs="Arial"/>
          <w:b/>
          <w:lang w:eastAsia="zh-CN"/>
        </w:rPr>
        <w:t xml:space="preserve">Remaining details of QoS for sidelink </w:t>
      </w:r>
    </w:p>
    <w:p w14:paraId="67B2DEB8" w14:textId="2E33865E" w:rsidR="00942D0C" w:rsidRPr="009C1B30" w:rsidRDefault="00942D0C" w:rsidP="00942D0C">
      <w:pPr>
        <w:spacing w:after="60"/>
        <w:ind w:left="1555" w:hanging="1555"/>
        <w:jc w:val="left"/>
        <w:rPr>
          <w:rFonts w:ascii="Arial" w:hAnsi="Arial" w:cs="Arial"/>
          <w:b/>
          <w:kern w:val="2"/>
          <w:lang w:eastAsia="zh-CN"/>
        </w:rPr>
      </w:pPr>
      <w:r w:rsidRPr="009C1B30">
        <w:rPr>
          <w:rFonts w:ascii="Arial" w:hAnsi="Arial" w:cs="Arial"/>
          <w:b/>
          <w:kern w:val="2"/>
          <w:lang w:eastAsia="zh-CN"/>
        </w:rPr>
        <w:t>Document for:</w:t>
      </w:r>
      <w:r w:rsidRPr="009C1B30">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1D73DE" w14:textId="3D0871F3" w:rsidR="00A06E12" w:rsidRDefault="00FA7150" w:rsidP="00C02F76">
      <w:pPr>
        <w:rPr>
          <w:lang w:eastAsia="zh-CN"/>
        </w:rPr>
      </w:pPr>
      <w:r>
        <w:rPr>
          <w:lang w:eastAsia="zh-CN"/>
        </w:rPr>
        <w:t>At RAN1#98b, significant progress was achieved on QoS, with the most critical decisions having been taken:</w:t>
      </w:r>
    </w:p>
    <w:p w14:paraId="3DF06931" w14:textId="77777777" w:rsidR="00FA7150" w:rsidRPr="00FA7150" w:rsidRDefault="00FA7150" w:rsidP="00FA7150">
      <w:pPr>
        <w:autoSpaceDE/>
        <w:autoSpaceDN/>
        <w:jc w:val="left"/>
        <w:rPr>
          <w:rFonts w:ascii="Times" w:hAnsi="Times"/>
          <w:i/>
          <w:szCs w:val="20"/>
          <w:lang w:eastAsia="zh-CN"/>
        </w:rPr>
      </w:pPr>
      <w:r w:rsidRPr="00FA7150">
        <w:rPr>
          <w:rFonts w:ascii="Times" w:hAnsi="Times"/>
          <w:i/>
          <w:szCs w:val="20"/>
          <w:lang w:eastAsia="zh-CN"/>
        </w:rPr>
        <w:t>Define NR sidelink Channel Occupancy Ratio (CR) measurement.</w:t>
      </w:r>
    </w:p>
    <w:p w14:paraId="4B003FF0" w14:textId="77777777" w:rsidR="00FA7150" w:rsidRPr="00FA7150" w:rsidRDefault="00FA7150" w:rsidP="00FA7150">
      <w:pPr>
        <w:numPr>
          <w:ilvl w:val="0"/>
          <w:numId w:val="20"/>
        </w:numPr>
        <w:autoSpaceDE/>
        <w:autoSpaceDN/>
        <w:adjustRightInd/>
        <w:snapToGrid/>
        <w:spacing w:after="0" w:line="259" w:lineRule="auto"/>
        <w:jc w:val="left"/>
        <w:rPr>
          <w:rFonts w:ascii="Times" w:hAnsi="Times"/>
          <w:i/>
          <w:szCs w:val="20"/>
          <w:lang w:eastAsia="zh-CN"/>
        </w:rPr>
      </w:pPr>
      <w:r w:rsidRPr="00FA7150">
        <w:rPr>
          <w:rFonts w:ascii="Times" w:hAnsi="Times"/>
          <w:i/>
          <w:szCs w:val="20"/>
          <w:lang w:eastAsia="zh-CN"/>
        </w:rPr>
        <w:t xml:space="preserve">LTE CR is the baselines </w:t>
      </w:r>
    </w:p>
    <w:p w14:paraId="7D2F2F0B" w14:textId="77777777" w:rsidR="00FA7150" w:rsidRPr="00FA7150" w:rsidRDefault="00FA7150" w:rsidP="00FA7150">
      <w:pPr>
        <w:autoSpaceDE/>
        <w:autoSpaceDN/>
        <w:adjustRightInd/>
        <w:snapToGrid/>
        <w:spacing w:after="0"/>
        <w:ind w:left="360"/>
        <w:jc w:val="left"/>
        <w:rPr>
          <w:rFonts w:ascii="Times" w:hAnsi="Times"/>
          <w:i/>
          <w:szCs w:val="20"/>
          <w:lang w:eastAsia="zh-CN"/>
        </w:rPr>
      </w:pPr>
    </w:p>
    <w:p w14:paraId="42B81F5D" w14:textId="0D792FE5" w:rsidR="00FA7150" w:rsidRPr="00FA7150" w:rsidRDefault="00FA7150" w:rsidP="00FA7150">
      <w:pPr>
        <w:numPr>
          <w:ilvl w:val="0"/>
          <w:numId w:val="19"/>
        </w:numPr>
        <w:autoSpaceDE/>
        <w:autoSpaceDN/>
        <w:adjustRightInd/>
        <w:snapToGrid/>
        <w:spacing w:after="0"/>
        <w:jc w:val="left"/>
        <w:rPr>
          <w:rFonts w:ascii="Times" w:hAnsi="Times"/>
          <w:i/>
          <w:szCs w:val="20"/>
          <w:lang w:eastAsia="zh-CN"/>
        </w:rPr>
      </w:pPr>
      <w:r w:rsidRPr="00FA7150">
        <w:rPr>
          <w:rFonts w:ascii="Times" w:hAnsi="Times"/>
          <w:i/>
          <w:szCs w:val="20"/>
          <w:lang w:eastAsia="zh-CN"/>
        </w:rPr>
        <w:t>Congestion control can restrict the values of at least the following PSSCH/PSCCH TX parameters per resource pool:</w:t>
      </w:r>
    </w:p>
    <w:p w14:paraId="2C981DC9" w14:textId="77777777" w:rsidR="00FA7150" w:rsidRPr="00FA7150" w:rsidRDefault="00FA7150" w:rsidP="00FA7150">
      <w:pPr>
        <w:numPr>
          <w:ilvl w:val="1"/>
          <w:numId w:val="19"/>
        </w:numPr>
        <w:autoSpaceDE/>
        <w:autoSpaceDN/>
        <w:adjustRightInd/>
        <w:snapToGrid/>
        <w:spacing w:after="0" w:line="259" w:lineRule="auto"/>
        <w:jc w:val="left"/>
        <w:rPr>
          <w:rFonts w:ascii="Times" w:hAnsi="Times"/>
          <w:i/>
          <w:szCs w:val="20"/>
          <w:lang w:eastAsia="zh-CN"/>
        </w:rPr>
      </w:pPr>
      <w:r w:rsidRPr="00FA7150">
        <w:rPr>
          <w:rFonts w:ascii="Times" w:hAnsi="Times"/>
          <w:i/>
          <w:szCs w:val="20"/>
          <w:lang w:eastAsia="zh-CN"/>
        </w:rPr>
        <w:t>Range of MCS for a given MCS table supported within the resource pool</w:t>
      </w:r>
    </w:p>
    <w:p w14:paraId="62BB6A2E" w14:textId="77777777" w:rsidR="00FA7150" w:rsidRPr="00FA7150" w:rsidRDefault="00FA7150" w:rsidP="00FA7150">
      <w:pPr>
        <w:numPr>
          <w:ilvl w:val="1"/>
          <w:numId w:val="19"/>
        </w:numPr>
        <w:autoSpaceDE/>
        <w:autoSpaceDN/>
        <w:adjustRightInd/>
        <w:snapToGrid/>
        <w:spacing w:after="0" w:line="259" w:lineRule="auto"/>
        <w:jc w:val="left"/>
        <w:rPr>
          <w:rFonts w:ascii="Times" w:hAnsi="Times"/>
          <w:i/>
          <w:szCs w:val="20"/>
          <w:lang w:eastAsia="zh-CN"/>
        </w:rPr>
      </w:pPr>
      <w:r w:rsidRPr="00FA7150">
        <w:rPr>
          <w:rFonts w:ascii="Times" w:hAnsi="Times"/>
          <w:i/>
          <w:szCs w:val="20"/>
          <w:lang w:eastAsia="zh-CN"/>
        </w:rPr>
        <w:t>Range of number of sub-channels</w:t>
      </w:r>
    </w:p>
    <w:p w14:paraId="4AE54F76" w14:textId="77777777" w:rsidR="00FA7150" w:rsidRPr="00FA7150" w:rsidRDefault="00FA7150" w:rsidP="00FA7150">
      <w:pPr>
        <w:numPr>
          <w:ilvl w:val="1"/>
          <w:numId w:val="19"/>
        </w:numPr>
        <w:autoSpaceDE/>
        <w:autoSpaceDN/>
        <w:adjustRightInd/>
        <w:snapToGrid/>
        <w:spacing w:after="0" w:line="259" w:lineRule="auto"/>
        <w:jc w:val="left"/>
        <w:rPr>
          <w:rFonts w:ascii="Times" w:hAnsi="Times"/>
          <w:i/>
          <w:szCs w:val="20"/>
          <w:lang w:eastAsia="zh-CN"/>
        </w:rPr>
      </w:pPr>
      <w:r w:rsidRPr="00FA7150">
        <w:rPr>
          <w:rFonts w:ascii="Times" w:hAnsi="Times"/>
          <w:i/>
          <w:szCs w:val="20"/>
          <w:lang w:eastAsia="zh-CN"/>
        </w:rPr>
        <w:t>Upper bound of number of (re)transmissions – already agreed in mode 2 AI</w:t>
      </w:r>
    </w:p>
    <w:p w14:paraId="5A263928" w14:textId="27E213D5" w:rsidR="00FA7150" w:rsidRDefault="00FA7150" w:rsidP="00FA7150">
      <w:pPr>
        <w:numPr>
          <w:ilvl w:val="1"/>
          <w:numId w:val="19"/>
        </w:numPr>
        <w:autoSpaceDE/>
        <w:autoSpaceDN/>
        <w:adjustRightInd/>
        <w:snapToGrid/>
        <w:spacing w:after="0" w:line="259" w:lineRule="auto"/>
        <w:jc w:val="left"/>
        <w:rPr>
          <w:rFonts w:ascii="Times" w:hAnsi="Times"/>
          <w:i/>
          <w:szCs w:val="20"/>
          <w:lang w:eastAsia="zh-CN"/>
        </w:rPr>
      </w:pPr>
      <w:r w:rsidRPr="00FA7150">
        <w:rPr>
          <w:rFonts w:ascii="Times" w:hAnsi="Times"/>
          <w:i/>
          <w:szCs w:val="20"/>
          <w:lang w:eastAsia="zh-CN"/>
        </w:rPr>
        <w:t>Upper bound of TX power (including zero TX power)</w:t>
      </w:r>
    </w:p>
    <w:p w14:paraId="271FA8A0" w14:textId="77777777" w:rsidR="00CC4146" w:rsidRPr="00FA7150" w:rsidRDefault="00CC4146" w:rsidP="00CC4146">
      <w:pPr>
        <w:autoSpaceDE/>
        <w:autoSpaceDN/>
        <w:adjustRightInd/>
        <w:snapToGrid/>
        <w:spacing w:after="0" w:line="259" w:lineRule="auto"/>
        <w:jc w:val="left"/>
        <w:rPr>
          <w:rFonts w:ascii="Times" w:hAnsi="Times"/>
          <w:i/>
          <w:szCs w:val="20"/>
          <w:lang w:eastAsia="zh-CN"/>
        </w:rPr>
      </w:pPr>
    </w:p>
    <w:p w14:paraId="076BA4D4" w14:textId="77777777" w:rsidR="00FA7150" w:rsidRPr="00FA7150" w:rsidRDefault="00FA7150" w:rsidP="00FA7150">
      <w:pPr>
        <w:numPr>
          <w:ilvl w:val="0"/>
          <w:numId w:val="19"/>
        </w:numPr>
        <w:autoSpaceDE/>
        <w:autoSpaceDN/>
        <w:adjustRightInd/>
        <w:snapToGrid/>
        <w:spacing w:after="0"/>
        <w:jc w:val="left"/>
        <w:rPr>
          <w:rFonts w:ascii="Times" w:hAnsi="Times"/>
          <w:i/>
          <w:szCs w:val="20"/>
          <w:lang w:eastAsia="zh-CN"/>
        </w:rPr>
      </w:pPr>
      <w:r w:rsidRPr="00FA7150">
        <w:rPr>
          <w:rFonts w:ascii="Times" w:hAnsi="Times"/>
          <w:i/>
          <w:szCs w:val="20"/>
          <w:lang w:eastAsia="zh-CN"/>
        </w:rPr>
        <w:t>Congestion control can set an upper bound on channel occupancy ratio (CR), CR</w:t>
      </w:r>
      <w:r w:rsidRPr="00FA7150">
        <w:rPr>
          <w:rFonts w:ascii="Times" w:hAnsi="Times"/>
          <w:i/>
          <w:szCs w:val="20"/>
          <w:vertAlign w:val="subscript"/>
          <w:lang w:eastAsia="zh-CN"/>
        </w:rPr>
        <w:t>limit</w:t>
      </w:r>
      <w:r w:rsidRPr="00FA7150">
        <w:rPr>
          <w:rFonts w:ascii="Times" w:hAnsi="Times"/>
          <w:i/>
          <w:szCs w:val="20"/>
          <w:lang w:eastAsia="zh-CN"/>
        </w:rPr>
        <w:t>.</w:t>
      </w:r>
    </w:p>
    <w:p w14:paraId="479EFEB4" w14:textId="77777777" w:rsidR="00FA7150" w:rsidRPr="00FA7150" w:rsidRDefault="00FA7150" w:rsidP="00FA7150">
      <w:pPr>
        <w:numPr>
          <w:ilvl w:val="0"/>
          <w:numId w:val="19"/>
        </w:numPr>
        <w:autoSpaceDE/>
        <w:autoSpaceDN/>
        <w:adjustRightInd/>
        <w:snapToGrid/>
        <w:spacing w:after="0"/>
        <w:jc w:val="left"/>
        <w:rPr>
          <w:rFonts w:ascii="Times" w:hAnsi="Times"/>
          <w:i/>
          <w:szCs w:val="20"/>
        </w:rPr>
      </w:pPr>
      <w:r w:rsidRPr="00FA7150">
        <w:rPr>
          <w:rFonts w:ascii="Times" w:hAnsi="Times"/>
          <w:i/>
          <w:szCs w:val="20"/>
        </w:rPr>
        <w:t xml:space="preserve">Ranges/bounds of the transmission parameters and </w:t>
      </w:r>
      <w:r w:rsidRPr="00FA7150">
        <w:rPr>
          <w:rFonts w:ascii="Times" w:hAnsi="Times"/>
          <w:i/>
          <w:szCs w:val="20"/>
          <w:lang w:eastAsia="zh-CN"/>
        </w:rPr>
        <w:t>CR</w:t>
      </w:r>
      <w:r w:rsidRPr="00FA7150">
        <w:rPr>
          <w:rFonts w:ascii="Times" w:hAnsi="Times"/>
          <w:i/>
          <w:szCs w:val="20"/>
          <w:vertAlign w:val="subscript"/>
          <w:lang w:eastAsia="zh-CN"/>
        </w:rPr>
        <w:t>limit</w:t>
      </w:r>
      <w:r w:rsidRPr="00FA7150">
        <w:rPr>
          <w:rFonts w:ascii="Times" w:hAnsi="Times"/>
          <w:i/>
          <w:szCs w:val="20"/>
        </w:rPr>
        <w:t xml:space="preserve"> are functions of QoS and CBR.</w:t>
      </w:r>
    </w:p>
    <w:p w14:paraId="399E273E" w14:textId="77777777" w:rsidR="00FA7150" w:rsidRPr="00FA7150" w:rsidRDefault="00FA7150" w:rsidP="00FA7150">
      <w:pPr>
        <w:numPr>
          <w:ilvl w:val="0"/>
          <w:numId w:val="19"/>
        </w:numPr>
        <w:autoSpaceDE/>
        <w:autoSpaceDN/>
        <w:adjustRightInd/>
        <w:snapToGrid/>
        <w:spacing w:after="0"/>
        <w:jc w:val="left"/>
        <w:rPr>
          <w:rFonts w:ascii="Times" w:hAnsi="Times"/>
          <w:i/>
          <w:szCs w:val="20"/>
          <w:lang w:eastAsia="zh-CN"/>
        </w:rPr>
      </w:pPr>
      <w:r w:rsidRPr="00FA7150">
        <w:rPr>
          <w:rFonts w:ascii="Times" w:hAnsi="Times"/>
          <w:i/>
          <w:szCs w:val="20"/>
          <w:lang w:eastAsia="zh-CN"/>
        </w:rPr>
        <w:t>In addition to congestion control (in use or not in use), the above parameters can be restricted by reusing the same mechanism as in LTE</w:t>
      </w:r>
    </w:p>
    <w:p w14:paraId="035445ED" w14:textId="77777777" w:rsidR="00FA7150" w:rsidRPr="00FA7150" w:rsidRDefault="00FA7150" w:rsidP="00FA7150">
      <w:pPr>
        <w:numPr>
          <w:ilvl w:val="1"/>
          <w:numId w:val="19"/>
        </w:numPr>
        <w:autoSpaceDE/>
        <w:autoSpaceDN/>
        <w:adjustRightInd/>
        <w:snapToGrid/>
        <w:spacing w:after="0"/>
        <w:jc w:val="left"/>
        <w:rPr>
          <w:rFonts w:ascii="Times" w:hAnsi="Times"/>
          <w:i/>
          <w:szCs w:val="20"/>
          <w:lang w:eastAsia="zh-CN"/>
        </w:rPr>
      </w:pPr>
      <w:r w:rsidRPr="00FA7150">
        <w:rPr>
          <w:rFonts w:ascii="Times" w:hAnsi="Times"/>
          <w:i/>
          <w:szCs w:val="20"/>
          <w:lang w:eastAsia="zh-CN"/>
        </w:rPr>
        <w:t>For speed, further discussion on absolute vs. relative speed</w:t>
      </w:r>
    </w:p>
    <w:p w14:paraId="530B44C0" w14:textId="77777777" w:rsidR="00FA7150" w:rsidRPr="00FA7150" w:rsidRDefault="00FA7150" w:rsidP="00FA7150">
      <w:pPr>
        <w:numPr>
          <w:ilvl w:val="1"/>
          <w:numId w:val="19"/>
        </w:numPr>
        <w:autoSpaceDE/>
        <w:autoSpaceDN/>
        <w:adjustRightInd/>
        <w:snapToGrid/>
        <w:spacing w:after="0" w:line="259" w:lineRule="auto"/>
        <w:jc w:val="left"/>
        <w:rPr>
          <w:rFonts w:ascii="Times" w:hAnsi="Times"/>
          <w:i/>
          <w:szCs w:val="20"/>
          <w:lang w:eastAsia="zh-CN"/>
        </w:rPr>
      </w:pPr>
      <w:r w:rsidRPr="00FA7150">
        <w:rPr>
          <w:rFonts w:ascii="Times" w:hAnsi="Times"/>
          <w:i/>
          <w:szCs w:val="20"/>
          <w:lang w:eastAsia="zh-CN"/>
        </w:rPr>
        <w:t xml:space="preserve">FFS other parameter(s) that can be restricted </w:t>
      </w:r>
    </w:p>
    <w:p w14:paraId="725967AB" w14:textId="77777777" w:rsidR="00FA7150" w:rsidRPr="00FA7150" w:rsidRDefault="00FA7150" w:rsidP="00FA7150">
      <w:pPr>
        <w:numPr>
          <w:ilvl w:val="1"/>
          <w:numId w:val="19"/>
        </w:numPr>
        <w:autoSpaceDE/>
        <w:autoSpaceDN/>
        <w:adjustRightInd/>
        <w:snapToGrid/>
        <w:spacing w:after="0" w:line="259" w:lineRule="auto"/>
        <w:jc w:val="left"/>
        <w:rPr>
          <w:rFonts w:ascii="Times" w:hAnsi="Times"/>
          <w:i/>
          <w:szCs w:val="20"/>
          <w:lang w:eastAsia="zh-CN"/>
        </w:rPr>
      </w:pPr>
      <w:r w:rsidRPr="00FA7150">
        <w:rPr>
          <w:rFonts w:ascii="Times" w:hAnsi="Times"/>
          <w:i/>
          <w:szCs w:val="20"/>
          <w:lang w:eastAsia="zh-CN"/>
        </w:rPr>
        <w:t>FFS whether or not to tie the speed with a UE capability</w:t>
      </w:r>
    </w:p>
    <w:p w14:paraId="49AD6F2C" w14:textId="77777777" w:rsidR="00FA7150" w:rsidRPr="00FA7150" w:rsidRDefault="00FA7150" w:rsidP="00FA7150">
      <w:pPr>
        <w:autoSpaceDE/>
        <w:autoSpaceDN/>
        <w:jc w:val="left"/>
        <w:rPr>
          <w:rFonts w:ascii="Times" w:hAnsi="Times"/>
          <w:i/>
          <w:szCs w:val="20"/>
        </w:rPr>
      </w:pPr>
    </w:p>
    <w:p w14:paraId="0706A846" w14:textId="162CA472" w:rsidR="00FA7150" w:rsidRPr="00FA7150" w:rsidRDefault="00FA7150" w:rsidP="00FA7150">
      <w:pPr>
        <w:autoSpaceDE/>
        <w:autoSpaceDN/>
        <w:jc w:val="left"/>
        <w:rPr>
          <w:rFonts w:ascii="Times" w:hAnsi="Times"/>
          <w:i/>
          <w:szCs w:val="20"/>
        </w:rPr>
      </w:pPr>
      <w:r w:rsidRPr="00FA7150">
        <w:rPr>
          <w:rFonts w:ascii="Times" w:hAnsi="Times"/>
          <w:i/>
          <w:szCs w:val="20"/>
        </w:rPr>
        <w:t xml:space="preserve">Lookup table links CBR range with values of the transmission parameters and </w:t>
      </w:r>
      <w:r w:rsidRPr="00FA7150">
        <w:rPr>
          <w:rFonts w:ascii="Times" w:hAnsi="Times"/>
          <w:i/>
          <w:szCs w:val="20"/>
          <w:lang w:eastAsia="zh-CN"/>
        </w:rPr>
        <w:t>CR</w:t>
      </w:r>
      <w:r w:rsidRPr="00FA7150">
        <w:rPr>
          <w:rFonts w:ascii="Times" w:hAnsi="Times"/>
          <w:i/>
          <w:szCs w:val="20"/>
          <w:vertAlign w:val="subscript"/>
          <w:lang w:eastAsia="zh-CN"/>
        </w:rPr>
        <w:t>limit</w:t>
      </w:r>
      <w:r w:rsidRPr="00FA7150">
        <w:rPr>
          <w:rFonts w:ascii="Times" w:hAnsi="Times"/>
          <w:i/>
          <w:szCs w:val="20"/>
        </w:rPr>
        <w:t xml:space="preserve"> for each value of the indication of a priority of a sidelink transmission carried by SCI payload </w:t>
      </w:r>
      <w:r w:rsidRPr="00FA7150">
        <w:rPr>
          <w:rFonts w:ascii="Times" w:hAnsi="Times"/>
          <w:i/>
          <w:szCs w:val="20"/>
          <w:lang w:eastAsia="zh-CN"/>
        </w:rPr>
        <w:t xml:space="preserve">(as per WA from RAN1#98), </w:t>
      </w:r>
      <w:r w:rsidRPr="00FA7150">
        <w:rPr>
          <w:rFonts w:ascii="Times" w:hAnsi="Times"/>
          <w:i/>
          <w:szCs w:val="20"/>
        </w:rPr>
        <w:t xml:space="preserve">Lookup table is (pre)configured. Details up to RAN2. </w:t>
      </w:r>
    </w:p>
    <w:p w14:paraId="25723CE1" w14:textId="77777777" w:rsidR="00FA7150" w:rsidRPr="00FA7150" w:rsidRDefault="00FA7150" w:rsidP="00FA7150">
      <w:pPr>
        <w:numPr>
          <w:ilvl w:val="0"/>
          <w:numId w:val="21"/>
        </w:numPr>
        <w:autoSpaceDE/>
        <w:autoSpaceDN/>
        <w:adjustRightInd/>
        <w:snapToGrid/>
        <w:spacing w:after="0" w:line="259" w:lineRule="auto"/>
        <w:jc w:val="left"/>
        <w:rPr>
          <w:rFonts w:ascii="Times" w:hAnsi="Times"/>
          <w:i/>
          <w:szCs w:val="20"/>
        </w:rPr>
      </w:pPr>
      <w:r w:rsidRPr="00FA7150">
        <w:rPr>
          <w:rFonts w:ascii="Times" w:hAnsi="Times"/>
          <w:i/>
          <w:szCs w:val="20"/>
        </w:rPr>
        <w:t>Up to 16 (as a working assumption) CBR ranges are supported</w:t>
      </w:r>
    </w:p>
    <w:p w14:paraId="2A96471A" w14:textId="77777777" w:rsidR="00FA7150" w:rsidRPr="00FA7150" w:rsidRDefault="00FA7150" w:rsidP="00FA7150">
      <w:pPr>
        <w:numPr>
          <w:ilvl w:val="1"/>
          <w:numId w:val="21"/>
        </w:numPr>
        <w:autoSpaceDE/>
        <w:autoSpaceDN/>
        <w:adjustRightInd/>
        <w:snapToGrid/>
        <w:spacing w:after="0" w:line="259" w:lineRule="auto"/>
        <w:jc w:val="left"/>
        <w:rPr>
          <w:rFonts w:ascii="Times" w:hAnsi="Times"/>
          <w:i/>
          <w:szCs w:val="20"/>
        </w:rPr>
      </w:pPr>
      <w:r w:rsidRPr="00FA7150">
        <w:rPr>
          <w:rFonts w:ascii="Times" w:hAnsi="Times"/>
          <w:i/>
          <w:szCs w:val="20"/>
        </w:rPr>
        <w:t>The working assumption will be automatically confirmed in RAN1#99 if no further input</w:t>
      </w:r>
    </w:p>
    <w:p w14:paraId="62326F3C" w14:textId="77777777" w:rsidR="00FA7150" w:rsidRPr="00FA7150" w:rsidRDefault="00FA7150" w:rsidP="00FA7150">
      <w:pPr>
        <w:autoSpaceDE/>
        <w:autoSpaceDN/>
        <w:jc w:val="left"/>
        <w:rPr>
          <w:rFonts w:ascii="Times" w:hAnsi="Times"/>
          <w:i/>
        </w:rPr>
      </w:pPr>
    </w:p>
    <w:p w14:paraId="57C6B2A9" w14:textId="77777777" w:rsidR="00FA7150" w:rsidRPr="00FA7150" w:rsidRDefault="00FA7150" w:rsidP="00FA7150">
      <w:pPr>
        <w:numPr>
          <w:ilvl w:val="0"/>
          <w:numId w:val="22"/>
        </w:numPr>
        <w:autoSpaceDE/>
        <w:autoSpaceDN/>
        <w:adjustRightInd/>
        <w:snapToGrid/>
        <w:spacing w:after="0"/>
        <w:jc w:val="left"/>
        <w:rPr>
          <w:rFonts w:ascii="Times" w:hAnsi="Times"/>
          <w:i/>
          <w:szCs w:val="20"/>
          <w:lang w:eastAsia="zh-CN"/>
        </w:rPr>
      </w:pPr>
      <w:r w:rsidRPr="00FA7150">
        <w:rPr>
          <w:rFonts w:ascii="Times" w:hAnsi="Times"/>
          <w:i/>
          <w:szCs w:val="20"/>
          <w:lang w:eastAsia="zh-CN"/>
        </w:rPr>
        <w:t>For the priority indication in 1</w:t>
      </w:r>
      <w:r w:rsidRPr="00FA7150">
        <w:rPr>
          <w:rFonts w:ascii="Times" w:hAnsi="Times"/>
          <w:i/>
          <w:szCs w:val="20"/>
          <w:vertAlign w:val="superscript"/>
          <w:lang w:eastAsia="zh-CN"/>
        </w:rPr>
        <w:t>st</w:t>
      </w:r>
      <w:r w:rsidRPr="00FA7150">
        <w:rPr>
          <w:rFonts w:ascii="Times" w:hAnsi="Times"/>
          <w:i/>
          <w:szCs w:val="20"/>
          <w:lang w:eastAsia="zh-CN"/>
        </w:rPr>
        <w:t xml:space="preserve"> stage SCI: </w:t>
      </w:r>
    </w:p>
    <w:p w14:paraId="7CC0DDD3" w14:textId="77777777" w:rsidR="00FA7150" w:rsidRPr="00FA7150" w:rsidRDefault="00FA7150" w:rsidP="00FA7150">
      <w:pPr>
        <w:numPr>
          <w:ilvl w:val="1"/>
          <w:numId w:val="22"/>
        </w:numPr>
        <w:autoSpaceDE/>
        <w:autoSpaceDN/>
        <w:adjustRightInd/>
        <w:snapToGrid/>
        <w:spacing w:after="0"/>
        <w:jc w:val="left"/>
        <w:rPr>
          <w:rFonts w:ascii="Times" w:hAnsi="Times"/>
          <w:i/>
          <w:szCs w:val="20"/>
          <w:lang w:eastAsia="zh-CN"/>
        </w:rPr>
      </w:pPr>
      <w:r w:rsidRPr="00FA7150">
        <w:rPr>
          <w:rFonts w:ascii="Times" w:hAnsi="Times"/>
          <w:i/>
          <w:szCs w:val="20"/>
          <w:lang w:eastAsia="zh-CN"/>
        </w:rPr>
        <w:t>Up to RAN2 on how to define the mapping between the priority indication and the corresponding QoS</w:t>
      </w:r>
    </w:p>
    <w:p w14:paraId="0E0ADF17" w14:textId="77777777" w:rsidR="00FA7150" w:rsidRPr="00FA7150" w:rsidRDefault="00FA7150" w:rsidP="00FA7150">
      <w:pPr>
        <w:numPr>
          <w:ilvl w:val="1"/>
          <w:numId w:val="22"/>
        </w:numPr>
        <w:autoSpaceDE/>
        <w:autoSpaceDN/>
        <w:adjustRightInd/>
        <w:snapToGrid/>
        <w:spacing w:after="0"/>
        <w:jc w:val="left"/>
        <w:rPr>
          <w:rFonts w:ascii="Times" w:hAnsi="Times"/>
          <w:i/>
          <w:szCs w:val="20"/>
          <w:lang w:eastAsia="zh-CN"/>
        </w:rPr>
      </w:pPr>
      <w:r w:rsidRPr="00FA7150">
        <w:rPr>
          <w:rFonts w:ascii="Times" w:hAnsi="Times"/>
          <w:i/>
          <w:szCs w:val="20"/>
          <w:lang w:eastAsia="zh-CN"/>
        </w:rPr>
        <w:t xml:space="preserve">Size is 3 bits </w:t>
      </w:r>
      <w:r w:rsidRPr="00FA7150">
        <w:rPr>
          <w:rFonts w:ascii="Times" w:hAnsi="Times"/>
          <w:i/>
          <w:szCs w:val="20"/>
        </w:rPr>
        <w:t>(as a working assumption)</w:t>
      </w:r>
    </w:p>
    <w:p w14:paraId="521D3D83" w14:textId="77777777" w:rsidR="00FA7150" w:rsidRPr="00FA7150" w:rsidRDefault="00FA7150" w:rsidP="00FA7150">
      <w:pPr>
        <w:autoSpaceDE/>
        <w:autoSpaceDN/>
        <w:jc w:val="left"/>
        <w:rPr>
          <w:rFonts w:ascii="Times" w:hAnsi="Times"/>
          <w:i/>
          <w:sz w:val="40"/>
          <w:szCs w:val="48"/>
          <w:lang w:eastAsia="zh-CN"/>
        </w:rPr>
      </w:pPr>
    </w:p>
    <w:p w14:paraId="59B406EF" w14:textId="77777777" w:rsidR="00FA7150" w:rsidRPr="00FA7150" w:rsidRDefault="00FA7150" w:rsidP="00FA7150">
      <w:pPr>
        <w:autoSpaceDE/>
        <w:autoSpaceDN/>
        <w:adjustRightInd/>
        <w:snapToGrid/>
        <w:spacing w:after="0"/>
        <w:jc w:val="left"/>
        <w:rPr>
          <w:rFonts w:ascii="Times" w:hAnsi="Times"/>
          <w:bCs/>
          <w:i/>
          <w:szCs w:val="20"/>
          <w:lang w:eastAsia="zh-CN"/>
        </w:rPr>
      </w:pPr>
      <w:r w:rsidRPr="00FA7150">
        <w:rPr>
          <w:rFonts w:ascii="Times" w:hAnsi="Times"/>
          <w:bCs/>
          <w:i/>
          <w:szCs w:val="20"/>
          <w:lang w:eastAsia="zh-CN"/>
        </w:rPr>
        <w:t>Sidelink RSSI (SL-RSSI) measurement is used for CBR estimation</w:t>
      </w:r>
    </w:p>
    <w:p w14:paraId="6A7AE7B9" w14:textId="77777777" w:rsidR="00FA7150" w:rsidRPr="00FA7150" w:rsidRDefault="00FA7150" w:rsidP="00FA7150">
      <w:pPr>
        <w:autoSpaceDE/>
        <w:autoSpaceDN/>
        <w:jc w:val="left"/>
        <w:rPr>
          <w:rFonts w:ascii="Times" w:hAnsi="Times"/>
          <w:i/>
        </w:rPr>
      </w:pPr>
    </w:p>
    <w:p w14:paraId="06E13FAE" w14:textId="77777777" w:rsidR="00FA7150" w:rsidRPr="00FA7150" w:rsidRDefault="00FA7150" w:rsidP="00FA7150">
      <w:pPr>
        <w:autoSpaceDE/>
        <w:autoSpaceDN/>
        <w:jc w:val="left"/>
        <w:rPr>
          <w:rFonts w:ascii="Times" w:hAnsi="Times"/>
          <w:bCs/>
          <w:i/>
          <w:szCs w:val="20"/>
          <w:lang w:val="en-GB" w:eastAsia="zh-CN"/>
        </w:rPr>
      </w:pPr>
      <w:r w:rsidRPr="00FA7150">
        <w:rPr>
          <w:rFonts w:ascii="Times" w:hAnsi="Times"/>
          <w:bCs/>
          <w:i/>
          <w:szCs w:val="20"/>
          <w:lang w:eastAsia="zh-CN"/>
        </w:rPr>
        <w:t xml:space="preserve">A sidelink resource is busy for the purpose of CBR measurement if </w:t>
      </w:r>
      <w:r w:rsidRPr="00FA7150">
        <w:rPr>
          <w:rFonts w:ascii="Times" w:hAnsi="Times"/>
          <w:bCs/>
          <w:i/>
          <w:szCs w:val="20"/>
          <w:lang w:val="en-GB" w:eastAsia="zh-CN"/>
        </w:rPr>
        <w:t>Sidelink RSSI measured by the UE in that resource exceeds a (pre-)configured threshold.</w:t>
      </w:r>
    </w:p>
    <w:p w14:paraId="08084AFA" w14:textId="77777777" w:rsidR="00FA7150" w:rsidRPr="007F5EC6" w:rsidRDefault="00FA7150" w:rsidP="00C02F76"/>
    <w:p w14:paraId="7EA95162" w14:textId="0191D49B" w:rsidR="00B87EC9" w:rsidRPr="007F5EC6" w:rsidRDefault="00FA7150" w:rsidP="007F5EC6">
      <w:r>
        <w:lastRenderedPageBreak/>
        <w:t>Some remaining details still need to be finalized, such as: the CBR measurement time window size</w:t>
      </w:r>
      <w:r w:rsidR="008F495C">
        <w:t xml:space="preserve"> </w:t>
      </w:r>
      <w:r w:rsidR="00582B6A">
        <w:t xml:space="preserve">and the final details of congestions control. These elements are discussed in this contribution. </w:t>
      </w:r>
    </w:p>
    <w:p w14:paraId="35954F20" w14:textId="52CAD2D5" w:rsidR="00816E9B" w:rsidRDefault="00582B6A" w:rsidP="00493C77">
      <w:pPr>
        <w:pStyle w:val="Heading1"/>
      </w:pPr>
      <w:r>
        <w:t>Discussion</w:t>
      </w:r>
    </w:p>
    <w:p w14:paraId="4A070ED8" w14:textId="2D787C88" w:rsidR="00582B6A" w:rsidRDefault="00582B6A" w:rsidP="00582B6A">
      <w:pPr>
        <w:pStyle w:val="Heading2"/>
      </w:pPr>
      <w:r>
        <w:t>CBR measurement time window</w:t>
      </w:r>
    </w:p>
    <w:p w14:paraId="024E3125" w14:textId="7D6008F8" w:rsidR="00582B6A" w:rsidRDefault="00582B6A" w:rsidP="00582B6A">
      <w:r>
        <w:t>This aspect was discussed at RAN1#98b. For LTE, CBR is computed using a 100ms/100 subframe</w:t>
      </w:r>
      <w:r w:rsidR="00CC4146">
        <w:t xml:space="preserve"> time window. RAN1 already agreed to use the LTE CBR definition as the baseline. However, the problem for NR is slightly more complex since different numerologies lead to different slot durations. Therefore, two options are possible:</w:t>
      </w:r>
    </w:p>
    <w:p w14:paraId="6844FFB6" w14:textId="6189423D" w:rsidR="00CC4146" w:rsidRDefault="00CC4146" w:rsidP="005465B4">
      <w:pPr>
        <w:pStyle w:val="bullet1"/>
      </w:pPr>
      <w:r>
        <w:t>Option 1: the CBR time window is 100ms</w:t>
      </w:r>
    </w:p>
    <w:p w14:paraId="69BF0B7A" w14:textId="6D4B4AB7" w:rsidR="00CC4146" w:rsidRDefault="00CC4146" w:rsidP="005465B4">
      <w:pPr>
        <w:pStyle w:val="bullet1"/>
      </w:pPr>
      <w:r>
        <w:t>Option 2: the CBR time window is 100 slots</w:t>
      </w:r>
    </w:p>
    <w:p w14:paraId="7C7E45D6" w14:textId="47FD6B74" w:rsidR="00CC4146" w:rsidRDefault="00CC4146" w:rsidP="00CC4146">
      <w:r>
        <w:t>The CBR should be computed independently of the numerology: two different numerologies should lead to essentially the same CBR. With SCSs varying from 15kHz to 120kHz, a 100-slot duration varies from 12.5ms to 100ms. 12.5ms can be shorter than periodicities of multiple traffic types of interest for V2X. Therefore, our preference is to use absolute timing for the computation of the CBR and to have a window duration of 100ms.</w:t>
      </w:r>
    </w:p>
    <w:p w14:paraId="6010185B" w14:textId="6A3D22C7" w:rsidR="00CC4146" w:rsidRPr="00CC4146" w:rsidRDefault="00CC4146" w:rsidP="00CC4146">
      <w:pPr>
        <w:rPr>
          <w:b/>
          <w:i/>
        </w:rPr>
      </w:pPr>
      <w:r w:rsidRPr="00CC4146">
        <w:rPr>
          <w:b/>
          <w:i/>
        </w:rPr>
        <w:t>Proposal 1: the CBR time window duration is 100ms</w:t>
      </w:r>
    </w:p>
    <w:p w14:paraId="050F9084" w14:textId="0E2F2C6F" w:rsidR="006F2005" w:rsidRDefault="006F2005" w:rsidP="00CC4146">
      <w:pPr>
        <w:pStyle w:val="Heading2"/>
      </w:pPr>
      <w:r>
        <w:t>SL-RSSI definition</w:t>
      </w:r>
    </w:p>
    <w:p w14:paraId="42C84C08" w14:textId="67536CF0" w:rsidR="006F2005" w:rsidRDefault="006F2005" w:rsidP="006F2005">
      <w:r>
        <w:t>A definition of SL-RSSI is needed. In our view, the SL-RSSI should be computed using the slot as the time basis and the subchannel as the frequency</w:t>
      </w:r>
      <w:r w:rsidR="00EA249A">
        <w:t xml:space="preserve"> basis</w:t>
      </w:r>
      <w:r>
        <w:t>, with the exclusion of:</w:t>
      </w:r>
    </w:p>
    <w:p w14:paraId="454280C1" w14:textId="1EAB7CA6" w:rsidR="006F2005" w:rsidRPr="004F54B1" w:rsidRDefault="006F2005" w:rsidP="00EA249A">
      <w:pPr>
        <w:pStyle w:val="bullet1"/>
        <w:rPr>
          <w:sz w:val="22"/>
          <w:szCs w:val="22"/>
        </w:rPr>
      </w:pPr>
      <w:r w:rsidRPr="004F54B1">
        <w:rPr>
          <w:sz w:val="22"/>
          <w:szCs w:val="22"/>
        </w:rPr>
        <w:t>PSFCH resources</w:t>
      </w:r>
    </w:p>
    <w:p w14:paraId="74EF555B" w14:textId="79E17AC1" w:rsidR="006F2005" w:rsidRPr="004F54B1" w:rsidRDefault="006F2005" w:rsidP="00EA249A">
      <w:pPr>
        <w:pStyle w:val="bullet1"/>
        <w:rPr>
          <w:sz w:val="22"/>
          <w:szCs w:val="22"/>
        </w:rPr>
      </w:pPr>
      <w:r w:rsidRPr="004F54B1">
        <w:rPr>
          <w:sz w:val="22"/>
          <w:szCs w:val="22"/>
        </w:rPr>
        <w:t>AGC symbol</w:t>
      </w:r>
    </w:p>
    <w:p w14:paraId="5A2F3D91" w14:textId="37B41267" w:rsidR="006F2005" w:rsidRPr="004F54B1" w:rsidRDefault="006F2005" w:rsidP="00EA249A">
      <w:pPr>
        <w:pStyle w:val="bullet1"/>
        <w:rPr>
          <w:sz w:val="22"/>
          <w:szCs w:val="22"/>
        </w:rPr>
      </w:pPr>
      <w:r w:rsidRPr="004F54B1">
        <w:rPr>
          <w:sz w:val="22"/>
          <w:szCs w:val="22"/>
        </w:rPr>
        <w:t xml:space="preserve">Any guard </w:t>
      </w:r>
      <w:r w:rsidR="00AA3430" w:rsidRPr="004F54B1">
        <w:rPr>
          <w:sz w:val="22"/>
          <w:szCs w:val="22"/>
        </w:rPr>
        <w:t>symbols</w:t>
      </w:r>
    </w:p>
    <w:p w14:paraId="233079CE" w14:textId="211F53C0" w:rsidR="006F2005" w:rsidRDefault="006F2005" w:rsidP="006F2005">
      <w:r>
        <w:t xml:space="preserve">In our view, this should be enough. However, if there is a </w:t>
      </w:r>
      <w:r w:rsidR="00EA249A">
        <w:t xml:space="preserve">need for it, a symbol SL-RSSI may be defined. </w:t>
      </w:r>
    </w:p>
    <w:p w14:paraId="49DCA28C" w14:textId="4C3FA1D7" w:rsidR="00EA249A" w:rsidRPr="00EA249A" w:rsidRDefault="00EA249A" w:rsidP="006F2005">
      <w:pPr>
        <w:rPr>
          <w:b/>
          <w:i/>
        </w:rPr>
      </w:pPr>
      <w:r w:rsidRPr="00EA249A">
        <w:rPr>
          <w:b/>
          <w:i/>
        </w:rPr>
        <w:t>Proposal 2: Sidelink Received Signal Strength Indicator (SL RSSI) is defined as the linear average of the total received power (in [W]) observed in the configured sub-channel in OFDM symbols of a slot configured for PSCCH and PSSCH starting from the 2nd OFDM symbol, excluding PSFCH resources and any guard symbol.</w:t>
      </w:r>
    </w:p>
    <w:p w14:paraId="466C0E39" w14:textId="0E02309C" w:rsidR="00CC4146" w:rsidRDefault="008F495C" w:rsidP="00CC4146">
      <w:pPr>
        <w:pStyle w:val="Heading2"/>
      </w:pPr>
      <w:r>
        <w:t>Final details of congestion control</w:t>
      </w:r>
    </w:p>
    <w:p w14:paraId="158C036B" w14:textId="0E9F4481" w:rsidR="008F495C" w:rsidRDefault="006F2005" w:rsidP="00D779A2">
      <w:r>
        <w:t>RAN1 has agreed on the principles of congestion control</w:t>
      </w:r>
      <w:r w:rsidR="00EA249A">
        <w:t xml:space="preserve">. Congestion control can restrict parameters based on conditions. However, it is no clear who restrict the parameters. At the very least, the transmitting UE should be determining if congestion control needs to be applied. However, the UEs within transmitting range needs to have a say as well: in a V2X system, the receiving UEs can be is a drastically different environment than the transmitting UE: for instance, the transmitting UE could be in an indoor parking lot, thus seeing an environment with relatively little interference, whereas the neighboring UEs could be in a busy street and experience drastically different condition. </w:t>
      </w:r>
      <w:r w:rsidR="00D779A2">
        <w:t>Thus, the congestion control restrictions need to be decided by neighboring UEs as well.</w:t>
      </w:r>
      <w:r w:rsidR="009B09B1">
        <w:t xml:space="preserve"> Note that this issue was discussed for LTE-V. However, it was difficult to achieve for LTE since there is no true unicast nor PC5 RRC scheduling for LTE-V.</w:t>
      </w:r>
    </w:p>
    <w:p w14:paraId="11ACDEA0" w14:textId="7172FB09" w:rsidR="00EA249A" w:rsidRDefault="00EA249A" w:rsidP="008F495C">
      <w:pPr>
        <w:rPr>
          <w:b/>
          <w:i/>
        </w:rPr>
      </w:pPr>
      <w:r w:rsidRPr="00EA249A">
        <w:rPr>
          <w:b/>
          <w:i/>
        </w:rPr>
        <w:t xml:space="preserve">Proposal 3: </w:t>
      </w:r>
      <w:r w:rsidR="00D779A2">
        <w:rPr>
          <w:b/>
          <w:i/>
        </w:rPr>
        <w:t>the congestion control restrictions can be determined by:</w:t>
      </w:r>
    </w:p>
    <w:p w14:paraId="63158F4A" w14:textId="662788B4" w:rsidR="00D779A2" w:rsidRPr="004F54B1" w:rsidRDefault="00D779A2" w:rsidP="00D779A2">
      <w:pPr>
        <w:pStyle w:val="bullet1"/>
        <w:rPr>
          <w:b/>
          <w:i/>
          <w:sz w:val="22"/>
          <w:szCs w:val="22"/>
        </w:rPr>
      </w:pPr>
      <w:r w:rsidRPr="004F54B1">
        <w:rPr>
          <w:b/>
          <w:i/>
          <w:sz w:val="22"/>
          <w:szCs w:val="22"/>
        </w:rPr>
        <w:t>The transmitting UE</w:t>
      </w:r>
    </w:p>
    <w:p w14:paraId="15B43C35" w14:textId="0D080ABC" w:rsidR="00D779A2" w:rsidRPr="004F54B1" w:rsidRDefault="00D779A2" w:rsidP="00D779A2">
      <w:pPr>
        <w:pStyle w:val="bullet1"/>
        <w:rPr>
          <w:b/>
          <w:i/>
          <w:sz w:val="22"/>
          <w:szCs w:val="22"/>
        </w:rPr>
      </w:pPr>
      <w:r w:rsidRPr="004F54B1">
        <w:rPr>
          <w:b/>
          <w:i/>
          <w:sz w:val="22"/>
          <w:szCs w:val="22"/>
        </w:rPr>
        <w:t>The UEs within range of the transmitting UE</w:t>
      </w:r>
    </w:p>
    <w:p w14:paraId="4BCBE05F" w14:textId="40053D7F" w:rsidR="00EA249A" w:rsidRDefault="008701FF" w:rsidP="008F495C">
      <w:r>
        <w:t xml:space="preserve">Having the UEs within range of the transmitting UE indicating to apply congestion control restrictions could be relatively complicated if all parameters (MCS range, etc.) are considered. In order to keep the solution simple, we suggest </w:t>
      </w:r>
      <w:r w:rsidR="00AA3430">
        <w:t>having</w:t>
      </w:r>
      <w:r>
        <w:t xml:space="preserve"> neighboring UEs only controlling the upper bound of TX power. </w:t>
      </w:r>
    </w:p>
    <w:p w14:paraId="2DEC2D49" w14:textId="262164AC" w:rsidR="008701FF" w:rsidRPr="008701FF" w:rsidRDefault="008701FF" w:rsidP="008F495C">
      <w:pPr>
        <w:rPr>
          <w:b/>
          <w:i/>
        </w:rPr>
      </w:pPr>
      <w:r w:rsidRPr="008701FF">
        <w:rPr>
          <w:b/>
          <w:i/>
        </w:rPr>
        <w:t xml:space="preserve">Proposal 4: the UEs within range of the transmitting UEs can only control the upper bound of TX power. </w:t>
      </w:r>
    </w:p>
    <w:p w14:paraId="0010BFCD" w14:textId="77777777" w:rsidR="00DB6ED8" w:rsidRPr="00D74B92" w:rsidRDefault="00DB6ED8" w:rsidP="007F5EC6">
      <w:bookmarkStart w:id="2" w:name="_Ref129681832"/>
    </w:p>
    <w:p w14:paraId="18B94AA5" w14:textId="4F262795" w:rsidR="00157FC3" w:rsidRPr="00493C77" w:rsidRDefault="00747F48" w:rsidP="00493C77">
      <w:pPr>
        <w:pStyle w:val="Heading1"/>
      </w:pPr>
      <w:r w:rsidRPr="00493C77">
        <w:t>Conclusion</w:t>
      </w:r>
      <w:r w:rsidR="006B1FD5" w:rsidRPr="00493C77">
        <w:t>s</w:t>
      </w:r>
    </w:p>
    <w:p w14:paraId="6FB581F4" w14:textId="489A5453" w:rsidR="0048464F" w:rsidRDefault="00D2708B" w:rsidP="00D2708B">
      <w:r>
        <w:t>Our views on QoS were given. We propose the following:</w:t>
      </w:r>
    </w:p>
    <w:p w14:paraId="3801214A" w14:textId="77777777" w:rsidR="00D2708B" w:rsidRPr="00CC4146" w:rsidRDefault="00D2708B" w:rsidP="00D2708B">
      <w:pPr>
        <w:rPr>
          <w:b/>
          <w:i/>
        </w:rPr>
      </w:pPr>
      <w:r w:rsidRPr="00CC4146">
        <w:rPr>
          <w:b/>
          <w:i/>
        </w:rPr>
        <w:t>Proposal 1: the CBR time window duration is 100ms</w:t>
      </w:r>
    </w:p>
    <w:p w14:paraId="1E66D54C" w14:textId="77777777" w:rsidR="00D2708B" w:rsidRPr="00EA249A" w:rsidRDefault="00D2708B" w:rsidP="00D2708B">
      <w:pPr>
        <w:rPr>
          <w:b/>
          <w:i/>
        </w:rPr>
      </w:pPr>
      <w:r w:rsidRPr="00EA249A">
        <w:rPr>
          <w:b/>
          <w:i/>
        </w:rPr>
        <w:t>Proposal 2: Sidelink Received Signal Strength Indicator (SL RSSI) is defined as the linear average of the total received power (in [W]) observed in the configured sub-channel in OFDM symbols of a slot configured for PSCCH and PSSCH starting from the 2nd OFDM symbol, excluding PSFCH resources and any guard symbol.</w:t>
      </w:r>
    </w:p>
    <w:p w14:paraId="6A118E09" w14:textId="77777777" w:rsidR="00D2708B" w:rsidRDefault="00D2708B" w:rsidP="00D2708B">
      <w:pPr>
        <w:rPr>
          <w:b/>
          <w:i/>
        </w:rPr>
      </w:pPr>
      <w:r w:rsidRPr="00EA249A">
        <w:rPr>
          <w:b/>
          <w:i/>
        </w:rPr>
        <w:t xml:space="preserve">Proposal 3: </w:t>
      </w:r>
      <w:r>
        <w:rPr>
          <w:b/>
          <w:i/>
        </w:rPr>
        <w:t>the congestion control restrictions can be determined by:</w:t>
      </w:r>
    </w:p>
    <w:p w14:paraId="3E82EFC6" w14:textId="77777777" w:rsidR="00D2708B" w:rsidRPr="004F54B1" w:rsidRDefault="00D2708B" w:rsidP="00D2708B">
      <w:pPr>
        <w:pStyle w:val="bullet1"/>
        <w:rPr>
          <w:b/>
          <w:i/>
          <w:sz w:val="22"/>
          <w:szCs w:val="22"/>
        </w:rPr>
      </w:pPr>
      <w:bookmarkStart w:id="3" w:name="_GoBack"/>
      <w:r w:rsidRPr="004F54B1">
        <w:rPr>
          <w:b/>
          <w:i/>
          <w:sz w:val="22"/>
          <w:szCs w:val="22"/>
        </w:rPr>
        <w:t>The transmitting UE</w:t>
      </w:r>
    </w:p>
    <w:p w14:paraId="4035461D" w14:textId="77777777" w:rsidR="00D2708B" w:rsidRPr="004F54B1" w:rsidRDefault="00D2708B" w:rsidP="00D2708B">
      <w:pPr>
        <w:pStyle w:val="bullet1"/>
        <w:rPr>
          <w:b/>
          <w:i/>
          <w:sz w:val="22"/>
          <w:szCs w:val="22"/>
        </w:rPr>
      </w:pPr>
      <w:r w:rsidRPr="004F54B1">
        <w:rPr>
          <w:b/>
          <w:i/>
          <w:sz w:val="22"/>
          <w:szCs w:val="22"/>
        </w:rPr>
        <w:t>The UEs within range of the transmitting UE</w:t>
      </w:r>
    </w:p>
    <w:bookmarkEnd w:id="3"/>
    <w:p w14:paraId="56CF8F70" w14:textId="77777777" w:rsidR="00D2708B" w:rsidRPr="008701FF" w:rsidRDefault="00D2708B" w:rsidP="00D2708B">
      <w:pPr>
        <w:rPr>
          <w:b/>
          <w:i/>
        </w:rPr>
      </w:pPr>
      <w:r w:rsidRPr="008701FF">
        <w:rPr>
          <w:b/>
          <w:i/>
        </w:rPr>
        <w:t xml:space="preserve">Proposal 4: the UEs within range of the transmitting UEs can only control the upper bound of TX power. </w:t>
      </w:r>
    </w:p>
    <w:p w14:paraId="367CF0F0" w14:textId="73BEB1C6" w:rsidR="00F62478" w:rsidRPr="007F5EC6" w:rsidRDefault="00FF2319" w:rsidP="00D2708B">
      <w:pPr>
        <w:pStyle w:val="References"/>
        <w:numPr>
          <w:ilvl w:val="0"/>
          <w:numId w:val="0"/>
        </w:numPr>
        <w:ind w:left="360" w:hanging="360"/>
      </w:pPr>
      <w:bookmarkStart w:id="4" w:name="_Ref167612875"/>
      <w:bookmarkStart w:id="5" w:name="_Ref167612671"/>
      <w:bookmarkStart w:id="6" w:name="_Ref6596326"/>
      <w:r w:rsidRPr="007F5EC6">
        <w:t xml:space="preserve"> </w:t>
      </w:r>
      <w:bookmarkEnd w:id="2"/>
      <w:bookmarkEnd w:id="4"/>
      <w:bookmarkEnd w:id="5"/>
      <w:bookmarkEnd w:id="6"/>
    </w:p>
    <w:sectPr w:rsidR="00F62478" w:rsidRPr="007F5EC6"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4B39D" w14:textId="77777777" w:rsidR="00F66622" w:rsidRDefault="00F66622">
      <w:r>
        <w:separator/>
      </w:r>
    </w:p>
  </w:endnote>
  <w:endnote w:type="continuationSeparator" w:id="0">
    <w:p w14:paraId="221D2512" w14:textId="77777777" w:rsidR="00F66622" w:rsidRDefault="00F66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873CD" w14:textId="77777777" w:rsidR="00F66622" w:rsidRDefault="00F66622">
      <w:r>
        <w:separator/>
      </w:r>
    </w:p>
  </w:footnote>
  <w:footnote w:type="continuationSeparator" w:id="0">
    <w:p w14:paraId="50F5483F" w14:textId="77777777" w:rsidR="00F66622" w:rsidRDefault="00F66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110F4"/>
    <w:multiLevelType w:val="hybridMultilevel"/>
    <w:tmpl w:val="7698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8964BB"/>
    <w:multiLevelType w:val="hybridMultilevel"/>
    <w:tmpl w:val="74240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5123A6"/>
    <w:multiLevelType w:val="hybridMultilevel"/>
    <w:tmpl w:val="7D4EA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C7716B"/>
    <w:multiLevelType w:val="hybridMultilevel"/>
    <w:tmpl w:val="C688C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B72B5"/>
    <w:multiLevelType w:val="hybridMultilevel"/>
    <w:tmpl w:val="A3208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727703C8"/>
    <w:multiLevelType w:val="hybridMultilevel"/>
    <w:tmpl w:val="6392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53E78"/>
    <w:multiLevelType w:val="hybridMultilevel"/>
    <w:tmpl w:val="90C8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18"/>
  </w:num>
  <w:num w:numId="4">
    <w:abstractNumId w:val="22"/>
  </w:num>
  <w:num w:numId="5">
    <w:abstractNumId w:val="7"/>
  </w:num>
  <w:num w:numId="6">
    <w:abstractNumId w:val="16"/>
  </w:num>
  <w:num w:numId="7">
    <w:abstractNumId w:val="9"/>
  </w:num>
  <w:num w:numId="8">
    <w:abstractNumId w:val="15"/>
  </w:num>
  <w:num w:numId="9">
    <w:abstractNumId w:val="20"/>
  </w:num>
  <w:num w:numId="10">
    <w:abstractNumId w:val="11"/>
  </w:num>
  <w:num w:numId="11">
    <w:abstractNumId w:val="12"/>
  </w:num>
  <w:num w:numId="12">
    <w:abstractNumId w:val="17"/>
  </w:num>
  <w:num w:numId="13">
    <w:abstractNumId w:val="1"/>
  </w:num>
  <w:num w:numId="14">
    <w:abstractNumId w:val="1"/>
  </w:num>
  <w:num w:numId="15">
    <w:abstractNumId w:val="4"/>
  </w:num>
  <w:num w:numId="16">
    <w:abstractNumId w:val="19"/>
  </w:num>
  <w:num w:numId="17">
    <w:abstractNumId w:val="13"/>
  </w:num>
  <w:num w:numId="18">
    <w:abstractNumId w:val="21"/>
  </w:num>
  <w:num w:numId="19">
    <w:abstractNumId w:val="14"/>
  </w:num>
  <w:num w:numId="20">
    <w:abstractNumId w:val="0"/>
  </w:num>
  <w:num w:numId="21">
    <w:abstractNumId w:val="10"/>
  </w:num>
  <w:num w:numId="22">
    <w:abstractNumId w:val="2"/>
  </w:num>
  <w:num w:numId="23">
    <w:abstractNumId w:val="3"/>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0C"/>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08A4"/>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0F9"/>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BE"/>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2A1E"/>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7E4"/>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2D3"/>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7F4"/>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046"/>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A31"/>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347"/>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DE0"/>
    <w:rsid w:val="00482BA7"/>
    <w:rsid w:val="00482BBE"/>
    <w:rsid w:val="00483A12"/>
    <w:rsid w:val="00483BBB"/>
    <w:rsid w:val="00483C32"/>
    <w:rsid w:val="0048464F"/>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29"/>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B1"/>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514"/>
    <w:rsid w:val="00533737"/>
    <w:rsid w:val="00533D90"/>
    <w:rsid w:val="00535079"/>
    <w:rsid w:val="00535B79"/>
    <w:rsid w:val="00535D7C"/>
    <w:rsid w:val="00536579"/>
    <w:rsid w:val="00536C1E"/>
    <w:rsid w:val="00536DCF"/>
    <w:rsid w:val="005370EF"/>
    <w:rsid w:val="00537348"/>
    <w:rsid w:val="005373F0"/>
    <w:rsid w:val="0054023E"/>
    <w:rsid w:val="0054046C"/>
    <w:rsid w:val="005411F6"/>
    <w:rsid w:val="00541B25"/>
    <w:rsid w:val="0054343A"/>
    <w:rsid w:val="005437F3"/>
    <w:rsid w:val="00543974"/>
    <w:rsid w:val="00543EBF"/>
    <w:rsid w:val="00544ABA"/>
    <w:rsid w:val="0054593A"/>
    <w:rsid w:val="0054622F"/>
    <w:rsid w:val="005465B4"/>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B6A"/>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266"/>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38D0"/>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0C2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005"/>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EB2"/>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3DA4"/>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A35"/>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1FF"/>
    <w:rsid w:val="008707F7"/>
    <w:rsid w:val="008712FD"/>
    <w:rsid w:val="008716A1"/>
    <w:rsid w:val="00872AA7"/>
    <w:rsid w:val="00872D3F"/>
    <w:rsid w:val="008733AA"/>
    <w:rsid w:val="008733E4"/>
    <w:rsid w:val="00873F15"/>
    <w:rsid w:val="00874096"/>
    <w:rsid w:val="008756A4"/>
    <w:rsid w:val="00875793"/>
    <w:rsid w:val="00875F73"/>
    <w:rsid w:val="00876501"/>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1F65"/>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064"/>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34C"/>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F0A38"/>
    <w:rsid w:val="008F0F84"/>
    <w:rsid w:val="008F1014"/>
    <w:rsid w:val="008F11C9"/>
    <w:rsid w:val="008F14BD"/>
    <w:rsid w:val="008F23D8"/>
    <w:rsid w:val="008F2FD5"/>
    <w:rsid w:val="008F31F2"/>
    <w:rsid w:val="008F37E5"/>
    <w:rsid w:val="008F48C2"/>
    <w:rsid w:val="008F495C"/>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511"/>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2D0C"/>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09B1"/>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141"/>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698"/>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430"/>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0901"/>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371"/>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5DAF"/>
    <w:rsid w:val="00CB787A"/>
    <w:rsid w:val="00CC0C4A"/>
    <w:rsid w:val="00CC12E2"/>
    <w:rsid w:val="00CC17F0"/>
    <w:rsid w:val="00CC1853"/>
    <w:rsid w:val="00CC1D13"/>
    <w:rsid w:val="00CC1FAE"/>
    <w:rsid w:val="00CC3A23"/>
    <w:rsid w:val="00CC3BD5"/>
    <w:rsid w:val="00CC3CD6"/>
    <w:rsid w:val="00CC414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08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779A2"/>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AC7"/>
    <w:rsid w:val="00E17CAC"/>
    <w:rsid w:val="00E20AD3"/>
    <w:rsid w:val="00E20F79"/>
    <w:rsid w:val="00E21278"/>
    <w:rsid w:val="00E2150A"/>
    <w:rsid w:val="00E22CCD"/>
    <w:rsid w:val="00E23296"/>
    <w:rsid w:val="00E239FC"/>
    <w:rsid w:val="00E23A11"/>
    <w:rsid w:val="00E23FB7"/>
    <w:rsid w:val="00E24A27"/>
    <w:rsid w:val="00E24B5C"/>
    <w:rsid w:val="00E25F0D"/>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49A"/>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22"/>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50"/>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5B8A"/>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29392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194E6-F8FB-4008-A62D-5A68B31A6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CBR measurement time window</vt:lpstr>
      <vt:lpstr>    SL-RSSI definition</vt:lpstr>
      <vt:lpstr>    Final details of congestion control</vt:lpstr>
      <vt:lpstr>Conclusions</vt:lpstr>
    </vt:vector>
  </TitlesOfParts>
  <Company>Futurewei</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3</cp:revision>
  <cp:lastPrinted>2007-06-18T22:08:00Z</cp:lastPrinted>
  <dcterms:created xsi:type="dcterms:W3CDTF">2019-11-07T15:47:00Z</dcterms:created>
  <dcterms:modified xsi:type="dcterms:W3CDTF">2019-11-08T14:45:00Z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(3)mBbFjfq6+0umT3rroMIb6R/gSJTC7/Qyc+n/GNk1GLyi1q8RTznzKGRSkNIjD9nh1FB8N0EW
4RQ0g1OtunZM7/aritVxdu3mKdRc/sHnBTE9V6sbwYLQu5Q94Cep5LXEa48jgaOb9TBRyDuA
o48rAAhPpsCzDi8HxRCAousbZ/b25mq4Cf2OxP2cgIFt/VtQnUDXYu/rNJ5YpQZesYydMI2j
ekk+MgK+3XjdyoZP+A</vt:lpwstr>
  </property>
  <property fmtid="{D5CDD505-2E9C-101B-9397-08002B2CF9AE}" pid="13" name="_2015_ms_pID_725343_00">
    <vt:lpwstr>_2015_ms_pID_725343</vt:lpwstr>
  </property>
  <property fmtid="{D5CDD505-2E9C-101B-9397-08002B2CF9AE}" pid="14" name="_2015_ms_pID_7253431">
    <vt:lpwstr>WuH8jD6ajxSBcn/OG5WxOI7XcpKGNy6ldkCAhsT9gG9pqSHxsA2YN/
0bAHjJMrsicpV9IU1OJVmvY8cw4V7x2vv+//DCd5Pf868f88URZCw5ysHRHTmoFUxdh14lF8
fV4H7s0px6lLxCXE2pccGiXQzDQmAWgIRqp5geuTDA0u/rfw9KCgg4k8/o2QGSfuFuI67kVQ
hYSoGZHH1yfrsSCj6IsMkE3oh3wPerC4Bjft</vt:lpwstr>
  </property>
  <property fmtid="{D5CDD505-2E9C-101B-9397-08002B2CF9AE}" pid="15" name="_2015_ms_pID_7253431_00">
    <vt:lpwstr>_2015_ms_pID_7253431</vt:lpwstr>
  </property>
  <property fmtid="{D5CDD505-2E9C-101B-9397-08002B2CF9AE}" pid="16" name="_2015_ms_pID_7253432">
    <vt:lpwstr>axnn/CeCoEVQdiH8dUfnvcvhbqbmr+0Mtcg7
zNV6YivKCoWWJVMVaQf4YfV99SFmflhZrOcDXnsFmHguSTvrKUU=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