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2A1E2C3" w:rsidR="00E90E49" w:rsidRPr="00CE0424" w:rsidRDefault="00AE2834" w:rsidP="00E35559">
      <w:pPr>
        <w:pStyle w:val="3GPPHeader"/>
        <w:spacing w:after="60"/>
        <w:rPr>
          <w:sz w:val="32"/>
          <w:szCs w:val="32"/>
          <w:highlight w:val="yellow"/>
        </w:rPr>
      </w:pPr>
      <w:r w:rsidRPr="000A1D33">
        <w:rPr>
          <w:lang w:val="en-US"/>
        </w:rPr>
        <w:t>3GPP TSG-RAN WG1 Meeting #</w:t>
      </w:r>
      <w:r w:rsidR="0013558E">
        <w:rPr>
          <w:lang w:val="en-US"/>
        </w:rPr>
        <w:t>9</w:t>
      </w:r>
      <w:r w:rsidR="00E90C5B">
        <w:rPr>
          <w:lang w:val="en-US"/>
        </w:rPr>
        <w:t>8</w:t>
      </w:r>
      <w:r w:rsidR="009321B5">
        <w:rPr>
          <w:lang w:val="en-US"/>
        </w:rPr>
        <w:t>bis</w:t>
      </w:r>
      <w:r w:rsidR="00E90E49" w:rsidRPr="00CE0424">
        <w:tab/>
      </w:r>
      <w:r w:rsidR="00CC23E1" w:rsidRPr="00CC23E1">
        <w:rPr>
          <w:sz w:val="32"/>
          <w:szCs w:val="32"/>
        </w:rPr>
        <w:t>R1-1910902</w:t>
      </w:r>
    </w:p>
    <w:p w14:paraId="51C3CE46" w14:textId="5D7B6D54" w:rsidR="00E90E49" w:rsidRPr="00CE0424" w:rsidRDefault="009321B5" w:rsidP="00311702">
      <w:pPr>
        <w:pStyle w:val="3GPPHeader"/>
      </w:pPr>
      <w:r>
        <w:rPr>
          <w:lang w:val="en-US"/>
        </w:rPr>
        <w:t>Chongqing</w:t>
      </w:r>
      <w:r w:rsidR="00E44CDE" w:rsidRPr="00F471F1">
        <w:rPr>
          <w:lang w:val="en-US"/>
        </w:rPr>
        <w:t>, C</w:t>
      </w:r>
      <w:r>
        <w:rPr>
          <w:lang w:val="en-US"/>
        </w:rPr>
        <w:t>hina</w:t>
      </w:r>
      <w:r w:rsidR="00E44CDE" w:rsidRPr="00F471F1">
        <w:rPr>
          <w:lang w:val="en-US"/>
        </w:rPr>
        <w:t xml:space="preserve">, </w:t>
      </w:r>
      <w:r>
        <w:rPr>
          <w:lang w:val="en-US"/>
        </w:rPr>
        <w:t>October</w:t>
      </w:r>
      <w:r w:rsidR="00E44CDE" w:rsidRPr="00F471F1">
        <w:rPr>
          <w:lang w:val="en-US"/>
        </w:rPr>
        <w:t xml:space="preserve"> </w:t>
      </w:r>
      <w:r>
        <w:rPr>
          <w:lang w:val="en-US"/>
        </w:rPr>
        <w:t>14</w:t>
      </w:r>
      <w:r w:rsidR="00E44CDE" w:rsidRPr="00F471F1">
        <w:rPr>
          <w:vertAlign w:val="superscript"/>
          <w:lang w:val="en-US"/>
        </w:rPr>
        <w:t>th</w:t>
      </w:r>
      <w:r w:rsidR="00E44CDE" w:rsidRPr="00F471F1">
        <w:rPr>
          <w:lang w:val="en-US"/>
        </w:rPr>
        <w:t xml:space="preserve"> – </w:t>
      </w:r>
      <w:r w:rsidR="00472A8F">
        <w:rPr>
          <w:lang w:val="en-US"/>
        </w:rPr>
        <w:t>20</w:t>
      </w:r>
      <w:bookmarkStart w:id="0" w:name="_GoBack"/>
      <w:bookmarkEnd w:id="0"/>
      <w:r w:rsidR="00E44CDE" w:rsidRPr="00F471F1">
        <w:rPr>
          <w:vertAlign w:val="superscript"/>
          <w:lang w:val="en-US"/>
        </w:rPr>
        <w:t>th</w:t>
      </w:r>
      <w:r w:rsidR="00E44CDE" w:rsidRPr="00F471F1">
        <w:rPr>
          <w:lang w:val="en-US"/>
        </w:rPr>
        <w:t>, 2019</w:t>
      </w:r>
    </w:p>
    <w:p w14:paraId="5FCD4219" w14:textId="77777777" w:rsidR="00E90E49" w:rsidRPr="00CE0424" w:rsidRDefault="00E90E49" w:rsidP="00357380">
      <w:pPr>
        <w:pStyle w:val="3GPPHeader"/>
      </w:pPr>
    </w:p>
    <w:p w14:paraId="606D9DC9" w14:textId="359E5297" w:rsidR="00E90E49" w:rsidRPr="00B97AB9" w:rsidRDefault="00E90E49" w:rsidP="00311702">
      <w:pPr>
        <w:pStyle w:val="3GPPHeader"/>
        <w:rPr>
          <w:sz w:val="22"/>
          <w:szCs w:val="22"/>
          <w:lang w:val="en-US"/>
        </w:rPr>
      </w:pPr>
      <w:r w:rsidRPr="00B97AB9">
        <w:rPr>
          <w:sz w:val="22"/>
          <w:szCs w:val="22"/>
          <w:lang w:val="en-US"/>
        </w:rPr>
        <w:t>Agenda Item:</w:t>
      </w:r>
      <w:r w:rsidRPr="00B97AB9">
        <w:rPr>
          <w:sz w:val="22"/>
          <w:szCs w:val="22"/>
          <w:lang w:val="en-US"/>
        </w:rPr>
        <w:tab/>
      </w:r>
      <w:r w:rsidR="0013558E" w:rsidRPr="00B97AB9">
        <w:rPr>
          <w:sz w:val="22"/>
          <w:szCs w:val="22"/>
          <w:lang w:val="en-US"/>
        </w:rPr>
        <w:t>7.2.3.</w:t>
      </w:r>
      <w:r w:rsidR="00E55129">
        <w:rPr>
          <w:sz w:val="22"/>
          <w:szCs w:val="22"/>
          <w:lang w:val="en-US"/>
        </w:rPr>
        <w:t>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4F66A72"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897EE5">
        <w:rPr>
          <w:sz w:val="22"/>
          <w:szCs w:val="22"/>
        </w:rPr>
        <w:t>IAB resource configuration and multiplexing</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10C94E4A" w:rsidR="000A4D8A" w:rsidRPr="003F5094" w:rsidRDefault="00DE2203" w:rsidP="000A4D8A">
      <w:pPr>
        <w:pStyle w:val="BodyText"/>
        <w:rPr>
          <w:rFonts w:cs="Arial"/>
        </w:rPr>
      </w:pPr>
      <w:r w:rsidRPr="005B4CA0">
        <w:rPr>
          <w:rFonts w:cs="Arial"/>
          <w:lang w:val="en-US"/>
        </w:rPr>
        <w:t>In RAN1#9</w:t>
      </w:r>
      <w:r w:rsidR="008E6E53">
        <w:rPr>
          <w:rFonts w:cs="Arial"/>
          <w:lang w:val="en-US"/>
        </w:rPr>
        <w:t>8</w:t>
      </w:r>
      <w:r w:rsidRPr="005B4CA0">
        <w:rPr>
          <w:rFonts w:cs="Arial"/>
          <w:lang w:val="en-US"/>
        </w:rPr>
        <w:t xml:space="preserve">, the following agreements on IAB resource multiplexing were reached </w:t>
      </w:r>
      <w:r w:rsidR="000A4D8A">
        <w:rPr>
          <w:rFonts w:cs="Arial"/>
        </w:rPr>
        <w:fldChar w:fldCharType="begin"/>
      </w:r>
      <w:r w:rsidR="000A4D8A">
        <w:rPr>
          <w:rFonts w:cs="Arial"/>
        </w:rPr>
        <w:instrText xml:space="preserve"> REF _Ref476919366 \r \h </w:instrText>
      </w:r>
      <w:r w:rsidR="000A4D8A">
        <w:rPr>
          <w:rFonts w:cs="Arial"/>
        </w:rPr>
      </w:r>
      <w:r w:rsidR="000A4D8A">
        <w:rPr>
          <w:rFonts w:cs="Arial"/>
        </w:rPr>
        <w:fldChar w:fldCharType="separate"/>
      </w:r>
      <w:r w:rsidR="008A6540">
        <w:rPr>
          <w:rFonts w:cs="Arial"/>
        </w:rPr>
        <w:t>[1]</w:t>
      </w:r>
      <w:r w:rsidR="000A4D8A">
        <w:rPr>
          <w:rFonts w:cs="Arial"/>
        </w:rPr>
        <w:fldChar w:fldCharType="end"/>
      </w:r>
      <w:r w:rsidR="000A4D8A">
        <w:rPr>
          <w:rFonts w:cs="Arial"/>
        </w:rPr>
        <w:t xml:space="preserve"> </w:t>
      </w:r>
      <w:r w:rsidR="000A4D8A" w:rsidRPr="003F5094">
        <w:rPr>
          <w:rFonts w:cs="Arial"/>
        </w:rPr>
        <w:t>:</w:t>
      </w:r>
    </w:p>
    <w:tbl>
      <w:tblPr>
        <w:tblStyle w:val="TableGrid"/>
        <w:tblW w:w="0" w:type="auto"/>
        <w:tblLook w:val="04A0" w:firstRow="1" w:lastRow="0" w:firstColumn="1" w:lastColumn="0" w:noHBand="0" w:noVBand="1"/>
      </w:tblPr>
      <w:tblGrid>
        <w:gridCol w:w="9629"/>
      </w:tblGrid>
      <w:tr w:rsidR="00793E8A" w14:paraId="7E665F98" w14:textId="77777777" w:rsidTr="00793E8A">
        <w:tc>
          <w:tcPr>
            <w:tcW w:w="9629" w:type="dxa"/>
          </w:tcPr>
          <w:p w14:paraId="50140F75" w14:textId="77777777" w:rsidR="002771E6" w:rsidRPr="001D4FD5" w:rsidRDefault="002771E6" w:rsidP="002771E6">
            <w:pPr>
              <w:ind w:left="1440" w:hanging="1440"/>
              <w:rPr>
                <w:lang w:eastAsia="x-none"/>
              </w:rPr>
            </w:pPr>
            <w:r w:rsidRPr="002771E6">
              <w:rPr>
                <w:b/>
                <w:highlight w:val="green"/>
                <w:u w:val="single"/>
                <w:lang w:eastAsia="x-none"/>
              </w:rPr>
              <w:t>Agreements</w:t>
            </w:r>
            <w:r w:rsidRPr="001D4FD5">
              <w:rPr>
                <w:lang w:eastAsia="x-none"/>
              </w:rPr>
              <w:t>:</w:t>
            </w:r>
          </w:p>
          <w:p w14:paraId="59205004" w14:textId="51F2EFD6" w:rsidR="002771E6" w:rsidRDefault="002771E6" w:rsidP="00E07402">
            <w:pPr>
              <w:numPr>
                <w:ilvl w:val="0"/>
                <w:numId w:val="39"/>
              </w:numPr>
              <w:overflowPunct/>
              <w:autoSpaceDE/>
              <w:autoSpaceDN/>
              <w:adjustRightInd/>
              <w:spacing w:after="240"/>
              <w:jc w:val="left"/>
              <w:textAlignment w:val="auto"/>
            </w:pPr>
            <w:r w:rsidRPr="001D4FD5">
              <w:t xml:space="preserve">In Rel-16 for IAB backhaul, only existing slot pattern durations are supported. </w:t>
            </w:r>
          </w:p>
          <w:p w14:paraId="47AA9739" w14:textId="77777777" w:rsidR="002771E6" w:rsidRPr="001D4FD5" w:rsidRDefault="002771E6" w:rsidP="002771E6">
            <w:pPr>
              <w:ind w:left="1440" w:hanging="1440"/>
              <w:rPr>
                <w:lang w:eastAsia="x-none"/>
              </w:rPr>
            </w:pPr>
            <w:r w:rsidRPr="002771E6">
              <w:rPr>
                <w:b/>
                <w:highlight w:val="green"/>
                <w:u w:val="single"/>
                <w:lang w:eastAsia="x-none"/>
              </w:rPr>
              <w:t>Agreements</w:t>
            </w:r>
            <w:r w:rsidRPr="001D4FD5">
              <w:rPr>
                <w:lang w:eastAsia="x-none"/>
              </w:rPr>
              <w:t>:</w:t>
            </w:r>
          </w:p>
          <w:p w14:paraId="76784384" w14:textId="77777777" w:rsidR="002771E6" w:rsidRPr="001D4FD5" w:rsidRDefault="002771E6" w:rsidP="002771E6">
            <w:r w:rsidRPr="001D4FD5">
              <w:t>Slot formats with the sequence order UL-Flexible-DL are supported for IAB-node DU resource configurations (F1-AP) and IAB-node MT resource configurations provided in dedicated RRC signaling (e.g. enhancements to the existing TDD-UL-DL-SlotConfig in TDD-UL-DL-ConfigDedicated – details up to RAN2).</w:t>
            </w:r>
          </w:p>
          <w:p w14:paraId="7EC308AC" w14:textId="77777777" w:rsidR="002771E6" w:rsidRPr="001D4FD5" w:rsidRDefault="002771E6" w:rsidP="00E07402">
            <w:pPr>
              <w:pStyle w:val="ListParagraph"/>
              <w:numPr>
                <w:ilvl w:val="0"/>
                <w:numId w:val="19"/>
              </w:numPr>
              <w:overflowPunct/>
              <w:autoSpaceDE/>
              <w:autoSpaceDN/>
              <w:adjustRightInd/>
              <w:spacing w:before="60" w:after="240"/>
              <w:textAlignment w:val="auto"/>
            </w:pPr>
            <w:r w:rsidRPr="001D4FD5">
              <w:t>FFS: Support of dynamic indication of UL-Flexible-DL</w:t>
            </w:r>
          </w:p>
          <w:p w14:paraId="1B30BA14" w14:textId="77777777" w:rsidR="002771E6" w:rsidRPr="001D4FD5" w:rsidRDefault="002771E6" w:rsidP="002771E6">
            <w:pPr>
              <w:ind w:left="1440" w:hanging="1440"/>
              <w:rPr>
                <w:lang w:eastAsia="x-none"/>
              </w:rPr>
            </w:pPr>
            <w:r w:rsidRPr="002771E6">
              <w:rPr>
                <w:b/>
                <w:highlight w:val="green"/>
                <w:u w:val="single"/>
                <w:lang w:eastAsia="x-none"/>
              </w:rPr>
              <w:t>Agreements</w:t>
            </w:r>
            <w:r w:rsidRPr="001D4FD5">
              <w:rPr>
                <w:lang w:eastAsia="x-none"/>
              </w:rPr>
              <w:t>:</w:t>
            </w:r>
          </w:p>
          <w:p w14:paraId="375F5407" w14:textId="77777777" w:rsidR="002771E6" w:rsidRPr="001D4FD5" w:rsidRDefault="002771E6" w:rsidP="002771E6">
            <w:r w:rsidRPr="001D4FD5">
              <w:t xml:space="preserve">The H/S/NA attributes for the per-cell DU resource configuration should </w:t>
            </w:r>
            <w:proofErr w:type="gramStart"/>
            <w:r w:rsidRPr="001D4FD5">
              <w:t>take into account</w:t>
            </w:r>
            <w:proofErr w:type="gramEnd"/>
            <w:r w:rsidRPr="001D4FD5">
              <w:t xml:space="preserve"> the associated MT carrier frequency(ies).</w:t>
            </w:r>
          </w:p>
          <w:p w14:paraId="05402DC1" w14:textId="070913B2" w:rsidR="002771E6" w:rsidRPr="00E07402" w:rsidRDefault="002771E6" w:rsidP="00E07402">
            <w:pPr>
              <w:numPr>
                <w:ilvl w:val="0"/>
                <w:numId w:val="19"/>
              </w:numPr>
              <w:overflowPunct/>
              <w:autoSpaceDE/>
              <w:autoSpaceDN/>
              <w:adjustRightInd/>
              <w:spacing w:after="240"/>
              <w:jc w:val="left"/>
              <w:textAlignment w:val="auto"/>
            </w:pPr>
            <w:r w:rsidRPr="001D4FD5">
              <w:t>Note: RAN1 assumes that this is mainly needed for intra-band cases</w:t>
            </w:r>
            <w:r w:rsidR="00E07402">
              <w:t>.</w:t>
            </w:r>
          </w:p>
          <w:p w14:paraId="0A27ECAE" w14:textId="77777777" w:rsidR="002771E6" w:rsidRPr="008A6A9C" w:rsidRDefault="002771E6" w:rsidP="002771E6">
            <w:pPr>
              <w:ind w:left="1440" w:hanging="1440"/>
              <w:rPr>
                <w:lang w:val="en-US" w:eastAsia="x-none"/>
              </w:rPr>
            </w:pPr>
            <w:r w:rsidRPr="002771E6">
              <w:rPr>
                <w:b/>
                <w:highlight w:val="green"/>
                <w:u w:val="single"/>
                <w:lang w:val="en-US" w:eastAsia="x-none"/>
              </w:rPr>
              <w:t>Agreements</w:t>
            </w:r>
            <w:r w:rsidRPr="008A6A9C">
              <w:rPr>
                <w:lang w:val="en-US" w:eastAsia="x-none"/>
              </w:rPr>
              <w:t>:</w:t>
            </w:r>
          </w:p>
          <w:p w14:paraId="38AF7F17" w14:textId="77777777" w:rsidR="002771E6" w:rsidRPr="008A6A9C" w:rsidRDefault="002771E6" w:rsidP="002771E6">
            <w:r w:rsidRPr="008A6A9C">
              <w:t>To handle potential misalignment in time of the configured DU and MT resources when determining the validity of H/S/NA at the DU, the following is supported:</w:t>
            </w:r>
          </w:p>
          <w:p w14:paraId="3FAB71D1" w14:textId="79873084" w:rsidR="002771E6" w:rsidRPr="008A6A9C" w:rsidRDefault="002771E6" w:rsidP="002771E6">
            <w:pPr>
              <w:pStyle w:val="ListParagraph"/>
              <w:numPr>
                <w:ilvl w:val="0"/>
                <w:numId w:val="41"/>
              </w:numPr>
              <w:overflowPunct/>
              <w:autoSpaceDE/>
              <w:autoSpaceDN/>
              <w:adjustRightInd/>
              <w:spacing w:before="60"/>
              <w:textAlignment w:val="auto"/>
            </w:pPr>
            <w:r w:rsidRPr="008A6A9C">
              <w:t>H/S/NA is applied/determined relative to the DU resource configuration (D/U/F) slot timing without considering the MT resource configuration or timing</w:t>
            </w:r>
            <w:r w:rsidR="0061469F">
              <w:t>.</w:t>
            </w:r>
            <w:r w:rsidRPr="008A6A9C">
              <w:t xml:space="preserve"> </w:t>
            </w:r>
          </w:p>
          <w:p w14:paraId="2F3A3E50" w14:textId="5C03C8E6" w:rsidR="002771E6" w:rsidRPr="008A6A9C" w:rsidRDefault="002771E6" w:rsidP="002771E6">
            <w:pPr>
              <w:pStyle w:val="ListParagraph"/>
              <w:numPr>
                <w:ilvl w:val="0"/>
                <w:numId w:val="42"/>
              </w:numPr>
              <w:overflowPunct/>
              <w:autoSpaceDE/>
              <w:autoSpaceDN/>
              <w:adjustRightInd/>
              <w:spacing w:before="60"/>
              <w:textAlignment w:val="auto"/>
            </w:pPr>
            <w:r w:rsidRPr="008A6A9C">
              <w:t>The parent DU should know the information about the misalignment between the MT and DU DL Tx/Rx / UL Tx/Rx timing(s) in order to avoid resource type conflicts</w:t>
            </w:r>
            <w:r w:rsidR="00E07402">
              <w:t>.</w:t>
            </w:r>
          </w:p>
          <w:p w14:paraId="68753F4D" w14:textId="38C0EAFD" w:rsidR="002771E6" w:rsidRPr="008A6A9C" w:rsidRDefault="002771E6" w:rsidP="002771E6">
            <w:pPr>
              <w:pStyle w:val="ListParagraph"/>
              <w:numPr>
                <w:ilvl w:val="1"/>
                <w:numId w:val="42"/>
              </w:numPr>
              <w:overflowPunct/>
              <w:autoSpaceDE/>
              <w:autoSpaceDN/>
              <w:adjustRightInd/>
              <w:spacing w:before="60"/>
              <w:textAlignment w:val="auto"/>
            </w:pPr>
            <w:r w:rsidRPr="008A6A9C">
              <w:t>FFS whether any explicit signalling is necessary or not</w:t>
            </w:r>
            <w:r w:rsidR="00E07402">
              <w:t>.</w:t>
            </w:r>
          </w:p>
          <w:p w14:paraId="750A6EAC" w14:textId="02455455" w:rsidR="002771E6" w:rsidRPr="008A6A9C" w:rsidRDefault="002771E6" w:rsidP="00E07402">
            <w:pPr>
              <w:pStyle w:val="ListParagraph"/>
              <w:numPr>
                <w:ilvl w:val="0"/>
                <w:numId w:val="42"/>
              </w:numPr>
              <w:overflowPunct/>
              <w:autoSpaceDE/>
              <w:autoSpaceDN/>
              <w:adjustRightInd/>
              <w:spacing w:before="60" w:after="240"/>
              <w:textAlignment w:val="auto"/>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r w:rsidR="00E07402">
              <w:t>.</w:t>
            </w:r>
          </w:p>
          <w:p w14:paraId="2C44A66F" w14:textId="77777777" w:rsidR="002771E6" w:rsidRPr="008A6A9C" w:rsidRDefault="002771E6" w:rsidP="002771E6">
            <w:pPr>
              <w:ind w:left="1440" w:hanging="1440"/>
              <w:rPr>
                <w:lang w:eastAsia="x-none"/>
              </w:rPr>
            </w:pPr>
            <w:r w:rsidRPr="002771E6">
              <w:rPr>
                <w:b/>
                <w:highlight w:val="green"/>
                <w:u w:val="single"/>
                <w:lang w:eastAsia="x-none"/>
              </w:rPr>
              <w:t>Agreements</w:t>
            </w:r>
            <w:r w:rsidRPr="008A6A9C">
              <w:rPr>
                <w:lang w:eastAsia="x-none"/>
              </w:rPr>
              <w:t>:</w:t>
            </w:r>
          </w:p>
          <w:p w14:paraId="60B1C42B" w14:textId="77777777" w:rsidR="002771E6" w:rsidRPr="008A6A9C" w:rsidRDefault="002771E6" w:rsidP="002771E6">
            <w:pPr>
              <w:rPr>
                <w:rFonts w:eastAsia="Calibri"/>
              </w:rPr>
            </w:pPr>
            <w:r w:rsidRPr="008A6A9C">
              <w:rPr>
                <w:rFonts w:eastAsia="Calibri"/>
              </w:rPr>
              <w:t>For the explicit indication of DU-IA:</w:t>
            </w:r>
          </w:p>
          <w:p w14:paraId="1EBF8947" w14:textId="77777777" w:rsidR="002771E6" w:rsidRPr="008A6A9C" w:rsidRDefault="002771E6" w:rsidP="002771E6">
            <w:pPr>
              <w:pStyle w:val="ListParagraph"/>
              <w:numPr>
                <w:ilvl w:val="0"/>
                <w:numId w:val="43"/>
              </w:numPr>
              <w:overflowPunct/>
              <w:autoSpaceDE/>
              <w:autoSpaceDN/>
              <w:adjustRightInd/>
              <w:spacing w:before="60"/>
              <w:textAlignment w:val="auto"/>
              <w:rPr>
                <w:rFonts w:eastAsia="Calibri"/>
              </w:rPr>
            </w:pPr>
            <w:r w:rsidRPr="008A6A9C">
              <w:rPr>
                <w:rFonts w:eastAsia="Calibri"/>
              </w:rPr>
              <w:t xml:space="preserve">At least DU-IA can be indicated independently of the MT resource configuration:  </w:t>
            </w:r>
          </w:p>
          <w:p w14:paraId="35023299" w14:textId="77777777" w:rsidR="002771E6" w:rsidRPr="008A6A9C" w:rsidRDefault="002771E6" w:rsidP="002771E6">
            <w:pPr>
              <w:pStyle w:val="ListParagraph"/>
              <w:numPr>
                <w:ilvl w:val="1"/>
                <w:numId w:val="43"/>
              </w:numPr>
              <w:overflowPunct/>
              <w:autoSpaceDE/>
              <w:autoSpaceDN/>
              <w:adjustRightInd/>
              <w:spacing w:before="60"/>
              <w:textAlignment w:val="auto"/>
              <w:rPr>
                <w:rFonts w:eastAsia="Calibri"/>
              </w:rPr>
            </w:pPr>
            <w:r w:rsidRPr="008A6A9C">
              <w:rPr>
                <w:rFonts w:eastAsia="Calibri"/>
              </w:rPr>
              <w:t>FFS the DCI indicates DU-IA per-resource type (D/U/F), slot, etc.</w:t>
            </w:r>
          </w:p>
          <w:p w14:paraId="305BEE33" w14:textId="2F2DCD39" w:rsidR="002771E6" w:rsidRPr="008A6A9C" w:rsidRDefault="002771E6" w:rsidP="002771E6">
            <w:pPr>
              <w:pStyle w:val="ListParagraph"/>
              <w:numPr>
                <w:ilvl w:val="0"/>
                <w:numId w:val="43"/>
              </w:numPr>
              <w:overflowPunct/>
              <w:autoSpaceDE/>
              <w:autoSpaceDN/>
              <w:adjustRightInd/>
              <w:spacing w:before="60"/>
              <w:textAlignment w:val="auto"/>
              <w:rPr>
                <w:rFonts w:eastAsia="Calibri"/>
              </w:rPr>
            </w:pPr>
            <w:r w:rsidRPr="008A6A9C">
              <w:rPr>
                <w:rFonts w:eastAsia="Calibri"/>
              </w:rPr>
              <w:t>FFS: Whether this indication is via a new DCI format or DCI Format 2_0 using existing and/or reserved entries of Table 11.1.1-1 in 38.213</w:t>
            </w:r>
            <w:r w:rsidR="000A317C">
              <w:rPr>
                <w:rFonts w:eastAsia="Calibri"/>
              </w:rPr>
              <w:t>.</w:t>
            </w:r>
          </w:p>
          <w:p w14:paraId="6D5203BD" w14:textId="553A0DBC" w:rsidR="00793E8A" w:rsidRPr="00E34EEE" w:rsidRDefault="002771E6" w:rsidP="00E07402">
            <w:pPr>
              <w:pStyle w:val="ListParagraph"/>
              <w:numPr>
                <w:ilvl w:val="0"/>
                <w:numId w:val="20"/>
              </w:numPr>
              <w:overflowPunct/>
              <w:autoSpaceDE/>
              <w:autoSpaceDN/>
              <w:adjustRightInd/>
              <w:spacing w:before="60" w:after="240"/>
              <w:textAlignment w:val="auto"/>
              <w:rPr>
                <w:rFonts w:cs="Arial"/>
              </w:rPr>
            </w:pPr>
            <w:r w:rsidRPr="008A6A9C">
              <w:rPr>
                <w:rFonts w:eastAsia="Calibri"/>
              </w:rPr>
              <w:lastRenderedPageBreak/>
              <w:t>FFS: Whether for the purpose of signaling optimization a DU/MT resource type can additionally be jointly indicated with DU-IA which overrides the flexible resources in the semi-static DU/MT resource configuration</w:t>
            </w:r>
            <w:r w:rsidR="000A317C">
              <w:rPr>
                <w:rFonts w:eastAsia="Calibri"/>
              </w:rPr>
              <w:t>.</w:t>
            </w:r>
          </w:p>
        </w:tc>
      </w:tr>
    </w:tbl>
    <w:p w14:paraId="05F1B743" w14:textId="2DDE7B60" w:rsidR="000A4D8A" w:rsidRPr="003F5094" w:rsidRDefault="000A4D8A" w:rsidP="000A4D8A">
      <w:pPr>
        <w:pStyle w:val="BodyText"/>
        <w:rPr>
          <w:rFonts w:cs="Arial"/>
        </w:rPr>
      </w:pPr>
    </w:p>
    <w:p w14:paraId="4297A2FF" w14:textId="1789F5AA" w:rsidR="003742AC" w:rsidRDefault="00987FBB" w:rsidP="00B91965">
      <w:pPr>
        <w:pStyle w:val="BodyText"/>
        <w:rPr>
          <w:rFonts w:cs="Arial"/>
        </w:rPr>
      </w:pPr>
      <w:r w:rsidRPr="005B4CA0">
        <w:rPr>
          <w:rFonts w:cs="Arial"/>
          <w:lang w:val="en-US"/>
        </w:rPr>
        <w:t xml:space="preserve">In this contribution, we </w:t>
      </w:r>
      <w:r w:rsidRPr="00605343">
        <w:rPr>
          <w:rFonts w:cs="Arial"/>
          <w:lang w:val="en-US"/>
        </w:rPr>
        <w:t xml:space="preserve">discuss </w:t>
      </w:r>
      <w:r w:rsidR="00BE16FF">
        <w:rPr>
          <w:rFonts w:cs="Arial"/>
          <w:lang w:val="en-US"/>
        </w:rPr>
        <w:t xml:space="preserve">more details about </w:t>
      </w:r>
      <w:r w:rsidR="00921DD7">
        <w:rPr>
          <w:rFonts w:cs="Arial"/>
          <w:lang w:val="en-US"/>
        </w:rPr>
        <w:t xml:space="preserve">the </w:t>
      </w:r>
      <w:r w:rsidR="001D2F66">
        <w:rPr>
          <w:rFonts w:cs="Arial"/>
          <w:lang w:val="en-US"/>
        </w:rPr>
        <w:t xml:space="preserve">MT resource configuration, </w:t>
      </w:r>
      <w:r w:rsidRPr="00605343">
        <w:rPr>
          <w:rFonts w:cs="Arial"/>
          <w:lang w:val="en-US"/>
        </w:rPr>
        <w:t xml:space="preserve">the </w:t>
      </w:r>
      <w:r w:rsidR="002A6730">
        <w:rPr>
          <w:rFonts w:cs="Arial"/>
          <w:lang w:val="en-US" w:eastAsia="en-US"/>
        </w:rPr>
        <w:t>semi-static DU resource configuration</w:t>
      </w:r>
      <w:r w:rsidRPr="005B4CA0">
        <w:rPr>
          <w:rFonts w:cs="Arial"/>
          <w:lang w:val="en-US"/>
        </w:rPr>
        <w:t xml:space="preserve">, </w:t>
      </w:r>
      <w:r w:rsidR="00BE16FF">
        <w:rPr>
          <w:rFonts w:cs="Arial"/>
          <w:lang w:val="en-US"/>
        </w:rPr>
        <w:t>and</w:t>
      </w:r>
      <w:r>
        <w:rPr>
          <w:rFonts w:cs="Arial"/>
          <w:lang w:val="en-US"/>
        </w:rPr>
        <w:t xml:space="preserve"> the</w:t>
      </w:r>
      <w:r w:rsidR="00BE16FF">
        <w:rPr>
          <w:rFonts w:cs="Arial"/>
          <w:lang w:val="en-US"/>
        </w:rPr>
        <w:t xml:space="preserve"> L1 dynamic</w:t>
      </w:r>
      <w:r>
        <w:rPr>
          <w:rFonts w:cs="Arial"/>
          <w:lang w:val="en-US"/>
        </w:rPr>
        <w:t xml:space="preserve"> indication of the availability of soft </w:t>
      </w:r>
      <w:r w:rsidR="00EB77E3">
        <w:rPr>
          <w:rFonts w:cs="Arial"/>
          <w:lang w:val="en-US"/>
        </w:rPr>
        <w:t xml:space="preserve">DU </w:t>
      </w:r>
      <w:r>
        <w:rPr>
          <w:rFonts w:cs="Arial"/>
          <w:lang w:val="en-US"/>
        </w:rPr>
        <w:t>resources</w:t>
      </w:r>
      <w:r w:rsidR="003275CD">
        <w:rPr>
          <w:rFonts w:cs="Arial"/>
          <w:lang w:val="en-US"/>
        </w:rPr>
        <w:t>.</w:t>
      </w:r>
      <w:r w:rsidR="00B91965">
        <w:rPr>
          <w:rFonts w:cs="Arial"/>
        </w:rPr>
        <w:t xml:space="preserve"> </w:t>
      </w:r>
    </w:p>
    <w:p w14:paraId="7E2A097B" w14:textId="6BF598C3" w:rsidR="0001149F" w:rsidRDefault="0001149F" w:rsidP="006C3C1B">
      <w:pPr>
        <w:pStyle w:val="Heading1"/>
      </w:pPr>
      <w:r>
        <w:t>MT resource configuration</w:t>
      </w:r>
    </w:p>
    <w:p w14:paraId="262DBA31" w14:textId="1189AFD2" w:rsidR="002F311E" w:rsidRPr="00F232DB" w:rsidRDefault="003F2977" w:rsidP="002F311E">
      <w:r>
        <w:t>T</w:t>
      </w:r>
      <w:r w:rsidR="002F311E" w:rsidRPr="00F232DB">
        <w:t>he agreement</w:t>
      </w:r>
      <w:r>
        <w:t xml:space="preserve"> </w:t>
      </w:r>
      <w:r>
        <w:fldChar w:fldCharType="begin"/>
      </w:r>
      <w:r>
        <w:instrText xml:space="preserve"> REF _Ref476919366 \r \h </w:instrText>
      </w:r>
      <w:r>
        <w:fldChar w:fldCharType="separate"/>
      </w:r>
      <w:r w:rsidR="008A6540">
        <w:t>[1]</w:t>
      </w:r>
      <w:r>
        <w:fldChar w:fldCharType="end"/>
      </w:r>
      <w:r w:rsidR="002F311E" w:rsidRPr="00F232DB">
        <w:t xml:space="preserve"> support</w:t>
      </w:r>
      <w:r>
        <w:t>s</w:t>
      </w:r>
      <w:r w:rsidR="002F311E" w:rsidRPr="00F232DB">
        <w:t xml:space="preserve"> </w:t>
      </w:r>
      <w:r>
        <w:t>the</w:t>
      </w:r>
      <w:r w:rsidR="002F311E" w:rsidRPr="00F232DB">
        <w:t xml:space="preserve"> UL-Flexible-DL sequence order in the IAB-node MT resource configurations</w:t>
      </w:r>
      <w:r w:rsidR="000A7843">
        <w:t>, which</w:t>
      </w:r>
      <w:r w:rsidR="002F311E" w:rsidRPr="00F232DB">
        <w:t xml:space="preserve"> is provided in dedicated RRC signaling (e.g. enhancements to the existing TDD-UL-DL-SlotConfig in TDD-UL-DL-ConfigDedicated). According to the current configuration rules, however, the TDD-UL-DL-ConfigCommon only supports the sequence order of DL-Flexible-UL while the TDD-UL-DL-ConfigDedicated is only used to further restrict the flexible symbols per slot over the number of slots as provided by TDD-UL-DL-ConfigCommon. With the agreed sequence order enhancement, it may happen that the MT is semi-statically configured with DL-(UL-Flexible-DL)-UL with the part in parenthesis configured by TDD-UL-DL-ConfigDedicated while the rest part configured by TDD-UL-DL-ConfigCommon. This is not desired in terms of switching. Therefore, we would like to clarify and confirm that the intended support of UL-Flexible-DL sequence order regards the entire slot configuration period provided by TDD-UL-DL-ConfigCommon, such as in </w:t>
      </w:r>
      <w:r w:rsidR="002F311E" w:rsidRPr="00F232DB">
        <w:fldChar w:fldCharType="begin"/>
      </w:r>
      <w:r w:rsidR="002F311E" w:rsidRPr="00F232DB">
        <w:instrText xml:space="preserve"> REF _Ref20990450 \r \h  \* MERGEFORMAT </w:instrText>
      </w:r>
      <w:r w:rsidR="002F311E" w:rsidRPr="00F232DB">
        <w:fldChar w:fldCharType="separate"/>
      </w:r>
      <w:r w:rsidR="008A6540">
        <w:t>[2]</w:t>
      </w:r>
      <w:r w:rsidR="002F311E" w:rsidRPr="00F232DB">
        <w:fldChar w:fldCharType="end"/>
      </w:r>
      <w:r w:rsidR="002F311E" w:rsidRPr="00F232DB">
        <w:t xml:space="preserve">, instead of only being valid to override flexible symbols per slot over the number of slots as provided by TDD-UL-DL-ConfigCommon. </w:t>
      </w:r>
    </w:p>
    <w:p w14:paraId="47F26BA6" w14:textId="1AC696E6" w:rsidR="0001149F" w:rsidRDefault="002F311E" w:rsidP="00FD68B5">
      <w:pPr>
        <w:pStyle w:val="Proposal"/>
      </w:pPr>
      <w:bookmarkStart w:id="1" w:name="_Toc21012710"/>
      <w:bookmarkStart w:id="2" w:name="_Toc21013631"/>
      <w:bookmarkStart w:id="3" w:name="_Toc21013972"/>
      <w:bookmarkStart w:id="4" w:name="_Toc21073566"/>
      <w:bookmarkStart w:id="5" w:name="_Toc21073708"/>
      <w:bookmarkStart w:id="6" w:name="_Toc21073985"/>
      <w:bookmarkStart w:id="7" w:name="_Toc21079333"/>
      <w:bookmarkStart w:id="8" w:name="_Toc21096930"/>
      <w:bookmarkStart w:id="9" w:name="_Toc21096961"/>
      <w:bookmarkStart w:id="10" w:name="_Toc21097358"/>
      <w:bookmarkStart w:id="11" w:name="_Toc21097505"/>
      <w:bookmarkStart w:id="12" w:name="_Toc21097554"/>
      <w:bookmarkStart w:id="13" w:name="_Toc21098312"/>
      <w:bookmarkStart w:id="14" w:name="_Toc21111681"/>
      <w:r w:rsidRPr="00F232DB">
        <w:t>Clarify that the intended support of UL-Flexible-DL sequence order in the semi-static IAB-node MT resource configuration regards the entire slot configuration period provided by TDD-UL-DL-ConfigCommon.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5CCA005B" w14:textId="06245406" w:rsidR="00FD68B5" w:rsidRPr="00F232DB" w:rsidRDefault="00FD68B5" w:rsidP="000301A5">
      <w:r w:rsidRPr="00F232DB">
        <w:t xml:space="preserve">Furthermore, </w:t>
      </w:r>
      <w:r w:rsidR="00387B9B">
        <w:t>t</w:t>
      </w:r>
      <w:r w:rsidRPr="00F232DB">
        <w:t>he reason</w:t>
      </w:r>
      <w:r w:rsidR="00387B9B">
        <w:t xml:space="preserve"> of supporting the additional sequence order</w:t>
      </w:r>
      <w:r w:rsidRPr="00F232DB">
        <w:t xml:space="preserve"> is that the adjacent IAB nodes are closely coupled via the backhaul links connecting in between. Allowing a sequence order opposite to the Rel-15 sequence order DL-Flexible-UL would facilitate at least the forward compatibility regarding FDM/SDM. For the same reason, we can support the new sequence order of UL-Flexible-DL in SFI as well.</w:t>
      </w:r>
    </w:p>
    <w:p w14:paraId="4F97A881" w14:textId="5B73C46D" w:rsidR="00FD68B5" w:rsidRPr="0001149F" w:rsidRDefault="00FD68B5" w:rsidP="000301A5">
      <w:pPr>
        <w:pStyle w:val="Proposal"/>
      </w:pPr>
      <w:bookmarkStart w:id="15" w:name="_Toc21012711"/>
      <w:bookmarkStart w:id="16" w:name="_Toc21013632"/>
      <w:bookmarkStart w:id="17" w:name="_Toc21013973"/>
      <w:bookmarkStart w:id="18" w:name="_Toc21073567"/>
      <w:bookmarkStart w:id="19" w:name="_Toc21073709"/>
      <w:bookmarkStart w:id="20" w:name="_Toc21073986"/>
      <w:bookmarkStart w:id="21" w:name="_Toc21079334"/>
      <w:bookmarkStart w:id="22" w:name="_Toc21096931"/>
      <w:bookmarkStart w:id="23" w:name="_Toc21096962"/>
      <w:bookmarkStart w:id="24" w:name="_Toc21097359"/>
      <w:bookmarkStart w:id="25" w:name="_Toc21097506"/>
      <w:bookmarkStart w:id="26" w:name="_Toc21097555"/>
      <w:bookmarkStart w:id="27" w:name="_Toc21098313"/>
      <w:bookmarkStart w:id="28" w:name="_Toc21111682"/>
      <w:r w:rsidRPr="00F232DB">
        <w:t>Support dynamic indication of UL-Flexible-DL.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95ACE0" w14:textId="48EB18FA" w:rsidR="00E37EC2" w:rsidRDefault="00E37EC2" w:rsidP="006C3C1B">
      <w:pPr>
        <w:pStyle w:val="Heading1"/>
      </w:pPr>
      <w:r>
        <w:t>Semi-static DU resource configuration</w:t>
      </w:r>
    </w:p>
    <w:p w14:paraId="626C7D4C" w14:textId="7DFCCF14" w:rsidR="00A32E01" w:rsidRDefault="00437DB3" w:rsidP="00D50029">
      <w:pPr>
        <w:pStyle w:val="Heading2"/>
      </w:pPr>
      <w:r>
        <w:t>Supplemental l</w:t>
      </w:r>
      <w:r w:rsidR="00AD3F16">
        <w:t xml:space="preserve">ink-specific </w:t>
      </w:r>
      <w:r w:rsidR="0018621F">
        <w:t>DU configuration</w:t>
      </w:r>
    </w:p>
    <w:p w14:paraId="2A68C905" w14:textId="4A5AB2E0" w:rsidR="00BB5F15" w:rsidRPr="0023514F" w:rsidRDefault="009A5D06" w:rsidP="00BB5F15">
      <w:pPr>
        <w:rPr>
          <w:rFonts w:eastAsiaTheme="minorEastAsia"/>
          <w:lang w:val="en-US"/>
        </w:rPr>
      </w:pPr>
      <w:r>
        <w:rPr>
          <w:rFonts w:eastAsiaTheme="minorEastAsia"/>
        </w:rPr>
        <w:t xml:space="preserve">It has been agreed in </w:t>
      </w:r>
      <w:r>
        <w:rPr>
          <w:rFonts w:eastAsiaTheme="minorEastAsia"/>
        </w:rPr>
        <w:fldChar w:fldCharType="begin"/>
      </w:r>
      <w:r>
        <w:rPr>
          <w:rFonts w:eastAsiaTheme="minorEastAsia"/>
        </w:rPr>
        <w:instrText xml:space="preserve"> REF _Ref20482352 \r \h </w:instrText>
      </w:r>
      <w:r>
        <w:rPr>
          <w:rFonts w:eastAsiaTheme="minorEastAsia"/>
        </w:rPr>
      </w:r>
      <w:r>
        <w:rPr>
          <w:rFonts w:eastAsiaTheme="minorEastAsia"/>
        </w:rPr>
        <w:fldChar w:fldCharType="separate"/>
      </w:r>
      <w:r w:rsidR="008A6540">
        <w:rPr>
          <w:rFonts w:eastAsiaTheme="minorEastAsia"/>
        </w:rPr>
        <w:t>[2]</w:t>
      </w:r>
      <w:r>
        <w:rPr>
          <w:rFonts w:eastAsiaTheme="minorEastAsia"/>
        </w:rPr>
        <w:fldChar w:fldCharType="end"/>
      </w:r>
      <w:r w:rsidR="00A71AA2">
        <w:rPr>
          <w:rFonts w:eastAsiaTheme="minorEastAsia"/>
        </w:rPr>
        <w:t xml:space="preserve"> that DU resource</w:t>
      </w:r>
      <w:r w:rsidR="00EA2499">
        <w:rPr>
          <w:rFonts w:eastAsiaTheme="minorEastAsia"/>
        </w:rPr>
        <w:t xml:space="preserve"> configuration is done </w:t>
      </w:r>
      <w:r w:rsidR="00A71AA2">
        <w:rPr>
          <w:rFonts w:eastAsiaTheme="minorEastAsia"/>
        </w:rPr>
        <w:t xml:space="preserve">on a per DU (cell) basis. </w:t>
      </w:r>
      <w:r w:rsidR="007249B8" w:rsidRPr="00CC277D">
        <w:rPr>
          <w:rFonts w:eastAsiaTheme="minorEastAsia"/>
          <w:lang w:val="en-US"/>
        </w:rPr>
        <w:t>In addition to</w:t>
      </w:r>
      <w:r w:rsidR="000301A5">
        <w:rPr>
          <w:rFonts w:eastAsiaTheme="minorEastAsia"/>
          <w:lang w:val="en-US"/>
        </w:rPr>
        <w:t xml:space="preserve"> </w:t>
      </w:r>
      <w:r w:rsidR="00A71AA2">
        <w:rPr>
          <w:rFonts w:eastAsiaTheme="minorEastAsia"/>
          <w:lang w:val="en-US"/>
        </w:rPr>
        <w:t>that</w:t>
      </w:r>
      <w:r w:rsidR="00887900">
        <w:rPr>
          <w:rFonts w:eastAsiaTheme="minorEastAsia"/>
          <w:lang w:val="en-US"/>
        </w:rPr>
        <w:t xml:space="preserve">, </w:t>
      </w:r>
      <w:r w:rsidR="005A4A67" w:rsidRPr="005D4159">
        <w:t xml:space="preserve">NA </w:t>
      </w:r>
      <w:r w:rsidR="00EA2499">
        <w:t xml:space="preserve">configuration of DU </w:t>
      </w:r>
      <w:r w:rsidR="005A4A67" w:rsidRPr="005D4159">
        <w:t>resources on a per-link basis</w:t>
      </w:r>
      <w:r w:rsidR="00C041AE">
        <w:t xml:space="preserve"> may also be </w:t>
      </w:r>
      <w:r w:rsidR="00067A1F">
        <w:t xml:space="preserve">configured </w:t>
      </w:r>
      <w:r w:rsidR="00B45A57" w:rsidRPr="0023514F">
        <w:rPr>
          <w:rFonts w:eastAsiaTheme="minorEastAsia"/>
          <w:lang w:val="en-US"/>
        </w:rPr>
        <w:t xml:space="preserve">to semi-statically disable </w:t>
      </w:r>
      <w:r w:rsidR="0023514F" w:rsidRPr="0023514F">
        <w:rPr>
          <w:rFonts w:eastAsiaTheme="minorEastAsia"/>
          <w:lang w:val="en-US"/>
        </w:rPr>
        <w:t xml:space="preserve">certain child links of an IAB node. </w:t>
      </w:r>
    </w:p>
    <w:p w14:paraId="1632A0AF" w14:textId="52393761" w:rsidR="00273506" w:rsidRPr="004B033E" w:rsidRDefault="001D05D0" w:rsidP="00273506">
      <w:pPr>
        <w:pStyle w:val="Proposal"/>
      </w:pPr>
      <w:bookmarkStart w:id="29" w:name="_Toc19521415"/>
      <w:bookmarkStart w:id="30" w:name="_Toc19542864"/>
      <w:bookmarkStart w:id="31" w:name="_Toc19616970"/>
      <w:bookmarkStart w:id="32" w:name="_Toc19624535"/>
      <w:bookmarkStart w:id="33" w:name="_Toc19628795"/>
      <w:bookmarkStart w:id="34" w:name="_Toc19705699"/>
      <w:bookmarkStart w:id="35" w:name="_Toc19796835"/>
      <w:bookmarkStart w:id="36" w:name="_Toc19877107"/>
      <w:bookmarkStart w:id="37" w:name="_Toc19878266"/>
      <w:bookmarkStart w:id="38" w:name="_Toc19878593"/>
      <w:bookmarkStart w:id="39" w:name="_Toc20489827"/>
      <w:bookmarkStart w:id="40" w:name="_Toc20491829"/>
      <w:bookmarkStart w:id="41" w:name="_Toc20492329"/>
      <w:bookmarkStart w:id="42" w:name="_Toc20493791"/>
      <w:bookmarkStart w:id="43" w:name="_Toc20494642"/>
      <w:bookmarkStart w:id="44" w:name="_Toc20839971"/>
      <w:bookmarkStart w:id="45" w:name="_Toc20840010"/>
      <w:bookmarkStart w:id="46" w:name="_Toc20840116"/>
      <w:bookmarkStart w:id="47" w:name="_Toc20906985"/>
      <w:bookmarkStart w:id="48" w:name="_Toc20910025"/>
      <w:bookmarkStart w:id="49" w:name="_Toc20990459"/>
      <w:bookmarkStart w:id="50" w:name="_Toc20991303"/>
      <w:bookmarkStart w:id="51" w:name="_Toc20991336"/>
      <w:bookmarkStart w:id="52" w:name="_Toc20991531"/>
      <w:bookmarkStart w:id="53" w:name="_Toc20991547"/>
      <w:bookmarkStart w:id="54" w:name="_Toc20991666"/>
      <w:bookmarkStart w:id="55" w:name="_Toc20993561"/>
      <w:bookmarkStart w:id="56" w:name="_Toc21009034"/>
      <w:bookmarkStart w:id="57" w:name="_Toc21012712"/>
      <w:bookmarkStart w:id="58" w:name="_Toc21013633"/>
      <w:bookmarkStart w:id="59" w:name="_Toc21013974"/>
      <w:bookmarkStart w:id="60" w:name="_Toc21073568"/>
      <w:bookmarkStart w:id="61" w:name="_Toc21073710"/>
      <w:bookmarkStart w:id="62" w:name="_Toc21073987"/>
      <w:bookmarkStart w:id="63" w:name="_Toc21079335"/>
      <w:bookmarkStart w:id="64" w:name="_Toc21096932"/>
      <w:bookmarkStart w:id="65" w:name="_Toc21096963"/>
      <w:bookmarkStart w:id="66" w:name="_Toc21097360"/>
      <w:bookmarkStart w:id="67" w:name="_Toc21097507"/>
      <w:bookmarkStart w:id="68" w:name="_Toc21097556"/>
      <w:bookmarkStart w:id="69" w:name="_Toc21098314"/>
      <w:bookmarkStart w:id="70" w:name="_Toc21111683"/>
      <w:r w:rsidRPr="001D05D0">
        <w:t>Specification should support link-specific NA DU configuration that can override any resource type of the cell-specific DU configuration</w:t>
      </w:r>
      <w:r w:rsidR="00273506">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273506">
        <w:t xml:space="preserve"> </w:t>
      </w:r>
    </w:p>
    <w:p w14:paraId="56765F4B" w14:textId="03E846FA" w:rsidR="00273506" w:rsidRDefault="00A63EEB" w:rsidP="00FE211F">
      <w:r>
        <w:fldChar w:fldCharType="begin"/>
      </w:r>
      <w:r>
        <w:instrText xml:space="preserve"> REF _Ref19520888 \h </w:instrText>
      </w:r>
      <w:r>
        <w:fldChar w:fldCharType="separate"/>
      </w:r>
      <w:r w:rsidR="008A6540">
        <w:t xml:space="preserve">Figure </w:t>
      </w:r>
      <w:r w:rsidR="008A6540">
        <w:rPr>
          <w:noProof/>
        </w:rPr>
        <w:t>1</w:t>
      </w:r>
      <w:r>
        <w:fldChar w:fldCharType="end"/>
      </w:r>
      <w:r>
        <w:t xml:space="preserve"> shows o</w:t>
      </w:r>
      <w:r w:rsidR="00FE211F">
        <w:t xml:space="preserve">ne example when </w:t>
      </w:r>
      <w:r w:rsidR="0061325D">
        <w:t>the</w:t>
      </w:r>
      <w:r w:rsidR="00FE211F">
        <w:t xml:space="preserve"> link-specific </w:t>
      </w:r>
      <w:r w:rsidR="002268BA">
        <w:t xml:space="preserve">NA </w:t>
      </w:r>
      <w:r>
        <w:t xml:space="preserve">configuration </w:t>
      </w:r>
      <w:r w:rsidR="0061325D">
        <w:t>is</w:t>
      </w:r>
      <w:r>
        <w:t xml:space="preserve"> provided to the DU of </w:t>
      </w:r>
      <w:r w:rsidR="0020120B">
        <w:t>a parent node</w:t>
      </w:r>
      <w:r w:rsidR="0061325D">
        <w:t>,</w:t>
      </w:r>
      <w:r w:rsidR="00C32812">
        <w:t xml:space="preserve"> which serves three IAB nodes</w:t>
      </w:r>
      <w:r w:rsidR="00FA445F">
        <w:t xml:space="preserve"> via three backhaul links</w:t>
      </w:r>
      <w:r w:rsidR="0061325D">
        <w:t xml:space="preserve">, on top of the cell-specific </w:t>
      </w:r>
      <w:r w:rsidR="005A0716">
        <w:t>configuration</w:t>
      </w:r>
      <w:r w:rsidR="00FA445F">
        <w:t xml:space="preserve">. </w:t>
      </w:r>
      <w:r w:rsidR="00052044">
        <w:t>T</w:t>
      </w:r>
      <w:r w:rsidR="007D6006">
        <w:t xml:space="preserve">wo link-specific </w:t>
      </w:r>
      <w:r w:rsidR="00052044">
        <w:t xml:space="preserve">NA </w:t>
      </w:r>
      <w:r w:rsidR="007D6006">
        <w:t xml:space="preserve">configurations are </w:t>
      </w:r>
      <w:r w:rsidR="00762A71">
        <w:t>provided to the parent DU with respect to IAB-1 and IAB-</w:t>
      </w:r>
      <w:r w:rsidR="005B44AA">
        <w:t>3</w:t>
      </w:r>
      <w:r w:rsidR="00762A71">
        <w:t xml:space="preserve"> respective</w:t>
      </w:r>
      <w:r w:rsidR="00DF3704">
        <w:t>ly</w:t>
      </w:r>
      <w:r w:rsidR="00762A71">
        <w:t>, which may be represented in terms of bitmaps</w:t>
      </w:r>
      <w:r w:rsidR="00EF4DF5">
        <w:t xml:space="preserve">. Each bit in the bitmap corresponds to one resource type </w:t>
      </w:r>
      <w:r w:rsidR="00AC0A7A">
        <w:t>in the cell-specific DU configuration</w:t>
      </w:r>
      <w:r w:rsidR="00FB4C21">
        <w:t>.</w:t>
      </w:r>
      <w:r w:rsidR="00CF1851">
        <w:t xml:space="preserve"> </w:t>
      </w:r>
      <w:r w:rsidR="00A433E8">
        <w:t>In this example</w:t>
      </w:r>
      <w:r w:rsidR="00690032">
        <w:t xml:space="preserve">, </w:t>
      </w:r>
      <w:r w:rsidR="003310E2">
        <w:t xml:space="preserve">1 </w:t>
      </w:r>
      <w:r w:rsidR="00FA695A">
        <w:t xml:space="preserve">in the link-specific NA configuration </w:t>
      </w:r>
      <w:r w:rsidR="003310E2">
        <w:t xml:space="preserve">represents </w:t>
      </w:r>
      <w:r w:rsidR="00691A02">
        <w:t xml:space="preserve">that NA is configured for </w:t>
      </w:r>
      <w:r w:rsidR="003F63F6">
        <w:t xml:space="preserve">and overrides </w:t>
      </w:r>
      <w:r w:rsidR="00266BBD">
        <w:t>a</w:t>
      </w:r>
      <w:r w:rsidR="00691A02">
        <w:t xml:space="preserve"> corresponding </w:t>
      </w:r>
      <w:r w:rsidR="00943EA0" w:rsidRPr="00943EA0">
        <w:rPr>
          <w:rFonts w:eastAsiaTheme="minorEastAsia"/>
          <w:lang w:val="en-US"/>
        </w:rPr>
        <w:t>re</w:t>
      </w:r>
      <w:r w:rsidR="00943EA0">
        <w:rPr>
          <w:rFonts w:eastAsiaTheme="minorEastAsia"/>
          <w:lang w:val="en-US"/>
        </w:rPr>
        <w:t>source</w:t>
      </w:r>
      <w:r w:rsidR="00FA695A">
        <w:rPr>
          <w:rFonts w:eastAsiaTheme="minorEastAsia"/>
          <w:lang w:val="en-US"/>
        </w:rPr>
        <w:t xml:space="preserve"> in the </w:t>
      </w:r>
      <w:r w:rsidR="00C5132D">
        <w:rPr>
          <w:rFonts w:eastAsiaTheme="minorEastAsia"/>
          <w:lang w:val="en-US"/>
        </w:rPr>
        <w:t>cell-specific configuration</w:t>
      </w:r>
      <w:r w:rsidR="00DF3704">
        <w:rPr>
          <w:rFonts w:eastAsiaTheme="minorEastAsia"/>
          <w:lang w:val="en-US"/>
        </w:rPr>
        <w:t>,</w:t>
      </w:r>
      <w:r w:rsidR="0065115B">
        <w:rPr>
          <w:rFonts w:eastAsiaTheme="minorEastAsia"/>
          <w:lang w:val="en-US"/>
        </w:rPr>
        <w:t xml:space="preserve"> and thereby such a resource cannot be used towards </w:t>
      </w:r>
      <w:r w:rsidR="00FF153E">
        <w:rPr>
          <w:rFonts w:eastAsiaTheme="minorEastAsia"/>
          <w:lang w:val="en-US"/>
        </w:rPr>
        <w:t>the linked</w:t>
      </w:r>
      <w:r w:rsidR="0065115B">
        <w:rPr>
          <w:rFonts w:eastAsiaTheme="minorEastAsia"/>
          <w:lang w:val="en-US"/>
        </w:rPr>
        <w:t xml:space="preserve"> IAB node.</w:t>
      </w:r>
      <w:r w:rsidR="003817C3">
        <w:rPr>
          <w:rFonts w:eastAsiaTheme="minorEastAsia"/>
          <w:lang w:val="en-US"/>
        </w:rPr>
        <w:t xml:space="preserve"> When the parent node schedules </w:t>
      </w:r>
      <w:r w:rsidR="00F57D36">
        <w:rPr>
          <w:rFonts w:eastAsiaTheme="minorEastAsia"/>
          <w:lang w:val="en-US"/>
        </w:rPr>
        <w:t xml:space="preserve">the </w:t>
      </w:r>
      <w:r w:rsidR="003A1AA5">
        <w:rPr>
          <w:rFonts w:eastAsiaTheme="minorEastAsia"/>
          <w:lang w:val="en-US"/>
        </w:rPr>
        <w:t xml:space="preserve">three IAB nodes with respect to </w:t>
      </w:r>
      <w:r w:rsidR="007E65EF">
        <w:rPr>
          <w:rFonts w:eastAsiaTheme="minorEastAsia"/>
          <w:lang w:val="en-US"/>
        </w:rPr>
        <w:t>such</w:t>
      </w:r>
      <w:r w:rsidR="003A1AA5">
        <w:rPr>
          <w:rFonts w:eastAsiaTheme="minorEastAsia"/>
          <w:lang w:val="en-US"/>
        </w:rPr>
        <w:t xml:space="preserve"> DU configuration</w:t>
      </w:r>
      <w:r w:rsidR="007E65EF">
        <w:rPr>
          <w:rFonts w:eastAsiaTheme="minorEastAsia"/>
          <w:lang w:val="en-US"/>
        </w:rPr>
        <w:t>s</w:t>
      </w:r>
      <w:r w:rsidR="003A1AA5">
        <w:rPr>
          <w:rFonts w:eastAsiaTheme="minorEastAsia"/>
          <w:lang w:val="en-US"/>
        </w:rPr>
        <w:t xml:space="preserve">, </w:t>
      </w:r>
      <w:r w:rsidR="008A3555">
        <w:rPr>
          <w:rFonts w:eastAsiaTheme="minorEastAsia"/>
          <w:lang w:val="en-US"/>
        </w:rPr>
        <w:t xml:space="preserve">it </w:t>
      </w:r>
      <w:r w:rsidR="00AF47FC">
        <w:rPr>
          <w:rFonts w:eastAsiaTheme="minorEastAsia"/>
          <w:lang w:val="en-US"/>
        </w:rPr>
        <w:t>regards</w:t>
      </w:r>
      <w:r w:rsidR="00202DF0">
        <w:rPr>
          <w:rFonts w:eastAsiaTheme="minorEastAsia"/>
          <w:lang w:val="en-US"/>
        </w:rPr>
        <w:t xml:space="preserve"> the three nodes </w:t>
      </w:r>
      <w:r w:rsidR="00AF47FC">
        <w:rPr>
          <w:rFonts w:eastAsiaTheme="minorEastAsia"/>
          <w:lang w:val="en-US"/>
        </w:rPr>
        <w:t>differently</w:t>
      </w:r>
      <w:r w:rsidR="00202DF0">
        <w:rPr>
          <w:rFonts w:eastAsiaTheme="minorEastAsia"/>
          <w:lang w:val="en-US"/>
        </w:rPr>
        <w:t xml:space="preserve"> since some of the </w:t>
      </w:r>
      <w:r w:rsidR="00E75A6D">
        <w:rPr>
          <w:rFonts w:eastAsiaTheme="minorEastAsia"/>
          <w:lang w:val="en-US"/>
        </w:rPr>
        <w:t xml:space="preserve">backhaul links are disabled during certain time resources. </w:t>
      </w:r>
      <w:r w:rsidR="00FB4C21">
        <w:t xml:space="preserve"> </w:t>
      </w:r>
      <w:r w:rsidR="0020120B">
        <w:t xml:space="preserve"> </w:t>
      </w:r>
    </w:p>
    <w:p w14:paraId="4B8BC159" w14:textId="77777777" w:rsidR="00577FFD" w:rsidRDefault="00577FFD" w:rsidP="00FE211F"/>
    <w:p w14:paraId="47617E50" w14:textId="21B78127" w:rsidR="0086479F" w:rsidRDefault="00725201" w:rsidP="00D50029">
      <w:r w:rsidRPr="00725201">
        <w:rPr>
          <w:noProof/>
        </w:rPr>
        <w:lastRenderedPageBreak/>
        <w:drawing>
          <wp:inline distT="0" distB="0" distL="0" distR="0" wp14:anchorId="420E6FC4" wp14:editId="5FD4C628">
            <wp:extent cx="6120765" cy="17157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715770"/>
                    </a:xfrm>
                    <a:prstGeom prst="rect">
                      <a:avLst/>
                    </a:prstGeom>
                    <a:noFill/>
                    <a:ln>
                      <a:noFill/>
                    </a:ln>
                  </pic:spPr>
                </pic:pic>
              </a:graphicData>
            </a:graphic>
          </wp:inline>
        </w:drawing>
      </w:r>
    </w:p>
    <w:p w14:paraId="1BBB6A26" w14:textId="5C9913B8" w:rsidR="006F349A" w:rsidRDefault="00767657" w:rsidP="00877544">
      <w:pPr>
        <w:pStyle w:val="Caption"/>
      </w:pPr>
      <w:bookmarkStart w:id="71" w:name="_Ref19520888"/>
      <w:r>
        <w:t xml:space="preserve">Figure </w:t>
      </w:r>
      <w:r>
        <w:fldChar w:fldCharType="begin"/>
      </w:r>
      <w:r>
        <w:instrText xml:space="preserve"> SEQ Figure \* ARABIC </w:instrText>
      </w:r>
      <w:r>
        <w:fldChar w:fldCharType="separate"/>
      </w:r>
      <w:r w:rsidR="008A6540">
        <w:rPr>
          <w:noProof/>
        </w:rPr>
        <w:t>1</w:t>
      </w:r>
      <w:r>
        <w:fldChar w:fldCharType="end"/>
      </w:r>
      <w:bookmarkEnd w:id="71"/>
      <w:r>
        <w:t>: Example illustrating two levels of DU configurations.</w:t>
      </w:r>
    </w:p>
    <w:p w14:paraId="0009B97C" w14:textId="01B04DBC" w:rsidR="00D63329" w:rsidRDefault="00D63329" w:rsidP="00D63329">
      <w:pPr>
        <w:pStyle w:val="Heading2"/>
      </w:pPr>
      <w:r>
        <w:t>DU configuration regarding multiple carrier frequencies</w:t>
      </w:r>
    </w:p>
    <w:p w14:paraId="2A4E5509" w14:textId="70D4E3B6" w:rsidR="00B62A65" w:rsidRPr="000E13CA" w:rsidRDefault="00EE5684" w:rsidP="00EE5684">
      <w:r w:rsidRPr="000E13CA">
        <w:t xml:space="preserve">A DU may correspond to multiple cells, including cells operating on different carrier frequencies. Similarly, an MT may correspond to multiple carrier frequencies. If configuring a hard DU resource means the </w:t>
      </w:r>
      <w:r w:rsidR="00C01891" w:rsidRPr="000E13CA">
        <w:t xml:space="preserve">corresponding </w:t>
      </w:r>
      <w:r w:rsidRPr="000E13CA">
        <w:t xml:space="preserve">MT resource being unavailable to the parent node on all MT carrier frequencies, it </w:t>
      </w:r>
      <w:r w:rsidR="00631FCC" w:rsidRPr="000E13CA">
        <w:t>becomes</w:t>
      </w:r>
      <w:r w:rsidRPr="000E13CA">
        <w:t xml:space="preserve"> inefficient from the resource utilization perspective. Therefore, </w:t>
      </w:r>
      <w:r w:rsidR="005B55AE" w:rsidRPr="000E13CA">
        <w:t>it has been agreed</w:t>
      </w:r>
      <w:r w:rsidR="00FB05FA">
        <w:t xml:space="preserve"> </w:t>
      </w:r>
      <w:r w:rsidR="00FB05FA">
        <w:fldChar w:fldCharType="begin"/>
      </w:r>
      <w:r w:rsidR="00FB05FA">
        <w:instrText xml:space="preserve"> REF _Ref476919366 \r \h </w:instrText>
      </w:r>
      <w:r w:rsidR="00FB05FA">
        <w:fldChar w:fldCharType="separate"/>
      </w:r>
      <w:r w:rsidR="008A6540">
        <w:t>[1]</w:t>
      </w:r>
      <w:r w:rsidR="00FB05FA">
        <w:fldChar w:fldCharType="end"/>
      </w:r>
      <w:r w:rsidR="005B55AE" w:rsidRPr="000E13CA">
        <w:t xml:space="preserve"> that the H/S/NA attributes for the per-cell DU resource configuration should </w:t>
      </w:r>
      <w:proofErr w:type="gramStart"/>
      <w:r w:rsidR="005B55AE" w:rsidRPr="000E13CA">
        <w:t>take into account</w:t>
      </w:r>
      <w:proofErr w:type="gramEnd"/>
      <w:r w:rsidR="005B55AE" w:rsidRPr="000E13CA">
        <w:t xml:space="preserve"> the associated MT carrier frequency(ies).</w:t>
      </w:r>
      <w:r w:rsidRPr="000E13CA">
        <w:t xml:space="preserve"> </w:t>
      </w:r>
    </w:p>
    <w:p w14:paraId="59987CB7" w14:textId="0B51241A" w:rsidR="00EE5684" w:rsidRDefault="00EE5684" w:rsidP="00EE5684">
      <w:r w:rsidRPr="000E13CA">
        <w:t>For example, the DU operates on carrier frequency f</w:t>
      </w:r>
      <w:r w:rsidRPr="000E13CA">
        <w:rPr>
          <w:vertAlign w:val="subscript"/>
        </w:rPr>
        <w:t>DU</w:t>
      </w:r>
      <w:r w:rsidRPr="000E13CA">
        <w:t xml:space="preserve"> while the MT operates on carrier frequencies f</w:t>
      </w:r>
      <w:r w:rsidRPr="000E13CA">
        <w:rPr>
          <w:vertAlign w:val="subscript"/>
        </w:rPr>
        <w:t>MT,1</w:t>
      </w:r>
      <w:r w:rsidRPr="000E13CA">
        <w:t xml:space="preserve"> and f</w:t>
      </w:r>
      <w:r w:rsidRPr="000E13CA">
        <w:rPr>
          <w:vertAlign w:val="subscript"/>
        </w:rPr>
        <w:t>MT,2</w:t>
      </w:r>
      <w:r w:rsidRPr="000E13CA">
        <w:t xml:space="preserve">. </w:t>
      </w:r>
      <w:r w:rsidR="007C5E95">
        <w:t xml:space="preserve">The </w:t>
      </w:r>
      <w:r w:rsidR="007C5E95" w:rsidRPr="000E13CA">
        <w:t>f</w:t>
      </w:r>
      <w:r w:rsidR="007C5E95" w:rsidRPr="000E13CA">
        <w:rPr>
          <w:vertAlign w:val="subscript"/>
        </w:rPr>
        <w:t>DU</w:t>
      </w:r>
      <w:r w:rsidR="007C5E95">
        <w:t xml:space="preserve"> may be the same as any of </w:t>
      </w:r>
      <w:r w:rsidR="007C5E95" w:rsidRPr="000E13CA">
        <w:t>f</w:t>
      </w:r>
      <w:r w:rsidR="007C5E95" w:rsidRPr="000E13CA">
        <w:rPr>
          <w:vertAlign w:val="subscript"/>
        </w:rPr>
        <w:t>MT,1</w:t>
      </w:r>
      <w:r w:rsidR="007C5E95" w:rsidRPr="000E13CA">
        <w:t xml:space="preserve"> and f</w:t>
      </w:r>
      <w:r w:rsidR="007C5E95" w:rsidRPr="000E13CA">
        <w:rPr>
          <w:vertAlign w:val="subscript"/>
        </w:rPr>
        <w:t>MT,2</w:t>
      </w:r>
      <w:r w:rsidR="007C5E95">
        <w:t>, or not</w:t>
      </w:r>
      <w:r w:rsidR="0096159D">
        <w:t xml:space="preserve"> be</w:t>
      </w:r>
      <w:r w:rsidR="007C5E95">
        <w:t xml:space="preserve"> sufficiently spaced</w:t>
      </w:r>
      <w:r w:rsidR="0096159D">
        <w:t xml:space="preserve"> from them</w:t>
      </w:r>
      <w:r w:rsidR="00FE2968">
        <w:t xml:space="preserve"> such that the half-duplex constraint needs to be considered</w:t>
      </w:r>
      <w:r w:rsidR="0096159D">
        <w:t>.</w:t>
      </w:r>
      <w:r w:rsidR="007C5E95">
        <w:t xml:space="preserve"> </w:t>
      </w:r>
      <w:r w:rsidR="00223710">
        <w:t xml:space="preserve">In this case, </w:t>
      </w:r>
      <w:r w:rsidR="00032440">
        <w:t xml:space="preserve">we </w:t>
      </w:r>
      <w:r w:rsidR="00FF0FF0">
        <w:t>consider</w:t>
      </w:r>
      <w:r w:rsidR="00032440">
        <w:t xml:space="preserve"> that the DU H/S resource types </w:t>
      </w:r>
      <w:r w:rsidR="00CA0A22">
        <w:t>should be</w:t>
      </w:r>
      <w:r w:rsidR="00032440">
        <w:t xml:space="preserve"> configured per DU cell with respect</w:t>
      </w:r>
      <w:r w:rsidR="0006448C">
        <w:t xml:space="preserve"> to each MT carrier frequency, i.e., t</w:t>
      </w:r>
      <w:r w:rsidRPr="000E13CA">
        <w:t>he DU may have a H/S configuration with respect to f</w:t>
      </w:r>
      <w:r w:rsidRPr="000E13CA">
        <w:rPr>
          <w:vertAlign w:val="subscript"/>
        </w:rPr>
        <w:t>MT,1</w:t>
      </w:r>
      <w:r w:rsidRPr="000E13CA">
        <w:t xml:space="preserve"> and potentially a different H/S configuration with respect to f</w:t>
      </w:r>
      <w:r w:rsidRPr="000E13CA">
        <w:rPr>
          <w:vertAlign w:val="subscript"/>
        </w:rPr>
        <w:t>MT,2</w:t>
      </w:r>
      <w:r w:rsidRPr="000E13CA">
        <w:t>. If the DU is configured as Hard with respect f</w:t>
      </w:r>
      <w:r w:rsidRPr="000E13CA">
        <w:rPr>
          <w:vertAlign w:val="subscript"/>
        </w:rPr>
        <w:t>MT,1</w:t>
      </w:r>
      <w:r w:rsidRPr="000E13CA">
        <w:t xml:space="preserve"> while is configured as Soft with respect f</w:t>
      </w:r>
      <w:r w:rsidRPr="000E13CA">
        <w:rPr>
          <w:vertAlign w:val="subscript"/>
        </w:rPr>
        <w:t>MT,2</w:t>
      </w:r>
      <w:r w:rsidRPr="000E13CA">
        <w:t xml:space="preserve"> within the same time resource, it means that the DU can use the time resource irrespective of its impact on MT on carrier frequency f</w:t>
      </w:r>
      <w:r w:rsidRPr="000E13CA">
        <w:rPr>
          <w:vertAlign w:val="subscript"/>
        </w:rPr>
        <w:t>MT,1</w:t>
      </w:r>
      <w:r w:rsidRPr="000E13CA">
        <w:t>, but can only use the time resource if it does not impact the MT’s ability to transmit or receive on carrier frequency f</w:t>
      </w:r>
      <w:r w:rsidRPr="000E13CA">
        <w:rPr>
          <w:vertAlign w:val="subscript"/>
        </w:rPr>
        <w:t>MT,2</w:t>
      </w:r>
      <w:r w:rsidRPr="000E13CA">
        <w:t>. By knowing such an IAB DU configuration, the parent node may assume that the MT is available on carrier frequency f</w:t>
      </w:r>
      <w:r w:rsidRPr="000E13CA">
        <w:rPr>
          <w:vertAlign w:val="subscript"/>
        </w:rPr>
        <w:t>MT,2</w:t>
      </w:r>
      <w:r w:rsidRPr="000E13CA">
        <w:t>, but is not available on carrier frequency f</w:t>
      </w:r>
      <w:r w:rsidRPr="000E13CA">
        <w:rPr>
          <w:vertAlign w:val="subscript"/>
        </w:rPr>
        <w:t>MT,1</w:t>
      </w:r>
      <w:r w:rsidRPr="000E13CA">
        <w:t>.</w:t>
      </w:r>
      <w:r>
        <w:t xml:space="preserve"> </w:t>
      </w:r>
    </w:p>
    <w:p w14:paraId="49F56726" w14:textId="43EC6A2A" w:rsidR="00EE5684" w:rsidRPr="00E75F30" w:rsidRDefault="00A377B4" w:rsidP="00EE5684">
      <w:r>
        <w:t xml:space="preserve">To facilitate such </w:t>
      </w:r>
      <w:r w:rsidR="001D7DC0">
        <w:t>configuration</w:t>
      </w:r>
      <w:r w:rsidR="00E75F30">
        <w:t>, we have the following proposals:</w:t>
      </w:r>
      <w:r w:rsidR="003D5072">
        <w:t xml:space="preserve"> </w:t>
      </w:r>
    </w:p>
    <w:p w14:paraId="453502B4" w14:textId="76741CD7" w:rsidR="00B27691" w:rsidRDefault="003855C4" w:rsidP="00104B48">
      <w:pPr>
        <w:pStyle w:val="Proposal"/>
      </w:pPr>
      <w:bookmarkStart w:id="72" w:name="_Toc21097361"/>
      <w:bookmarkStart w:id="73" w:name="_Toc21097508"/>
      <w:bookmarkStart w:id="74" w:name="_Toc21097557"/>
      <w:bookmarkStart w:id="75" w:name="_Toc21098315"/>
      <w:bookmarkStart w:id="76" w:name="_Toc19542865"/>
      <w:bookmarkStart w:id="77" w:name="_Toc19616971"/>
      <w:bookmarkStart w:id="78" w:name="_Toc19624536"/>
      <w:bookmarkStart w:id="79" w:name="_Toc19628796"/>
      <w:bookmarkStart w:id="80" w:name="_Toc19705700"/>
      <w:bookmarkStart w:id="81" w:name="_Toc19796836"/>
      <w:bookmarkStart w:id="82" w:name="_Toc19877108"/>
      <w:bookmarkStart w:id="83" w:name="_Toc19878267"/>
      <w:bookmarkStart w:id="84" w:name="_Toc19878594"/>
      <w:bookmarkStart w:id="85" w:name="_Toc20489828"/>
      <w:bookmarkStart w:id="86" w:name="_Toc20491830"/>
      <w:bookmarkStart w:id="87" w:name="_Toc20492330"/>
      <w:bookmarkStart w:id="88" w:name="_Toc20493792"/>
      <w:bookmarkStart w:id="89" w:name="_Toc20494643"/>
      <w:bookmarkStart w:id="90" w:name="_Toc20839972"/>
      <w:bookmarkStart w:id="91" w:name="_Toc20840011"/>
      <w:bookmarkStart w:id="92" w:name="_Toc20840117"/>
      <w:bookmarkStart w:id="93" w:name="_Toc20906986"/>
      <w:bookmarkStart w:id="94" w:name="_Toc20910026"/>
      <w:bookmarkStart w:id="95" w:name="_Toc20990460"/>
      <w:bookmarkStart w:id="96" w:name="_Toc20991304"/>
      <w:bookmarkStart w:id="97" w:name="_Toc20991337"/>
      <w:bookmarkStart w:id="98" w:name="_Toc20991532"/>
      <w:bookmarkStart w:id="99" w:name="_Toc20991548"/>
      <w:bookmarkStart w:id="100" w:name="_Toc20991667"/>
      <w:bookmarkStart w:id="101" w:name="_Toc20993562"/>
      <w:bookmarkStart w:id="102" w:name="_Toc21009035"/>
      <w:bookmarkStart w:id="103" w:name="_Toc21012713"/>
      <w:bookmarkStart w:id="104" w:name="_Toc21013634"/>
      <w:bookmarkStart w:id="105" w:name="_Toc21013975"/>
      <w:bookmarkStart w:id="106" w:name="_Toc21073569"/>
      <w:bookmarkStart w:id="107" w:name="_Toc21073711"/>
      <w:bookmarkStart w:id="108" w:name="_Toc21073988"/>
      <w:bookmarkStart w:id="109" w:name="_Toc21079336"/>
      <w:bookmarkStart w:id="110" w:name="_Toc21096933"/>
      <w:bookmarkStart w:id="111" w:name="_Toc21096964"/>
      <w:bookmarkStart w:id="112" w:name="_Toc21111684"/>
      <w:r>
        <w:t>The IAB</w:t>
      </w:r>
      <w:r w:rsidR="00510400">
        <w:t>-node</w:t>
      </w:r>
      <w:r>
        <w:t xml:space="preserve"> capability</w:t>
      </w:r>
      <w:r w:rsidR="00510400">
        <w:t>,</w:t>
      </w:r>
      <w:r>
        <w:t xml:space="preserve"> </w:t>
      </w:r>
      <w:r w:rsidRPr="003D5B44">
        <w:t xml:space="preserve">in terms of on what </w:t>
      </w:r>
      <w:r>
        <w:t>carrier-</w:t>
      </w:r>
      <w:r w:rsidRPr="003D5B44">
        <w:t>frequency combination</w:t>
      </w:r>
      <w:r w:rsidR="00F54C84">
        <w:t>(</w:t>
      </w:r>
      <w:r w:rsidRPr="003D5B44">
        <w:t>s</w:t>
      </w:r>
      <w:r w:rsidR="00F54C84">
        <w:t>)</w:t>
      </w:r>
      <w:r w:rsidRPr="003D5B44">
        <w:t xml:space="preserve"> </w:t>
      </w:r>
      <w:r w:rsidR="00510400">
        <w:t xml:space="preserve">the IAB node </w:t>
      </w:r>
      <w:r w:rsidR="000301A5">
        <w:t>c</w:t>
      </w:r>
      <w:r w:rsidRPr="003D5B44">
        <w:t>an</w:t>
      </w:r>
      <w:r>
        <w:t xml:space="preserve"> </w:t>
      </w:r>
      <w:r w:rsidRPr="003D5B44">
        <w:t xml:space="preserve">use </w:t>
      </w:r>
      <w:r w:rsidR="00510400">
        <w:t>its</w:t>
      </w:r>
      <w:r w:rsidRPr="003D5B44">
        <w:t xml:space="preserve"> MT and DU simultaneously</w:t>
      </w:r>
      <w:r w:rsidR="00510400">
        <w:t>,</w:t>
      </w:r>
      <w:r>
        <w:t xml:space="preserve"> </w:t>
      </w:r>
      <w:r w:rsidR="00B20AF2">
        <w:t>can be</w:t>
      </w:r>
      <w:r>
        <w:t xml:space="preserve"> provided to the </w:t>
      </w:r>
      <w:r w:rsidR="00510400">
        <w:t>donor-</w:t>
      </w:r>
      <w:r>
        <w:t>CU</w:t>
      </w:r>
      <w:r w:rsidR="00D763B0">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BC497F5" w14:textId="100D3A54" w:rsidR="004B017C" w:rsidRDefault="00D7288C" w:rsidP="00D7288C">
      <w:r>
        <w:t xml:space="preserve">The capability can even be detailed for each transmission-direction combination between the MT and DU, e.g., </w:t>
      </w:r>
      <w:r w:rsidRPr="003D5B44">
        <w:t xml:space="preserve">on what </w:t>
      </w:r>
      <w:r>
        <w:t>carrier-</w:t>
      </w:r>
      <w:r w:rsidRPr="003D5B44">
        <w:t xml:space="preserve">frequency combinations </w:t>
      </w:r>
      <w:r>
        <w:t>the IAB node</w:t>
      </w:r>
      <w:r w:rsidRPr="003D5B44">
        <w:t xml:space="preserve"> can </w:t>
      </w:r>
      <w:r>
        <w:t>do MT-RX and DU-RX, simultaneously, and so on so forth.</w:t>
      </w:r>
      <w:r w:rsidR="00F148EB">
        <w:t xml:space="preserve"> Such a capability is static regarding each IAB node, and the capability report will not require timely update. </w:t>
      </w:r>
    </w:p>
    <w:p w14:paraId="2274CA93" w14:textId="5C612CAC" w:rsidR="004D124C" w:rsidRDefault="00EF1D39" w:rsidP="000301A5">
      <w:pPr>
        <w:pStyle w:val="Proposal"/>
      </w:pPr>
      <w:bookmarkStart w:id="113" w:name="_Toc21012714"/>
      <w:bookmarkStart w:id="114" w:name="_Toc21013635"/>
      <w:bookmarkStart w:id="115" w:name="_Toc21013976"/>
      <w:bookmarkStart w:id="116" w:name="_Toc21073570"/>
      <w:bookmarkStart w:id="117" w:name="_Toc21073712"/>
      <w:bookmarkStart w:id="118" w:name="_Toc21073989"/>
      <w:bookmarkStart w:id="119" w:name="_Toc21079337"/>
      <w:bookmarkStart w:id="120" w:name="_Toc21096934"/>
      <w:bookmarkStart w:id="121" w:name="_Toc21096965"/>
      <w:bookmarkStart w:id="122" w:name="_Toc21097362"/>
      <w:bookmarkStart w:id="123" w:name="_Toc21097509"/>
      <w:bookmarkStart w:id="124" w:name="_Toc21097558"/>
      <w:bookmarkStart w:id="125" w:name="_Toc21098316"/>
      <w:bookmarkStart w:id="126" w:name="_Toc21111685"/>
      <w:r w:rsidRPr="00EF1D39">
        <w:t xml:space="preserve">For a DU/MT carrier-frequency combination where the IAB node is </w:t>
      </w:r>
      <w:r w:rsidR="00510400">
        <w:t xml:space="preserve">indicated as </w:t>
      </w:r>
      <w:r w:rsidRPr="00EF1D39">
        <w:t xml:space="preserve">capable of simultaneous DU/MT operation, DU resources </w:t>
      </w:r>
      <w:r w:rsidR="0086204C">
        <w:t xml:space="preserve">on the DU carrier frequency </w:t>
      </w:r>
      <w:r w:rsidRPr="00EF1D39">
        <w:t>are implicitly “soft” with respect to the corresponding MT carrier frequency</w:t>
      </w:r>
      <w:r w:rsidR="003D1677">
        <w:t>(ies)</w:t>
      </w:r>
      <w:r w:rsidR="006366FD">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62BC8B9" w14:textId="75F50DE1" w:rsidR="00A06E47" w:rsidRDefault="00A06E47" w:rsidP="000301A5">
      <w:pPr>
        <w:pStyle w:val="Proposal"/>
      </w:pPr>
      <w:bookmarkStart w:id="127" w:name="_Toc21079338"/>
      <w:bookmarkStart w:id="128" w:name="_Toc21097363"/>
      <w:bookmarkStart w:id="129" w:name="_Toc21097510"/>
      <w:bookmarkStart w:id="130" w:name="_Toc21097559"/>
      <w:bookmarkStart w:id="131" w:name="_Toc21098317"/>
      <w:bookmarkStart w:id="132" w:name="_Toc21012716"/>
      <w:bookmarkStart w:id="133" w:name="_Toc21013637"/>
      <w:bookmarkStart w:id="134" w:name="_Toc21013978"/>
      <w:bookmarkStart w:id="135" w:name="_Toc21073572"/>
      <w:bookmarkStart w:id="136" w:name="_Toc21073714"/>
      <w:bookmarkStart w:id="137" w:name="_Toc21073991"/>
      <w:bookmarkStart w:id="138" w:name="_Toc21079339"/>
      <w:bookmarkStart w:id="139" w:name="_Toc21096936"/>
      <w:bookmarkStart w:id="140" w:name="_Toc21096967"/>
      <w:bookmarkStart w:id="141" w:name="_Toc21097364"/>
      <w:bookmarkStart w:id="142" w:name="_Toc21097511"/>
      <w:bookmarkStart w:id="143" w:name="_Toc21097560"/>
      <w:bookmarkStart w:id="144" w:name="_Toc21098318"/>
      <w:bookmarkStart w:id="145" w:name="_Toc21111686"/>
      <w:bookmarkEnd w:id="127"/>
      <w:bookmarkEnd w:id="128"/>
      <w:bookmarkEnd w:id="129"/>
      <w:bookmarkEnd w:id="130"/>
      <w:bookmarkEnd w:id="131"/>
      <w:r w:rsidRPr="00A06E47">
        <w:t>DU Hard</w:t>
      </w:r>
      <w:r w:rsidR="00BF57C7">
        <w:t>/Soft</w:t>
      </w:r>
      <w:r w:rsidRPr="00A06E47">
        <w:t xml:space="preserve"> configuration for a given DU resource </w:t>
      </w:r>
      <w:r w:rsidR="00714602">
        <w:t>is only</w:t>
      </w:r>
      <w:r w:rsidRPr="00A06E47">
        <w:t xml:space="preserve"> provided explicitly for each DU/MT carrier-frequency combination for which the IAB node is not indicated as capable of simultaneous DU/MT operation</w:t>
      </w:r>
      <w: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 xml:space="preserve"> </w:t>
      </w:r>
    </w:p>
    <w:p w14:paraId="75C5307F" w14:textId="4B92B290" w:rsidR="00445CA9" w:rsidRDefault="008C1C8F" w:rsidP="000301A5">
      <w:pPr>
        <w:pStyle w:val="Proposal"/>
      </w:pPr>
      <w:bookmarkStart w:id="146" w:name="_Toc21012717"/>
      <w:bookmarkStart w:id="147" w:name="_Toc21013638"/>
      <w:bookmarkStart w:id="148" w:name="_Toc21013979"/>
      <w:bookmarkStart w:id="149" w:name="_Toc21073573"/>
      <w:bookmarkStart w:id="150" w:name="_Toc21073715"/>
      <w:bookmarkStart w:id="151" w:name="_Toc21073992"/>
      <w:bookmarkStart w:id="152" w:name="_Toc21079340"/>
      <w:bookmarkStart w:id="153" w:name="_Toc21096937"/>
      <w:bookmarkStart w:id="154" w:name="_Toc21096968"/>
      <w:bookmarkStart w:id="155" w:name="_Toc21097365"/>
      <w:bookmarkStart w:id="156" w:name="_Toc21097512"/>
      <w:bookmarkStart w:id="157" w:name="_Toc21097561"/>
      <w:bookmarkStart w:id="158" w:name="_Toc21098319"/>
      <w:bookmarkStart w:id="159" w:name="_Toc21111687"/>
      <w:r w:rsidRPr="00EF1D39">
        <w:t xml:space="preserve">DU resources </w:t>
      </w:r>
      <w:r w:rsidR="00CE1DC0">
        <w:t xml:space="preserve">without </w:t>
      </w:r>
      <w:r w:rsidR="00485714">
        <w:t>explicitly indicated H</w:t>
      </w:r>
      <w:r w:rsidR="00BF57C7">
        <w:t>ard</w:t>
      </w:r>
      <w:r w:rsidR="00485714">
        <w:t>/S</w:t>
      </w:r>
      <w:r w:rsidR="00BF57C7">
        <w:t>oft</w:t>
      </w:r>
      <w:r w:rsidR="00485714">
        <w:t xml:space="preserve"> resource types are implicit</w:t>
      </w:r>
      <w:r w:rsidR="00510400">
        <w:t>ly</w:t>
      </w:r>
      <w:r w:rsidR="00485714">
        <w:t xml:space="preserve"> </w:t>
      </w:r>
      <w:r w:rsidR="00485714" w:rsidRPr="00EF1D39">
        <w:t>“soft” with respect to the corresponding MT carrier frequency</w:t>
      </w:r>
      <w:r w:rsidR="003D1677">
        <w:t>(ies)</w:t>
      </w:r>
      <w:r w:rsidR="00485714">
        <w: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FFEE456" w14:textId="66835D6A" w:rsidR="00D0232C" w:rsidRDefault="00274309" w:rsidP="00F23770">
      <w:r>
        <w:t>Based on the above proposals, t</w:t>
      </w:r>
      <w:r w:rsidR="00EF5122">
        <w:t>he interpretation with respect to different</w:t>
      </w:r>
      <w:r w:rsidR="00F455C7">
        <w:t xml:space="preserve"> combinations of</w:t>
      </w:r>
      <w:r w:rsidR="000E034A">
        <w:t xml:space="preserve"> H/S </w:t>
      </w:r>
      <w:r w:rsidR="00EF5122">
        <w:t xml:space="preserve">configuration and </w:t>
      </w:r>
      <w:r w:rsidR="00F455C7">
        <w:t xml:space="preserve">IAB </w:t>
      </w:r>
      <w:r w:rsidR="00EF5122">
        <w:t xml:space="preserve">capability </w:t>
      </w:r>
      <w:r w:rsidR="008D3A4A">
        <w:t>is</w:t>
      </w:r>
      <w:r w:rsidR="00EF5122">
        <w:t xml:space="preserve"> </w:t>
      </w:r>
      <w:r w:rsidR="00F455C7">
        <w:t>summarized</w:t>
      </w:r>
      <w:r w:rsidR="00EF5122">
        <w:t xml:space="preserve"> in </w:t>
      </w:r>
      <w:r w:rsidR="0056053D">
        <w:fldChar w:fldCharType="begin"/>
      </w:r>
      <w:r w:rsidR="0056053D">
        <w:instrText xml:space="preserve"> REF _Ref21011260 \h </w:instrText>
      </w:r>
      <w:r w:rsidR="0056053D">
        <w:fldChar w:fldCharType="separate"/>
      </w:r>
      <w:r w:rsidR="008A6540">
        <w:t xml:space="preserve">Table </w:t>
      </w:r>
      <w:r w:rsidR="008A6540">
        <w:rPr>
          <w:noProof/>
        </w:rPr>
        <w:t>1</w:t>
      </w:r>
      <w:r w:rsidR="0056053D">
        <w:fldChar w:fldCharType="end"/>
      </w:r>
      <w:r w:rsidR="00EF5122">
        <w:t xml:space="preserve">. </w:t>
      </w:r>
      <w:r w:rsidR="002A2D7B">
        <w:t xml:space="preserve">It </w:t>
      </w:r>
      <w:r w:rsidR="00B040E5">
        <w:t>is</w:t>
      </w:r>
      <w:r w:rsidR="002A2D7B">
        <w:t xml:space="preserve"> observed that the DU resource will only be treated </w:t>
      </w:r>
      <w:r w:rsidR="00BA7273">
        <w:t>as hard</w:t>
      </w:r>
      <w:r w:rsidR="00F57B3C">
        <w:t>, both from the parent node and the IAB node point-of-view</w:t>
      </w:r>
      <w:r w:rsidR="00375510">
        <w:t>,</w:t>
      </w:r>
      <w:r w:rsidR="00BA7273">
        <w:t xml:space="preserve"> </w:t>
      </w:r>
      <w:r w:rsidR="005938DC">
        <w:t>when the IAB node is not capable of simultaneous DU/MT operation and the DU resource is explicated indicated</w:t>
      </w:r>
      <w:r w:rsidR="00375510">
        <w:t xml:space="preserve"> </w:t>
      </w:r>
      <w:r w:rsidR="005938DC">
        <w:t>as hard.</w:t>
      </w:r>
      <w:r w:rsidR="008D3A4A">
        <w:t xml:space="preserve"> </w:t>
      </w:r>
      <w:r w:rsidR="00D0232C">
        <w:t>When a DU resource is treated as</w:t>
      </w:r>
      <w:r w:rsidR="00287971">
        <w:t xml:space="preserve"> soft, the parent node could assume that the MT resource is available on </w:t>
      </w:r>
      <w:r w:rsidR="00894A49">
        <w:t xml:space="preserve">corresponding MT </w:t>
      </w:r>
      <w:r w:rsidR="00287971">
        <w:t>carrier frequenc</w:t>
      </w:r>
      <w:r w:rsidR="00894A49">
        <w:t>y(</w:t>
      </w:r>
      <w:r w:rsidR="00287971">
        <w:t>ies</w:t>
      </w:r>
      <w:r w:rsidR="0087444A">
        <w:t xml:space="preserve">), while the DU can use the resource </w:t>
      </w:r>
      <w:r w:rsidR="000E1503">
        <w:t>if it does not impact</w:t>
      </w:r>
      <w:r w:rsidR="00BC4C6A">
        <w:t xml:space="preserve"> the MT’s </w:t>
      </w:r>
      <w:r w:rsidR="00445530">
        <w:t>ability to transmit or receive</w:t>
      </w:r>
      <w:r w:rsidR="008E457C">
        <w:t xml:space="preserve"> on the corresponding carrier frequency(ies)</w:t>
      </w:r>
      <w:r w:rsidR="00445530">
        <w:t xml:space="preserve">. </w:t>
      </w:r>
      <w:r w:rsidR="0087444A">
        <w:t xml:space="preserve"> </w:t>
      </w:r>
      <w:r w:rsidR="009C395E" w:rsidRPr="00EF1D39">
        <w:t>For a DU/MT carrier-frequency combination where</w:t>
      </w:r>
      <w:r w:rsidR="00445530">
        <w:t xml:space="preserve"> </w:t>
      </w:r>
      <w:r w:rsidR="00445530" w:rsidRPr="00EF1D39">
        <w:t>the IAB node is capable of simultaneous DU/MT operation</w:t>
      </w:r>
      <w:r w:rsidR="00E93C4A">
        <w:t>, the latter means the DU can always use the resource.</w:t>
      </w:r>
    </w:p>
    <w:p w14:paraId="58A38E7D" w14:textId="77777777" w:rsidR="000301A5" w:rsidRDefault="000301A5" w:rsidP="00F23770"/>
    <w:p w14:paraId="630D6729" w14:textId="0F92157A" w:rsidR="00181DE6" w:rsidRDefault="00181DE6" w:rsidP="00181DE6">
      <w:pPr>
        <w:pStyle w:val="Caption"/>
      </w:pPr>
      <w:bookmarkStart w:id="160" w:name="_Ref21011260"/>
      <w:r>
        <w:lastRenderedPageBreak/>
        <w:t xml:space="preserve">Table </w:t>
      </w:r>
      <w:r>
        <w:fldChar w:fldCharType="begin"/>
      </w:r>
      <w:r>
        <w:instrText xml:space="preserve"> SEQ Table \* ARABIC </w:instrText>
      </w:r>
      <w:r>
        <w:fldChar w:fldCharType="separate"/>
      </w:r>
      <w:r w:rsidR="008A6540">
        <w:rPr>
          <w:noProof/>
        </w:rPr>
        <w:t>1</w:t>
      </w:r>
      <w:r>
        <w:fldChar w:fldCharType="end"/>
      </w:r>
      <w:bookmarkEnd w:id="160"/>
      <w:r>
        <w:t>: DU H/S configuration options</w:t>
      </w:r>
    </w:p>
    <w:tbl>
      <w:tblPr>
        <w:tblStyle w:val="TableGrid"/>
        <w:tblW w:w="0" w:type="auto"/>
        <w:jc w:val="center"/>
        <w:tblLook w:val="04A0" w:firstRow="1" w:lastRow="0" w:firstColumn="1" w:lastColumn="0" w:noHBand="0" w:noVBand="1"/>
      </w:tblPr>
      <w:tblGrid>
        <w:gridCol w:w="2689"/>
        <w:gridCol w:w="2976"/>
        <w:gridCol w:w="2977"/>
      </w:tblGrid>
      <w:tr w:rsidR="00B115EA" w:rsidRPr="001C34BF" w14:paraId="13A4B1C3" w14:textId="77777777" w:rsidTr="000301A5">
        <w:trPr>
          <w:jc w:val="center"/>
        </w:trPr>
        <w:tc>
          <w:tcPr>
            <w:tcW w:w="2689" w:type="dxa"/>
            <w:shd w:val="clear" w:color="auto" w:fill="E7E6E6" w:themeFill="background2"/>
          </w:tcPr>
          <w:p w14:paraId="252A60E7" w14:textId="77777777" w:rsidR="009A7274" w:rsidRPr="001C34BF" w:rsidRDefault="009A7274" w:rsidP="00F232DB">
            <w:pPr>
              <w:rPr>
                <w:rFonts w:cs="Arial"/>
              </w:rPr>
            </w:pPr>
          </w:p>
        </w:tc>
        <w:tc>
          <w:tcPr>
            <w:tcW w:w="2976" w:type="dxa"/>
            <w:tcBorders>
              <w:bottom w:val="single" w:sz="4" w:space="0" w:color="auto"/>
            </w:tcBorders>
            <w:shd w:val="clear" w:color="auto" w:fill="E7E6E6" w:themeFill="background2"/>
          </w:tcPr>
          <w:p w14:paraId="65D440C1" w14:textId="1A5EA2F8" w:rsidR="009A7274" w:rsidRPr="001C34BF" w:rsidRDefault="00C058CC" w:rsidP="00B115EA">
            <w:pPr>
              <w:jc w:val="left"/>
              <w:rPr>
                <w:rFonts w:cs="Arial"/>
                <w:lang w:val="en-US"/>
              </w:rPr>
            </w:pPr>
            <w:r>
              <w:rPr>
                <w:rFonts w:cs="Arial"/>
                <w:lang w:val="en-US"/>
              </w:rPr>
              <w:t>Indicated as c</w:t>
            </w:r>
            <w:r w:rsidR="009A7274" w:rsidRPr="001C34BF">
              <w:rPr>
                <w:rFonts w:cs="Arial"/>
                <w:lang w:val="en-US"/>
              </w:rPr>
              <w:t>apable of simultaneous DU/MT operation</w:t>
            </w:r>
          </w:p>
        </w:tc>
        <w:tc>
          <w:tcPr>
            <w:tcW w:w="2977" w:type="dxa"/>
            <w:shd w:val="clear" w:color="auto" w:fill="E7E6E6" w:themeFill="background2"/>
          </w:tcPr>
          <w:p w14:paraId="1AC506DB" w14:textId="792AD68B" w:rsidR="009A7274" w:rsidRPr="001C34BF" w:rsidRDefault="009A7274" w:rsidP="00B115EA">
            <w:pPr>
              <w:jc w:val="left"/>
              <w:rPr>
                <w:rFonts w:cs="Arial"/>
                <w:lang w:val="en-US"/>
              </w:rPr>
            </w:pPr>
            <w:r>
              <w:rPr>
                <w:rFonts w:cs="Arial"/>
                <w:lang w:val="en-US"/>
              </w:rPr>
              <w:t xml:space="preserve">Not </w:t>
            </w:r>
            <w:r w:rsidR="00C058CC">
              <w:rPr>
                <w:rFonts w:cs="Arial"/>
                <w:lang w:val="en-US"/>
              </w:rPr>
              <w:t xml:space="preserve">indicated as </w:t>
            </w:r>
            <w:r w:rsidRPr="001C34BF">
              <w:rPr>
                <w:rFonts w:cs="Arial"/>
                <w:lang w:val="en-US"/>
              </w:rPr>
              <w:t>capable of simultaneous DU/MT operation</w:t>
            </w:r>
          </w:p>
        </w:tc>
      </w:tr>
      <w:tr w:rsidR="009A7274" w:rsidRPr="001C34BF" w14:paraId="3AC4CAC6" w14:textId="77777777" w:rsidTr="000301A5">
        <w:trPr>
          <w:jc w:val="center"/>
        </w:trPr>
        <w:tc>
          <w:tcPr>
            <w:tcW w:w="2689" w:type="dxa"/>
            <w:shd w:val="clear" w:color="auto" w:fill="E7E6E6" w:themeFill="background2"/>
          </w:tcPr>
          <w:p w14:paraId="30445424" w14:textId="77777777" w:rsidR="009A7274" w:rsidRPr="00753CB5" w:rsidRDefault="009A7274" w:rsidP="00F232DB">
            <w:pPr>
              <w:rPr>
                <w:rFonts w:cs="Arial"/>
                <w:b/>
                <w:lang w:val="en-US"/>
              </w:rPr>
            </w:pPr>
            <w:r w:rsidRPr="00753CB5">
              <w:rPr>
                <w:rFonts w:cs="Arial"/>
                <w:b/>
                <w:lang w:val="en-US"/>
              </w:rPr>
              <w:t>DU Hard</w:t>
            </w:r>
          </w:p>
        </w:tc>
        <w:tc>
          <w:tcPr>
            <w:tcW w:w="2976" w:type="dxa"/>
            <w:tcBorders>
              <w:bottom w:val="single" w:sz="4" w:space="0" w:color="auto"/>
              <w:tl2br w:val="single" w:sz="4" w:space="0" w:color="auto"/>
            </w:tcBorders>
            <w:vAlign w:val="center"/>
          </w:tcPr>
          <w:p w14:paraId="485CBBCC" w14:textId="32536282" w:rsidR="009A7274" w:rsidRPr="001C34BF" w:rsidRDefault="009A7274" w:rsidP="00F232DB">
            <w:pPr>
              <w:jc w:val="left"/>
              <w:rPr>
                <w:rFonts w:cs="Arial"/>
                <w:lang w:val="en-US"/>
              </w:rPr>
            </w:pPr>
          </w:p>
        </w:tc>
        <w:tc>
          <w:tcPr>
            <w:tcW w:w="2977" w:type="dxa"/>
            <w:vAlign w:val="center"/>
          </w:tcPr>
          <w:p w14:paraId="289D6F55" w14:textId="31CE191B" w:rsidR="009A7274" w:rsidRPr="001C34BF" w:rsidRDefault="009A7274" w:rsidP="00F232DB">
            <w:pPr>
              <w:jc w:val="left"/>
              <w:rPr>
                <w:rFonts w:cs="Arial"/>
                <w:lang w:val="en-US"/>
              </w:rPr>
            </w:pPr>
            <w:r w:rsidRPr="001C34BF">
              <w:rPr>
                <w:rFonts w:cs="Arial"/>
                <w:lang w:val="en-US"/>
              </w:rPr>
              <w:t xml:space="preserve">DU </w:t>
            </w:r>
            <w:r w:rsidR="00DF1AE1">
              <w:rPr>
                <w:rFonts w:cs="Arial"/>
                <w:lang w:val="en-US"/>
              </w:rPr>
              <w:t xml:space="preserve">resource </w:t>
            </w:r>
            <w:r w:rsidR="00831D06">
              <w:rPr>
                <w:rFonts w:cs="Arial"/>
                <w:lang w:val="en-US"/>
              </w:rPr>
              <w:t>treated</w:t>
            </w:r>
            <w:r>
              <w:rPr>
                <w:rFonts w:cs="Arial"/>
                <w:lang w:val="en-US"/>
              </w:rPr>
              <w:t xml:space="preserve"> as h</w:t>
            </w:r>
            <w:r w:rsidRPr="001C34BF">
              <w:rPr>
                <w:rFonts w:cs="Arial"/>
                <w:lang w:val="en-US"/>
              </w:rPr>
              <w:t>ard</w:t>
            </w:r>
          </w:p>
        </w:tc>
      </w:tr>
      <w:tr w:rsidR="009A7274" w:rsidRPr="001C34BF" w14:paraId="76A4B298" w14:textId="77777777" w:rsidTr="000301A5">
        <w:trPr>
          <w:jc w:val="center"/>
        </w:trPr>
        <w:tc>
          <w:tcPr>
            <w:tcW w:w="2689" w:type="dxa"/>
            <w:shd w:val="clear" w:color="auto" w:fill="E7E6E6" w:themeFill="background2"/>
          </w:tcPr>
          <w:p w14:paraId="2AA3DEEE" w14:textId="77777777" w:rsidR="009A7274" w:rsidRPr="00753CB5" w:rsidRDefault="009A7274" w:rsidP="00F232DB">
            <w:pPr>
              <w:rPr>
                <w:rFonts w:cs="Arial"/>
                <w:b/>
                <w:lang w:val="en-US"/>
              </w:rPr>
            </w:pPr>
            <w:r w:rsidRPr="00753CB5">
              <w:rPr>
                <w:rFonts w:cs="Arial"/>
                <w:b/>
                <w:lang w:val="en-US"/>
              </w:rPr>
              <w:t xml:space="preserve">DU Soft </w:t>
            </w:r>
          </w:p>
        </w:tc>
        <w:tc>
          <w:tcPr>
            <w:tcW w:w="2976" w:type="dxa"/>
            <w:tcBorders>
              <w:tl2br w:val="single" w:sz="4" w:space="0" w:color="auto"/>
            </w:tcBorders>
            <w:vAlign w:val="center"/>
          </w:tcPr>
          <w:p w14:paraId="6BAC117F" w14:textId="7F348051" w:rsidR="009A7274" w:rsidRPr="001C34BF" w:rsidRDefault="009A7274" w:rsidP="00F232DB">
            <w:pPr>
              <w:jc w:val="left"/>
              <w:rPr>
                <w:rFonts w:cs="Arial"/>
                <w:lang w:val="en-US"/>
              </w:rPr>
            </w:pPr>
          </w:p>
        </w:tc>
        <w:tc>
          <w:tcPr>
            <w:tcW w:w="2977" w:type="dxa"/>
            <w:vAlign w:val="center"/>
          </w:tcPr>
          <w:p w14:paraId="43282874" w14:textId="489B22D7" w:rsidR="009A7274" w:rsidRPr="001C34BF" w:rsidRDefault="009A7274" w:rsidP="00F232DB">
            <w:pPr>
              <w:jc w:val="left"/>
              <w:rPr>
                <w:rFonts w:cs="Arial"/>
                <w:lang w:val="en-US"/>
              </w:rPr>
            </w:pPr>
            <w:r w:rsidRPr="001C34BF">
              <w:rPr>
                <w:rFonts w:cs="Arial"/>
                <w:lang w:val="en-US"/>
              </w:rPr>
              <w:t xml:space="preserve">DU </w:t>
            </w:r>
            <w:r w:rsidR="00DF1AE1">
              <w:rPr>
                <w:rFonts w:cs="Arial"/>
                <w:lang w:val="en-US"/>
              </w:rPr>
              <w:t>resource treated</w:t>
            </w:r>
            <w:r>
              <w:rPr>
                <w:rFonts w:cs="Arial"/>
                <w:lang w:val="en-US"/>
              </w:rPr>
              <w:t xml:space="preserve"> as soft</w:t>
            </w:r>
          </w:p>
        </w:tc>
      </w:tr>
      <w:tr w:rsidR="009A7274" w:rsidRPr="001C34BF" w14:paraId="275BF1CB" w14:textId="77777777" w:rsidTr="000301A5">
        <w:trPr>
          <w:jc w:val="center"/>
        </w:trPr>
        <w:tc>
          <w:tcPr>
            <w:tcW w:w="2689" w:type="dxa"/>
            <w:shd w:val="clear" w:color="auto" w:fill="E7E6E6" w:themeFill="background2"/>
          </w:tcPr>
          <w:p w14:paraId="276463DC" w14:textId="77777777" w:rsidR="009A7274" w:rsidRPr="00753CB5" w:rsidRDefault="009A7274" w:rsidP="00F232DB">
            <w:pPr>
              <w:rPr>
                <w:rFonts w:cs="Arial"/>
                <w:b/>
                <w:lang w:val="en-US"/>
              </w:rPr>
            </w:pPr>
            <w:r w:rsidRPr="00753CB5">
              <w:rPr>
                <w:rFonts w:cs="Arial"/>
                <w:b/>
                <w:lang w:val="en-US"/>
              </w:rPr>
              <w:t>No explicit H/S indication</w:t>
            </w:r>
          </w:p>
        </w:tc>
        <w:tc>
          <w:tcPr>
            <w:tcW w:w="2976" w:type="dxa"/>
            <w:vAlign w:val="center"/>
          </w:tcPr>
          <w:p w14:paraId="5157C577" w14:textId="47BF3633" w:rsidR="009A7274" w:rsidRPr="001C34BF" w:rsidRDefault="009A7274" w:rsidP="00F232DB">
            <w:pPr>
              <w:jc w:val="left"/>
              <w:rPr>
                <w:rFonts w:cs="Arial"/>
                <w:lang w:val="en-US"/>
              </w:rPr>
            </w:pPr>
            <w:r>
              <w:rPr>
                <w:rFonts w:cs="Arial"/>
                <w:lang w:val="en-US"/>
              </w:rPr>
              <w:t xml:space="preserve">DU </w:t>
            </w:r>
            <w:r w:rsidR="00831D06">
              <w:rPr>
                <w:rFonts w:cs="Arial"/>
                <w:lang w:val="en-US"/>
              </w:rPr>
              <w:t xml:space="preserve">resource </w:t>
            </w:r>
            <w:r>
              <w:rPr>
                <w:rFonts w:cs="Arial"/>
                <w:lang w:val="en-US"/>
              </w:rPr>
              <w:t>treated as soft</w:t>
            </w:r>
          </w:p>
        </w:tc>
        <w:tc>
          <w:tcPr>
            <w:tcW w:w="2977" w:type="dxa"/>
            <w:vAlign w:val="center"/>
          </w:tcPr>
          <w:p w14:paraId="2F3F3834" w14:textId="38318FB3" w:rsidR="009A7274" w:rsidRPr="001C34BF" w:rsidRDefault="009A7274" w:rsidP="00F232DB">
            <w:pPr>
              <w:jc w:val="left"/>
              <w:rPr>
                <w:rFonts w:cs="Arial"/>
                <w:lang w:val="en-US"/>
              </w:rPr>
            </w:pPr>
            <w:r>
              <w:rPr>
                <w:rFonts w:cs="Arial"/>
                <w:lang w:val="en-US"/>
              </w:rPr>
              <w:t xml:space="preserve">DU </w:t>
            </w:r>
            <w:r w:rsidR="00DF1AE1">
              <w:rPr>
                <w:rFonts w:cs="Arial"/>
                <w:lang w:val="en-US"/>
              </w:rPr>
              <w:t xml:space="preserve">resource </w:t>
            </w:r>
            <w:r>
              <w:rPr>
                <w:rFonts w:cs="Arial"/>
                <w:lang w:val="en-US"/>
              </w:rPr>
              <w:t>treated as soft</w:t>
            </w:r>
          </w:p>
        </w:tc>
      </w:tr>
    </w:tbl>
    <w:p w14:paraId="218AA148" w14:textId="1F7F4DB4" w:rsidR="005733EE" w:rsidRPr="0018621F" w:rsidRDefault="005733EE" w:rsidP="00F23770"/>
    <w:p w14:paraId="7D5D4ACB" w14:textId="4C93EB5E" w:rsidR="0026693A" w:rsidRDefault="00C02031" w:rsidP="00E37EC2">
      <w:pPr>
        <w:pStyle w:val="Heading2"/>
      </w:pPr>
      <w:bookmarkStart w:id="161" w:name="_Ref15563425"/>
      <w:r>
        <w:t>Timing</w:t>
      </w:r>
      <w:r w:rsidR="009605F8">
        <w:t xml:space="preserve"> </w:t>
      </w:r>
      <w:r w:rsidR="008944C8">
        <w:t>issue</w:t>
      </w:r>
      <w:r w:rsidR="00680277">
        <w:t>s</w:t>
      </w:r>
      <w:r w:rsidR="008944C8">
        <w:t xml:space="preserve"> related to the</w:t>
      </w:r>
      <w:r w:rsidR="0026693A">
        <w:t xml:space="preserve"> H/S</w:t>
      </w:r>
      <w:r w:rsidR="007E74C3">
        <w:t>/NA</w:t>
      </w:r>
      <w:bookmarkEnd w:id="161"/>
      <w:r>
        <w:t xml:space="preserve"> configuration</w:t>
      </w:r>
    </w:p>
    <w:p w14:paraId="7BFF6D52" w14:textId="159E293B" w:rsidR="00E4398F" w:rsidRDefault="003C7209" w:rsidP="0055012D">
      <w:r>
        <w:t xml:space="preserve">It has been agreed that </w:t>
      </w:r>
      <w:r w:rsidRPr="003C7209">
        <w:t>H/S/NA is applied/determined relative to the DU resource configuration (D/U/F) slot timing without considering the MT resource configuration or timing.</w:t>
      </w:r>
      <w:r w:rsidR="009202B9">
        <w:t xml:space="preserve"> </w:t>
      </w:r>
      <w:r w:rsidR="0098546D">
        <w:t xml:space="preserve">Since one slot may contain </w:t>
      </w:r>
      <w:r w:rsidR="003D1D63">
        <w:t xml:space="preserve">more than one </w:t>
      </w:r>
      <w:r w:rsidR="0075145D">
        <w:t xml:space="preserve">D/U/F </w:t>
      </w:r>
      <w:r w:rsidR="003D1D63">
        <w:t>resource type</w:t>
      </w:r>
      <w:r w:rsidR="001D18C7">
        <w:t>s</w:t>
      </w:r>
      <w:r w:rsidR="003D1D63">
        <w:t>,</w:t>
      </w:r>
      <w:r w:rsidR="001D18C7">
        <w:t xml:space="preserve"> </w:t>
      </w:r>
      <w:r w:rsidR="00730045">
        <w:t xml:space="preserve">the </w:t>
      </w:r>
      <w:r w:rsidR="00271800">
        <w:t xml:space="preserve">H/S/NA </w:t>
      </w:r>
      <w:r w:rsidR="00040943">
        <w:t xml:space="preserve">would also map to </w:t>
      </w:r>
      <w:r w:rsidR="0031131B">
        <w:t xml:space="preserve">each of the D/U/F in each slot. </w:t>
      </w:r>
      <w:r w:rsidR="003D1D63">
        <w:t xml:space="preserve"> </w:t>
      </w:r>
    </w:p>
    <w:p w14:paraId="6FA06B69" w14:textId="77777777" w:rsidR="000301A5" w:rsidRDefault="000301A5" w:rsidP="0055012D"/>
    <w:p w14:paraId="1D61E1AE" w14:textId="71D4C868" w:rsidR="00E4398F" w:rsidRDefault="00E4398F" w:rsidP="00E4398F">
      <w:pPr>
        <w:pStyle w:val="Proposal"/>
      </w:pPr>
      <w:bookmarkStart w:id="162" w:name="_Toc19521418"/>
      <w:bookmarkStart w:id="163" w:name="_Toc19542868"/>
      <w:bookmarkStart w:id="164" w:name="_Toc19616974"/>
      <w:bookmarkStart w:id="165" w:name="_Toc19624539"/>
      <w:bookmarkStart w:id="166" w:name="_Toc19628799"/>
      <w:bookmarkStart w:id="167" w:name="_Toc19705703"/>
      <w:bookmarkStart w:id="168" w:name="_Toc19796839"/>
      <w:bookmarkStart w:id="169" w:name="_Toc19877111"/>
      <w:bookmarkStart w:id="170" w:name="_Toc19878270"/>
      <w:bookmarkStart w:id="171" w:name="_Toc19878597"/>
      <w:bookmarkStart w:id="172" w:name="_Toc20489831"/>
      <w:bookmarkStart w:id="173" w:name="_Toc20491833"/>
      <w:bookmarkStart w:id="174" w:name="_Toc20492333"/>
      <w:bookmarkStart w:id="175" w:name="_Toc20493795"/>
      <w:bookmarkStart w:id="176" w:name="_Toc20494646"/>
      <w:bookmarkStart w:id="177" w:name="_Toc20839976"/>
      <w:bookmarkStart w:id="178" w:name="_Toc20840015"/>
      <w:bookmarkStart w:id="179" w:name="_Toc20840121"/>
      <w:bookmarkStart w:id="180" w:name="_Toc20906990"/>
      <w:bookmarkStart w:id="181" w:name="_Toc20910030"/>
      <w:bookmarkStart w:id="182" w:name="_Toc20990464"/>
      <w:bookmarkStart w:id="183" w:name="_Toc20991308"/>
      <w:bookmarkStart w:id="184" w:name="_Toc20991341"/>
      <w:bookmarkStart w:id="185" w:name="_Toc20991536"/>
      <w:bookmarkStart w:id="186" w:name="_Toc20991552"/>
      <w:bookmarkStart w:id="187" w:name="_Toc20991671"/>
      <w:bookmarkStart w:id="188" w:name="_Toc20993566"/>
      <w:bookmarkStart w:id="189" w:name="_Toc21009039"/>
      <w:bookmarkStart w:id="190" w:name="_Toc21012718"/>
      <w:bookmarkStart w:id="191" w:name="_Toc21013639"/>
      <w:bookmarkStart w:id="192" w:name="_Toc21013980"/>
      <w:bookmarkStart w:id="193" w:name="_Toc21073574"/>
      <w:bookmarkStart w:id="194" w:name="_Toc21073716"/>
      <w:bookmarkStart w:id="195" w:name="_Toc21073993"/>
      <w:bookmarkStart w:id="196" w:name="_Toc21079341"/>
      <w:bookmarkStart w:id="197" w:name="_Toc21096938"/>
      <w:bookmarkStart w:id="198" w:name="_Toc21096969"/>
      <w:bookmarkStart w:id="199" w:name="_Toc21097366"/>
      <w:bookmarkStart w:id="200" w:name="_Toc21097513"/>
      <w:bookmarkStart w:id="201" w:name="_Toc21097562"/>
      <w:bookmarkStart w:id="202" w:name="_Toc21098320"/>
      <w:bookmarkStart w:id="203" w:name="_Toc21111688"/>
      <w:r w:rsidRPr="005C3558">
        <w:t xml:space="preserve">H/S/NA is explicitly indicated per-resource type </w:t>
      </w:r>
      <w:r w:rsidR="00197ECE">
        <w:t>(</w:t>
      </w:r>
      <w:r w:rsidRPr="005C3558">
        <w:t>D/U/F</w:t>
      </w:r>
      <w:r w:rsidR="00197ECE">
        <w:t>)</w:t>
      </w:r>
      <w:r w:rsidR="00FB022F">
        <w:t xml:space="preserve"> in each slot</w:t>
      </w:r>
      <w: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751EF9A" w14:textId="77777777" w:rsidR="00E4398F" w:rsidRDefault="00E4398F" w:rsidP="0055012D"/>
    <w:p w14:paraId="20DB2181" w14:textId="61701E63" w:rsidR="0055012D" w:rsidRDefault="009202B9" w:rsidP="0055012D">
      <w:r>
        <w:t>Further, the</w:t>
      </w:r>
      <w:r w:rsidRPr="009202B9">
        <w:t xml:space="preserve"> parent DU should know the information about the misalignment between the MT and DU DL </w:t>
      </w:r>
      <w:r w:rsidR="00BD293F">
        <w:t>TX</w:t>
      </w:r>
      <w:r w:rsidRPr="009202B9">
        <w:t>/</w:t>
      </w:r>
      <w:r w:rsidR="00BD293F">
        <w:t>RX</w:t>
      </w:r>
      <w:r w:rsidR="00BD293F" w:rsidRPr="009202B9">
        <w:t xml:space="preserve"> </w:t>
      </w:r>
      <w:r w:rsidRPr="009202B9">
        <w:t xml:space="preserve">/ UL </w:t>
      </w:r>
      <w:r w:rsidR="00BD293F">
        <w:t>TX</w:t>
      </w:r>
      <w:r w:rsidRPr="009202B9">
        <w:t>/</w:t>
      </w:r>
      <w:r w:rsidR="00BD293F">
        <w:t>RX</w:t>
      </w:r>
      <w:r w:rsidR="00BD293F" w:rsidRPr="009202B9">
        <w:t xml:space="preserve"> </w:t>
      </w:r>
      <w:r w:rsidRPr="009202B9">
        <w:t>timing(s) in order to avoid resource type conflicts.</w:t>
      </w:r>
      <w:r w:rsidR="0055012D">
        <w:t xml:space="preserve"> Depending on different combinations of the IAB MT and DU transmission directions configured at a certain slot, as well as that of the slot </w:t>
      </w:r>
      <w:r w:rsidR="0055012D" w:rsidRPr="00DE6488">
        <w:t>right before or after</w:t>
      </w:r>
      <w:r w:rsidR="0055012D">
        <w:t xml:space="preserve"> of the slot in question, as exemplified in </w:t>
      </w:r>
      <w:r w:rsidR="0055012D">
        <w:fldChar w:fldCharType="begin"/>
      </w:r>
      <w:r w:rsidR="0055012D">
        <w:instrText xml:space="preserve"> REF _Ref19603091 \h </w:instrText>
      </w:r>
      <w:r w:rsidR="0055012D">
        <w:fldChar w:fldCharType="separate"/>
      </w:r>
      <w:r w:rsidR="008A6540">
        <w:t xml:space="preserve">Figure </w:t>
      </w:r>
      <w:r w:rsidR="008A6540">
        <w:rPr>
          <w:noProof/>
        </w:rPr>
        <w:t>2</w:t>
      </w:r>
      <w:r w:rsidR="0055012D">
        <w:fldChar w:fldCharType="end"/>
      </w:r>
      <w:r w:rsidR="0055012D">
        <w:t xml:space="preserve">, the parent node may need to know potential time-resource misalignment between the MT and DU as the IAB node measures. Different combinations </w:t>
      </w:r>
      <w:r w:rsidR="00FB158B">
        <w:t xml:space="preserve">of such time-resource misalignment </w:t>
      </w:r>
      <w:r w:rsidR="00BD32E5">
        <w:t>that involves MT-DU resource overlapp</w:t>
      </w:r>
      <w:r w:rsidR="0074053E">
        <w:t xml:space="preserve">ing </w:t>
      </w:r>
      <w:r w:rsidR="0055012D">
        <w:t xml:space="preserve">are: </w:t>
      </w:r>
    </w:p>
    <w:p w14:paraId="11A11F31" w14:textId="087ED051" w:rsidR="0055012D" w:rsidRDefault="0055012D" w:rsidP="0055012D">
      <w:pPr>
        <w:pStyle w:val="ListParagraph"/>
        <w:numPr>
          <w:ilvl w:val="0"/>
          <w:numId w:val="38"/>
        </w:numPr>
      </w:pPr>
      <w:r w:rsidRPr="004B5B8B">
        <w:t xml:space="preserve">misalignment between </w:t>
      </w:r>
      <w:r w:rsidR="00352897" w:rsidRPr="004B5B8B">
        <w:t xml:space="preserve">MT </w:t>
      </w:r>
      <w:r w:rsidR="00670FC6">
        <w:t>DL RX</w:t>
      </w:r>
      <w:r w:rsidR="00B14432">
        <w:t xml:space="preserve"> </w:t>
      </w:r>
      <w:r w:rsidRPr="004B5B8B">
        <w:t>and</w:t>
      </w:r>
      <w:r w:rsidR="00352897">
        <w:t xml:space="preserve"> </w:t>
      </w:r>
      <w:r w:rsidR="00352897" w:rsidRPr="004B5B8B">
        <w:t xml:space="preserve">DU </w:t>
      </w:r>
      <w:r w:rsidR="00670FC6">
        <w:t>DL</w:t>
      </w:r>
      <w:r w:rsidR="00352897" w:rsidRPr="004B5B8B">
        <w:t xml:space="preserve"> </w:t>
      </w:r>
      <w:r w:rsidR="00B14432">
        <w:t>TX</w:t>
      </w:r>
      <w:r w:rsidRPr="004B5B8B">
        <w:t>;</w:t>
      </w:r>
    </w:p>
    <w:p w14:paraId="6D365FA8" w14:textId="1F4B2FE2" w:rsidR="0055012D" w:rsidRDefault="0055012D" w:rsidP="0055012D">
      <w:pPr>
        <w:pStyle w:val="ListParagraph"/>
        <w:numPr>
          <w:ilvl w:val="0"/>
          <w:numId w:val="38"/>
        </w:numPr>
      </w:pPr>
      <w:r w:rsidRPr="00EF6084">
        <w:t xml:space="preserve">misalignment between DU </w:t>
      </w:r>
      <w:r w:rsidR="00B14432">
        <w:t>DL TX</w:t>
      </w:r>
      <w:r w:rsidRPr="00EF6084">
        <w:t xml:space="preserve"> and MT </w:t>
      </w:r>
      <w:r w:rsidR="00B14432">
        <w:t>UL TX</w:t>
      </w:r>
      <w:r w:rsidRPr="00EF6084">
        <w:t>;</w:t>
      </w:r>
    </w:p>
    <w:p w14:paraId="0E7DE48B" w14:textId="0CC3EB9C" w:rsidR="004073C3" w:rsidRDefault="0055012D" w:rsidP="0055012D">
      <w:pPr>
        <w:pStyle w:val="ListParagraph"/>
        <w:numPr>
          <w:ilvl w:val="0"/>
          <w:numId w:val="38"/>
        </w:numPr>
      </w:pPr>
      <w:r w:rsidRPr="00BB3C8E">
        <w:t xml:space="preserve">misalignment between </w:t>
      </w:r>
      <w:r w:rsidR="00EA1092" w:rsidRPr="00BB3C8E">
        <w:t xml:space="preserve">MT </w:t>
      </w:r>
      <w:r w:rsidR="00B14432">
        <w:t>DL RX</w:t>
      </w:r>
      <w:r w:rsidR="00EA1092">
        <w:t xml:space="preserve"> and </w:t>
      </w:r>
      <w:r w:rsidR="00EA1092" w:rsidRPr="00BB3C8E">
        <w:t xml:space="preserve">DU </w:t>
      </w:r>
      <w:r w:rsidR="00B14432">
        <w:t>UL RX</w:t>
      </w:r>
      <w:r w:rsidRPr="00BB3C8E">
        <w:t>; and</w:t>
      </w:r>
    </w:p>
    <w:p w14:paraId="059DA31A" w14:textId="050D552E" w:rsidR="003C7209" w:rsidRPr="003C7209" w:rsidRDefault="0055012D" w:rsidP="0055012D">
      <w:pPr>
        <w:pStyle w:val="ListParagraph"/>
        <w:numPr>
          <w:ilvl w:val="0"/>
          <w:numId w:val="38"/>
        </w:numPr>
      </w:pPr>
      <w:r>
        <w:t xml:space="preserve">misalignment between DU </w:t>
      </w:r>
      <w:r w:rsidR="00B14432">
        <w:t>UL RX</w:t>
      </w:r>
      <w:r>
        <w:t xml:space="preserve"> and MT </w:t>
      </w:r>
      <w:r w:rsidR="00B14432">
        <w:t>UL TX</w:t>
      </w:r>
      <w:r>
        <w:t>.</w:t>
      </w:r>
    </w:p>
    <w:p w14:paraId="5DB68EBC" w14:textId="5BE616DF" w:rsidR="0008043A" w:rsidRDefault="004C3E1B" w:rsidP="004C3E1B">
      <w:pPr>
        <w:jc w:val="center"/>
      </w:pPr>
      <w:r w:rsidRPr="004C3E1B">
        <w:rPr>
          <w:noProof/>
        </w:rPr>
        <w:drawing>
          <wp:inline distT="0" distB="0" distL="0" distR="0" wp14:anchorId="253F72AF" wp14:editId="6DCB6D1E">
            <wp:extent cx="4680000" cy="2047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0000" cy="2047955"/>
                    </a:xfrm>
                    <a:prstGeom prst="rect">
                      <a:avLst/>
                    </a:prstGeom>
                    <a:noFill/>
                    <a:ln>
                      <a:noFill/>
                    </a:ln>
                  </pic:spPr>
                </pic:pic>
              </a:graphicData>
            </a:graphic>
          </wp:inline>
        </w:drawing>
      </w:r>
    </w:p>
    <w:p w14:paraId="534F7165" w14:textId="64890294" w:rsidR="00BB3C8E" w:rsidRDefault="00C774D6" w:rsidP="004073C3">
      <w:pPr>
        <w:pStyle w:val="Caption"/>
      </w:pPr>
      <w:bookmarkStart w:id="204" w:name="_Ref19603091"/>
      <w:r>
        <w:t xml:space="preserve">Figure </w:t>
      </w:r>
      <w:r>
        <w:fldChar w:fldCharType="begin"/>
      </w:r>
      <w:r>
        <w:instrText xml:space="preserve"> SEQ Figure \* ARABIC </w:instrText>
      </w:r>
      <w:r>
        <w:fldChar w:fldCharType="separate"/>
      </w:r>
      <w:r w:rsidR="008A6540">
        <w:rPr>
          <w:noProof/>
        </w:rPr>
        <w:t>2</w:t>
      </w:r>
      <w:r>
        <w:fldChar w:fldCharType="end"/>
      </w:r>
      <w:bookmarkEnd w:id="204"/>
      <w:r>
        <w:t xml:space="preserve">: </w:t>
      </w:r>
      <w:r w:rsidRPr="00CC6323">
        <w:t xml:space="preserve">Resource availability of IAB MT and DU when the </w:t>
      </w:r>
      <w:r w:rsidRPr="00362844">
        <w:rPr>
          <w:i/>
        </w:rPr>
        <w:t>k</w:t>
      </w:r>
      <w:r w:rsidRPr="00CC6323">
        <w:t>-th slot of DU resource is configured as UL-H according to the DU slot timing.</w:t>
      </w:r>
    </w:p>
    <w:p w14:paraId="534CDB9D" w14:textId="29594823" w:rsidR="00415F87" w:rsidRDefault="00D75C5A" w:rsidP="00390E57">
      <w:r>
        <w:t xml:space="preserve">Note that the four misalignments </w:t>
      </w:r>
      <w:r w:rsidR="00E131D8">
        <w:t xml:space="preserve">are </w:t>
      </w:r>
      <w:r w:rsidR="00371E24">
        <w:t xml:space="preserve">(partly) </w:t>
      </w:r>
      <w:r w:rsidR="00E131D8">
        <w:t xml:space="preserve">based on the propagation </w:t>
      </w:r>
      <w:r w:rsidR="00894D66">
        <w:t>delay T</w:t>
      </w:r>
      <w:r w:rsidR="00894D66">
        <w:rPr>
          <w:vertAlign w:val="subscript"/>
        </w:rPr>
        <w:t>p</w:t>
      </w:r>
      <w:r w:rsidR="00894D66">
        <w:t xml:space="preserve"> between the parent node and the IAB node, the </w:t>
      </w:r>
      <w:r w:rsidR="000359A5">
        <w:t>timing advance TA at the IAB MT and the T</w:t>
      </w:r>
      <w:r w:rsidR="00C13074">
        <w:rPr>
          <w:rFonts w:cs="Arial"/>
          <w:vertAlign w:val="subscript"/>
        </w:rPr>
        <w:t>Δ</w:t>
      </w:r>
      <w:r w:rsidR="000359A5">
        <w:t xml:space="preserve"> at the IAB </w:t>
      </w:r>
      <w:r w:rsidR="00C13074">
        <w:t xml:space="preserve">DU. </w:t>
      </w:r>
    </w:p>
    <w:p w14:paraId="179868C0" w14:textId="3561A8FB" w:rsidR="00001497" w:rsidRDefault="00966A1A" w:rsidP="00001497">
      <w:pPr>
        <w:pStyle w:val="Observation"/>
      </w:pPr>
      <w:bookmarkStart w:id="205" w:name="_Toc19624531"/>
      <w:bookmarkStart w:id="206" w:name="_Toc19628791"/>
      <w:bookmarkStart w:id="207" w:name="_Toc19705695"/>
      <w:bookmarkStart w:id="208" w:name="_Toc19796832"/>
      <w:bookmarkStart w:id="209" w:name="_Toc19877104"/>
      <w:bookmarkStart w:id="210" w:name="_Toc19878262"/>
      <w:bookmarkStart w:id="211" w:name="_Toc19878590"/>
      <w:bookmarkStart w:id="212" w:name="_Toc20489824"/>
      <w:bookmarkStart w:id="213" w:name="_Toc20491826"/>
      <w:bookmarkStart w:id="214" w:name="_Toc20492326"/>
      <w:bookmarkStart w:id="215" w:name="_Toc20493788"/>
      <w:bookmarkStart w:id="216" w:name="_Toc20494639"/>
      <w:bookmarkStart w:id="217" w:name="_Toc20839968"/>
      <w:bookmarkStart w:id="218" w:name="_Toc20840007"/>
      <w:bookmarkStart w:id="219" w:name="_Toc20840113"/>
      <w:bookmarkStart w:id="220" w:name="_Toc20906982"/>
      <w:bookmarkStart w:id="221" w:name="_Toc20910022"/>
      <w:bookmarkStart w:id="222" w:name="_Toc20990456"/>
      <w:bookmarkStart w:id="223" w:name="_Toc20991300"/>
      <w:bookmarkStart w:id="224" w:name="_Toc20991333"/>
      <w:bookmarkStart w:id="225" w:name="_Toc20991528"/>
      <w:bookmarkStart w:id="226" w:name="_Toc20991544"/>
      <w:bookmarkStart w:id="227" w:name="_Toc20991663"/>
      <w:bookmarkStart w:id="228" w:name="_Toc20993558"/>
      <w:bookmarkStart w:id="229" w:name="_Toc21009031"/>
      <w:bookmarkStart w:id="230" w:name="_Toc21012707"/>
      <w:bookmarkStart w:id="231" w:name="_Toc21013628"/>
      <w:bookmarkStart w:id="232" w:name="_Toc21013969"/>
      <w:bookmarkStart w:id="233" w:name="_Toc21073563"/>
      <w:bookmarkStart w:id="234" w:name="_Toc21073705"/>
      <w:bookmarkStart w:id="235" w:name="_Toc21073982"/>
      <w:bookmarkStart w:id="236" w:name="_Toc21079330"/>
      <w:bookmarkStart w:id="237" w:name="_Toc21096927"/>
      <w:bookmarkStart w:id="238" w:name="_Toc21096958"/>
      <w:bookmarkStart w:id="239" w:name="_Toc21097355"/>
      <w:bookmarkStart w:id="240" w:name="_Toc21097502"/>
      <w:bookmarkStart w:id="241" w:name="_Toc21097551"/>
      <w:bookmarkStart w:id="242" w:name="_Toc21098309"/>
      <w:r>
        <w:t xml:space="preserve">The parent node may not </w:t>
      </w:r>
      <w:r w:rsidR="007F31CB">
        <w:t xml:space="preserve">know </w:t>
      </w:r>
      <w:r w:rsidR="0018351F">
        <w:t>the TA at the IAB MT for UL TX.</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5CBEE8E" w14:textId="4A7F03F7" w:rsidR="0018351F" w:rsidRDefault="0018351F" w:rsidP="00001497">
      <w:pPr>
        <w:pStyle w:val="Observation"/>
      </w:pPr>
      <w:bookmarkStart w:id="243" w:name="_Toc19624532"/>
      <w:bookmarkStart w:id="244" w:name="_Toc19628792"/>
      <w:bookmarkStart w:id="245" w:name="_Toc19705696"/>
      <w:bookmarkStart w:id="246" w:name="_Toc19796833"/>
      <w:bookmarkStart w:id="247" w:name="_Toc19877105"/>
      <w:bookmarkStart w:id="248" w:name="_Toc19878263"/>
      <w:bookmarkStart w:id="249" w:name="_Toc19878591"/>
      <w:bookmarkStart w:id="250" w:name="_Toc20489825"/>
      <w:bookmarkStart w:id="251" w:name="_Toc20491827"/>
      <w:bookmarkStart w:id="252" w:name="_Toc20492327"/>
      <w:bookmarkStart w:id="253" w:name="_Toc20493789"/>
      <w:bookmarkStart w:id="254" w:name="_Toc20494640"/>
      <w:bookmarkStart w:id="255" w:name="_Toc20839969"/>
      <w:bookmarkStart w:id="256" w:name="_Toc20840008"/>
      <w:bookmarkStart w:id="257" w:name="_Toc20840114"/>
      <w:bookmarkStart w:id="258" w:name="_Toc20906983"/>
      <w:bookmarkStart w:id="259" w:name="_Toc20910023"/>
      <w:bookmarkStart w:id="260" w:name="_Toc20990457"/>
      <w:bookmarkStart w:id="261" w:name="_Toc20991301"/>
      <w:bookmarkStart w:id="262" w:name="_Toc20991334"/>
      <w:bookmarkStart w:id="263" w:name="_Toc20991529"/>
      <w:bookmarkStart w:id="264" w:name="_Toc20991545"/>
      <w:bookmarkStart w:id="265" w:name="_Toc20991664"/>
      <w:bookmarkStart w:id="266" w:name="_Toc20993559"/>
      <w:bookmarkStart w:id="267" w:name="_Toc21009032"/>
      <w:bookmarkStart w:id="268" w:name="_Toc21012708"/>
      <w:bookmarkStart w:id="269" w:name="_Toc21013629"/>
      <w:bookmarkStart w:id="270" w:name="_Toc21013970"/>
      <w:bookmarkStart w:id="271" w:name="_Toc21073564"/>
      <w:bookmarkStart w:id="272" w:name="_Toc21073706"/>
      <w:bookmarkStart w:id="273" w:name="_Toc21073983"/>
      <w:bookmarkStart w:id="274" w:name="_Toc21079331"/>
      <w:bookmarkStart w:id="275" w:name="_Toc21096928"/>
      <w:bookmarkStart w:id="276" w:name="_Toc21096959"/>
      <w:bookmarkStart w:id="277" w:name="_Toc21097356"/>
      <w:bookmarkStart w:id="278" w:name="_Toc21097503"/>
      <w:bookmarkStart w:id="279" w:name="_Toc21097552"/>
      <w:bookmarkStart w:id="280" w:name="_Toc21098310"/>
      <w:r>
        <w:t xml:space="preserve">The parent node does not have information </w:t>
      </w:r>
      <w:r w:rsidR="00817E26">
        <w:t>of the T</w:t>
      </w:r>
      <w:r w:rsidR="00817E26">
        <w:rPr>
          <w:rFonts w:cs="Arial"/>
          <w:vertAlign w:val="subscript"/>
        </w:rPr>
        <w:t>Δ</w:t>
      </w:r>
      <w:r w:rsidR="00817E26">
        <w:t xml:space="preserve"> at the IAB DU.</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D43EBEB" w14:textId="0C2293BE" w:rsidR="000D25FA" w:rsidRDefault="00DD4E31" w:rsidP="00390E57">
      <w:r>
        <w:t xml:space="preserve">Based on the above observations, the parent node cannot automatically derive </w:t>
      </w:r>
      <w:proofErr w:type="gramStart"/>
      <w:r w:rsidR="00E2513B">
        <w:t>all of</w:t>
      </w:r>
      <w:proofErr w:type="gramEnd"/>
      <w:r w:rsidR="00E2513B">
        <w:t xml:space="preserve"> the misalignments </w:t>
      </w:r>
      <w:r w:rsidR="00E2513B" w:rsidRPr="009202B9">
        <w:t>between the MT and DU DL T</w:t>
      </w:r>
      <w:r w:rsidR="000872A8">
        <w:t>X</w:t>
      </w:r>
      <w:r w:rsidR="00E2513B" w:rsidRPr="009202B9">
        <w:t>/R</w:t>
      </w:r>
      <w:r w:rsidR="000872A8">
        <w:t>X</w:t>
      </w:r>
      <w:r w:rsidR="00E2513B" w:rsidRPr="009202B9">
        <w:t xml:space="preserve"> / UL T</w:t>
      </w:r>
      <w:r w:rsidR="000872A8">
        <w:t>X</w:t>
      </w:r>
      <w:r w:rsidR="00E2513B" w:rsidRPr="009202B9">
        <w:t>/R</w:t>
      </w:r>
      <w:r w:rsidR="000872A8">
        <w:t>X</w:t>
      </w:r>
      <w:r w:rsidR="00E2513B" w:rsidRPr="009202B9">
        <w:t xml:space="preserve"> timing(s)</w:t>
      </w:r>
      <w:r w:rsidR="00E2513B">
        <w:t xml:space="preserve">. </w:t>
      </w:r>
      <w:r w:rsidR="000D25FA">
        <w:t xml:space="preserve">Therefore, the </w:t>
      </w:r>
      <w:r w:rsidR="00037ACE">
        <w:t xml:space="preserve">misalignment information should be </w:t>
      </w:r>
      <w:r w:rsidR="00B14432">
        <w:t xml:space="preserve">explicitly </w:t>
      </w:r>
      <w:r w:rsidR="00037ACE">
        <w:t>provided to the parent node</w:t>
      </w:r>
      <w:r w:rsidR="006758B8">
        <w:t xml:space="preserve">. </w:t>
      </w:r>
    </w:p>
    <w:p w14:paraId="49D1C8D8" w14:textId="45FBC094" w:rsidR="00666A6F" w:rsidRDefault="00BC18D7" w:rsidP="00390E57">
      <w:pPr>
        <w:rPr>
          <w:rFonts w:cs="Arial"/>
        </w:rPr>
      </w:pPr>
      <w:r>
        <w:t>Also, if the guard time is not considered as part of the hard DU resource</w:t>
      </w:r>
      <w:r w:rsidR="00390E57">
        <w:t xml:space="preserve">, </w:t>
      </w:r>
      <w:r w:rsidR="00B302ED">
        <w:t xml:space="preserve">the misalignment values determined by the IAB </w:t>
      </w:r>
      <w:r w:rsidR="008D6287">
        <w:t xml:space="preserve">node and </w:t>
      </w:r>
      <w:r w:rsidR="00433520">
        <w:t xml:space="preserve">provided to the parent node </w:t>
      </w:r>
      <w:r w:rsidR="008D6287">
        <w:t xml:space="preserve">may even include the </w:t>
      </w:r>
      <w:r w:rsidR="006829A5" w:rsidRPr="00E84B74">
        <w:t>guard time</w:t>
      </w:r>
      <w:r w:rsidR="006829A5">
        <w:t xml:space="preserve">. For example, the </w:t>
      </w:r>
      <w:r w:rsidR="006829A5" w:rsidRPr="004B5B8B">
        <w:lastRenderedPageBreak/>
        <w:t>misalignment between MT downlink reception and</w:t>
      </w:r>
      <w:r w:rsidR="006829A5">
        <w:t xml:space="preserve"> </w:t>
      </w:r>
      <w:r w:rsidR="006829A5" w:rsidRPr="004B5B8B">
        <w:t>DU downlink transmission</w:t>
      </w:r>
      <w:r w:rsidR="00842143">
        <w:t xml:space="preserve"> may include the RX/TX switching time</w:t>
      </w:r>
      <w:r w:rsidR="005D6673">
        <w:t xml:space="preserve">. Similarly, the misalignment between DU uplink reception and MT uplink transmission may also include the RX/TX switching time. </w:t>
      </w:r>
      <w:r w:rsidR="00CA7B69">
        <w:t>By providing the corresponding misalignment values to the parent node</w:t>
      </w:r>
      <w:r w:rsidR="00120001">
        <w:t xml:space="preserve">, the IAB node </w:t>
      </w:r>
      <w:r w:rsidR="009636D3">
        <w:t>implicitly</w:t>
      </w:r>
      <w:r w:rsidR="00120001">
        <w:t xml:space="preserve"> decide</w:t>
      </w:r>
      <w:r w:rsidR="009636D3">
        <w:t>s</w:t>
      </w:r>
      <w:r w:rsidR="00C80C52">
        <w:t xml:space="preserve"> to which extent the </w:t>
      </w:r>
      <w:r w:rsidR="001741D5">
        <w:t xml:space="preserve">parent node </w:t>
      </w:r>
      <w:r w:rsidR="003F233A">
        <w:t>should</w:t>
      </w:r>
      <w:r w:rsidR="001741D5">
        <w:t xml:space="preserve"> handle the resource conflicts</w:t>
      </w:r>
      <w:r w:rsidR="00033BD1">
        <w:t xml:space="preserve">. </w:t>
      </w:r>
      <w:r w:rsidR="00055146">
        <w:t>The parent node does not need to know how the misalignment values are</w:t>
      </w:r>
      <w:r w:rsidR="00D175D3">
        <w:t xml:space="preserve"> composed</w:t>
      </w:r>
      <w:r w:rsidR="00055146">
        <w:rPr>
          <w:rFonts w:cs="Arial"/>
        </w:rPr>
        <w:t>.</w:t>
      </w:r>
      <w:r w:rsidR="00D175D3">
        <w:rPr>
          <w:rFonts w:cs="Arial"/>
        </w:rPr>
        <w:t xml:space="preserve"> </w:t>
      </w:r>
      <w:r w:rsidR="002135D4">
        <w:rPr>
          <w:rFonts w:cs="Arial"/>
        </w:rPr>
        <w:t xml:space="preserve">For example, if the misalignment values do not contain the guard time, </w:t>
      </w:r>
      <w:r w:rsidR="00D175D3">
        <w:rPr>
          <w:rFonts w:cs="Arial"/>
        </w:rPr>
        <w:t xml:space="preserve">the IAB node will handle </w:t>
      </w:r>
      <w:r w:rsidR="00C3080D">
        <w:rPr>
          <w:rFonts w:cs="Arial"/>
        </w:rPr>
        <w:t xml:space="preserve">the potential conflicts due to the guard time itself. If </w:t>
      </w:r>
      <w:r w:rsidR="008D35B0">
        <w:rPr>
          <w:rFonts w:cs="Arial"/>
        </w:rPr>
        <w:t>the parent and child links run on different panels</w:t>
      </w:r>
      <w:r w:rsidR="005A28EF">
        <w:rPr>
          <w:rFonts w:cs="Arial"/>
        </w:rPr>
        <w:t xml:space="preserve"> that </w:t>
      </w:r>
      <w:r w:rsidR="00BA5CF3">
        <w:rPr>
          <w:rFonts w:cs="Arial"/>
        </w:rPr>
        <w:t xml:space="preserve">the two links can be </w:t>
      </w:r>
      <w:r w:rsidR="00EE4234">
        <w:rPr>
          <w:rFonts w:cs="Arial"/>
        </w:rPr>
        <w:t xml:space="preserve">simultaneously received, the IAB node can even report 0 misalignment to the parent node. </w:t>
      </w:r>
    </w:p>
    <w:p w14:paraId="7BFE0769" w14:textId="5814A563" w:rsidR="00632594" w:rsidRDefault="00185981" w:rsidP="00390E57">
      <w:pPr>
        <w:rPr>
          <w:rFonts w:cs="Arial"/>
        </w:rPr>
      </w:pPr>
      <w:r>
        <w:t xml:space="preserve">From the parent node perspective, the </w:t>
      </w:r>
      <w:r>
        <w:rPr>
          <w:rFonts w:cs="Arial"/>
        </w:rPr>
        <w:t xml:space="preserve">information of the timing misalignment between IAB MT and DU can be represented in the unit of </w:t>
      </w:r>
      <w:r w:rsidRPr="00CE750B">
        <w:rPr>
          <w:rFonts w:cs="Arial"/>
          <w:i/>
        </w:rPr>
        <w:t>symbol</w:t>
      </w:r>
      <w:r>
        <w:rPr>
          <w:rFonts w:cs="Arial"/>
        </w:rPr>
        <w:t xml:space="preserve">. Because in transmission according to </w:t>
      </w:r>
      <w:r>
        <w:rPr>
          <w:rFonts w:cs="Arial"/>
        </w:rPr>
        <w:fldChar w:fldCharType="begin"/>
      </w:r>
      <w:r>
        <w:rPr>
          <w:rFonts w:cs="Arial"/>
        </w:rPr>
        <w:instrText xml:space="preserve"> REF _Ref19623977 \r \h </w:instrText>
      </w:r>
      <w:r>
        <w:rPr>
          <w:rFonts w:cs="Arial"/>
        </w:rPr>
      </w:r>
      <w:r>
        <w:rPr>
          <w:rFonts w:cs="Arial"/>
        </w:rPr>
        <w:fldChar w:fldCharType="separate"/>
      </w:r>
      <w:r w:rsidR="008A6540">
        <w:rPr>
          <w:rFonts w:cs="Arial"/>
        </w:rPr>
        <w:t>[4]</w:t>
      </w:r>
      <w:r>
        <w:rPr>
          <w:rFonts w:cs="Arial"/>
        </w:rPr>
        <w:fldChar w:fldCharType="end"/>
      </w:r>
      <w:r w:rsidR="00246D61">
        <w:rPr>
          <w:rFonts w:cs="Arial"/>
        </w:rPr>
        <w:t>, the data is carried in time units related to OFDM symbols</w:t>
      </w:r>
      <w:r w:rsidR="00DF3E95">
        <w:rPr>
          <w:rFonts w:cs="Arial"/>
        </w:rPr>
        <w:t>.</w:t>
      </w:r>
      <w:r w:rsidR="00246D61">
        <w:rPr>
          <w:rFonts w:cs="Arial"/>
        </w:rPr>
        <w:t xml:space="preserve"> </w:t>
      </w:r>
      <w:r w:rsidR="00DF3E95">
        <w:rPr>
          <w:rFonts w:cs="Arial"/>
        </w:rPr>
        <w:t>P</w:t>
      </w:r>
      <w:r w:rsidR="00246D61">
        <w:rPr>
          <w:rFonts w:cs="Arial"/>
        </w:rPr>
        <w:t xml:space="preserve">art of such a symbol being unavailable means the whole symbol is unavailable. One example is shown in </w:t>
      </w:r>
      <w:r w:rsidR="00246D61">
        <w:rPr>
          <w:rFonts w:cs="Arial"/>
        </w:rPr>
        <w:fldChar w:fldCharType="begin"/>
      </w:r>
      <w:r w:rsidR="00246D61">
        <w:rPr>
          <w:rFonts w:cs="Arial"/>
        </w:rPr>
        <w:instrText xml:space="preserve"> REF _Ref19624003 \h </w:instrText>
      </w:r>
      <w:r w:rsidR="00246D61">
        <w:rPr>
          <w:rFonts w:cs="Arial"/>
        </w:rPr>
      </w:r>
      <w:r w:rsidR="00246D61">
        <w:rPr>
          <w:rFonts w:cs="Arial"/>
        </w:rPr>
        <w:fldChar w:fldCharType="separate"/>
      </w:r>
      <w:r w:rsidR="008A6540">
        <w:t xml:space="preserve">Figure </w:t>
      </w:r>
      <w:r w:rsidR="008A6540">
        <w:rPr>
          <w:noProof/>
        </w:rPr>
        <w:t>3</w:t>
      </w:r>
      <w:r w:rsidR="00246D61">
        <w:rPr>
          <w:rFonts w:cs="Arial"/>
        </w:rPr>
        <w:fldChar w:fldCharType="end"/>
      </w:r>
      <w:r w:rsidR="00AB46E3">
        <w:rPr>
          <w:rFonts w:cs="Arial"/>
        </w:rPr>
        <w:t xml:space="preserve">. </w:t>
      </w:r>
      <w:r w:rsidR="00D83B14">
        <w:rPr>
          <w:rFonts w:cs="Arial"/>
        </w:rPr>
        <w:t xml:space="preserve">Due to the misalignment in time between the IAB MT and DU at the </w:t>
      </w:r>
      <w:r w:rsidR="00D83B14" w:rsidRPr="00B12C69">
        <w:rPr>
          <w:rFonts w:cs="Arial"/>
          <w:i/>
        </w:rPr>
        <w:t>k</w:t>
      </w:r>
      <w:r w:rsidR="00D83B14">
        <w:rPr>
          <w:rFonts w:cs="Arial"/>
        </w:rPr>
        <w:t>-th slot, the last part of the (</w:t>
      </w:r>
      <w:r w:rsidR="00D83B14" w:rsidRPr="008A4662">
        <w:rPr>
          <w:rFonts w:cs="Arial"/>
          <w:i/>
        </w:rPr>
        <w:t>k</w:t>
      </w:r>
      <w:r w:rsidR="00D83B14">
        <w:rPr>
          <w:rFonts w:cs="Arial"/>
          <w:i/>
        </w:rPr>
        <w:t>-1)</w:t>
      </w:r>
      <w:r w:rsidR="00D83B14">
        <w:rPr>
          <w:rFonts w:cs="Arial"/>
        </w:rPr>
        <w:t>-th slot of IAB MT resource will also be unavailable</w:t>
      </w:r>
      <w:r w:rsidR="00694EB8">
        <w:rPr>
          <w:rFonts w:cs="Arial"/>
        </w:rPr>
        <w:t xml:space="preserve"> if the overlapped DU resource is configured as hard</w:t>
      </w:r>
      <w:r w:rsidR="00D83B14">
        <w:rPr>
          <w:rFonts w:cs="Arial"/>
        </w:rPr>
        <w:t xml:space="preserve">. Although the misalignment duration </w:t>
      </w:r>
      <w:proofErr w:type="gramStart"/>
      <w:r w:rsidR="00D83B14">
        <w:rPr>
          <w:rFonts w:cs="Arial"/>
        </w:rPr>
        <w:t>T</w:t>
      </w:r>
      <w:r w:rsidR="008955C3">
        <w:rPr>
          <w:rFonts w:cs="Arial"/>
          <w:vertAlign w:val="subscript"/>
        </w:rPr>
        <w:t>o</w:t>
      </w:r>
      <w:proofErr w:type="gramEnd"/>
      <w:r w:rsidR="00D83B14">
        <w:rPr>
          <w:rFonts w:cs="Arial"/>
        </w:rPr>
        <w:t xml:space="preserve"> only span</w:t>
      </w:r>
      <w:r w:rsidR="00D2548D">
        <w:rPr>
          <w:rFonts w:cs="Arial"/>
        </w:rPr>
        <w:t>s</w:t>
      </w:r>
      <w:r w:rsidR="00D83B14">
        <w:rPr>
          <w:rFonts w:cs="Arial"/>
        </w:rPr>
        <w:t xml:space="preserve"> </w:t>
      </w:r>
      <w:r w:rsidR="001928CF">
        <w:rPr>
          <w:rFonts w:cs="Arial"/>
        </w:rPr>
        <w:t>one</w:t>
      </w:r>
      <w:r w:rsidR="00D83B14">
        <w:rPr>
          <w:rFonts w:cs="Arial"/>
        </w:rPr>
        <w:t xml:space="preserve"> and half symbols of the (</w:t>
      </w:r>
      <w:r w:rsidR="00D83B14" w:rsidRPr="008A4662">
        <w:rPr>
          <w:rFonts w:cs="Arial"/>
          <w:i/>
        </w:rPr>
        <w:t>k</w:t>
      </w:r>
      <w:r w:rsidR="00D83B14">
        <w:rPr>
          <w:rFonts w:cs="Arial"/>
          <w:i/>
        </w:rPr>
        <w:t>-1)</w:t>
      </w:r>
      <w:r w:rsidR="00D83B14">
        <w:rPr>
          <w:rFonts w:cs="Arial"/>
        </w:rPr>
        <w:t xml:space="preserve">-th slot, for the IAB MT, all the last </w:t>
      </w:r>
      <w:r w:rsidR="001928CF">
        <w:rPr>
          <w:rFonts w:cs="Arial"/>
        </w:rPr>
        <w:t>two</w:t>
      </w:r>
      <w:r w:rsidR="00D83B14">
        <w:rPr>
          <w:rFonts w:cs="Arial"/>
        </w:rPr>
        <w:t xml:space="preserve"> symbols of the (</w:t>
      </w:r>
      <w:r w:rsidR="00D83B14" w:rsidRPr="008A4662">
        <w:rPr>
          <w:rFonts w:cs="Arial"/>
          <w:i/>
        </w:rPr>
        <w:t>k</w:t>
      </w:r>
      <w:r w:rsidR="00D83B14">
        <w:rPr>
          <w:rFonts w:cs="Arial"/>
          <w:i/>
        </w:rPr>
        <w:t>-1)</w:t>
      </w:r>
      <w:r w:rsidR="00D83B14">
        <w:rPr>
          <w:rFonts w:cs="Arial"/>
        </w:rPr>
        <w:t>-th slot cannot be used, as indicated in</w:t>
      </w:r>
      <w:r w:rsidR="008955C3">
        <w:rPr>
          <w:rFonts w:cs="Arial"/>
        </w:rPr>
        <w:t xml:space="preserve"> </w:t>
      </w:r>
      <w:r w:rsidR="008955C3">
        <w:rPr>
          <w:rFonts w:cs="Arial"/>
        </w:rPr>
        <w:fldChar w:fldCharType="begin"/>
      </w:r>
      <w:r w:rsidR="008955C3">
        <w:rPr>
          <w:rFonts w:cs="Arial"/>
        </w:rPr>
        <w:instrText xml:space="preserve"> REF _Ref19624003 \h </w:instrText>
      </w:r>
      <w:r w:rsidR="008955C3">
        <w:rPr>
          <w:rFonts w:cs="Arial"/>
        </w:rPr>
      </w:r>
      <w:r w:rsidR="008955C3">
        <w:rPr>
          <w:rFonts w:cs="Arial"/>
        </w:rPr>
        <w:fldChar w:fldCharType="separate"/>
      </w:r>
      <w:r w:rsidR="008A6540">
        <w:t xml:space="preserve">Figure </w:t>
      </w:r>
      <w:r w:rsidR="008A6540">
        <w:rPr>
          <w:noProof/>
        </w:rPr>
        <w:t>3</w:t>
      </w:r>
      <w:r w:rsidR="008955C3">
        <w:rPr>
          <w:rFonts w:cs="Arial"/>
        </w:rPr>
        <w:fldChar w:fldCharType="end"/>
      </w:r>
      <w:r w:rsidR="00D83B14">
        <w:rPr>
          <w:rFonts w:cs="Arial"/>
        </w:rPr>
        <w:t>. So, for the parent node, the more useful information for properly handling the transmission during the (</w:t>
      </w:r>
      <w:r w:rsidR="00D83B14" w:rsidRPr="008A4662">
        <w:rPr>
          <w:rFonts w:cs="Arial"/>
          <w:i/>
        </w:rPr>
        <w:t>k</w:t>
      </w:r>
      <w:r w:rsidR="00D83B14">
        <w:rPr>
          <w:rFonts w:cs="Arial"/>
          <w:i/>
        </w:rPr>
        <w:t>-1)</w:t>
      </w:r>
      <w:r w:rsidR="00D83B14">
        <w:rPr>
          <w:rFonts w:cs="Arial"/>
        </w:rPr>
        <w:t xml:space="preserve">-th slot would be that the MT cannot receive data during the last </w:t>
      </w:r>
      <w:r w:rsidR="00571C40">
        <w:rPr>
          <w:rFonts w:cs="Arial"/>
        </w:rPr>
        <w:t>two</w:t>
      </w:r>
      <w:r w:rsidR="00D83B14">
        <w:rPr>
          <w:rFonts w:cs="Arial"/>
        </w:rPr>
        <w:t xml:space="preserve"> symbols instead of the actual value of T</w:t>
      </w:r>
      <w:r w:rsidR="008955C3">
        <w:rPr>
          <w:rFonts w:cs="Arial"/>
          <w:vertAlign w:val="subscript"/>
        </w:rPr>
        <w:t>o</w:t>
      </w:r>
      <w:r w:rsidR="00D83B14">
        <w:rPr>
          <w:rFonts w:cs="Arial"/>
        </w:rPr>
        <w:t>.</w:t>
      </w:r>
      <w:r w:rsidR="00734F58">
        <w:rPr>
          <w:rFonts w:cs="Arial"/>
        </w:rPr>
        <w:t xml:space="preserve"> </w:t>
      </w:r>
      <w:r w:rsidR="002E53EC">
        <w:rPr>
          <w:rFonts w:cs="Arial"/>
        </w:rPr>
        <w:t xml:space="preserve">Note that </w:t>
      </w:r>
      <w:r w:rsidR="00175FD8">
        <w:rPr>
          <w:rFonts w:cs="Arial"/>
        </w:rPr>
        <w:t xml:space="preserve">the misalignment value in terms of </w:t>
      </w:r>
      <w:r w:rsidR="00EE573C">
        <w:rPr>
          <w:rFonts w:cs="Arial"/>
        </w:rPr>
        <w:t xml:space="preserve">the number of symbols is conditioned </w:t>
      </w:r>
      <w:r w:rsidR="00BA7CAA">
        <w:rPr>
          <w:rFonts w:cs="Arial"/>
        </w:rPr>
        <w:t xml:space="preserve">on </w:t>
      </w:r>
      <w:r w:rsidR="00DB261C">
        <w:rPr>
          <w:rFonts w:cs="Arial"/>
        </w:rPr>
        <w:t>the numerology</w:t>
      </w:r>
      <w:r w:rsidR="009E5EE1">
        <w:rPr>
          <w:rFonts w:cs="Arial"/>
        </w:rPr>
        <w:t>, which should be considered when providing such information to the parent node.</w:t>
      </w:r>
    </w:p>
    <w:p w14:paraId="57E7D37D" w14:textId="49476DDF" w:rsidR="00F64FEA" w:rsidRDefault="00612D42" w:rsidP="00DD353B">
      <w:pPr>
        <w:jc w:val="center"/>
      </w:pPr>
      <w:r w:rsidRPr="00612D42">
        <w:rPr>
          <w:noProof/>
        </w:rPr>
        <w:drawing>
          <wp:inline distT="0" distB="0" distL="0" distR="0" wp14:anchorId="64AC5484" wp14:editId="0EA3FF59">
            <wp:extent cx="3600000" cy="1872941"/>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1872941"/>
                    </a:xfrm>
                    <a:prstGeom prst="rect">
                      <a:avLst/>
                    </a:prstGeom>
                    <a:noFill/>
                    <a:ln>
                      <a:noFill/>
                    </a:ln>
                  </pic:spPr>
                </pic:pic>
              </a:graphicData>
            </a:graphic>
          </wp:inline>
        </w:drawing>
      </w:r>
    </w:p>
    <w:p w14:paraId="6FAC4C33" w14:textId="4772B774" w:rsidR="00166DF1" w:rsidRDefault="00DD353B" w:rsidP="00DD353B">
      <w:pPr>
        <w:pStyle w:val="Caption"/>
      </w:pPr>
      <w:bookmarkStart w:id="281" w:name="_Ref19624003"/>
      <w:r>
        <w:t xml:space="preserve">Figure </w:t>
      </w:r>
      <w:r>
        <w:fldChar w:fldCharType="begin"/>
      </w:r>
      <w:r>
        <w:instrText xml:space="preserve"> SEQ Figure \* ARABIC </w:instrText>
      </w:r>
      <w:r>
        <w:fldChar w:fldCharType="separate"/>
      </w:r>
      <w:r w:rsidR="008A6540">
        <w:rPr>
          <w:noProof/>
        </w:rPr>
        <w:t>3</w:t>
      </w:r>
      <w:r>
        <w:fldChar w:fldCharType="end"/>
      </w:r>
      <w:bookmarkEnd w:id="281"/>
      <w:r>
        <w:t xml:space="preserve">: </w:t>
      </w:r>
      <w:r w:rsidRPr="00225EBD">
        <w:t>Example of available/unavailable resources in the unit of symbol</w:t>
      </w:r>
      <w:r>
        <w:t>.</w:t>
      </w:r>
    </w:p>
    <w:p w14:paraId="5262FF9A" w14:textId="75293BAB" w:rsidR="00E23AF9" w:rsidRDefault="000301A5" w:rsidP="00E23AF9">
      <w:pPr>
        <w:pStyle w:val="Proposal"/>
      </w:pPr>
      <w:bookmarkStart w:id="282" w:name="_Toc19624540"/>
      <w:bookmarkStart w:id="283" w:name="_Toc19628800"/>
      <w:bookmarkStart w:id="284" w:name="_Toc19705704"/>
      <w:bookmarkStart w:id="285" w:name="_Toc19796840"/>
      <w:bookmarkStart w:id="286" w:name="_Toc19877112"/>
      <w:bookmarkStart w:id="287" w:name="_Toc19878271"/>
      <w:bookmarkStart w:id="288" w:name="_Toc19878598"/>
      <w:bookmarkStart w:id="289" w:name="_Toc20489832"/>
      <w:bookmarkStart w:id="290" w:name="_Toc20491834"/>
      <w:bookmarkStart w:id="291" w:name="_Toc20492334"/>
      <w:bookmarkStart w:id="292" w:name="_Toc20493796"/>
      <w:bookmarkStart w:id="293" w:name="_Toc20494647"/>
      <w:bookmarkStart w:id="294" w:name="_Toc20839977"/>
      <w:bookmarkStart w:id="295" w:name="_Toc20840016"/>
      <w:bookmarkStart w:id="296" w:name="_Toc20840122"/>
      <w:bookmarkStart w:id="297" w:name="_Toc20906991"/>
      <w:bookmarkStart w:id="298" w:name="_Toc20910031"/>
      <w:bookmarkStart w:id="299" w:name="_Toc20990465"/>
      <w:bookmarkStart w:id="300" w:name="_Toc20991309"/>
      <w:bookmarkStart w:id="301" w:name="_Toc20991342"/>
      <w:bookmarkStart w:id="302" w:name="_Toc20991537"/>
      <w:bookmarkStart w:id="303" w:name="_Toc20991553"/>
      <w:bookmarkStart w:id="304" w:name="_Toc20991672"/>
      <w:bookmarkStart w:id="305" w:name="_Toc20993567"/>
      <w:bookmarkStart w:id="306" w:name="_Toc21009040"/>
      <w:bookmarkStart w:id="307" w:name="_Toc21012719"/>
      <w:bookmarkStart w:id="308" w:name="_Toc21013640"/>
      <w:bookmarkStart w:id="309" w:name="_Toc21013981"/>
      <w:bookmarkStart w:id="310" w:name="_Toc21073575"/>
      <w:bookmarkStart w:id="311" w:name="_Toc21073717"/>
      <w:bookmarkStart w:id="312" w:name="_Toc21073994"/>
      <w:bookmarkStart w:id="313" w:name="_Toc21079342"/>
      <w:bookmarkStart w:id="314" w:name="_Toc21096939"/>
      <w:bookmarkStart w:id="315" w:name="_Toc21096970"/>
      <w:bookmarkStart w:id="316" w:name="_Toc21097367"/>
      <w:bookmarkStart w:id="317" w:name="_Toc21097514"/>
      <w:bookmarkStart w:id="318" w:name="_Toc21097563"/>
      <w:bookmarkStart w:id="319" w:name="_Toc21098321"/>
      <w:bookmarkStart w:id="320" w:name="_Toc21111689"/>
      <w:r>
        <w:t>I</w:t>
      </w:r>
      <w:r w:rsidR="00A528D8" w:rsidRPr="008A6A9C">
        <w:t>nformation about the misalignment between the MT and DU DL T</w:t>
      </w:r>
      <w:r w:rsidR="00AD67DF">
        <w:t>X</w:t>
      </w:r>
      <w:r w:rsidR="00A528D8" w:rsidRPr="008A6A9C">
        <w:t>/R</w:t>
      </w:r>
      <w:r w:rsidR="00AD67DF">
        <w:t>X</w:t>
      </w:r>
      <w:r w:rsidR="00A528D8" w:rsidRPr="008A6A9C">
        <w:t xml:space="preserve"> / UL T</w:t>
      </w:r>
      <w:r w:rsidR="00AD67DF">
        <w:t>X</w:t>
      </w:r>
      <w:r w:rsidR="00A528D8" w:rsidRPr="008A6A9C">
        <w:t>/R</w:t>
      </w:r>
      <w:r w:rsidR="00AD67DF">
        <w:t>X</w:t>
      </w:r>
      <w:r w:rsidR="00A528D8" w:rsidRPr="008A6A9C">
        <w:t xml:space="preserve"> timing(s)</w:t>
      </w:r>
      <w:r w:rsidR="000D31CD">
        <w:t xml:space="preserve"> </w:t>
      </w:r>
      <w:r w:rsidR="00B14432">
        <w:t>at an IAB node can be</w:t>
      </w:r>
      <w:r w:rsidR="000D31CD">
        <w:t xml:space="preserve"> </w:t>
      </w:r>
      <w:r w:rsidR="00B14432">
        <w:t xml:space="preserve">explicitly provided from the IAB node </w:t>
      </w:r>
      <w:r w:rsidR="000D31CD">
        <w:t xml:space="preserve">to </w:t>
      </w:r>
      <w:r w:rsidR="00B14432">
        <w:t>its</w:t>
      </w:r>
      <w:r w:rsidR="000D31CD">
        <w:t xml:space="preserve"> parent node</w:t>
      </w:r>
      <w:bookmarkEnd w:id="282"/>
      <w:bookmarkEnd w:id="283"/>
      <w:bookmarkEnd w:id="284"/>
      <w:r w:rsidR="00984E95">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33DD4D3" w14:textId="57D27C4A" w:rsidR="00A6406E" w:rsidRPr="00E23AF9" w:rsidRDefault="009275FA" w:rsidP="00E23AF9">
      <w:pPr>
        <w:pStyle w:val="Proposal"/>
      </w:pPr>
      <w:bookmarkStart w:id="321" w:name="_Toc19796841"/>
      <w:bookmarkStart w:id="322" w:name="_Toc19877113"/>
      <w:bookmarkStart w:id="323" w:name="_Toc19878272"/>
      <w:bookmarkStart w:id="324" w:name="_Toc19878599"/>
      <w:bookmarkStart w:id="325" w:name="_Toc20489833"/>
      <w:bookmarkStart w:id="326" w:name="_Toc20491835"/>
      <w:bookmarkStart w:id="327" w:name="_Toc20492335"/>
      <w:bookmarkStart w:id="328" w:name="_Toc20493797"/>
      <w:bookmarkStart w:id="329" w:name="_Toc20494648"/>
      <w:bookmarkStart w:id="330" w:name="_Toc20839978"/>
      <w:bookmarkStart w:id="331" w:name="_Toc20840017"/>
      <w:bookmarkStart w:id="332" w:name="_Toc20840123"/>
      <w:bookmarkStart w:id="333" w:name="_Toc20906992"/>
      <w:bookmarkStart w:id="334" w:name="_Toc20910032"/>
      <w:bookmarkStart w:id="335" w:name="_Toc20990466"/>
      <w:bookmarkStart w:id="336" w:name="_Toc20991310"/>
      <w:bookmarkStart w:id="337" w:name="_Toc20991343"/>
      <w:bookmarkStart w:id="338" w:name="_Toc20991538"/>
      <w:bookmarkStart w:id="339" w:name="_Toc20991554"/>
      <w:bookmarkStart w:id="340" w:name="_Toc20991673"/>
      <w:bookmarkStart w:id="341" w:name="_Toc20993568"/>
      <w:bookmarkStart w:id="342" w:name="_Toc21009041"/>
      <w:bookmarkStart w:id="343" w:name="_Toc21012720"/>
      <w:bookmarkStart w:id="344" w:name="_Toc21013641"/>
      <w:bookmarkStart w:id="345" w:name="_Toc21013982"/>
      <w:bookmarkStart w:id="346" w:name="_Toc21073576"/>
      <w:bookmarkStart w:id="347" w:name="_Toc21073718"/>
      <w:bookmarkStart w:id="348" w:name="_Toc21073995"/>
      <w:bookmarkStart w:id="349" w:name="_Toc21079343"/>
      <w:bookmarkStart w:id="350" w:name="_Toc21096940"/>
      <w:bookmarkStart w:id="351" w:name="_Toc21096971"/>
      <w:bookmarkStart w:id="352" w:name="_Toc21097368"/>
      <w:bookmarkStart w:id="353" w:name="_Toc21097515"/>
      <w:bookmarkStart w:id="354" w:name="_Toc21097564"/>
      <w:bookmarkStart w:id="355" w:name="_Toc21098322"/>
      <w:bookmarkStart w:id="356" w:name="_Toc21111690"/>
      <w:r>
        <w:t xml:space="preserve">The misalignment values </w:t>
      </w:r>
      <w:r w:rsidR="00487B12">
        <w:t xml:space="preserve">are provided to the parent node in </w:t>
      </w:r>
      <w:r w:rsidR="00707DA5">
        <w:t xml:space="preserve">the unit of </w:t>
      </w:r>
      <w:r w:rsidR="00707DA5" w:rsidRPr="002B2793">
        <w:t xml:space="preserve">symbols with respect to </w:t>
      </w:r>
      <w:r w:rsidR="00810908" w:rsidRPr="002B2793">
        <w:t xml:space="preserve">different numerologies, i.e., regarding </w:t>
      </w:r>
      <w:r w:rsidR="00AF0F3C" w:rsidRPr="002B2793">
        <w:rPr>
          <w:rFonts w:cs="Arial"/>
        </w:rPr>
        <w:t>μ</w:t>
      </w:r>
      <w:r w:rsidR="00931F6B" w:rsidRPr="002B2793">
        <w:rPr>
          <w:rFonts w:cs="Arial"/>
        </w:rPr>
        <w:t>=0,1,2,3.</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931F6B">
        <w:rPr>
          <w:rFonts w:cs="Arial"/>
        </w:rPr>
        <w:t xml:space="preserve"> </w:t>
      </w:r>
    </w:p>
    <w:p w14:paraId="597216CA" w14:textId="0D3C8048" w:rsidR="00935432" w:rsidRDefault="004E6F3C" w:rsidP="00850768">
      <w:r>
        <w:t>Knowing what the unavailable MT resource is</w:t>
      </w:r>
      <w:r w:rsidDel="004E6F3C">
        <w:t xml:space="preserve"> </w:t>
      </w:r>
      <w:r w:rsidR="00647D03">
        <w:t xml:space="preserve">would </w:t>
      </w:r>
      <w:r w:rsidR="00E0775F">
        <w:t>assist</w:t>
      </w:r>
      <w:r w:rsidR="00647D03">
        <w:t xml:space="preserve"> the </w:t>
      </w:r>
      <w:r w:rsidR="00F37A85">
        <w:t>parent node scheduling and mitigate possible resource conflicts at the IAB node</w:t>
      </w:r>
      <w:r w:rsidR="00BC2D3E">
        <w:t>.</w:t>
      </w:r>
      <w:r w:rsidR="00F37A85">
        <w:t xml:space="preserve"> </w:t>
      </w:r>
      <w:r w:rsidR="00850768">
        <w:t xml:space="preserve">Specifically, </w:t>
      </w:r>
      <w:r w:rsidR="005E09F4">
        <w:t xml:space="preserve">if the IAB </w:t>
      </w:r>
      <w:r w:rsidR="005A4256">
        <w:t xml:space="preserve">DU </w:t>
      </w:r>
      <w:r w:rsidR="008370ED">
        <w:t>is configured as Flexible-Hard</w:t>
      </w:r>
      <w:r w:rsidR="002E7CC7">
        <w:t xml:space="preserve">, </w:t>
      </w:r>
      <w:r w:rsidR="00C91E1E">
        <w:t xml:space="preserve">the MT unavailable duration </w:t>
      </w:r>
      <w:r w:rsidR="00C91FF8">
        <w:t xml:space="preserve">perceived by the parent node should consider both cases if the IAB DU will </w:t>
      </w:r>
      <w:r w:rsidR="005817AD">
        <w:t>schedule</w:t>
      </w:r>
      <w:r w:rsidR="00C91FF8">
        <w:t xml:space="preserve"> DL or UL</w:t>
      </w:r>
      <w:r w:rsidR="00CC2C79">
        <w:t xml:space="preserve"> from its child nodes. </w:t>
      </w:r>
      <w:r w:rsidR="00F94EE7">
        <w:t xml:space="preserve">Therefore, </w:t>
      </w:r>
      <w:r w:rsidR="00DE4563">
        <w:t>from the parent node perspective, the duration when MT is not available is the union of DU DL slot timing and DU UL slot timing</w:t>
      </w:r>
      <w:r w:rsidR="00FC61C5">
        <w:t xml:space="preserve">, as illustrated in </w:t>
      </w:r>
      <w:r w:rsidR="00FC61C5">
        <w:fldChar w:fldCharType="begin"/>
      </w:r>
      <w:r w:rsidR="00FC61C5">
        <w:instrText xml:space="preserve"> REF _Ref15388169 \h </w:instrText>
      </w:r>
      <w:r w:rsidR="00FC61C5">
        <w:fldChar w:fldCharType="separate"/>
      </w:r>
      <w:r w:rsidR="008A6540">
        <w:t xml:space="preserve">Figure </w:t>
      </w:r>
      <w:r w:rsidR="008A6540">
        <w:rPr>
          <w:noProof/>
        </w:rPr>
        <w:t>4</w:t>
      </w:r>
      <w:r w:rsidR="00FC61C5">
        <w:fldChar w:fldCharType="end"/>
      </w:r>
      <w:r w:rsidR="00FC61C5">
        <w:t xml:space="preserve">. </w:t>
      </w:r>
    </w:p>
    <w:p w14:paraId="75562AD1" w14:textId="2108CB6C" w:rsidR="00E72D9D" w:rsidRDefault="00E72D9D" w:rsidP="00524C08">
      <w:pPr>
        <w:jc w:val="center"/>
      </w:pPr>
      <w:r w:rsidRPr="00E72D9D">
        <w:rPr>
          <w:noProof/>
        </w:rPr>
        <w:drawing>
          <wp:inline distT="0" distB="0" distL="0" distR="0" wp14:anchorId="598DD71D" wp14:editId="1ECC5C97">
            <wp:extent cx="4680000" cy="192366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80000" cy="1923660"/>
                    </a:xfrm>
                    <a:prstGeom prst="rect">
                      <a:avLst/>
                    </a:prstGeom>
                    <a:noFill/>
                    <a:ln>
                      <a:noFill/>
                    </a:ln>
                  </pic:spPr>
                </pic:pic>
              </a:graphicData>
            </a:graphic>
          </wp:inline>
        </w:drawing>
      </w:r>
    </w:p>
    <w:p w14:paraId="6970BB69" w14:textId="4A7C8BB9" w:rsidR="00E72D9D" w:rsidRDefault="000024F9" w:rsidP="000024F9">
      <w:pPr>
        <w:pStyle w:val="Caption"/>
      </w:pPr>
      <w:bookmarkStart w:id="357" w:name="_Ref15388169"/>
      <w:r>
        <w:t xml:space="preserve">Figure </w:t>
      </w:r>
      <w:r>
        <w:fldChar w:fldCharType="begin"/>
      </w:r>
      <w:r>
        <w:instrText xml:space="preserve"> SEQ Figure \* ARABIC </w:instrText>
      </w:r>
      <w:r>
        <w:fldChar w:fldCharType="separate"/>
      </w:r>
      <w:r w:rsidR="008A6540">
        <w:rPr>
          <w:noProof/>
        </w:rPr>
        <w:t>4</w:t>
      </w:r>
      <w:r>
        <w:fldChar w:fldCharType="end"/>
      </w:r>
      <w:bookmarkEnd w:id="357"/>
      <w:r>
        <w:t xml:space="preserve">: </w:t>
      </w:r>
      <w:r w:rsidRPr="00A625CA">
        <w:t xml:space="preserve">Illustration of unavailable MT duration when DU is configured as </w:t>
      </w:r>
      <w:r>
        <w:t>Flexible</w:t>
      </w:r>
      <w:r w:rsidRPr="00A625CA">
        <w:t>-Hard.</w:t>
      </w:r>
    </w:p>
    <w:p w14:paraId="59049258" w14:textId="16553CDB" w:rsidR="00BE3EB2" w:rsidRDefault="000B413E" w:rsidP="00BE3EB2">
      <w:pPr>
        <w:pStyle w:val="Proposal"/>
      </w:pPr>
      <w:bookmarkStart w:id="358" w:name="_Toc19616975"/>
      <w:bookmarkStart w:id="359" w:name="_Toc19624541"/>
      <w:bookmarkStart w:id="360" w:name="_Toc19628801"/>
      <w:bookmarkStart w:id="361" w:name="_Toc19705705"/>
      <w:bookmarkStart w:id="362" w:name="_Toc19796842"/>
      <w:bookmarkStart w:id="363" w:name="_Toc19877114"/>
      <w:bookmarkStart w:id="364" w:name="_Toc19878273"/>
      <w:bookmarkStart w:id="365" w:name="_Toc19878600"/>
      <w:bookmarkStart w:id="366" w:name="_Toc20489834"/>
      <w:bookmarkStart w:id="367" w:name="_Toc20491836"/>
      <w:bookmarkStart w:id="368" w:name="_Toc20492336"/>
      <w:bookmarkStart w:id="369" w:name="_Toc20493798"/>
      <w:bookmarkStart w:id="370" w:name="_Toc20494649"/>
      <w:bookmarkStart w:id="371" w:name="_Toc20839979"/>
      <w:bookmarkStart w:id="372" w:name="_Toc20840018"/>
      <w:bookmarkStart w:id="373" w:name="_Toc20840124"/>
      <w:bookmarkStart w:id="374" w:name="_Toc20906993"/>
      <w:bookmarkStart w:id="375" w:name="_Toc20910033"/>
      <w:bookmarkStart w:id="376" w:name="_Toc20990467"/>
      <w:bookmarkStart w:id="377" w:name="_Toc20991311"/>
      <w:bookmarkStart w:id="378" w:name="_Toc20991344"/>
      <w:bookmarkStart w:id="379" w:name="_Toc20991539"/>
      <w:bookmarkStart w:id="380" w:name="_Toc20991555"/>
      <w:bookmarkStart w:id="381" w:name="_Toc20991674"/>
      <w:bookmarkStart w:id="382" w:name="_Toc20993569"/>
      <w:bookmarkStart w:id="383" w:name="_Toc21009042"/>
      <w:bookmarkStart w:id="384" w:name="_Toc21012721"/>
      <w:bookmarkStart w:id="385" w:name="_Toc21013642"/>
      <w:bookmarkStart w:id="386" w:name="_Toc21013983"/>
      <w:bookmarkStart w:id="387" w:name="_Toc21073577"/>
      <w:bookmarkStart w:id="388" w:name="_Toc21073719"/>
      <w:bookmarkStart w:id="389" w:name="_Toc21073996"/>
      <w:bookmarkStart w:id="390" w:name="_Toc21079344"/>
      <w:bookmarkStart w:id="391" w:name="_Toc21096941"/>
      <w:bookmarkStart w:id="392" w:name="_Toc21096972"/>
      <w:bookmarkStart w:id="393" w:name="_Toc21097369"/>
      <w:bookmarkStart w:id="394" w:name="_Toc21097516"/>
      <w:bookmarkStart w:id="395" w:name="_Toc21097565"/>
      <w:bookmarkStart w:id="396" w:name="_Toc21098323"/>
      <w:bookmarkStart w:id="397" w:name="_Toc21111691"/>
      <w:r>
        <w:lastRenderedPageBreak/>
        <w:t xml:space="preserve">When the DU is configured as Flexible-Hard, </w:t>
      </w:r>
      <w:r w:rsidR="00096AF8">
        <w:t xml:space="preserve">the duration when MT is not available </w:t>
      </w:r>
      <w:r w:rsidR="00B12082">
        <w:t>is defined by the union of DU DL slot timing and DU UL slot timing.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5B4B55F" w14:textId="42D82EA3" w:rsidR="00373D3D" w:rsidRPr="00373D3D" w:rsidRDefault="00373D3D" w:rsidP="00373D3D"/>
    <w:p w14:paraId="34B5ECCA" w14:textId="29447838" w:rsidR="0026693A" w:rsidRDefault="00DE162A" w:rsidP="00FE1AB3">
      <w:pPr>
        <w:pStyle w:val="Heading1"/>
      </w:pPr>
      <w:r>
        <w:t>Explicit i</w:t>
      </w:r>
      <w:r w:rsidR="00FE1AB3">
        <w:t>ndication of the soft resource</w:t>
      </w:r>
    </w:p>
    <w:p w14:paraId="7CBDA74D" w14:textId="4127F43F" w:rsidR="00A74B35" w:rsidRDefault="00363407" w:rsidP="00A74B35">
      <w:pPr>
        <w:rPr>
          <w:highlight w:val="lightGray"/>
        </w:rPr>
      </w:pPr>
      <w:r w:rsidRPr="00871948">
        <w:t xml:space="preserve">According to </w:t>
      </w:r>
      <w:r w:rsidR="006C327A">
        <w:t xml:space="preserve">previous </w:t>
      </w:r>
      <w:r w:rsidRPr="00871948">
        <w:t xml:space="preserve">agreement, the soft resource is by default not-available if it is not (implicitly or explicitly) indicated as available. In cases that implicit indication is not detected, explicit indication is needed </w:t>
      </w:r>
      <w:r w:rsidR="000F5693" w:rsidRPr="00871948">
        <w:t xml:space="preserve">from the parent node </w:t>
      </w:r>
      <w:r w:rsidRPr="00871948">
        <w:t xml:space="preserve">for notifying the availability of certain soft DU (time-domain) resource, which may be a DL resource, an UL resource, or a Flexible resource. </w:t>
      </w:r>
      <w:r w:rsidR="007931C9" w:rsidRPr="00243F6B">
        <w:t xml:space="preserve">The parent node </w:t>
      </w:r>
      <w:r w:rsidR="00266E78">
        <w:t xml:space="preserve">may </w:t>
      </w:r>
      <w:r w:rsidR="007931C9" w:rsidRPr="00243F6B">
        <w:t xml:space="preserve">not know </w:t>
      </w:r>
      <w:r w:rsidR="003D44DE" w:rsidRPr="00243F6B">
        <w:t>the IAB node capability in terms of SDM or full-duplex</w:t>
      </w:r>
      <w:r w:rsidR="00E5216B" w:rsidRPr="00243F6B">
        <w:t xml:space="preserve">, i.e., it </w:t>
      </w:r>
      <w:r w:rsidR="00266E78">
        <w:t>may</w:t>
      </w:r>
      <w:r w:rsidR="00E5216B" w:rsidRPr="00243F6B">
        <w:t xml:space="preserve"> not know </w:t>
      </w:r>
      <w:r w:rsidR="00804A58">
        <w:t>to</w:t>
      </w:r>
      <w:r w:rsidR="00E5216B" w:rsidRPr="00243F6B">
        <w:t xml:space="preserve"> which extent the IAB DU can make use of certain resources. </w:t>
      </w:r>
      <w:r w:rsidR="00243F6B" w:rsidRPr="00243F6B">
        <w:t>So, i</w:t>
      </w:r>
      <w:r w:rsidRPr="00243F6B">
        <w:t>n practice, such explicitly indicated availability</w:t>
      </w:r>
      <w:r w:rsidR="00E9338B">
        <w:t xml:space="preserve"> to the DU</w:t>
      </w:r>
      <w:r w:rsidRPr="00243F6B">
        <w:t xml:space="preserve"> is </w:t>
      </w:r>
      <w:r w:rsidR="00FF31CC">
        <w:t xml:space="preserve">achieved by </w:t>
      </w:r>
      <w:r w:rsidRPr="00243F6B">
        <w:t>the parent node not using corresponding time-domain resource</w:t>
      </w:r>
      <w:r w:rsidR="000A4C90">
        <w:t>s</w:t>
      </w:r>
      <w:r w:rsidR="007D1AF5" w:rsidRPr="00243F6B">
        <w:t xml:space="preserve"> </w:t>
      </w:r>
      <w:r w:rsidRPr="00243F6B">
        <w:t>at the MT side.</w:t>
      </w:r>
      <w:r w:rsidR="003B5B89" w:rsidRPr="00243F6B">
        <w:t xml:space="preserve"> </w:t>
      </w:r>
      <w:r w:rsidR="003B5B89" w:rsidRPr="00871948">
        <w:t>Having the explicit indication signalled to the IAB MT about that a specific MT time resource will not be used is also in line with the agreement that the explicit indication is via L1 signalling.</w:t>
      </w:r>
    </w:p>
    <w:p w14:paraId="2459551D" w14:textId="290A5BB3" w:rsidR="006A71F0" w:rsidRDefault="00894DA8" w:rsidP="003B5B89">
      <w:pPr>
        <w:rPr>
          <w:lang w:val="en-US"/>
        </w:rPr>
      </w:pPr>
      <w:r>
        <w:rPr>
          <w:lang w:val="en-US"/>
        </w:rPr>
        <w:t xml:space="preserve">The </w:t>
      </w:r>
      <w:r w:rsidR="007D7956">
        <w:rPr>
          <w:lang w:val="en-US"/>
        </w:rPr>
        <w:t xml:space="preserve">information </w:t>
      </w:r>
      <w:r w:rsidR="00DA5B89">
        <w:rPr>
          <w:lang w:val="en-US"/>
        </w:rPr>
        <w:t>that</w:t>
      </w:r>
      <w:r w:rsidR="00DA20C7">
        <w:rPr>
          <w:lang w:val="en-US"/>
        </w:rPr>
        <w:t xml:space="preserve"> certain MT resources will not be used can be </w:t>
      </w:r>
      <w:r w:rsidR="0082269C">
        <w:rPr>
          <w:lang w:val="en-US"/>
        </w:rPr>
        <w:t xml:space="preserve">detailed </w:t>
      </w:r>
      <w:r w:rsidR="00C55C78">
        <w:rPr>
          <w:lang w:val="en-US"/>
        </w:rPr>
        <w:t>with three types:</w:t>
      </w:r>
    </w:p>
    <w:p w14:paraId="04DE66C5" w14:textId="7272E1C0" w:rsidR="004E2742" w:rsidRDefault="004E2742" w:rsidP="00C55C78">
      <w:pPr>
        <w:pStyle w:val="ListParagraph"/>
        <w:numPr>
          <w:ilvl w:val="0"/>
          <w:numId w:val="45"/>
        </w:numPr>
        <w:rPr>
          <w:lang w:val="en-US"/>
        </w:rPr>
      </w:pPr>
      <w:r>
        <w:rPr>
          <w:lang w:val="en-US"/>
        </w:rPr>
        <w:t xml:space="preserve">MT will </w:t>
      </w:r>
      <w:r w:rsidR="00D9710B">
        <w:rPr>
          <w:lang w:val="en-US"/>
        </w:rPr>
        <w:t xml:space="preserve">not be scheduled in DL </w:t>
      </w:r>
      <w:r w:rsidR="00266E78">
        <w:rPr>
          <w:lang w:val="en-US"/>
        </w:rPr>
        <w:t>nor in</w:t>
      </w:r>
      <w:r w:rsidR="00D9710B">
        <w:rPr>
          <w:lang w:val="en-US"/>
        </w:rPr>
        <w:t xml:space="preserve"> UL</w:t>
      </w:r>
      <w:r w:rsidR="00CA0B16">
        <w:rPr>
          <w:lang w:val="en-US"/>
        </w:rPr>
        <w:t>;</w:t>
      </w:r>
    </w:p>
    <w:p w14:paraId="77912C9D" w14:textId="4EC792B5" w:rsidR="00C55C78" w:rsidRDefault="00F1734F" w:rsidP="00C55C78">
      <w:pPr>
        <w:pStyle w:val="ListParagraph"/>
        <w:numPr>
          <w:ilvl w:val="0"/>
          <w:numId w:val="45"/>
        </w:numPr>
        <w:rPr>
          <w:lang w:val="en-US"/>
        </w:rPr>
      </w:pPr>
      <w:r>
        <w:rPr>
          <w:lang w:val="en-US"/>
        </w:rPr>
        <w:t xml:space="preserve">MT will not be </w:t>
      </w:r>
      <w:r w:rsidR="00D9710B">
        <w:rPr>
          <w:lang w:val="en-US"/>
        </w:rPr>
        <w:t>scheduled in</w:t>
      </w:r>
      <w:r>
        <w:rPr>
          <w:lang w:val="en-US"/>
        </w:rPr>
        <w:t xml:space="preserve"> DL;</w:t>
      </w:r>
      <w:r w:rsidR="004E2742">
        <w:rPr>
          <w:lang w:val="en-US"/>
        </w:rPr>
        <w:t xml:space="preserve"> or</w:t>
      </w:r>
    </w:p>
    <w:p w14:paraId="7E7541A1" w14:textId="52C4DAE3" w:rsidR="00F1734F" w:rsidRDefault="00F1734F" w:rsidP="00C55C78">
      <w:pPr>
        <w:pStyle w:val="ListParagraph"/>
        <w:numPr>
          <w:ilvl w:val="0"/>
          <w:numId w:val="45"/>
        </w:numPr>
        <w:rPr>
          <w:lang w:val="en-US"/>
        </w:rPr>
      </w:pPr>
      <w:r>
        <w:rPr>
          <w:lang w:val="en-US"/>
        </w:rPr>
        <w:t xml:space="preserve">MT will not be </w:t>
      </w:r>
      <w:r w:rsidR="00D9710B">
        <w:rPr>
          <w:lang w:val="en-US"/>
        </w:rPr>
        <w:t>scheduled in</w:t>
      </w:r>
      <w:r>
        <w:rPr>
          <w:lang w:val="en-US"/>
        </w:rPr>
        <w:t xml:space="preserve"> UL</w:t>
      </w:r>
      <w:r w:rsidR="004E2742">
        <w:rPr>
          <w:lang w:val="en-US"/>
        </w:rPr>
        <w:t>.</w:t>
      </w:r>
    </w:p>
    <w:p w14:paraId="666061C4" w14:textId="00D61C25" w:rsidR="00E216F7" w:rsidRDefault="00EB5091" w:rsidP="00E216F7">
      <w:pPr>
        <w:rPr>
          <w:lang w:val="en-US"/>
        </w:rPr>
      </w:pPr>
      <w:r>
        <w:rPr>
          <w:lang w:val="en-US"/>
        </w:rPr>
        <w:t xml:space="preserve">An MT resource </w:t>
      </w:r>
      <w:r w:rsidR="005439BC">
        <w:rPr>
          <w:lang w:val="en-US"/>
        </w:rPr>
        <w:t>configured</w:t>
      </w:r>
      <w:r w:rsidR="009A546D">
        <w:rPr>
          <w:lang w:val="en-US"/>
        </w:rPr>
        <w:t>/scheduled as DL</w:t>
      </w:r>
      <w:r w:rsidR="005439BC">
        <w:rPr>
          <w:lang w:val="en-US"/>
        </w:rPr>
        <w:t xml:space="preserve"> </w:t>
      </w:r>
      <w:r w:rsidR="00C1571B">
        <w:rPr>
          <w:lang w:val="en-US"/>
        </w:rPr>
        <w:t xml:space="preserve">will </w:t>
      </w:r>
      <w:r w:rsidR="00974DA5">
        <w:rPr>
          <w:lang w:val="en-US"/>
        </w:rPr>
        <w:t>not</w:t>
      </w:r>
      <w:r w:rsidR="00C1571B">
        <w:rPr>
          <w:lang w:val="en-US"/>
        </w:rPr>
        <w:t xml:space="preserve"> be over</w:t>
      </w:r>
      <w:r w:rsidR="00DD348F">
        <w:rPr>
          <w:lang w:val="en-US"/>
        </w:rPr>
        <w:t>ruled</w:t>
      </w:r>
      <w:r w:rsidR="00C1571B">
        <w:rPr>
          <w:lang w:val="en-US"/>
        </w:rPr>
        <w:t xml:space="preserve"> by type </w:t>
      </w:r>
      <w:r w:rsidR="00CA0B16">
        <w:rPr>
          <w:lang w:val="en-US"/>
        </w:rPr>
        <w:t>3</w:t>
      </w:r>
      <w:r w:rsidR="00C1571B">
        <w:rPr>
          <w:lang w:val="en-US"/>
        </w:rPr>
        <w:t xml:space="preserve">). </w:t>
      </w:r>
      <w:r w:rsidR="00C75EBE">
        <w:rPr>
          <w:lang w:val="en-US"/>
        </w:rPr>
        <w:t xml:space="preserve">An </w:t>
      </w:r>
      <w:r w:rsidR="00CE4FB1">
        <w:rPr>
          <w:lang w:val="en-US"/>
        </w:rPr>
        <w:t xml:space="preserve">MT resource </w:t>
      </w:r>
      <w:r w:rsidR="009A546D">
        <w:rPr>
          <w:lang w:val="en-US"/>
        </w:rPr>
        <w:t xml:space="preserve">configured/scheduled as UL </w:t>
      </w:r>
      <w:r w:rsidR="00CE4FB1">
        <w:rPr>
          <w:lang w:val="en-US"/>
        </w:rPr>
        <w:t>will not be over</w:t>
      </w:r>
      <w:r w:rsidR="00DD348F">
        <w:rPr>
          <w:lang w:val="en-US"/>
        </w:rPr>
        <w:t>ruled</w:t>
      </w:r>
      <w:r w:rsidR="00CE4FB1">
        <w:rPr>
          <w:lang w:val="en-US"/>
        </w:rPr>
        <w:t xml:space="preserve"> by</w:t>
      </w:r>
      <w:r w:rsidR="00DD348F">
        <w:rPr>
          <w:lang w:val="en-US"/>
        </w:rPr>
        <w:t xml:space="preserve"> type </w:t>
      </w:r>
      <w:r w:rsidR="00CA0B16">
        <w:rPr>
          <w:lang w:val="en-US"/>
        </w:rPr>
        <w:t>2</w:t>
      </w:r>
      <w:r w:rsidR="00DD348F">
        <w:rPr>
          <w:lang w:val="en-US"/>
        </w:rPr>
        <w:t>). An MT</w:t>
      </w:r>
      <w:r w:rsidR="009A546D">
        <w:rPr>
          <w:lang w:val="en-US"/>
        </w:rPr>
        <w:t xml:space="preserve"> </w:t>
      </w:r>
      <w:r w:rsidR="00DD348F">
        <w:rPr>
          <w:lang w:val="en-US"/>
        </w:rPr>
        <w:t>resource</w:t>
      </w:r>
      <w:r w:rsidR="009A546D">
        <w:rPr>
          <w:lang w:val="en-US"/>
        </w:rPr>
        <w:t xml:space="preserve"> configured as Flexible</w:t>
      </w:r>
      <w:r w:rsidR="00DD348F">
        <w:rPr>
          <w:lang w:val="en-US"/>
        </w:rPr>
        <w:t xml:space="preserve"> </w:t>
      </w:r>
      <w:r w:rsidR="00070B87">
        <w:rPr>
          <w:lang w:val="en-US"/>
        </w:rPr>
        <w:t xml:space="preserve">may be overruled by any of the three types. </w:t>
      </w:r>
      <w:r w:rsidR="00054D3B">
        <w:rPr>
          <w:lang w:val="en-US"/>
        </w:rPr>
        <w:t xml:space="preserve">Given such </w:t>
      </w:r>
      <w:r w:rsidR="00D67F24">
        <w:rPr>
          <w:lang w:val="en-US"/>
        </w:rPr>
        <w:t xml:space="preserve">information </w:t>
      </w:r>
      <w:r w:rsidR="004C51D2">
        <w:rPr>
          <w:lang w:val="en-US"/>
        </w:rPr>
        <w:t xml:space="preserve">regarding </w:t>
      </w:r>
      <w:r w:rsidR="00ED5162">
        <w:rPr>
          <w:lang w:val="en-US"/>
        </w:rPr>
        <w:t xml:space="preserve">certain MT resources, the DU part of the same IAB node can derive </w:t>
      </w:r>
      <w:r w:rsidR="00B16485">
        <w:rPr>
          <w:lang w:val="en-US"/>
        </w:rPr>
        <w:t xml:space="preserve">how </w:t>
      </w:r>
      <w:r w:rsidR="006A51AD">
        <w:rPr>
          <w:lang w:val="en-US"/>
        </w:rPr>
        <w:t xml:space="preserve">it can make use of the soft resource accordingly. </w:t>
      </w:r>
      <w:r w:rsidR="006512E1">
        <w:rPr>
          <w:lang w:val="en-US"/>
        </w:rPr>
        <w:t>For example</w:t>
      </w:r>
      <w:r w:rsidR="006512E1" w:rsidRPr="00B57509">
        <w:rPr>
          <w:lang w:val="en-US"/>
        </w:rPr>
        <w:t xml:space="preserve">, </w:t>
      </w:r>
      <w:r w:rsidR="004508B0" w:rsidRPr="00B57509">
        <w:rPr>
          <w:lang w:val="en-US"/>
        </w:rPr>
        <w:t xml:space="preserve">if </w:t>
      </w:r>
      <w:r w:rsidR="00642ED8" w:rsidRPr="00B57509">
        <w:rPr>
          <w:rStyle w:val="IvDbodytextChar"/>
          <w:sz w:val="20"/>
        </w:rPr>
        <w:t xml:space="preserve">the IAB MT configured as Flexible </w:t>
      </w:r>
      <w:r w:rsidR="00AE5843" w:rsidRPr="00B57509">
        <w:rPr>
          <w:lang w:val="en-US"/>
        </w:rPr>
        <w:t xml:space="preserve">is </w:t>
      </w:r>
      <w:r w:rsidR="00B57509">
        <w:rPr>
          <w:lang w:val="en-US"/>
        </w:rPr>
        <w:t>informed</w:t>
      </w:r>
      <w:r w:rsidR="00AE5843" w:rsidRPr="00B57509">
        <w:rPr>
          <w:lang w:val="en-US"/>
        </w:rPr>
        <w:t xml:space="preserve"> </w:t>
      </w:r>
      <w:r w:rsidR="00372F5D" w:rsidRPr="00B57509">
        <w:rPr>
          <w:lang w:val="en-US"/>
        </w:rPr>
        <w:t xml:space="preserve">that it will not be </w:t>
      </w:r>
      <w:r w:rsidR="003350C8">
        <w:rPr>
          <w:lang w:val="en-US"/>
        </w:rPr>
        <w:t>scheduled in</w:t>
      </w:r>
      <w:r w:rsidR="00372F5D" w:rsidRPr="00B57509">
        <w:rPr>
          <w:lang w:val="en-US"/>
        </w:rPr>
        <w:t xml:space="preserve"> </w:t>
      </w:r>
      <w:r w:rsidR="00D767D8" w:rsidRPr="00B57509">
        <w:rPr>
          <w:lang w:val="en-US"/>
        </w:rPr>
        <w:t>DL</w:t>
      </w:r>
      <w:r w:rsidR="00FB5C1D">
        <w:rPr>
          <w:lang w:val="en-US"/>
        </w:rPr>
        <w:t xml:space="preserve"> during certain </w:t>
      </w:r>
      <w:r w:rsidR="008D4116">
        <w:rPr>
          <w:lang w:val="en-US"/>
        </w:rPr>
        <w:t xml:space="preserve">time </w:t>
      </w:r>
      <w:r w:rsidR="00FB5C1D">
        <w:rPr>
          <w:lang w:val="en-US"/>
        </w:rPr>
        <w:t>resource</w:t>
      </w:r>
      <w:r w:rsidR="006D0459" w:rsidRPr="00B57509">
        <w:rPr>
          <w:lang w:val="en-US"/>
        </w:rPr>
        <w:t xml:space="preserve">, </w:t>
      </w:r>
      <w:r w:rsidR="001A13AF" w:rsidRPr="00B57509">
        <w:rPr>
          <w:lang w:val="en-US"/>
        </w:rPr>
        <w:t xml:space="preserve">the </w:t>
      </w:r>
      <w:r w:rsidR="00CF7C73" w:rsidRPr="00B57509">
        <w:rPr>
          <w:lang w:val="en-US"/>
        </w:rPr>
        <w:t>IAB DU may use that re</w:t>
      </w:r>
      <w:r w:rsidR="00CF7C73">
        <w:rPr>
          <w:lang w:val="en-US"/>
        </w:rPr>
        <w:t>source for its DL transmission</w:t>
      </w:r>
      <w:r w:rsidR="00AD54C3">
        <w:rPr>
          <w:lang w:val="en-US"/>
        </w:rPr>
        <w:t xml:space="preserve"> if it can </w:t>
      </w:r>
      <w:r w:rsidR="00EA4ACC">
        <w:rPr>
          <w:lang w:val="en-US"/>
        </w:rPr>
        <w:t>transmit from the MT and DU simultaneously</w:t>
      </w:r>
      <w:r w:rsidR="0080327B">
        <w:rPr>
          <w:lang w:val="en-US"/>
        </w:rPr>
        <w:t>.</w:t>
      </w:r>
      <w:r w:rsidR="00CE4FB1">
        <w:rPr>
          <w:lang w:val="en-US"/>
        </w:rPr>
        <w:t xml:space="preserve"> </w:t>
      </w:r>
    </w:p>
    <w:p w14:paraId="6BCD9ECD" w14:textId="0346AF6E" w:rsidR="002E3830" w:rsidRPr="002E3830" w:rsidRDefault="002E3830" w:rsidP="00E216F7">
      <w:pPr>
        <w:pStyle w:val="Proposal"/>
      </w:pPr>
      <w:bookmarkStart w:id="398" w:name="_Toc15646211"/>
      <w:bookmarkStart w:id="399" w:name="_Toc15907784"/>
      <w:bookmarkStart w:id="400" w:name="_Toc16247068"/>
      <w:bookmarkStart w:id="401" w:name="_Toc16253757"/>
      <w:bookmarkStart w:id="402" w:name="_Toc18584793"/>
      <w:bookmarkStart w:id="403" w:name="_Toc19521420"/>
      <w:bookmarkStart w:id="404" w:name="_Toc19542870"/>
      <w:bookmarkStart w:id="405" w:name="_Toc19616977"/>
      <w:bookmarkStart w:id="406" w:name="_Toc19624543"/>
      <w:bookmarkStart w:id="407" w:name="_Toc19628802"/>
      <w:bookmarkStart w:id="408" w:name="_Toc19705706"/>
      <w:bookmarkStart w:id="409" w:name="_Toc19796843"/>
      <w:bookmarkStart w:id="410" w:name="_Toc19877115"/>
      <w:bookmarkStart w:id="411" w:name="_Toc19878274"/>
      <w:bookmarkStart w:id="412" w:name="_Toc19878601"/>
      <w:bookmarkStart w:id="413" w:name="_Toc20489835"/>
      <w:bookmarkStart w:id="414" w:name="_Toc20491837"/>
      <w:bookmarkStart w:id="415" w:name="_Toc20492337"/>
      <w:bookmarkStart w:id="416" w:name="_Toc20493799"/>
      <w:bookmarkStart w:id="417" w:name="_Toc20494650"/>
      <w:bookmarkStart w:id="418" w:name="_Toc20839980"/>
      <w:bookmarkStart w:id="419" w:name="_Toc20840019"/>
      <w:bookmarkStart w:id="420" w:name="_Toc20840125"/>
      <w:bookmarkStart w:id="421" w:name="_Toc20906994"/>
      <w:bookmarkStart w:id="422" w:name="_Toc20910034"/>
      <w:bookmarkStart w:id="423" w:name="_Toc20990468"/>
      <w:bookmarkStart w:id="424" w:name="_Toc20991312"/>
      <w:bookmarkStart w:id="425" w:name="_Toc20991345"/>
      <w:bookmarkStart w:id="426" w:name="_Toc20991540"/>
      <w:bookmarkStart w:id="427" w:name="_Toc20991556"/>
      <w:bookmarkStart w:id="428" w:name="_Toc20991675"/>
      <w:bookmarkStart w:id="429" w:name="_Toc20993570"/>
      <w:bookmarkStart w:id="430" w:name="_Toc21009043"/>
      <w:bookmarkStart w:id="431" w:name="_Toc21012722"/>
      <w:bookmarkStart w:id="432" w:name="_Toc21013643"/>
      <w:bookmarkStart w:id="433" w:name="_Toc21013984"/>
      <w:bookmarkStart w:id="434" w:name="_Toc21073578"/>
      <w:bookmarkStart w:id="435" w:name="_Toc21073720"/>
      <w:bookmarkStart w:id="436" w:name="_Toc21073997"/>
      <w:bookmarkStart w:id="437" w:name="_Toc21079345"/>
      <w:bookmarkStart w:id="438" w:name="_Toc21096942"/>
      <w:bookmarkStart w:id="439" w:name="_Toc21096973"/>
      <w:bookmarkStart w:id="440" w:name="_Toc21097370"/>
      <w:bookmarkStart w:id="441" w:name="_Toc21097517"/>
      <w:bookmarkStart w:id="442" w:name="_Toc21097566"/>
      <w:bookmarkStart w:id="443" w:name="_Toc21098324"/>
      <w:bookmarkStart w:id="444" w:name="_Toc21111692"/>
      <w:bookmarkStart w:id="445" w:name="_Toc16606627"/>
      <w:bookmarkStart w:id="446" w:name="_Toc16606733"/>
      <w:bookmarkStart w:id="447" w:name="_Toc16671978"/>
      <w:bookmarkStart w:id="448" w:name="_Toc16753585"/>
      <w:bookmarkStart w:id="449" w:name="_Toc16758355"/>
      <w:bookmarkStart w:id="450" w:name="_Toc16839113"/>
      <w:bookmarkStart w:id="451" w:name="_Toc16843111"/>
      <w:bookmarkStart w:id="452" w:name="_Toc16857517"/>
      <w:r w:rsidRPr="00480234">
        <w:t>The explicit indication for soft resources indicate</w:t>
      </w:r>
      <w:r w:rsidR="0011204D">
        <w:t>s</w:t>
      </w:r>
      <w:r w:rsidRPr="00480234">
        <w:t xml:space="preserve"> </w:t>
      </w:r>
      <w:r w:rsidR="0011204D">
        <w:t xml:space="preserve">that </w:t>
      </w:r>
      <w:r w:rsidRPr="00480234">
        <w:t xml:space="preserve">certain resources are “IA” for the child DU by explicitly informing the IAB node that </w:t>
      </w:r>
      <w:r w:rsidR="005B69DE">
        <w:t xml:space="preserve">the corresponding </w:t>
      </w:r>
      <w:r w:rsidR="00204E9B">
        <w:t>resource</w:t>
      </w:r>
      <w:r w:rsidR="005B69DE">
        <w:t>s</w:t>
      </w:r>
      <w:r w:rsidR="00204E9B">
        <w:t xml:space="preserve"> will not be scheduled </w:t>
      </w:r>
      <w:r w:rsidR="0011204D">
        <w:t>for</w:t>
      </w:r>
      <w:r w:rsidR="00204E9B">
        <w:t xml:space="preserve"> the IAB MT</w:t>
      </w:r>
      <w:r w:rsidRPr="00480234">
        <w:t xml:space="preserve"> (in certain transmission direction).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480234">
        <w:t xml:space="preserve"> </w:t>
      </w:r>
      <w:bookmarkEnd w:id="445"/>
      <w:bookmarkEnd w:id="446"/>
      <w:bookmarkEnd w:id="447"/>
      <w:bookmarkEnd w:id="448"/>
      <w:bookmarkEnd w:id="449"/>
      <w:bookmarkEnd w:id="450"/>
      <w:bookmarkEnd w:id="451"/>
      <w:bookmarkEnd w:id="452"/>
    </w:p>
    <w:p w14:paraId="24408C2A" w14:textId="7F4AAB00" w:rsidR="002B0DF5" w:rsidRPr="001733EB" w:rsidRDefault="002B0DF5" w:rsidP="003B5B89">
      <w:pPr>
        <w:rPr>
          <w:lang w:val="en-US"/>
        </w:rPr>
      </w:pPr>
      <w:r w:rsidRPr="001733EB">
        <w:rPr>
          <w:lang w:val="en-US"/>
        </w:rPr>
        <w:t xml:space="preserve">According to Section </w:t>
      </w:r>
      <w:r w:rsidRPr="001733EB">
        <w:rPr>
          <w:lang w:val="en-US"/>
        </w:rPr>
        <w:fldChar w:fldCharType="begin"/>
      </w:r>
      <w:r w:rsidRPr="001733EB">
        <w:rPr>
          <w:lang w:val="en-US"/>
        </w:rPr>
        <w:instrText xml:space="preserve"> REF _Ref15563425 \r \h </w:instrText>
      </w:r>
      <w:r w:rsidR="00251BD6" w:rsidRPr="001733EB">
        <w:rPr>
          <w:lang w:val="en-US"/>
        </w:rPr>
        <w:instrText xml:space="preserve"> \* MERGEFORMAT </w:instrText>
      </w:r>
      <w:r w:rsidRPr="001733EB">
        <w:rPr>
          <w:lang w:val="en-US"/>
        </w:rPr>
      </w:r>
      <w:r w:rsidRPr="001733EB">
        <w:rPr>
          <w:lang w:val="en-US"/>
        </w:rPr>
        <w:fldChar w:fldCharType="separate"/>
      </w:r>
      <w:r w:rsidR="008A6540">
        <w:rPr>
          <w:lang w:val="en-US"/>
        </w:rPr>
        <w:t>3.3</w:t>
      </w:r>
      <w:r w:rsidRPr="001733EB">
        <w:rPr>
          <w:lang w:val="en-US"/>
        </w:rPr>
        <w:fldChar w:fldCharType="end"/>
      </w:r>
      <w:r w:rsidRPr="001733EB">
        <w:rPr>
          <w:lang w:val="en-US"/>
        </w:rPr>
        <w:t xml:space="preserve">, the parent node can be provided with the information of timing misalignments between the IAB MT and DU resources. The parent node may use such information to release resources to certain soft DU resources according to the DU slot timing.  </w:t>
      </w:r>
    </w:p>
    <w:p w14:paraId="024BA5BC" w14:textId="259DDD6B" w:rsidR="003014A4" w:rsidRPr="001733EB" w:rsidRDefault="005E79C7" w:rsidP="00A74B35">
      <w:r w:rsidRPr="001733EB">
        <w:t>Further, t</w:t>
      </w:r>
      <w:r w:rsidR="003014A4" w:rsidRPr="001733EB">
        <w:t xml:space="preserve">here is no need to </w:t>
      </w:r>
      <w:r w:rsidR="00745291" w:rsidRPr="001733EB">
        <w:t xml:space="preserve">explicitly indicate if the DU-IA is for DU-D, DU-U or DU-F </w:t>
      </w:r>
      <w:r w:rsidR="005B643C" w:rsidRPr="001733EB">
        <w:t>with respect to the</w:t>
      </w:r>
      <w:r w:rsidR="00745291" w:rsidRPr="001733EB">
        <w:t xml:space="preserve"> soft DU</w:t>
      </w:r>
      <w:r w:rsidR="00D73960" w:rsidRPr="001733EB">
        <w:t xml:space="preserve">-F </w:t>
      </w:r>
      <w:r w:rsidR="00173331" w:rsidRPr="001733EB">
        <w:t xml:space="preserve">since it could be an IAB internal decision on how to use the released </w:t>
      </w:r>
      <w:r w:rsidR="00E610A7" w:rsidRPr="001733EB">
        <w:t>resources.</w:t>
      </w:r>
      <w:r w:rsidR="008B356E" w:rsidRPr="001733EB">
        <w:t xml:space="preserve"> There is no envisioned advantage </w:t>
      </w:r>
      <w:r w:rsidR="004F6E49" w:rsidRPr="001733EB">
        <w:t>of having the parent node control the transmission direction of the IAB node’s child link(s).</w:t>
      </w:r>
      <w:r w:rsidR="00E610A7" w:rsidRPr="001733EB">
        <w:t xml:space="preserve"> </w:t>
      </w:r>
    </w:p>
    <w:p w14:paraId="34441B01" w14:textId="466A5B3B" w:rsidR="00134545" w:rsidRPr="001733EB" w:rsidRDefault="007E3279" w:rsidP="007E3279">
      <w:pPr>
        <w:pStyle w:val="Proposal"/>
      </w:pPr>
      <w:bookmarkStart w:id="453" w:name="_Toc18584794"/>
      <w:bookmarkStart w:id="454" w:name="_Toc19521421"/>
      <w:bookmarkStart w:id="455" w:name="_Toc19542871"/>
      <w:bookmarkStart w:id="456" w:name="_Toc19616978"/>
      <w:bookmarkStart w:id="457" w:name="_Toc19624544"/>
      <w:bookmarkStart w:id="458" w:name="_Toc19628803"/>
      <w:bookmarkStart w:id="459" w:name="_Toc19705707"/>
      <w:bookmarkStart w:id="460" w:name="_Toc19796844"/>
      <w:bookmarkStart w:id="461" w:name="_Toc19877116"/>
      <w:bookmarkStart w:id="462" w:name="_Toc19878275"/>
      <w:bookmarkStart w:id="463" w:name="_Toc19878602"/>
      <w:bookmarkStart w:id="464" w:name="_Toc20489836"/>
      <w:bookmarkStart w:id="465" w:name="_Toc20491838"/>
      <w:bookmarkStart w:id="466" w:name="_Toc20492338"/>
      <w:bookmarkStart w:id="467" w:name="_Toc20493800"/>
      <w:bookmarkStart w:id="468" w:name="_Toc20494651"/>
      <w:bookmarkStart w:id="469" w:name="_Toc20839981"/>
      <w:bookmarkStart w:id="470" w:name="_Toc20840020"/>
      <w:bookmarkStart w:id="471" w:name="_Toc20840126"/>
      <w:bookmarkStart w:id="472" w:name="_Toc20906995"/>
      <w:bookmarkStart w:id="473" w:name="_Toc20910035"/>
      <w:bookmarkStart w:id="474" w:name="_Toc20990469"/>
      <w:bookmarkStart w:id="475" w:name="_Toc20991313"/>
      <w:bookmarkStart w:id="476" w:name="_Toc20991346"/>
      <w:bookmarkStart w:id="477" w:name="_Toc20991541"/>
      <w:bookmarkStart w:id="478" w:name="_Toc20991557"/>
      <w:bookmarkStart w:id="479" w:name="_Toc20991676"/>
      <w:bookmarkStart w:id="480" w:name="_Toc20993571"/>
      <w:bookmarkStart w:id="481" w:name="_Toc21009044"/>
      <w:bookmarkStart w:id="482" w:name="_Toc21012723"/>
      <w:bookmarkStart w:id="483" w:name="_Toc21013644"/>
      <w:bookmarkStart w:id="484" w:name="_Toc21013985"/>
      <w:bookmarkStart w:id="485" w:name="_Toc21073579"/>
      <w:bookmarkStart w:id="486" w:name="_Toc21073721"/>
      <w:bookmarkStart w:id="487" w:name="_Toc21073998"/>
      <w:bookmarkStart w:id="488" w:name="_Toc21079346"/>
      <w:bookmarkStart w:id="489" w:name="_Toc21096943"/>
      <w:bookmarkStart w:id="490" w:name="_Toc21096974"/>
      <w:bookmarkStart w:id="491" w:name="_Toc21097371"/>
      <w:bookmarkStart w:id="492" w:name="_Toc21097518"/>
      <w:bookmarkStart w:id="493" w:name="_Toc21097567"/>
      <w:bookmarkStart w:id="494" w:name="_Toc21098325"/>
      <w:bookmarkStart w:id="495" w:name="_Toc21111693"/>
      <w:r w:rsidRPr="001733EB">
        <w:t>There is no need to explicitly indicate if the DU-IA is for DU-D, DU-U or DU-F with respect to the soft DU-F.</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EE334DC" w14:textId="0641ABB6" w:rsidR="00590B36" w:rsidRPr="007F6FFE" w:rsidRDefault="00657C4C" w:rsidP="00590B36">
      <w:r w:rsidRPr="001733EB">
        <w:rPr>
          <w:rFonts w:eastAsiaTheme="minorEastAsia"/>
          <w:lang w:val="en-US"/>
        </w:rPr>
        <w:t xml:space="preserve">The remaining question is </w:t>
      </w:r>
      <w:r w:rsidR="002E2A67" w:rsidRPr="001733EB">
        <w:rPr>
          <w:rFonts w:eastAsiaTheme="minorEastAsia"/>
          <w:lang w:val="en-US"/>
        </w:rPr>
        <w:t>whether the explicit indication is via a new DCI format or DCI Format 2_0 using existing and/or reserved entries of Table</w:t>
      </w:r>
      <w:r w:rsidR="002E2A67" w:rsidRPr="002E2A67">
        <w:rPr>
          <w:rFonts w:eastAsiaTheme="minorEastAsia"/>
          <w:lang w:val="en-US"/>
        </w:rPr>
        <w:t xml:space="preserve"> 11.1.1-1 in 38.213</w:t>
      </w:r>
      <w:r w:rsidR="00590B36" w:rsidRPr="002E2A67">
        <w:rPr>
          <w:rFonts w:eastAsiaTheme="minorEastAsia"/>
          <w:lang w:val="en-US"/>
        </w:rPr>
        <w:t xml:space="preserve">. </w:t>
      </w:r>
      <w:r w:rsidR="00590B36" w:rsidRPr="007F6FFE">
        <w:rPr>
          <w:rFonts w:eastAsiaTheme="minorEastAsia"/>
          <w:lang w:val="en-US"/>
        </w:rPr>
        <w:t>From the signaling content point-of-view, there is</w:t>
      </w:r>
      <w:r w:rsidR="003C741B" w:rsidRPr="007F6FFE">
        <w:rPr>
          <w:rFonts w:eastAsiaTheme="minorEastAsia"/>
          <w:lang w:val="en-US"/>
        </w:rPr>
        <w:t xml:space="preserve"> certain</w:t>
      </w:r>
      <w:r w:rsidR="00590B36" w:rsidRPr="007F6FFE">
        <w:rPr>
          <w:rFonts w:eastAsiaTheme="minorEastAsia"/>
          <w:lang w:val="en-US"/>
        </w:rPr>
        <w:t xml:space="preserve"> similarity between the explicit indication and </w:t>
      </w:r>
      <w:r w:rsidR="0066554A" w:rsidRPr="007F6FFE">
        <w:rPr>
          <w:rFonts w:eastAsiaTheme="minorEastAsia"/>
          <w:lang w:val="en-US"/>
        </w:rPr>
        <w:t xml:space="preserve">the current </w:t>
      </w:r>
      <w:r w:rsidR="00590B36" w:rsidRPr="007F6FFE">
        <w:rPr>
          <w:rFonts w:eastAsiaTheme="minorEastAsia"/>
          <w:lang w:val="en-US"/>
        </w:rPr>
        <w:t xml:space="preserve">CI Format 2_0, since </w:t>
      </w:r>
      <w:r w:rsidR="005E505F" w:rsidRPr="007F6FFE">
        <w:rPr>
          <w:rFonts w:eastAsiaTheme="minorEastAsia"/>
          <w:lang w:val="en-US"/>
        </w:rPr>
        <w:t xml:space="preserve">both </w:t>
      </w:r>
      <w:r w:rsidR="00590B36" w:rsidRPr="007F6FFE">
        <w:t>relate to giving certain indication to time-domain resource(s) of MT/UE.</w:t>
      </w:r>
    </w:p>
    <w:p w14:paraId="2D6FA8A6" w14:textId="77777777" w:rsidR="00590B36" w:rsidRPr="007F6FFE" w:rsidRDefault="00590B36" w:rsidP="00590B36">
      <w:pPr>
        <w:rPr>
          <w:rFonts w:eastAsiaTheme="minorEastAsia"/>
          <w:lang w:val="en-US"/>
        </w:rPr>
      </w:pPr>
      <w:r w:rsidRPr="007F6FFE">
        <w:rPr>
          <w:rFonts w:eastAsiaTheme="minorEastAsia"/>
          <w:lang w:val="en-US"/>
        </w:rPr>
        <w:t>However, there are also several new aspects to be considered for implementing explicit indication in addition to the current DCI Format 2_0:</w:t>
      </w:r>
    </w:p>
    <w:p w14:paraId="2FA5C225" w14:textId="27206B6A" w:rsidR="00590B36" w:rsidRPr="007F6FFE" w:rsidRDefault="00590B36" w:rsidP="00590B36">
      <w:pPr>
        <w:pStyle w:val="ListParagraph"/>
        <w:numPr>
          <w:ilvl w:val="0"/>
          <w:numId w:val="36"/>
        </w:numPr>
        <w:ind w:left="723"/>
        <w:rPr>
          <w:rFonts w:eastAsiaTheme="minorEastAsia"/>
          <w:lang w:val="en-US"/>
        </w:rPr>
      </w:pPr>
      <w:r w:rsidRPr="007F6FFE">
        <w:rPr>
          <w:rFonts w:eastAsiaTheme="minorEastAsia"/>
          <w:lang w:val="en-US"/>
        </w:rPr>
        <w:t>new resource type</w:t>
      </w:r>
      <w:r w:rsidR="00F16060" w:rsidRPr="007F6FFE">
        <w:rPr>
          <w:rFonts w:eastAsiaTheme="minorEastAsia"/>
          <w:lang w:val="en-US"/>
        </w:rPr>
        <w:t>s</w:t>
      </w:r>
      <w:r w:rsidRPr="007F6FFE">
        <w:rPr>
          <w:rFonts w:eastAsiaTheme="minorEastAsia"/>
          <w:lang w:val="en-US"/>
        </w:rPr>
        <w:t xml:space="preserve"> indicating certain resource(s) will </w:t>
      </w:r>
      <w:r w:rsidR="002A0807">
        <w:rPr>
          <w:rFonts w:eastAsiaTheme="minorEastAsia"/>
          <w:lang w:val="en-US"/>
        </w:rPr>
        <w:t>not be scheduled to the IAB MT</w:t>
      </w:r>
      <w:r w:rsidR="00F16060" w:rsidRPr="007F6FFE">
        <w:rPr>
          <w:rFonts w:eastAsiaTheme="minorEastAsia"/>
          <w:lang w:val="en-US"/>
        </w:rPr>
        <w:t xml:space="preserve"> (in certain </w:t>
      </w:r>
      <w:r w:rsidR="0092763B" w:rsidRPr="007F6FFE">
        <w:rPr>
          <w:rFonts w:eastAsiaTheme="minorEastAsia"/>
          <w:lang w:val="en-US"/>
        </w:rPr>
        <w:t xml:space="preserve">transmission </w:t>
      </w:r>
      <w:r w:rsidR="00F16060" w:rsidRPr="007F6FFE">
        <w:rPr>
          <w:rFonts w:eastAsiaTheme="minorEastAsia"/>
          <w:lang w:val="en-US"/>
        </w:rPr>
        <w:t>direction)</w:t>
      </w:r>
      <w:r w:rsidR="00E67182" w:rsidRPr="007F6FFE">
        <w:rPr>
          <w:rFonts w:eastAsiaTheme="minorEastAsia"/>
          <w:lang w:val="en-US"/>
        </w:rPr>
        <w:t xml:space="preserve"> which </w:t>
      </w:r>
      <w:r w:rsidR="005E44C4" w:rsidRPr="007F6FFE">
        <w:rPr>
          <w:rFonts w:eastAsiaTheme="minorEastAsia"/>
          <w:lang w:val="en-US"/>
        </w:rPr>
        <w:t>are “IA” for the child DU</w:t>
      </w:r>
      <w:r w:rsidRPr="007F6FFE">
        <w:rPr>
          <w:rFonts w:eastAsiaTheme="minorEastAsia"/>
          <w:lang w:val="en-US"/>
        </w:rPr>
        <w:t>;</w:t>
      </w:r>
    </w:p>
    <w:p w14:paraId="0515D71E" w14:textId="532F7699" w:rsidR="00590B36" w:rsidRPr="007F6FFE" w:rsidRDefault="00590B36" w:rsidP="00336230">
      <w:pPr>
        <w:pStyle w:val="ListParagraph"/>
        <w:numPr>
          <w:ilvl w:val="0"/>
          <w:numId w:val="36"/>
        </w:numPr>
        <w:ind w:left="723"/>
        <w:rPr>
          <w:rFonts w:eastAsiaTheme="minorEastAsia"/>
          <w:lang w:val="en-US"/>
        </w:rPr>
      </w:pPr>
      <w:r w:rsidRPr="007F6FFE">
        <w:rPr>
          <w:rFonts w:eastAsiaTheme="minorEastAsia"/>
          <w:lang w:val="en-US"/>
        </w:rPr>
        <w:t>new overriding rules between the new resource type and resource types that have been configured semi-statically or dynamically</w:t>
      </w:r>
      <w:r w:rsidR="008A11AD">
        <w:rPr>
          <w:rFonts w:eastAsiaTheme="minorEastAsia"/>
          <w:lang w:val="en-US"/>
        </w:rPr>
        <w:t xml:space="preserve"> at the IAB MT</w:t>
      </w:r>
      <w:r w:rsidR="00D43FF5" w:rsidRPr="007F6FFE">
        <w:rPr>
          <w:lang w:val="en-US" w:eastAsia="en-US"/>
        </w:rPr>
        <w:t>;</w:t>
      </w:r>
    </w:p>
    <w:p w14:paraId="31EA4CED" w14:textId="17FD75BE" w:rsidR="00590B36" w:rsidRPr="007F6FFE" w:rsidRDefault="00590B36" w:rsidP="00590B36">
      <w:pPr>
        <w:pStyle w:val="ListParagraph"/>
        <w:numPr>
          <w:ilvl w:val="0"/>
          <w:numId w:val="36"/>
        </w:numPr>
        <w:ind w:left="723"/>
        <w:rPr>
          <w:rFonts w:eastAsiaTheme="minorEastAsia"/>
          <w:lang w:val="en-US"/>
        </w:rPr>
      </w:pPr>
      <w:r w:rsidRPr="007F6FFE">
        <w:rPr>
          <w:rFonts w:eastAsiaTheme="minorEastAsia"/>
          <w:lang w:val="en-US"/>
        </w:rPr>
        <w:t xml:space="preserve">new </w:t>
      </w:r>
      <w:r w:rsidR="00942B5B" w:rsidRPr="007F6FFE">
        <w:rPr>
          <w:rFonts w:eastAsiaTheme="minorEastAsia"/>
          <w:lang w:val="en-US"/>
        </w:rPr>
        <w:t>scheme</w:t>
      </w:r>
      <w:r w:rsidR="007A1304" w:rsidRPr="007F6FFE">
        <w:rPr>
          <w:rFonts w:eastAsiaTheme="minorEastAsia"/>
          <w:lang w:val="en-US"/>
        </w:rPr>
        <w:t xml:space="preserve"> so that the indication is</w:t>
      </w:r>
      <w:r w:rsidR="00F35E71" w:rsidRPr="007F6FFE">
        <w:rPr>
          <w:rFonts w:eastAsiaTheme="minorEastAsia"/>
          <w:lang w:val="en-US"/>
        </w:rPr>
        <w:t xml:space="preserve"> </w:t>
      </w:r>
      <w:r w:rsidR="007A1304" w:rsidRPr="007F6FFE">
        <w:rPr>
          <w:rFonts w:eastAsiaTheme="minorEastAsia"/>
          <w:lang w:val="en-US"/>
        </w:rPr>
        <w:t>applied</w:t>
      </w:r>
      <w:r w:rsidR="00E50440" w:rsidRPr="007F6FFE">
        <w:rPr>
          <w:rFonts w:eastAsiaTheme="minorEastAsia"/>
          <w:lang w:val="en-US"/>
        </w:rPr>
        <w:t xml:space="preserve"> to the “future”</w:t>
      </w:r>
      <w:r w:rsidRPr="007F6FFE">
        <w:rPr>
          <w:rFonts w:eastAsiaTheme="minorEastAsia"/>
          <w:lang w:val="en-US"/>
        </w:rPr>
        <w:t xml:space="preserve"> </w:t>
      </w:r>
      <w:r w:rsidR="00E50440" w:rsidRPr="007F6FFE">
        <w:rPr>
          <w:rFonts w:eastAsiaTheme="minorEastAsia"/>
          <w:lang w:val="en-US"/>
        </w:rPr>
        <w:t>MT resources.</w:t>
      </w:r>
      <w:r w:rsidRPr="007F6FFE">
        <w:rPr>
          <w:rFonts w:eastAsiaTheme="minorEastAsia"/>
          <w:lang w:val="en-US"/>
        </w:rPr>
        <w:t xml:space="preserve"> </w:t>
      </w:r>
    </w:p>
    <w:p w14:paraId="0495EE54" w14:textId="32EFACD7" w:rsidR="00590B36" w:rsidRPr="007F6FFE" w:rsidRDefault="00590B36" w:rsidP="00590B36">
      <w:pPr>
        <w:rPr>
          <w:rFonts w:eastAsiaTheme="minorEastAsia"/>
          <w:lang w:val="en-US"/>
        </w:rPr>
      </w:pPr>
      <w:r w:rsidRPr="007F6FFE">
        <w:rPr>
          <w:lang w:val="en-US"/>
        </w:rPr>
        <w:t xml:space="preserve">The SFI contained in DCI Format 2_0 is only supposed to overrule the semi-statically configured Flexible resource to be UL or DL resource. For the purpose of explicit indication regarding Soft DU resource, </w:t>
      </w:r>
      <w:r w:rsidRPr="007F6FFE">
        <w:t xml:space="preserve">the new resource type </w:t>
      </w:r>
      <w:r w:rsidRPr="007F6FFE">
        <w:rPr>
          <w:rFonts w:eastAsiaTheme="minorEastAsia"/>
          <w:lang w:val="en-US"/>
        </w:rPr>
        <w:t xml:space="preserve">indicating certain resource(s) will be </w:t>
      </w:r>
      <w:r w:rsidR="00505C67">
        <w:rPr>
          <w:rFonts w:eastAsiaTheme="minorEastAsia"/>
          <w:lang w:val="en-US"/>
        </w:rPr>
        <w:t>not be scheduled</w:t>
      </w:r>
      <w:r w:rsidR="00BC2712">
        <w:rPr>
          <w:rFonts w:eastAsiaTheme="minorEastAsia"/>
          <w:lang w:val="en-US"/>
        </w:rPr>
        <w:t xml:space="preserve"> to the IAB MT</w:t>
      </w:r>
      <w:r w:rsidR="00D94DBF" w:rsidRPr="007F6FFE">
        <w:rPr>
          <w:rFonts w:eastAsiaTheme="minorEastAsia"/>
          <w:lang w:val="en-US"/>
        </w:rPr>
        <w:t xml:space="preserve"> in certain transmission direction</w:t>
      </w:r>
      <w:r w:rsidRPr="007F6FFE">
        <w:t xml:space="preserve"> needs to be able to </w:t>
      </w:r>
      <w:r w:rsidR="004E4287" w:rsidRPr="007F6FFE">
        <w:t>overrule the corresponding</w:t>
      </w:r>
      <w:r w:rsidRPr="007F6FFE">
        <w:t xml:space="preserve"> resource type configured at the MT side, including semi-statically or dynamically configured DL/UL. This new behaviour needs to be defined. </w:t>
      </w:r>
    </w:p>
    <w:p w14:paraId="06E4B1E9" w14:textId="236DA174" w:rsidR="00590B36" w:rsidRPr="007F6FFE" w:rsidRDefault="00590B36" w:rsidP="00590B36">
      <w:pPr>
        <w:rPr>
          <w:rFonts w:eastAsiaTheme="minorEastAsia"/>
          <w:lang w:val="en-US"/>
        </w:rPr>
      </w:pPr>
      <w:r w:rsidRPr="007F6FFE">
        <w:rPr>
          <w:rFonts w:eastAsiaTheme="minorEastAsia"/>
          <w:lang w:val="en-US"/>
        </w:rPr>
        <w:lastRenderedPageBreak/>
        <w:t xml:space="preserve">In addition, issuing explicit indication from the parent node would be triggered by the IAB </w:t>
      </w:r>
      <w:r w:rsidR="009C4D88">
        <w:rPr>
          <w:rFonts w:eastAsiaTheme="minorEastAsia"/>
          <w:lang w:val="en-US"/>
        </w:rPr>
        <w:t>s</w:t>
      </w:r>
      <w:r w:rsidRPr="007F6FFE">
        <w:rPr>
          <w:rFonts w:eastAsiaTheme="minorEastAsia"/>
          <w:lang w:val="en-US"/>
        </w:rPr>
        <w:t xml:space="preserve">oft DU resource, either via the parent node knowing the IAB DU configuration, or the IAB node sends specific request for the resource. In either case, the parent node may signal the explicit indication regarding the future MT resources. In comparison, the DCI Format 2_0 will be carried out upon receiving. </w:t>
      </w:r>
      <w:r w:rsidR="00563AD7" w:rsidRPr="007F6FFE">
        <w:rPr>
          <w:rFonts w:eastAsiaTheme="minorEastAsia"/>
          <w:lang w:val="en-US"/>
        </w:rPr>
        <w:t>So,</w:t>
      </w:r>
      <w:r w:rsidRPr="007F6FFE">
        <w:rPr>
          <w:rFonts w:eastAsiaTheme="minorEastAsia"/>
          <w:lang w:val="en-US"/>
        </w:rPr>
        <w:t xml:space="preserve"> for the explicit indication, </w:t>
      </w:r>
      <w:r w:rsidR="004A5A05" w:rsidRPr="007F6FFE">
        <w:rPr>
          <w:rFonts w:eastAsiaTheme="minorEastAsia"/>
          <w:lang w:val="en-US"/>
        </w:rPr>
        <w:t>additional information</w:t>
      </w:r>
      <w:r w:rsidR="00DF0A9B" w:rsidRPr="007F6FFE">
        <w:rPr>
          <w:lang w:val="en-US"/>
        </w:rPr>
        <w:t xml:space="preserve"> is needed to indicate</w:t>
      </w:r>
      <w:r w:rsidRPr="007F6FFE">
        <w:t xml:space="preserve"> the </w:t>
      </w:r>
      <w:r w:rsidRPr="007F6FFE">
        <w:rPr>
          <w:rFonts w:eastAsiaTheme="minorEastAsia"/>
          <w:lang w:val="en-US"/>
        </w:rPr>
        <w:t xml:space="preserve">actual time-domain resource the explicit indication would be carried out. </w:t>
      </w:r>
    </w:p>
    <w:p w14:paraId="0E89DD43" w14:textId="6E7735E3" w:rsidR="00590B36" w:rsidRPr="00CD4161" w:rsidRDefault="00590B36" w:rsidP="00590B36">
      <w:pPr>
        <w:pStyle w:val="Observation"/>
      </w:pPr>
      <w:bookmarkStart w:id="496" w:name="_Toc7446329"/>
      <w:bookmarkStart w:id="497" w:name="_Toc7446373"/>
      <w:bookmarkStart w:id="498" w:name="_Toc7527983"/>
      <w:bookmarkStart w:id="499" w:name="_Toc7615376"/>
      <w:bookmarkStart w:id="500" w:name="_Toc7616135"/>
      <w:bookmarkStart w:id="501" w:name="_Toc7627208"/>
      <w:bookmarkStart w:id="502" w:name="_Toc7766656"/>
      <w:bookmarkStart w:id="503" w:name="_Toc15646203"/>
      <w:bookmarkStart w:id="504" w:name="_Toc15907775"/>
      <w:bookmarkStart w:id="505" w:name="_Toc16247059"/>
      <w:bookmarkStart w:id="506" w:name="_Toc16253748"/>
      <w:bookmarkStart w:id="507" w:name="_Toc16606618"/>
      <w:bookmarkStart w:id="508" w:name="_Toc16606723"/>
      <w:bookmarkStart w:id="509" w:name="_Toc16671970"/>
      <w:bookmarkStart w:id="510" w:name="_Toc16753577"/>
      <w:bookmarkStart w:id="511" w:name="_Toc16758347"/>
      <w:bookmarkStart w:id="512" w:name="_Toc16839103"/>
      <w:bookmarkStart w:id="513" w:name="_Toc16843103"/>
      <w:bookmarkStart w:id="514" w:name="_Toc16857509"/>
      <w:bookmarkStart w:id="515" w:name="_Toc18584787"/>
      <w:bookmarkStart w:id="516" w:name="_Toc19521413"/>
      <w:bookmarkStart w:id="517" w:name="_Toc19542862"/>
      <w:bookmarkStart w:id="518" w:name="_Toc19616968"/>
      <w:bookmarkStart w:id="519" w:name="_Toc19624533"/>
      <w:bookmarkStart w:id="520" w:name="_Toc19628793"/>
      <w:bookmarkStart w:id="521" w:name="_Toc19705697"/>
      <w:bookmarkStart w:id="522" w:name="_Toc19796834"/>
      <w:bookmarkStart w:id="523" w:name="_Toc19877106"/>
      <w:bookmarkStart w:id="524" w:name="_Toc19878265"/>
      <w:bookmarkStart w:id="525" w:name="_Toc19878592"/>
      <w:bookmarkStart w:id="526" w:name="_Toc20489826"/>
      <w:bookmarkStart w:id="527" w:name="_Toc20491828"/>
      <w:bookmarkStart w:id="528" w:name="_Toc20492328"/>
      <w:bookmarkStart w:id="529" w:name="_Toc20493790"/>
      <w:bookmarkStart w:id="530" w:name="_Toc20494641"/>
      <w:bookmarkStart w:id="531" w:name="_Toc20839970"/>
      <w:bookmarkStart w:id="532" w:name="_Toc20840009"/>
      <w:bookmarkStart w:id="533" w:name="_Toc20840115"/>
      <w:bookmarkStart w:id="534" w:name="_Toc20906984"/>
      <w:bookmarkStart w:id="535" w:name="_Toc20910024"/>
      <w:bookmarkStart w:id="536" w:name="_Toc20990458"/>
      <w:bookmarkStart w:id="537" w:name="_Toc20991302"/>
      <w:bookmarkStart w:id="538" w:name="_Toc20991335"/>
      <w:bookmarkStart w:id="539" w:name="_Toc20991530"/>
      <w:bookmarkStart w:id="540" w:name="_Toc20991546"/>
      <w:bookmarkStart w:id="541" w:name="_Toc20991665"/>
      <w:bookmarkStart w:id="542" w:name="_Toc20993560"/>
      <w:bookmarkStart w:id="543" w:name="_Toc21009033"/>
      <w:bookmarkStart w:id="544" w:name="_Toc21012709"/>
      <w:bookmarkStart w:id="545" w:name="_Toc21013630"/>
      <w:bookmarkStart w:id="546" w:name="_Toc21013971"/>
      <w:bookmarkStart w:id="547" w:name="_Toc21073565"/>
      <w:bookmarkStart w:id="548" w:name="_Toc21073707"/>
      <w:bookmarkStart w:id="549" w:name="_Toc21073984"/>
      <w:bookmarkStart w:id="550" w:name="_Toc21079332"/>
      <w:bookmarkStart w:id="551" w:name="_Toc21096929"/>
      <w:bookmarkStart w:id="552" w:name="_Toc21096960"/>
      <w:bookmarkStart w:id="553" w:name="_Toc21097357"/>
      <w:bookmarkStart w:id="554" w:name="_Toc21097504"/>
      <w:bookmarkStart w:id="555" w:name="_Toc21097553"/>
      <w:bookmarkStart w:id="556" w:name="_Toc21098311"/>
      <w:r w:rsidRPr="007F6FFE">
        <w:rPr>
          <w:rFonts w:eastAsiaTheme="minorEastAsia"/>
          <w:lang w:val="en-US"/>
        </w:rPr>
        <w:t>Several new aspects need to be considered for implementing explicit indication</w:t>
      </w:r>
      <w:r w:rsidR="005650A5">
        <w:rPr>
          <w:rFonts w:eastAsiaTheme="minorEastAsia"/>
          <w:lang w:val="en-US"/>
        </w:rPr>
        <w:t>, which is</w:t>
      </w:r>
      <w:r w:rsidRPr="007F6FFE">
        <w:rPr>
          <w:rFonts w:eastAsiaTheme="minorEastAsia"/>
          <w:lang w:val="en-US"/>
        </w:rPr>
        <w:t xml:space="preserve"> </w:t>
      </w:r>
      <w:r w:rsidR="001022DD">
        <w:rPr>
          <w:rFonts w:eastAsiaTheme="minorEastAsia"/>
          <w:lang w:val="en-US"/>
        </w:rPr>
        <w:t>different from</w:t>
      </w:r>
      <w:r w:rsidRPr="007F6FFE">
        <w:rPr>
          <w:rFonts w:eastAsiaTheme="minorEastAsia"/>
          <w:lang w:val="en-US"/>
        </w:rPr>
        <w:t xml:space="preserve"> the current DCI Format 2_0</w:t>
      </w:r>
      <w:r w:rsidR="005650A5">
        <w:rPr>
          <w:rFonts w:eastAsiaTheme="minorEastAsia"/>
          <w:lang w:val="en-US"/>
        </w:rPr>
        <w:t>,</w:t>
      </w:r>
      <w:r w:rsidRPr="007F6FFE">
        <w:rPr>
          <w:rFonts w:eastAsiaTheme="minorEastAsia"/>
          <w:lang w:val="en-US"/>
        </w:rPr>
        <w:t xml:space="preserve"> including new resource type</w:t>
      </w:r>
      <w:r w:rsidR="005650A5">
        <w:rPr>
          <w:rFonts w:eastAsiaTheme="minorEastAsia"/>
          <w:lang w:val="en-US"/>
        </w:rPr>
        <w:t>(s)</w:t>
      </w:r>
      <w:r w:rsidRPr="007F6FFE">
        <w:rPr>
          <w:rFonts w:eastAsiaTheme="minorEastAsia"/>
          <w:lang w:val="en-US"/>
        </w:rPr>
        <w:t xml:space="preserve">, new overriding rules and new </w:t>
      </w:r>
      <w:r w:rsidR="00F67C45" w:rsidRPr="007F6FFE">
        <w:rPr>
          <w:rFonts w:eastAsiaTheme="minorEastAsia"/>
          <w:lang w:val="en-US"/>
        </w:rPr>
        <w:t>scheme</w:t>
      </w:r>
      <w:r w:rsidRPr="007F6FFE">
        <w:rPr>
          <w:rFonts w:eastAsiaTheme="minorEastAsia"/>
          <w:lang w:val="en-US"/>
        </w:rPr>
        <w:t xml:space="preserve"> about </w:t>
      </w:r>
      <w:r w:rsidR="009F0561" w:rsidRPr="007F6FFE">
        <w:rPr>
          <w:rFonts w:eastAsiaTheme="minorEastAsia"/>
          <w:lang w:val="en-US"/>
        </w:rPr>
        <w:t>when to apply the indication</w:t>
      </w:r>
      <w:r w:rsidRPr="007F6FFE">
        <w:rPr>
          <w:rFonts w:eastAsiaTheme="minorEastAsia"/>
          <w:lang w:val="en-US"/>
        </w:rPr>
        <w: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E40FDF9" w14:textId="295FE401" w:rsidR="00A96080" w:rsidRDefault="006E05CD" w:rsidP="00590B36">
      <w:r>
        <w:t xml:space="preserve">Based on the above </w:t>
      </w:r>
      <w:r w:rsidR="00BF438B">
        <w:t>analysis, a possible explicit indication can be as follows:</w:t>
      </w:r>
    </w:p>
    <w:p w14:paraId="146D3235" w14:textId="2384129B" w:rsidR="00684340" w:rsidRDefault="0056053D" w:rsidP="0056053D">
      <w:pPr>
        <w:pStyle w:val="Caption"/>
      </w:pPr>
      <w:r>
        <w:t xml:space="preserve">Table </w:t>
      </w:r>
      <w:r>
        <w:fldChar w:fldCharType="begin"/>
      </w:r>
      <w:r>
        <w:instrText xml:space="preserve"> SEQ Table \* ARABIC </w:instrText>
      </w:r>
      <w:r>
        <w:fldChar w:fldCharType="separate"/>
      </w:r>
      <w:r w:rsidR="008A6540">
        <w:rPr>
          <w:noProof/>
        </w:rPr>
        <w:t>2</w:t>
      </w:r>
      <w:r>
        <w:fldChar w:fldCharType="end"/>
      </w:r>
      <w:r>
        <w:t xml:space="preserve">: </w:t>
      </w:r>
      <w:r w:rsidRPr="00313C1E">
        <w:t>Possible fields needed for the explicit indication</w:t>
      </w:r>
    </w:p>
    <w:tbl>
      <w:tblPr>
        <w:tblStyle w:val="TableGrid"/>
        <w:tblW w:w="0" w:type="auto"/>
        <w:jc w:val="center"/>
        <w:tblLook w:val="04A0" w:firstRow="1" w:lastRow="0" w:firstColumn="1" w:lastColumn="0" w:noHBand="0" w:noVBand="1"/>
      </w:tblPr>
      <w:tblGrid>
        <w:gridCol w:w="2830"/>
        <w:gridCol w:w="993"/>
        <w:gridCol w:w="4819"/>
      </w:tblGrid>
      <w:tr w:rsidR="00684340" w14:paraId="302BFA98" w14:textId="77777777" w:rsidTr="00C4292F">
        <w:trPr>
          <w:jc w:val="center"/>
        </w:trPr>
        <w:tc>
          <w:tcPr>
            <w:tcW w:w="2830" w:type="dxa"/>
            <w:shd w:val="clear" w:color="auto" w:fill="E7E6E6" w:themeFill="background2"/>
            <w:vAlign w:val="center"/>
          </w:tcPr>
          <w:p w14:paraId="6EEA3E90" w14:textId="26B4668B" w:rsidR="00684340" w:rsidRDefault="00684340" w:rsidP="009226AD">
            <w:pPr>
              <w:spacing w:before="60" w:after="60"/>
              <w:jc w:val="left"/>
            </w:pPr>
            <w:r>
              <w:t>Field (Item)</w:t>
            </w:r>
          </w:p>
        </w:tc>
        <w:tc>
          <w:tcPr>
            <w:tcW w:w="993" w:type="dxa"/>
            <w:shd w:val="clear" w:color="auto" w:fill="E7E6E6" w:themeFill="background2"/>
            <w:vAlign w:val="center"/>
          </w:tcPr>
          <w:p w14:paraId="2B6F072F" w14:textId="6D0490AA" w:rsidR="00684340" w:rsidRDefault="009A3CA2" w:rsidP="009226AD">
            <w:pPr>
              <w:spacing w:before="60" w:after="60"/>
              <w:jc w:val="left"/>
            </w:pPr>
            <w:r>
              <w:t>Bits</w:t>
            </w:r>
          </w:p>
        </w:tc>
        <w:tc>
          <w:tcPr>
            <w:tcW w:w="4819" w:type="dxa"/>
            <w:shd w:val="clear" w:color="auto" w:fill="E7E6E6" w:themeFill="background2"/>
            <w:vAlign w:val="center"/>
          </w:tcPr>
          <w:p w14:paraId="5D736D11" w14:textId="7EF70D42" w:rsidR="00684340" w:rsidRDefault="00C51239" w:rsidP="009226AD">
            <w:pPr>
              <w:spacing w:before="60" w:after="60"/>
              <w:jc w:val="left"/>
            </w:pPr>
            <w:r>
              <w:t>Reference</w:t>
            </w:r>
          </w:p>
        </w:tc>
      </w:tr>
      <w:tr w:rsidR="00293AB4" w14:paraId="541CDAA3" w14:textId="77777777" w:rsidTr="00C4292F">
        <w:trPr>
          <w:jc w:val="center"/>
        </w:trPr>
        <w:tc>
          <w:tcPr>
            <w:tcW w:w="2830" w:type="dxa"/>
            <w:vAlign w:val="center"/>
          </w:tcPr>
          <w:p w14:paraId="2B35CF64" w14:textId="103BEBFD" w:rsidR="00293AB4" w:rsidRDefault="00580EAF" w:rsidP="009226AD">
            <w:pPr>
              <w:spacing w:before="60" w:after="60"/>
              <w:jc w:val="left"/>
            </w:pPr>
            <w:r>
              <w:t>No</w:t>
            </w:r>
            <w:r w:rsidR="00D0453E">
              <w:t>-transmission type</w:t>
            </w:r>
          </w:p>
        </w:tc>
        <w:tc>
          <w:tcPr>
            <w:tcW w:w="993" w:type="dxa"/>
            <w:vAlign w:val="center"/>
          </w:tcPr>
          <w:p w14:paraId="4A61F1DD" w14:textId="09D68EA7" w:rsidR="00293AB4" w:rsidRDefault="00D0453E" w:rsidP="009226AD">
            <w:pPr>
              <w:spacing w:before="60" w:after="60"/>
              <w:jc w:val="left"/>
            </w:pPr>
            <w:r>
              <w:t>2</w:t>
            </w:r>
          </w:p>
        </w:tc>
        <w:tc>
          <w:tcPr>
            <w:tcW w:w="4819" w:type="dxa"/>
            <w:vAlign w:val="center"/>
          </w:tcPr>
          <w:p w14:paraId="272EDA6B" w14:textId="3FD7AD4B" w:rsidR="00293AB4" w:rsidRDefault="00D038AA" w:rsidP="0023135B">
            <w:pPr>
              <w:spacing w:after="0"/>
              <w:jc w:val="left"/>
              <w:rPr>
                <w:lang w:val="en-US"/>
              </w:rPr>
            </w:pPr>
            <w:r>
              <w:t>0</w:t>
            </w:r>
            <w:r w:rsidR="0023135B">
              <w:t>:</w:t>
            </w:r>
            <w:r>
              <w:t xml:space="preserve"> </w:t>
            </w:r>
            <w:r>
              <w:rPr>
                <w:lang w:val="en-US"/>
              </w:rPr>
              <w:t xml:space="preserve">MT </w:t>
            </w:r>
            <w:r w:rsidR="00BF438B">
              <w:rPr>
                <w:lang w:val="en-US"/>
              </w:rPr>
              <w:t xml:space="preserve">will not be scheduled both in DL </w:t>
            </w:r>
            <w:r w:rsidR="009A540A">
              <w:rPr>
                <w:lang w:val="en-US"/>
              </w:rPr>
              <w:t xml:space="preserve">nor in </w:t>
            </w:r>
            <w:r w:rsidR="00BF438B">
              <w:rPr>
                <w:lang w:val="en-US"/>
              </w:rPr>
              <w:t>UL</w:t>
            </w:r>
            <w:r>
              <w:rPr>
                <w:lang w:val="en-US"/>
              </w:rPr>
              <w:t>;</w:t>
            </w:r>
          </w:p>
          <w:p w14:paraId="5686C3CF" w14:textId="1DBE1DE2" w:rsidR="00D038AA" w:rsidRDefault="00D038AA" w:rsidP="0023135B">
            <w:pPr>
              <w:spacing w:after="0"/>
              <w:jc w:val="left"/>
            </w:pPr>
            <w:r>
              <w:t>1</w:t>
            </w:r>
            <w:r w:rsidR="0023135B">
              <w:t>:</w:t>
            </w:r>
            <w:r>
              <w:t xml:space="preserve"> MT will </w:t>
            </w:r>
            <w:r w:rsidR="0023135B">
              <w:t xml:space="preserve">not be </w:t>
            </w:r>
            <w:r w:rsidR="00BF438B">
              <w:t>scheduled in</w:t>
            </w:r>
            <w:r w:rsidR="0023135B">
              <w:t xml:space="preserve"> DL;</w:t>
            </w:r>
          </w:p>
          <w:p w14:paraId="2A889084" w14:textId="1A178964" w:rsidR="0023135B" w:rsidRDefault="0023135B" w:rsidP="0023135B">
            <w:pPr>
              <w:spacing w:after="0"/>
              <w:jc w:val="left"/>
            </w:pPr>
            <w:r>
              <w:t xml:space="preserve">2: MT will not be </w:t>
            </w:r>
            <w:r w:rsidR="00BF438B">
              <w:t>scheduled in</w:t>
            </w:r>
            <w:r>
              <w:t xml:space="preserve"> UL.</w:t>
            </w:r>
          </w:p>
        </w:tc>
      </w:tr>
      <w:tr w:rsidR="00845C13" w14:paraId="14A7CD5F" w14:textId="77777777" w:rsidTr="00C4292F">
        <w:trPr>
          <w:jc w:val="center"/>
        </w:trPr>
        <w:tc>
          <w:tcPr>
            <w:tcW w:w="2830" w:type="dxa"/>
            <w:vAlign w:val="center"/>
          </w:tcPr>
          <w:p w14:paraId="1D75DB64" w14:textId="62B79465" w:rsidR="00845C13" w:rsidRDefault="00FB2274" w:rsidP="009226AD">
            <w:pPr>
              <w:spacing w:before="60" w:after="60"/>
              <w:jc w:val="left"/>
            </w:pPr>
            <w:r w:rsidRPr="00BF42EB">
              <w:t>No-transmission</w:t>
            </w:r>
            <w:r w:rsidR="00D65B01">
              <w:t xml:space="preserve"> indicat</w:t>
            </w:r>
            <w:r w:rsidR="00516D2A">
              <w:t>or</w:t>
            </w:r>
            <w:r w:rsidR="00D65B01">
              <w:t xml:space="preserve"> </w:t>
            </w:r>
          </w:p>
        </w:tc>
        <w:tc>
          <w:tcPr>
            <w:tcW w:w="993" w:type="dxa"/>
            <w:vAlign w:val="center"/>
          </w:tcPr>
          <w:p w14:paraId="4D6E4266" w14:textId="1F27D7A9" w:rsidR="00845C13" w:rsidRDefault="00C10C8B" w:rsidP="009226AD">
            <w:pPr>
              <w:spacing w:before="60" w:after="60"/>
              <w:jc w:val="left"/>
            </w:pPr>
            <w:r>
              <w:t>Variable</w:t>
            </w:r>
          </w:p>
        </w:tc>
        <w:tc>
          <w:tcPr>
            <w:tcW w:w="4819" w:type="dxa"/>
            <w:vAlign w:val="center"/>
          </w:tcPr>
          <w:p w14:paraId="19F6304E" w14:textId="6290501E" w:rsidR="00845C13" w:rsidRDefault="00634160" w:rsidP="009226AD">
            <w:pPr>
              <w:spacing w:before="60" w:after="60"/>
              <w:jc w:val="left"/>
            </w:pPr>
            <w:r>
              <w:t>Time</w:t>
            </w:r>
            <w:r w:rsidR="00550767">
              <w:t>-domain allocation of the indication</w:t>
            </w:r>
            <w:r w:rsidR="00F71099">
              <w:t>.</w:t>
            </w:r>
          </w:p>
        </w:tc>
      </w:tr>
    </w:tbl>
    <w:p w14:paraId="0BE5D99B" w14:textId="6A43547E" w:rsidR="00684340" w:rsidRDefault="00684340" w:rsidP="00590B36"/>
    <w:p w14:paraId="340D57F7" w14:textId="14584515" w:rsidR="00EC65E6" w:rsidRDefault="00EC65E6" w:rsidP="00590B36">
      <w:r>
        <w:t xml:space="preserve">The MT can </w:t>
      </w:r>
      <w:r w:rsidR="00CB250C">
        <w:t>be additionally configured (</w:t>
      </w:r>
      <w:r w:rsidR="001826AC">
        <w:t xml:space="preserve">for example, </w:t>
      </w:r>
      <w:r w:rsidR="00CB250C">
        <w:t>by RRC IE)</w:t>
      </w:r>
      <w:r w:rsidR="00B814EB">
        <w:t xml:space="preserve"> with</w:t>
      </w:r>
      <w:r w:rsidR="00E70784">
        <w:t>:</w:t>
      </w:r>
    </w:p>
    <w:p w14:paraId="15474285" w14:textId="1C6FED8F" w:rsidR="00E70784" w:rsidRDefault="00B41EB8" w:rsidP="00E70784">
      <w:pPr>
        <w:pStyle w:val="ListParagraph"/>
        <w:numPr>
          <w:ilvl w:val="0"/>
          <w:numId w:val="44"/>
        </w:numPr>
      </w:pPr>
      <w:r>
        <w:t xml:space="preserve">an information </w:t>
      </w:r>
      <w:r w:rsidR="0026599E">
        <w:t>indicating</w:t>
      </w:r>
      <w:r w:rsidR="00F65549">
        <w:t xml:space="preserve"> the</w:t>
      </w:r>
      <w:r w:rsidR="005139E9">
        <w:t xml:space="preserve"> symbol</w:t>
      </w:r>
      <w:r w:rsidR="00F65549">
        <w:t xml:space="preserve"> length </w:t>
      </w:r>
      <w:r w:rsidR="005139E9">
        <w:t>covered by</w:t>
      </w:r>
      <w:r w:rsidR="00F65549">
        <w:t xml:space="preserve"> the </w:t>
      </w:r>
      <w:r w:rsidR="00F65549" w:rsidRPr="00BF42EB">
        <w:t>no-transmission</w:t>
      </w:r>
      <w:r w:rsidR="00F65549">
        <w:t xml:space="preserve"> indicat</w:t>
      </w:r>
      <w:r w:rsidR="00516D2A">
        <w:t>or</w:t>
      </w:r>
      <w:r w:rsidR="004210CE">
        <w:t>, which constrain</w:t>
      </w:r>
      <w:r w:rsidR="00EE6C2C">
        <w:t>s the maximum bits used for the no-transmission indicator</w:t>
      </w:r>
      <w:r w:rsidR="00F65549">
        <w:t>;</w:t>
      </w:r>
    </w:p>
    <w:p w14:paraId="7C4AB2D4" w14:textId="50ABDBC6" w:rsidR="00E17EA4" w:rsidRDefault="003D1B50" w:rsidP="00E70784">
      <w:pPr>
        <w:pStyle w:val="ListParagraph"/>
        <w:numPr>
          <w:ilvl w:val="0"/>
          <w:numId w:val="44"/>
        </w:numPr>
      </w:pPr>
      <w:r>
        <w:t>time-domain offset</w:t>
      </w:r>
      <w:r w:rsidR="005D62B8">
        <w:t xml:space="preserve"> </w:t>
      </w:r>
      <w:r w:rsidR="00D30606">
        <w:t>indicating the</w:t>
      </w:r>
      <w:r w:rsidR="00796D27">
        <w:t xml:space="preserve"> starting</w:t>
      </w:r>
      <w:r w:rsidR="00D30606">
        <w:t xml:space="preserve"> </w:t>
      </w:r>
      <w:r w:rsidR="009E173D">
        <w:t>position</w:t>
      </w:r>
      <w:r w:rsidR="001F21FC">
        <w:t xml:space="preserve"> (e.g., </w:t>
      </w:r>
      <w:r w:rsidR="00D1261E">
        <w:t xml:space="preserve">in the unit of </w:t>
      </w:r>
      <w:r w:rsidR="001F21FC">
        <w:t>slot)</w:t>
      </w:r>
      <w:r w:rsidR="00E17EA4">
        <w:t xml:space="preserve"> where the indication applies</w:t>
      </w:r>
      <w:r w:rsidR="00D30606">
        <w:t xml:space="preserve"> relative to </w:t>
      </w:r>
      <w:r w:rsidR="005D62B8">
        <w:t>the one where the DCI was received</w:t>
      </w:r>
      <w:r w:rsidR="006B7340">
        <w:t>.</w:t>
      </w:r>
    </w:p>
    <w:p w14:paraId="29729979" w14:textId="3479A9EE" w:rsidR="00FB2274" w:rsidRDefault="00386E7F" w:rsidP="000B13E4">
      <w:pPr>
        <w:jc w:val="center"/>
      </w:pPr>
      <w:r w:rsidRPr="00386E7F">
        <w:rPr>
          <w:noProof/>
        </w:rPr>
        <w:drawing>
          <wp:inline distT="0" distB="0" distL="0" distR="0" wp14:anchorId="18642A8D" wp14:editId="52EAAB49">
            <wp:extent cx="5400000" cy="15641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1564146"/>
                    </a:xfrm>
                    <a:prstGeom prst="rect">
                      <a:avLst/>
                    </a:prstGeom>
                    <a:noFill/>
                    <a:ln>
                      <a:noFill/>
                    </a:ln>
                  </pic:spPr>
                </pic:pic>
              </a:graphicData>
            </a:graphic>
          </wp:inline>
        </w:drawing>
      </w:r>
    </w:p>
    <w:p w14:paraId="134237D4" w14:textId="0DEAA6C0" w:rsidR="008105B7" w:rsidRDefault="008105B7" w:rsidP="008105B7">
      <w:pPr>
        <w:pStyle w:val="Caption"/>
      </w:pPr>
      <w:bookmarkStart w:id="557" w:name="_Ref20396073"/>
      <w:r w:rsidRPr="002B2793">
        <w:t xml:space="preserve">Figure </w:t>
      </w:r>
      <w:r w:rsidRPr="002B2793">
        <w:fldChar w:fldCharType="begin"/>
      </w:r>
      <w:r w:rsidRPr="002B2793">
        <w:instrText xml:space="preserve"> SEQ Figure \* ARABIC </w:instrText>
      </w:r>
      <w:r w:rsidRPr="002B2793">
        <w:fldChar w:fldCharType="separate"/>
      </w:r>
      <w:r w:rsidR="008A6540">
        <w:rPr>
          <w:noProof/>
        </w:rPr>
        <w:t>5</w:t>
      </w:r>
      <w:r w:rsidRPr="002B2793">
        <w:fldChar w:fldCharType="end"/>
      </w:r>
      <w:bookmarkEnd w:id="557"/>
      <w:r w:rsidRPr="002B2793">
        <w:t>:</w:t>
      </w:r>
      <w:r>
        <w:t xml:space="preserve"> Illustration of no-transmission indictor.</w:t>
      </w:r>
    </w:p>
    <w:p w14:paraId="3EC7B3DA" w14:textId="617CAED8" w:rsidR="00E63E31" w:rsidRDefault="00576E42" w:rsidP="00F35900">
      <w:r>
        <w:t>In th</w:t>
      </w:r>
      <w:r w:rsidR="006D1BAE">
        <w:t xml:space="preserve">e </w:t>
      </w:r>
      <w:r>
        <w:t>example</w:t>
      </w:r>
      <w:r w:rsidR="006C2E74">
        <w:t xml:space="preserve"> </w:t>
      </w:r>
      <w:r w:rsidR="00D247B8" w:rsidRPr="002B2793">
        <w:t>of</w:t>
      </w:r>
      <w:r w:rsidR="006C2E74" w:rsidRPr="002B2793">
        <w:t xml:space="preserve"> </w:t>
      </w:r>
      <w:r w:rsidR="006C2E74" w:rsidRPr="002B2793">
        <w:fldChar w:fldCharType="begin"/>
      </w:r>
      <w:r w:rsidR="006C2E74" w:rsidRPr="002B2793">
        <w:instrText xml:space="preserve"> REF _Ref20396073 \h </w:instrText>
      </w:r>
      <w:r w:rsidR="002B2793">
        <w:instrText xml:space="preserve"> \* MERGEFORMAT </w:instrText>
      </w:r>
      <w:r w:rsidR="006C2E74" w:rsidRPr="002B2793">
        <w:fldChar w:fldCharType="separate"/>
      </w:r>
      <w:r w:rsidR="008A6540" w:rsidRPr="002B2793">
        <w:t xml:space="preserve">Figure </w:t>
      </w:r>
      <w:r w:rsidR="008A6540">
        <w:rPr>
          <w:noProof/>
        </w:rPr>
        <w:t>5</w:t>
      </w:r>
      <w:r w:rsidR="006C2E74" w:rsidRPr="002B2793">
        <w:fldChar w:fldCharType="end"/>
      </w:r>
      <w:r>
        <w:t>, the “</w:t>
      </w:r>
      <w:r w:rsidR="00C80129">
        <w:rPr>
          <w:rFonts w:cs="Arial"/>
        </w:rPr>
        <w:t>Δ</w:t>
      </w:r>
      <w:r>
        <w:t>”</w:t>
      </w:r>
      <w:r w:rsidR="006401A5">
        <w:t xml:space="preserve"> indicates the</w:t>
      </w:r>
      <w:r w:rsidR="00D469F2">
        <w:t xml:space="preserve"> offset in terms of the</w:t>
      </w:r>
      <w:r w:rsidR="006401A5">
        <w:t xml:space="preserve"> number of slots deviated from the slot where the DCI is present</w:t>
      </w:r>
      <w:r w:rsidR="00D623DA">
        <w:t xml:space="preserve">, </w:t>
      </w:r>
      <w:r w:rsidR="00C207D5">
        <w:t xml:space="preserve">and </w:t>
      </w:r>
      <w:r w:rsidR="00CD2579">
        <w:t xml:space="preserve">the </w:t>
      </w:r>
      <w:r w:rsidR="00B138EE">
        <w:t>no-transmission indicator [12,1</w:t>
      </w:r>
      <w:r w:rsidR="000B7D5C">
        <w:t>5</w:t>
      </w:r>
      <w:r w:rsidR="00B138EE">
        <w:t>]</w:t>
      </w:r>
      <w:r w:rsidR="00CD2579">
        <w:t xml:space="preserve"> </w:t>
      </w:r>
      <w:r w:rsidR="00DD2F93">
        <w:t>means</w:t>
      </w:r>
      <w:r w:rsidR="001158B9">
        <w:t xml:space="preserve"> </w:t>
      </w:r>
      <w:r w:rsidR="005115CE">
        <w:t>that starting from symbol-12</w:t>
      </w:r>
      <w:r w:rsidR="00533136">
        <w:t xml:space="preserve"> of the </w:t>
      </w:r>
      <w:r w:rsidR="00990152">
        <w:t>denoted</w:t>
      </w:r>
      <w:r w:rsidR="002654EE">
        <w:t xml:space="preserve"> slot by</w:t>
      </w:r>
      <w:r w:rsidR="002E4650">
        <w:t xml:space="preserve"> “</w:t>
      </w:r>
      <w:r w:rsidR="002E4650">
        <w:rPr>
          <w:rFonts w:cs="Arial"/>
        </w:rPr>
        <w:t>Δ</w:t>
      </w:r>
      <w:r w:rsidR="002E4650">
        <w:t xml:space="preserve">”  </w:t>
      </w:r>
      <w:r w:rsidR="001158B9">
        <w:t>for 1</w:t>
      </w:r>
      <w:r w:rsidR="000B7D5C">
        <w:t>5</w:t>
      </w:r>
      <w:r w:rsidR="001158B9">
        <w:t xml:space="preserve"> symbols the MT or Rel-16 UE </w:t>
      </w:r>
      <w:r w:rsidR="00D3564C">
        <w:t>can assume</w:t>
      </w:r>
      <w:r w:rsidR="00540618">
        <w:t xml:space="preserve"> that</w:t>
      </w:r>
      <w:r w:rsidR="00D3564C">
        <w:t xml:space="preserve"> there will be no transmission</w:t>
      </w:r>
      <w:r w:rsidR="00B45CBB">
        <w:t xml:space="preserve"> in the indicated</w:t>
      </w:r>
      <w:r w:rsidR="00CD6A58">
        <w:t xml:space="preserve"> (by the “no-transmission type”)</w:t>
      </w:r>
      <w:r w:rsidR="00B45CBB">
        <w:t xml:space="preserve"> direction</w:t>
      </w:r>
      <w:r w:rsidR="00887B89">
        <w:t>(s)</w:t>
      </w:r>
      <w:r w:rsidR="00D3564C">
        <w:t xml:space="preserve"> expected</w:t>
      </w:r>
      <w:r w:rsidR="00B612DB">
        <w:t>.</w:t>
      </w:r>
      <w:r w:rsidR="00D3564C">
        <w:t xml:space="preserve"> </w:t>
      </w:r>
      <w:r w:rsidR="00EF1FDF">
        <w:t xml:space="preserve">Upon receiving </w:t>
      </w:r>
      <w:r w:rsidR="00C12EBF">
        <w:t xml:space="preserve">such L1 signaling, </w:t>
      </w:r>
      <w:r w:rsidR="003F4886">
        <w:t xml:space="preserve">the IAB node knows that </w:t>
      </w:r>
      <w:r w:rsidR="00C12EBF">
        <w:t xml:space="preserve">the </w:t>
      </w:r>
      <w:r w:rsidR="000363C8">
        <w:t xml:space="preserve">indicated “future” symbols </w:t>
      </w:r>
      <w:r w:rsidR="00E24E25">
        <w:t>at the MT side</w:t>
      </w:r>
      <w:r w:rsidR="000363C8">
        <w:t xml:space="preserve"> will not be scheduled by the parent node</w:t>
      </w:r>
      <w:r w:rsidR="00A64EE3">
        <w:t xml:space="preserve"> at least in the corresponding transmission direction(s)</w:t>
      </w:r>
      <w:r w:rsidR="000363C8">
        <w:t xml:space="preserve">. </w:t>
      </w:r>
      <w:r w:rsidR="006E039E">
        <w:t xml:space="preserve">The corresponding DU can then derive </w:t>
      </w:r>
      <w:r w:rsidR="00640C4E">
        <w:t xml:space="preserve">how it can make use of the soft resources overlapped with the indicated </w:t>
      </w:r>
      <w:r w:rsidR="003A6437">
        <w:t>MT time resources</w:t>
      </w:r>
      <w:r w:rsidR="00371375">
        <w:t xml:space="preserve"> according</w:t>
      </w:r>
      <w:r w:rsidR="003E565D">
        <w:t xml:space="preserve"> to the IAB node’s duplexing capability</w:t>
      </w:r>
      <w:r w:rsidR="003A6437">
        <w:t xml:space="preserve">. </w:t>
      </w:r>
    </w:p>
    <w:p w14:paraId="604319BF" w14:textId="7DF37547" w:rsidR="000332DF" w:rsidRDefault="000332DF" w:rsidP="00F35900">
      <w:r>
        <w:t xml:space="preserve">The explicit indication </w:t>
      </w:r>
      <w:r w:rsidR="00434401">
        <w:t xml:space="preserve">as exemplified above </w:t>
      </w:r>
      <w:r w:rsidR="00132C6D">
        <w:t xml:space="preserve">should corresponds to each </w:t>
      </w:r>
      <w:r w:rsidR="0092358E">
        <w:t xml:space="preserve">explicitly indicated </w:t>
      </w:r>
      <w:r w:rsidR="00132C6D">
        <w:t>soft</w:t>
      </w:r>
      <w:r w:rsidR="00777C98">
        <w:t xml:space="preserve"> DU</w:t>
      </w:r>
      <w:r w:rsidR="00132C6D">
        <w:t xml:space="preserve"> resource</w:t>
      </w:r>
      <w:r w:rsidR="00777C98">
        <w:t xml:space="preserve"> if the parent node is about to release the resource to the IAB DU</w:t>
      </w:r>
      <w:r w:rsidR="00E83BA9">
        <w:t>. Since the soft resource is configured per D/U/F</w:t>
      </w:r>
      <w:r w:rsidR="00914979">
        <w:t xml:space="preserve"> in each slot</w:t>
      </w:r>
      <w:r w:rsidR="00E83BA9">
        <w:t xml:space="preserve">, it makes sense </w:t>
      </w:r>
      <w:r w:rsidR="009D190A">
        <w:t>to have the corresponding DCI indicates DU-IA per resource type (D/U/F)</w:t>
      </w:r>
      <w:r w:rsidR="00CD3DFE">
        <w:t xml:space="preserve"> in each slot as well</w:t>
      </w:r>
      <w:r w:rsidR="009D190A">
        <w:t>.</w:t>
      </w:r>
    </w:p>
    <w:p w14:paraId="037A5E21" w14:textId="7027B80D" w:rsidR="009D190A" w:rsidRDefault="009D190A" w:rsidP="00F35900">
      <w:pPr>
        <w:pStyle w:val="Proposal"/>
      </w:pPr>
      <w:bookmarkStart w:id="558" w:name="_Toc18584796"/>
      <w:bookmarkStart w:id="559" w:name="_Toc19521423"/>
      <w:bookmarkStart w:id="560" w:name="_Toc19542873"/>
      <w:bookmarkStart w:id="561" w:name="_Toc19616980"/>
      <w:bookmarkStart w:id="562" w:name="_Toc19624546"/>
      <w:bookmarkStart w:id="563" w:name="_Toc19628804"/>
      <w:bookmarkStart w:id="564" w:name="_Toc19705708"/>
      <w:bookmarkStart w:id="565" w:name="_Toc19796845"/>
      <w:bookmarkStart w:id="566" w:name="_Toc19877117"/>
      <w:bookmarkStart w:id="567" w:name="_Toc19878276"/>
      <w:bookmarkStart w:id="568" w:name="_Toc19878603"/>
      <w:bookmarkStart w:id="569" w:name="_Toc20489837"/>
      <w:bookmarkStart w:id="570" w:name="_Toc20491839"/>
      <w:bookmarkStart w:id="571" w:name="_Toc20492339"/>
      <w:bookmarkStart w:id="572" w:name="_Toc20493801"/>
      <w:bookmarkStart w:id="573" w:name="_Toc20494652"/>
      <w:bookmarkStart w:id="574" w:name="_Toc20839982"/>
      <w:bookmarkStart w:id="575" w:name="_Toc20840021"/>
      <w:bookmarkStart w:id="576" w:name="_Toc20840127"/>
      <w:bookmarkStart w:id="577" w:name="_Toc20906996"/>
      <w:bookmarkStart w:id="578" w:name="_Toc20910036"/>
      <w:bookmarkStart w:id="579" w:name="_Toc20990470"/>
      <w:bookmarkStart w:id="580" w:name="_Toc20991314"/>
      <w:bookmarkStart w:id="581" w:name="_Toc20991347"/>
      <w:bookmarkStart w:id="582" w:name="_Toc20991542"/>
      <w:bookmarkStart w:id="583" w:name="_Toc20991558"/>
      <w:bookmarkStart w:id="584" w:name="_Toc20991677"/>
      <w:bookmarkStart w:id="585" w:name="_Toc20993572"/>
      <w:bookmarkStart w:id="586" w:name="_Toc21009045"/>
      <w:bookmarkStart w:id="587" w:name="_Toc21012724"/>
      <w:bookmarkStart w:id="588" w:name="_Toc21013645"/>
      <w:bookmarkStart w:id="589" w:name="_Toc21013986"/>
      <w:bookmarkStart w:id="590" w:name="_Toc21073580"/>
      <w:bookmarkStart w:id="591" w:name="_Toc21073722"/>
      <w:bookmarkStart w:id="592" w:name="_Toc21073999"/>
      <w:bookmarkStart w:id="593" w:name="_Toc21079347"/>
      <w:bookmarkStart w:id="594" w:name="_Toc21096944"/>
      <w:bookmarkStart w:id="595" w:name="_Toc21096975"/>
      <w:bookmarkStart w:id="596" w:name="_Toc21097372"/>
      <w:bookmarkStart w:id="597" w:name="_Toc21097519"/>
      <w:bookmarkStart w:id="598" w:name="_Toc21097568"/>
      <w:bookmarkStart w:id="599" w:name="_Toc21098326"/>
      <w:bookmarkStart w:id="600" w:name="_Toc21111694"/>
      <w:r>
        <w:t>T</w:t>
      </w:r>
      <w:r w:rsidRPr="00B838DF">
        <w:t xml:space="preserve">he DCI </w:t>
      </w:r>
      <w:r>
        <w:t xml:space="preserve">for explicit indication </w:t>
      </w:r>
      <w:r w:rsidRPr="00B838DF">
        <w:t>indicates DU-IA per-resource type (D/U/F)</w:t>
      </w:r>
      <w:r w:rsidR="00CD3DFE">
        <w:t xml:space="preserve"> in each slot</w:t>
      </w:r>
      <w:r>
        <w: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DD2FD57" w14:textId="1F7CB4DF" w:rsidR="00F35900" w:rsidRDefault="00F35900" w:rsidP="00F35900">
      <w:r>
        <w:t xml:space="preserve">Referring to the general NR principle about the coupling between DCI formats and DCI sizes, different formats may share the same DCI size, which is key to limit the number of blind decoding at the UE/MT side. If a new DCI </w:t>
      </w:r>
      <w:r w:rsidR="00233062">
        <w:t>f</w:t>
      </w:r>
      <w:r>
        <w:t>ormat is to be defined</w:t>
      </w:r>
      <w:r w:rsidR="00E65A4C">
        <w:t xml:space="preserve"> for the explicit indication</w:t>
      </w:r>
      <w:r>
        <w:t>, it is important to align</w:t>
      </w:r>
      <w:r w:rsidR="00722535">
        <w:t xml:space="preserve"> the number of information bits in</w:t>
      </w:r>
      <w:r>
        <w:t xml:space="preserve"> the new DCI </w:t>
      </w:r>
      <w:r w:rsidR="0078328B">
        <w:t>f</w:t>
      </w:r>
      <w:r>
        <w:t xml:space="preserve">ormat for explicit indication </w:t>
      </w:r>
      <w:r w:rsidR="006C7DE5">
        <w:t xml:space="preserve">so that </w:t>
      </w:r>
      <w:r w:rsidR="00C9793F">
        <w:t>the “3+1” DCI size budget is maintained</w:t>
      </w:r>
      <w:r>
        <w:t>.</w:t>
      </w:r>
      <w:r w:rsidR="00233062">
        <w:t xml:space="preserve"> </w:t>
      </w:r>
    </w:p>
    <w:p w14:paraId="67B4B43B" w14:textId="60162FA0" w:rsidR="00104B84" w:rsidRPr="002B2793" w:rsidRDefault="008331E4" w:rsidP="00630DF7">
      <w:pPr>
        <w:pStyle w:val="Proposal"/>
      </w:pPr>
      <w:bookmarkStart w:id="601" w:name="_Toc20492340"/>
      <w:bookmarkStart w:id="602" w:name="_Toc20493802"/>
      <w:bookmarkStart w:id="603" w:name="_Toc20494653"/>
      <w:bookmarkStart w:id="604" w:name="_Toc20839983"/>
      <w:bookmarkStart w:id="605" w:name="_Toc20840022"/>
      <w:bookmarkStart w:id="606" w:name="_Toc20840128"/>
      <w:bookmarkStart w:id="607" w:name="_Toc20906997"/>
      <w:bookmarkStart w:id="608" w:name="_Toc20910037"/>
      <w:bookmarkStart w:id="609" w:name="_Toc20990471"/>
      <w:bookmarkStart w:id="610" w:name="_Toc20991315"/>
      <w:bookmarkStart w:id="611" w:name="_Toc20991348"/>
      <w:bookmarkStart w:id="612" w:name="_Toc20991543"/>
      <w:bookmarkStart w:id="613" w:name="_Toc20991559"/>
      <w:bookmarkStart w:id="614" w:name="_Toc20991678"/>
      <w:bookmarkStart w:id="615" w:name="_Toc20993573"/>
      <w:bookmarkStart w:id="616" w:name="_Toc21009046"/>
      <w:bookmarkStart w:id="617" w:name="_Toc21012725"/>
      <w:bookmarkStart w:id="618" w:name="_Toc21013646"/>
      <w:bookmarkStart w:id="619" w:name="_Toc21013987"/>
      <w:bookmarkStart w:id="620" w:name="_Toc21073581"/>
      <w:bookmarkStart w:id="621" w:name="_Toc21073723"/>
      <w:bookmarkStart w:id="622" w:name="_Toc21074000"/>
      <w:bookmarkStart w:id="623" w:name="_Toc21079348"/>
      <w:bookmarkStart w:id="624" w:name="_Toc21096945"/>
      <w:bookmarkStart w:id="625" w:name="_Toc21096976"/>
      <w:bookmarkStart w:id="626" w:name="_Toc21097373"/>
      <w:bookmarkStart w:id="627" w:name="_Toc21097520"/>
      <w:bookmarkStart w:id="628" w:name="_Toc21097569"/>
      <w:bookmarkStart w:id="629" w:name="_Toc21098327"/>
      <w:bookmarkStart w:id="630" w:name="_Toc21111695"/>
      <w:r w:rsidRPr="002B2793">
        <w:t>The explicit indication can be signalled via a new DCI format.</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C1B6BD4" w14:textId="77777777" w:rsidR="00C01F33" w:rsidRPr="00CE0424" w:rsidRDefault="00C01F33" w:rsidP="00CE0424">
      <w:pPr>
        <w:pStyle w:val="Heading1"/>
      </w:pPr>
      <w:r w:rsidRPr="00CE0424">
        <w:lastRenderedPageBreak/>
        <w:t>Conclusion</w:t>
      </w:r>
    </w:p>
    <w:p w14:paraId="637BDD35" w14:textId="77777777" w:rsidR="008A6540" w:rsidRDefault="008E065E" w:rsidP="008E065E">
      <w:pPr>
        <w:pStyle w:val="BodyText"/>
        <w:rPr>
          <w:noProof/>
        </w:rPr>
      </w:pPr>
      <w:r>
        <w:t xml:space="preserve">In </w:t>
      </w:r>
      <w:r w:rsidR="00BA6E05">
        <w:t>this paper</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E21418" w14:textId="77777777" w:rsidR="008A6540" w:rsidRPr="000301A5" w:rsidRDefault="008A6540">
      <w:pPr>
        <w:pStyle w:val="TOC1"/>
        <w:rPr>
          <w:rFonts w:asciiTheme="minorHAnsi" w:eastAsiaTheme="minorEastAsia" w:hAnsiTheme="minorHAnsi" w:cstheme="minorBidi"/>
          <w:b w:val="0"/>
          <w:sz w:val="22"/>
        </w:rPr>
      </w:pPr>
      <w:r>
        <w:t>Observation 1</w:t>
      </w:r>
      <w:r w:rsidRPr="000301A5">
        <w:rPr>
          <w:rFonts w:asciiTheme="minorHAnsi" w:eastAsiaTheme="minorEastAsia" w:hAnsiTheme="minorHAnsi" w:cstheme="minorBidi"/>
          <w:b w:val="0"/>
          <w:sz w:val="22"/>
        </w:rPr>
        <w:tab/>
      </w:r>
      <w:r>
        <w:t>The parent node may not know the TA at the IAB MT for UL TX.</w:t>
      </w:r>
    </w:p>
    <w:p w14:paraId="7929AE63" w14:textId="77777777" w:rsidR="008A6540" w:rsidRPr="000301A5" w:rsidRDefault="008A6540">
      <w:pPr>
        <w:pStyle w:val="TOC1"/>
        <w:rPr>
          <w:rFonts w:asciiTheme="minorHAnsi" w:eastAsiaTheme="minorEastAsia" w:hAnsiTheme="minorHAnsi" w:cstheme="minorBidi"/>
          <w:b w:val="0"/>
          <w:sz w:val="22"/>
        </w:rPr>
      </w:pPr>
      <w:r>
        <w:t>Observation 2</w:t>
      </w:r>
      <w:r w:rsidRPr="000301A5">
        <w:rPr>
          <w:rFonts w:asciiTheme="minorHAnsi" w:eastAsiaTheme="minorEastAsia" w:hAnsiTheme="minorHAnsi" w:cstheme="minorBidi"/>
          <w:b w:val="0"/>
          <w:sz w:val="22"/>
        </w:rPr>
        <w:tab/>
      </w:r>
      <w:r>
        <w:t>The parent node does not have information of the T</w:t>
      </w:r>
      <w:r w:rsidRPr="003652EB">
        <w:rPr>
          <w:rFonts w:cs="Arial"/>
          <w:vertAlign w:val="subscript"/>
        </w:rPr>
        <w:t>Δ</w:t>
      </w:r>
      <w:r>
        <w:t xml:space="preserve"> at the IAB DU.</w:t>
      </w:r>
    </w:p>
    <w:p w14:paraId="4F140BB8" w14:textId="77777777" w:rsidR="008A6540" w:rsidRPr="000301A5" w:rsidRDefault="008A6540">
      <w:pPr>
        <w:pStyle w:val="TOC1"/>
        <w:rPr>
          <w:rFonts w:asciiTheme="minorHAnsi" w:eastAsiaTheme="minorEastAsia" w:hAnsiTheme="minorHAnsi" w:cstheme="minorBidi"/>
          <w:b w:val="0"/>
          <w:sz w:val="22"/>
        </w:rPr>
      </w:pPr>
      <w:r>
        <w:t>Observation 3</w:t>
      </w:r>
      <w:r w:rsidRPr="000301A5">
        <w:rPr>
          <w:rFonts w:asciiTheme="minorHAnsi" w:eastAsiaTheme="minorEastAsia" w:hAnsiTheme="minorHAnsi" w:cstheme="minorBidi"/>
          <w:b w:val="0"/>
          <w:sz w:val="22"/>
        </w:rPr>
        <w:tab/>
      </w:r>
      <w:r w:rsidRPr="003652EB">
        <w:rPr>
          <w:rFonts w:eastAsiaTheme="minorEastAsia"/>
        </w:rPr>
        <w:t>Several new aspects need to be considered for implementing explicit indication, which is different from the current DCI Format 2_0, including new resource type(s), new overriding rules and new scheme about when to apply the indication.</w:t>
      </w:r>
    </w:p>
    <w:p w14:paraId="68ED5EBF" w14:textId="30CE010F" w:rsidR="008E065E" w:rsidRDefault="008E065E" w:rsidP="008E065E">
      <w:pPr>
        <w:pStyle w:val="BodyText"/>
        <w:rPr>
          <w:b/>
          <w:bCs/>
        </w:rPr>
      </w:pPr>
      <w:r>
        <w:rPr>
          <w:b/>
          <w:bCs/>
        </w:rPr>
        <w:fldChar w:fldCharType="end"/>
      </w:r>
    </w:p>
    <w:p w14:paraId="26DDD37E" w14:textId="77777777" w:rsidR="000301A5" w:rsidRDefault="008E065E" w:rsidP="008E065E">
      <w:pPr>
        <w:pStyle w:val="BodyText"/>
        <w:rPr>
          <w:noProof/>
        </w:rPr>
      </w:pPr>
      <w:r w:rsidRPr="00CE0424">
        <w:t xml:space="preserve">Based on the discussion </w:t>
      </w:r>
      <w:r w:rsidR="00BA6E05">
        <w:t>above</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075A13" w14:textId="77777777" w:rsidR="000301A5" w:rsidRPr="000301A5" w:rsidRDefault="000301A5">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60174173" w14:textId="77777777" w:rsidR="000301A5" w:rsidRPr="000301A5" w:rsidRDefault="000301A5">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p w14:paraId="7736BB9B" w14:textId="77777777" w:rsidR="000301A5" w:rsidRPr="000301A5" w:rsidRDefault="000301A5">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p w14:paraId="09C8198E" w14:textId="77777777" w:rsidR="000301A5" w:rsidRPr="000301A5" w:rsidRDefault="000301A5">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5C8913F5" w14:textId="77777777" w:rsidR="000301A5" w:rsidRPr="000301A5" w:rsidRDefault="000301A5">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11CF80C3" w14:textId="77777777" w:rsidR="000301A5" w:rsidRPr="000301A5" w:rsidRDefault="000301A5">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608B7BC0" w14:textId="77777777" w:rsidR="000301A5" w:rsidRPr="000301A5" w:rsidRDefault="000301A5">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62175674" w14:textId="77777777" w:rsidR="000301A5" w:rsidRPr="000301A5" w:rsidRDefault="000301A5">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345C9AF3" w14:textId="77777777" w:rsidR="000301A5" w:rsidRPr="000301A5" w:rsidRDefault="000301A5">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5FB12AF3" w14:textId="77777777" w:rsidR="000301A5" w:rsidRPr="000301A5" w:rsidRDefault="000301A5">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2AC9A1D7" w14:textId="77777777" w:rsidR="000301A5" w:rsidRPr="000301A5" w:rsidRDefault="000301A5">
      <w:pPr>
        <w:pStyle w:val="TOC1"/>
        <w:rPr>
          <w:rFonts w:asciiTheme="minorHAnsi" w:eastAsiaTheme="minorEastAsia" w:hAnsiTheme="minorHAnsi" w:cstheme="minorBidi"/>
          <w:b w:val="0"/>
          <w:sz w:val="22"/>
          <w:lang w:eastAsia="sv-SE"/>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p>
    <w:p w14:paraId="14528EB9" w14:textId="77777777" w:rsidR="000301A5" w:rsidRPr="000301A5" w:rsidRDefault="000301A5">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3E3A0BF9" w14:textId="77777777" w:rsidR="000301A5" w:rsidRPr="000301A5" w:rsidRDefault="000301A5">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53EA3535" w14:textId="77777777" w:rsidR="000301A5" w:rsidRPr="000301A5" w:rsidRDefault="000301A5">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5B0825B8" w14:textId="77777777" w:rsidR="000301A5" w:rsidRPr="000301A5" w:rsidRDefault="000301A5">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70967945" w14:textId="7E134186" w:rsidR="00C01F33" w:rsidRPr="0080122F" w:rsidRDefault="008E065E" w:rsidP="006E062C">
      <w:pPr>
        <w:rPr>
          <w:b/>
          <w:bCs/>
        </w:rPr>
      </w:pPr>
      <w:r>
        <w:rPr>
          <w:b/>
          <w:bCs/>
        </w:rPr>
        <w:fldChar w:fldCharType="end"/>
      </w:r>
    </w:p>
    <w:p w14:paraId="57B73A36" w14:textId="77777777" w:rsidR="00F507D1" w:rsidRPr="00CE0424" w:rsidRDefault="00F507D1" w:rsidP="00CE0424">
      <w:pPr>
        <w:pStyle w:val="Heading1"/>
      </w:pPr>
      <w:bookmarkStart w:id="631" w:name="_In-sequence_SDU_delivery"/>
      <w:bookmarkEnd w:id="631"/>
      <w:r w:rsidRPr="00CE0424">
        <w:t>References</w:t>
      </w:r>
    </w:p>
    <w:p w14:paraId="75936EE1" w14:textId="77777777" w:rsidR="000033BA" w:rsidRDefault="000A4D8A" w:rsidP="00F44C3B">
      <w:pPr>
        <w:pStyle w:val="Reference"/>
      </w:pPr>
      <w:bookmarkStart w:id="632" w:name="_Ref476919366"/>
      <w:bookmarkStart w:id="633" w:name="_Ref454459437"/>
      <w:bookmarkStart w:id="634" w:name="_Ref174151459"/>
      <w:bookmarkStart w:id="635" w:name="_Ref189809556"/>
      <w:r>
        <w:rPr>
          <w:rFonts w:cs="Arial"/>
        </w:rPr>
        <w:t xml:space="preserve">RAN1, Chairman’s Notes, </w:t>
      </w:r>
      <w:r w:rsidRPr="00344662">
        <w:rPr>
          <w:rFonts w:cs="Arial"/>
        </w:rPr>
        <w:t>3GPP TSG RAN WG1 Meeting #</w:t>
      </w:r>
      <w:r w:rsidR="00D715EE">
        <w:rPr>
          <w:rFonts w:cs="Arial"/>
        </w:rPr>
        <w:t>9</w:t>
      </w:r>
      <w:r w:rsidR="008E6E53">
        <w:rPr>
          <w:rFonts w:cs="Arial"/>
        </w:rPr>
        <w:t>8</w:t>
      </w:r>
      <w:r>
        <w:rPr>
          <w:rFonts w:cs="Arial"/>
        </w:rPr>
        <w:t xml:space="preserve">, </w:t>
      </w:r>
      <w:r w:rsidR="008E6E53">
        <w:rPr>
          <w:rFonts w:cs="Arial"/>
        </w:rPr>
        <w:t>August</w:t>
      </w:r>
      <w:r>
        <w:rPr>
          <w:rFonts w:cs="Arial"/>
        </w:rPr>
        <w:t xml:space="preserve"> 201</w:t>
      </w:r>
      <w:r w:rsidR="00D715EE">
        <w:rPr>
          <w:rFonts w:cs="Arial"/>
        </w:rPr>
        <w:t>9</w:t>
      </w:r>
      <w:r>
        <w:rPr>
          <w:rFonts w:cs="Arial"/>
        </w:rPr>
        <w:t>.</w:t>
      </w:r>
      <w:bookmarkEnd w:id="632"/>
      <w:bookmarkEnd w:id="633"/>
      <w:bookmarkEnd w:id="634"/>
      <w:bookmarkEnd w:id="635"/>
      <w:r w:rsidR="00D14718" w:rsidRPr="00CE0424">
        <w:t xml:space="preserve"> </w:t>
      </w:r>
    </w:p>
    <w:p w14:paraId="6D6C1F66" w14:textId="1F2DB3CC" w:rsidR="00D03A82" w:rsidRDefault="00D03A82" w:rsidP="00D03A82">
      <w:pPr>
        <w:pStyle w:val="Reference"/>
      </w:pPr>
      <w:bookmarkStart w:id="636" w:name="_Ref20990450"/>
      <w:bookmarkStart w:id="637" w:name="_Ref20482352"/>
      <w:r w:rsidRPr="00B73404">
        <w:lastRenderedPageBreak/>
        <w:t>R2-</w:t>
      </w:r>
      <w:r w:rsidR="00B73404" w:rsidRPr="00B73404">
        <w:t>191317</w:t>
      </w:r>
      <w:r w:rsidR="001E6203">
        <w:t>8</w:t>
      </w:r>
      <w:r>
        <w:t xml:space="preserve">, </w:t>
      </w:r>
      <w:r w:rsidR="004879B4" w:rsidRPr="004879B4">
        <w:t>Draft CR to 38.331 on IAB for enhancements to existing signaling for TDD pattern configuration</w:t>
      </w:r>
      <w:r>
        <w:t>, Ericsson, October 2019.</w:t>
      </w:r>
      <w:bookmarkEnd w:id="636"/>
    </w:p>
    <w:p w14:paraId="6A5E2C6E" w14:textId="232F6CC2" w:rsidR="00551A49" w:rsidRDefault="00551A49" w:rsidP="00F44C3B">
      <w:pPr>
        <w:pStyle w:val="Reference"/>
      </w:pPr>
      <w:r>
        <w:t xml:space="preserve">RAN1, Chairman’s Notes, 3GPP TSG RAN WG1 Meeting #97, </w:t>
      </w:r>
      <w:r w:rsidR="009A5D06">
        <w:t>May 2019.</w:t>
      </w:r>
      <w:bookmarkEnd w:id="637"/>
    </w:p>
    <w:p w14:paraId="1547B5C3" w14:textId="6E9F56F8" w:rsidR="00320A3A" w:rsidRPr="0098431E" w:rsidRDefault="00154028" w:rsidP="00945ABF">
      <w:pPr>
        <w:pStyle w:val="Reference"/>
      </w:pPr>
      <w:bookmarkStart w:id="638" w:name="_Ref19623977"/>
      <w:bookmarkStart w:id="639" w:name="_Ref3380850"/>
      <w:r>
        <w:rPr>
          <w:rFonts w:cs="Arial"/>
        </w:rPr>
        <w:t xml:space="preserve">3GPP TS 38.211, </w:t>
      </w:r>
      <w:r w:rsidRPr="00BD28DD">
        <w:rPr>
          <w:rFonts w:cs="Arial"/>
        </w:rPr>
        <w:t>NR</w:t>
      </w:r>
      <w:r>
        <w:rPr>
          <w:rFonts w:cs="Arial"/>
        </w:rPr>
        <w:t>;</w:t>
      </w:r>
      <w:r w:rsidRPr="00BD28DD">
        <w:rPr>
          <w:rFonts w:cs="Arial"/>
        </w:rPr>
        <w:t xml:space="preserve"> Physical channels and modulation</w:t>
      </w:r>
      <w:r>
        <w:rPr>
          <w:rFonts w:cs="Arial"/>
        </w:rPr>
        <w:t>, V15.6.0, June 2019.</w:t>
      </w:r>
      <w:bookmarkEnd w:id="638"/>
      <w:bookmarkEnd w:id="639"/>
    </w:p>
    <w:sectPr w:rsidR="00320A3A" w:rsidRPr="0098431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57AAE" w14:textId="77777777" w:rsidR="00787CB5" w:rsidRDefault="00787CB5">
      <w:r>
        <w:separator/>
      </w:r>
    </w:p>
  </w:endnote>
  <w:endnote w:type="continuationSeparator" w:id="0">
    <w:p w14:paraId="249A8F8B" w14:textId="77777777" w:rsidR="00787CB5" w:rsidRDefault="00787CB5">
      <w:r>
        <w:continuationSeparator/>
      </w:r>
    </w:p>
  </w:endnote>
  <w:endnote w:type="continuationNotice" w:id="1">
    <w:p w14:paraId="7EAFE214" w14:textId="77777777" w:rsidR="00787CB5" w:rsidRDefault="00787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69B7D" w14:textId="77777777" w:rsidR="00787CB5" w:rsidRDefault="00787CB5">
      <w:r>
        <w:separator/>
      </w:r>
    </w:p>
  </w:footnote>
  <w:footnote w:type="continuationSeparator" w:id="0">
    <w:p w14:paraId="49E1952A" w14:textId="77777777" w:rsidR="00787CB5" w:rsidRDefault="00787CB5">
      <w:r>
        <w:continuationSeparator/>
      </w:r>
    </w:p>
  </w:footnote>
  <w:footnote w:type="continuationNotice" w:id="1">
    <w:p w14:paraId="011D9932" w14:textId="77777777" w:rsidR="00787CB5" w:rsidRDefault="00787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51FC4"/>
    <w:multiLevelType w:val="hybridMultilevel"/>
    <w:tmpl w:val="9274E6B2"/>
    <w:lvl w:ilvl="0" w:tplc="893C6BF8">
      <w:start w:val="550"/>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0" w15:restartNumberingAfterBreak="0">
    <w:nsid w:val="372F3896"/>
    <w:multiLevelType w:val="hybridMultilevel"/>
    <w:tmpl w:val="76D8A0A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9" w15:restartNumberingAfterBreak="0">
    <w:nsid w:val="6B777C69"/>
    <w:multiLevelType w:val="hybridMultilevel"/>
    <w:tmpl w:val="22FEB3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2"/>
  </w:num>
  <w:num w:numId="4">
    <w:abstractNumId w:val="24"/>
  </w:num>
  <w:num w:numId="5">
    <w:abstractNumId w:val="16"/>
  </w:num>
  <w:num w:numId="6">
    <w:abstractNumId w:val="27"/>
  </w:num>
  <w:num w:numId="7">
    <w:abstractNumId w:val="36"/>
  </w:num>
  <w:num w:numId="8">
    <w:abstractNumId w:val="18"/>
  </w:num>
  <w:num w:numId="9">
    <w:abstractNumId w:val="14"/>
  </w:num>
  <w:num w:numId="10">
    <w:abstractNumId w:val="3"/>
  </w:num>
  <w:num w:numId="11">
    <w:abstractNumId w:val="2"/>
  </w:num>
  <w:num w:numId="12">
    <w:abstractNumId w:val="1"/>
  </w:num>
  <w:num w:numId="13">
    <w:abstractNumId w:val="33"/>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41"/>
  </w:num>
  <w:num w:numId="19">
    <w:abstractNumId w:val="29"/>
  </w:num>
  <w:num w:numId="20">
    <w:abstractNumId w:val="39"/>
  </w:num>
  <w:num w:numId="21">
    <w:abstractNumId w:val="11"/>
  </w:num>
  <w:num w:numId="22">
    <w:abstractNumId w:val="4"/>
  </w:num>
  <w:num w:numId="23">
    <w:abstractNumId w:val="13"/>
  </w:num>
  <w:num w:numId="24">
    <w:abstractNumId w:val="31"/>
  </w:num>
  <w:num w:numId="25">
    <w:abstractNumId w:val="21"/>
  </w:num>
  <w:num w:numId="26">
    <w:abstractNumId w:val="7"/>
  </w:num>
  <w:num w:numId="27">
    <w:abstractNumId w:val="37"/>
  </w:num>
  <w:num w:numId="28">
    <w:abstractNumId w:val="12"/>
  </w:num>
  <w:num w:numId="29">
    <w:abstractNumId w:val="15"/>
  </w:num>
  <w:num w:numId="30">
    <w:abstractNumId w:val="40"/>
  </w:num>
  <w:num w:numId="31">
    <w:abstractNumId w:val="35"/>
  </w:num>
  <w:num w:numId="32">
    <w:abstractNumId w:val="19"/>
  </w:num>
  <w:num w:numId="33">
    <w:abstractNumId w:val="26"/>
  </w:num>
  <w:num w:numId="34">
    <w:abstractNumId w:val="38"/>
  </w:num>
  <w:num w:numId="35">
    <w:abstractNumId w:val="28"/>
  </w:num>
  <w:num w:numId="36">
    <w:abstractNumId w:val="43"/>
  </w:num>
  <w:num w:numId="37">
    <w:abstractNumId w:val="42"/>
  </w:num>
  <w:num w:numId="38">
    <w:abstractNumId w:val="34"/>
  </w:num>
  <w:num w:numId="39">
    <w:abstractNumId w:val="8"/>
  </w:num>
  <w:num w:numId="40">
    <w:abstractNumId w:val="9"/>
  </w:num>
  <w:num w:numId="41">
    <w:abstractNumId w:val="10"/>
  </w:num>
  <w:num w:numId="42">
    <w:abstractNumId w:val="30"/>
  </w:num>
  <w:num w:numId="43">
    <w:abstractNumId w:val="6"/>
  </w:num>
  <w:num w:numId="44">
    <w:abstractNumId w:val="17"/>
  </w:num>
  <w:num w:numId="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3A"/>
    <w:rsid w:val="000006E1"/>
    <w:rsid w:val="00001497"/>
    <w:rsid w:val="000024F9"/>
    <w:rsid w:val="00002A37"/>
    <w:rsid w:val="00002F31"/>
    <w:rsid w:val="000033BA"/>
    <w:rsid w:val="000044E6"/>
    <w:rsid w:val="000044FD"/>
    <w:rsid w:val="00006060"/>
    <w:rsid w:val="00006446"/>
    <w:rsid w:val="0000660F"/>
    <w:rsid w:val="00006896"/>
    <w:rsid w:val="0000721C"/>
    <w:rsid w:val="00007606"/>
    <w:rsid w:val="00007811"/>
    <w:rsid w:val="00007CDC"/>
    <w:rsid w:val="000100F0"/>
    <w:rsid w:val="0001126F"/>
    <w:rsid w:val="000112EA"/>
    <w:rsid w:val="0001149F"/>
    <w:rsid w:val="00011B28"/>
    <w:rsid w:val="000121EA"/>
    <w:rsid w:val="0001314F"/>
    <w:rsid w:val="000133FF"/>
    <w:rsid w:val="0001387F"/>
    <w:rsid w:val="000147C1"/>
    <w:rsid w:val="00014E6F"/>
    <w:rsid w:val="00015665"/>
    <w:rsid w:val="00015D15"/>
    <w:rsid w:val="00016DD5"/>
    <w:rsid w:val="00017017"/>
    <w:rsid w:val="00020B44"/>
    <w:rsid w:val="00021083"/>
    <w:rsid w:val="000218F2"/>
    <w:rsid w:val="00024453"/>
    <w:rsid w:val="0002531D"/>
    <w:rsid w:val="000253EF"/>
    <w:rsid w:val="0002564D"/>
    <w:rsid w:val="00025B47"/>
    <w:rsid w:val="00025ECA"/>
    <w:rsid w:val="000301A5"/>
    <w:rsid w:val="00030743"/>
    <w:rsid w:val="00030F1E"/>
    <w:rsid w:val="00031281"/>
    <w:rsid w:val="000312C3"/>
    <w:rsid w:val="000323B1"/>
    <w:rsid w:val="00032440"/>
    <w:rsid w:val="000325B8"/>
    <w:rsid w:val="000332DF"/>
    <w:rsid w:val="0003371D"/>
    <w:rsid w:val="00033BD1"/>
    <w:rsid w:val="00034C15"/>
    <w:rsid w:val="0003564A"/>
    <w:rsid w:val="000359A5"/>
    <w:rsid w:val="00035FF5"/>
    <w:rsid w:val="00036371"/>
    <w:rsid w:val="000363C8"/>
    <w:rsid w:val="00036BA1"/>
    <w:rsid w:val="000373C2"/>
    <w:rsid w:val="00037ACE"/>
    <w:rsid w:val="00037F51"/>
    <w:rsid w:val="00040943"/>
    <w:rsid w:val="000422E2"/>
    <w:rsid w:val="00042D1F"/>
    <w:rsid w:val="00042EDE"/>
    <w:rsid w:val="00042F22"/>
    <w:rsid w:val="000444EF"/>
    <w:rsid w:val="00047DC6"/>
    <w:rsid w:val="000508D5"/>
    <w:rsid w:val="00052044"/>
    <w:rsid w:val="00052A07"/>
    <w:rsid w:val="00052F7B"/>
    <w:rsid w:val="000534E3"/>
    <w:rsid w:val="00053E89"/>
    <w:rsid w:val="00054D3B"/>
    <w:rsid w:val="00055146"/>
    <w:rsid w:val="0005550C"/>
    <w:rsid w:val="0005606A"/>
    <w:rsid w:val="00057117"/>
    <w:rsid w:val="00057607"/>
    <w:rsid w:val="00057835"/>
    <w:rsid w:val="000610BD"/>
    <w:rsid w:val="000616E7"/>
    <w:rsid w:val="00063B3C"/>
    <w:rsid w:val="0006448C"/>
    <w:rsid w:val="0006487E"/>
    <w:rsid w:val="000652AE"/>
    <w:rsid w:val="00065DA6"/>
    <w:rsid w:val="00065E1A"/>
    <w:rsid w:val="000665F1"/>
    <w:rsid w:val="00067A1F"/>
    <w:rsid w:val="00070B87"/>
    <w:rsid w:val="00070D1C"/>
    <w:rsid w:val="00070FE3"/>
    <w:rsid w:val="000714FB"/>
    <w:rsid w:val="000723A7"/>
    <w:rsid w:val="000733E3"/>
    <w:rsid w:val="0007340D"/>
    <w:rsid w:val="000744DE"/>
    <w:rsid w:val="000768CB"/>
    <w:rsid w:val="00077E5F"/>
    <w:rsid w:val="0008036A"/>
    <w:rsid w:val="0008043A"/>
    <w:rsid w:val="00081AE6"/>
    <w:rsid w:val="00082E01"/>
    <w:rsid w:val="000855EB"/>
    <w:rsid w:val="00085B52"/>
    <w:rsid w:val="000866F2"/>
    <w:rsid w:val="000872A8"/>
    <w:rsid w:val="0008793E"/>
    <w:rsid w:val="00090075"/>
    <w:rsid w:val="0009009F"/>
    <w:rsid w:val="00090AF9"/>
    <w:rsid w:val="00091557"/>
    <w:rsid w:val="000924C1"/>
    <w:rsid w:val="000924F0"/>
    <w:rsid w:val="00093474"/>
    <w:rsid w:val="0009360A"/>
    <w:rsid w:val="00093AA7"/>
    <w:rsid w:val="0009510F"/>
    <w:rsid w:val="00096AF8"/>
    <w:rsid w:val="00097C53"/>
    <w:rsid w:val="000A08FF"/>
    <w:rsid w:val="000A1B7B"/>
    <w:rsid w:val="000A317C"/>
    <w:rsid w:val="000A4C90"/>
    <w:rsid w:val="000A4D8A"/>
    <w:rsid w:val="000A50C8"/>
    <w:rsid w:val="000A56F2"/>
    <w:rsid w:val="000A686D"/>
    <w:rsid w:val="000A7843"/>
    <w:rsid w:val="000B13E4"/>
    <w:rsid w:val="000B1DBD"/>
    <w:rsid w:val="000B1F40"/>
    <w:rsid w:val="000B2609"/>
    <w:rsid w:val="000B2719"/>
    <w:rsid w:val="000B3A8F"/>
    <w:rsid w:val="000B413E"/>
    <w:rsid w:val="000B4AB9"/>
    <w:rsid w:val="000B58C3"/>
    <w:rsid w:val="000B61E9"/>
    <w:rsid w:val="000B7D5C"/>
    <w:rsid w:val="000C0790"/>
    <w:rsid w:val="000C0D60"/>
    <w:rsid w:val="000C165A"/>
    <w:rsid w:val="000C2E19"/>
    <w:rsid w:val="000C4765"/>
    <w:rsid w:val="000C680E"/>
    <w:rsid w:val="000C6DC7"/>
    <w:rsid w:val="000C76FA"/>
    <w:rsid w:val="000D0BF6"/>
    <w:rsid w:val="000D0D07"/>
    <w:rsid w:val="000D25FA"/>
    <w:rsid w:val="000D31CD"/>
    <w:rsid w:val="000D4101"/>
    <w:rsid w:val="000D4797"/>
    <w:rsid w:val="000D5057"/>
    <w:rsid w:val="000D56A5"/>
    <w:rsid w:val="000D6A62"/>
    <w:rsid w:val="000D7EB0"/>
    <w:rsid w:val="000E034A"/>
    <w:rsid w:val="000E0527"/>
    <w:rsid w:val="000E13CA"/>
    <w:rsid w:val="000E1503"/>
    <w:rsid w:val="000E18B2"/>
    <w:rsid w:val="000E1B6D"/>
    <w:rsid w:val="000E1E92"/>
    <w:rsid w:val="000E6001"/>
    <w:rsid w:val="000E6818"/>
    <w:rsid w:val="000E7C6A"/>
    <w:rsid w:val="000F06D6"/>
    <w:rsid w:val="000F0EB1"/>
    <w:rsid w:val="000F1106"/>
    <w:rsid w:val="000F3BE9"/>
    <w:rsid w:val="000F3F6C"/>
    <w:rsid w:val="000F46B5"/>
    <w:rsid w:val="000F5693"/>
    <w:rsid w:val="000F5A64"/>
    <w:rsid w:val="000F5C54"/>
    <w:rsid w:val="000F6DF3"/>
    <w:rsid w:val="000F7136"/>
    <w:rsid w:val="000F7AE2"/>
    <w:rsid w:val="000F7F4C"/>
    <w:rsid w:val="001005FF"/>
    <w:rsid w:val="001022DD"/>
    <w:rsid w:val="001024C6"/>
    <w:rsid w:val="001041D4"/>
    <w:rsid w:val="00104B48"/>
    <w:rsid w:val="00104B84"/>
    <w:rsid w:val="001062FB"/>
    <w:rsid w:val="001063E6"/>
    <w:rsid w:val="00107C20"/>
    <w:rsid w:val="00111C4B"/>
    <w:rsid w:val="0011204D"/>
    <w:rsid w:val="001129B7"/>
    <w:rsid w:val="00113CF4"/>
    <w:rsid w:val="00113E21"/>
    <w:rsid w:val="001144D7"/>
    <w:rsid w:val="00114DF9"/>
    <w:rsid w:val="001153EA"/>
    <w:rsid w:val="00115643"/>
    <w:rsid w:val="001158B9"/>
    <w:rsid w:val="00115C6C"/>
    <w:rsid w:val="00116765"/>
    <w:rsid w:val="00116C6F"/>
    <w:rsid w:val="00120001"/>
    <w:rsid w:val="00121007"/>
    <w:rsid w:val="001219F5"/>
    <w:rsid w:val="00121A20"/>
    <w:rsid w:val="00121E6E"/>
    <w:rsid w:val="0012206B"/>
    <w:rsid w:val="001229DE"/>
    <w:rsid w:val="0012377F"/>
    <w:rsid w:val="00124314"/>
    <w:rsid w:val="001257D2"/>
    <w:rsid w:val="00125E29"/>
    <w:rsid w:val="001261B9"/>
    <w:rsid w:val="001264F5"/>
    <w:rsid w:val="00126B4A"/>
    <w:rsid w:val="00127553"/>
    <w:rsid w:val="001301C2"/>
    <w:rsid w:val="0013145D"/>
    <w:rsid w:val="00131D2B"/>
    <w:rsid w:val="00132C6D"/>
    <w:rsid w:val="00132F4B"/>
    <w:rsid w:val="00132FD0"/>
    <w:rsid w:val="0013352C"/>
    <w:rsid w:val="001344C0"/>
    <w:rsid w:val="00134545"/>
    <w:rsid w:val="001346FA"/>
    <w:rsid w:val="00134F18"/>
    <w:rsid w:val="0013519A"/>
    <w:rsid w:val="00135252"/>
    <w:rsid w:val="0013558E"/>
    <w:rsid w:val="00137AB5"/>
    <w:rsid w:val="00137B98"/>
    <w:rsid w:val="00137F0B"/>
    <w:rsid w:val="001409C8"/>
    <w:rsid w:val="00140CBB"/>
    <w:rsid w:val="00147989"/>
    <w:rsid w:val="0015031E"/>
    <w:rsid w:val="001506A8"/>
    <w:rsid w:val="00151E23"/>
    <w:rsid w:val="001521A7"/>
    <w:rsid w:val="001526E0"/>
    <w:rsid w:val="0015375A"/>
    <w:rsid w:val="001538E6"/>
    <w:rsid w:val="00154028"/>
    <w:rsid w:val="00154D9D"/>
    <w:rsid w:val="00154DBC"/>
    <w:rsid w:val="001551B5"/>
    <w:rsid w:val="00155446"/>
    <w:rsid w:val="00157B41"/>
    <w:rsid w:val="00163C41"/>
    <w:rsid w:val="00164B66"/>
    <w:rsid w:val="00164E79"/>
    <w:rsid w:val="001659C1"/>
    <w:rsid w:val="00166DF1"/>
    <w:rsid w:val="0016767A"/>
    <w:rsid w:val="0016785F"/>
    <w:rsid w:val="00171CDD"/>
    <w:rsid w:val="00172410"/>
    <w:rsid w:val="00173331"/>
    <w:rsid w:val="001733EB"/>
    <w:rsid w:val="00173A8E"/>
    <w:rsid w:val="001741D5"/>
    <w:rsid w:val="001744C8"/>
    <w:rsid w:val="00175FD8"/>
    <w:rsid w:val="00176C59"/>
    <w:rsid w:val="0017708F"/>
    <w:rsid w:val="00177795"/>
    <w:rsid w:val="00180C6E"/>
    <w:rsid w:val="0018143F"/>
    <w:rsid w:val="0018187B"/>
    <w:rsid w:val="00181DE6"/>
    <w:rsid w:val="001826AC"/>
    <w:rsid w:val="00182FEB"/>
    <w:rsid w:val="0018351F"/>
    <w:rsid w:val="00183AC8"/>
    <w:rsid w:val="00184586"/>
    <w:rsid w:val="00185981"/>
    <w:rsid w:val="0018621F"/>
    <w:rsid w:val="00186768"/>
    <w:rsid w:val="00187DFB"/>
    <w:rsid w:val="00190AC1"/>
    <w:rsid w:val="00190CEA"/>
    <w:rsid w:val="00191ABC"/>
    <w:rsid w:val="001928CF"/>
    <w:rsid w:val="0019341A"/>
    <w:rsid w:val="00197DF9"/>
    <w:rsid w:val="00197ECE"/>
    <w:rsid w:val="001A089F"/>
    <w:rsid w:val="001A0C6F"/>
    <w:rsid w:val="001A13AF"/>
    <w:rsid w:val="001A1987"/>
    <w:rsid w:val="001A1D9A"/>
    <w:rsid w:val="001A2564"/>
    <w:rsid w:val="001A295F"/>
    <w:rsid w:val="001A312F"/>
    <w:rsid w:val="001A3B5D"/>
    <w:rsid w:val="001A465C"/>
    <w:rsid w:val="001A5A6A"/>
    <w:rsid w:val="001A5F8E"/>
    <w:rsid w:val="001A6173"/>
    <w:rsid w:val="001A68B9"/>
    <w:rsid w:val="001A6CBA"/>
    <w:rsid w:val="001B0D97"/>
    <w:rsid w:val="001B235B"/>
    <w:rsid w:val="001B28EF"/>
    <w:rsid w:val="001B4C17"/>
    <w:rsid w:val="001B57B8"/>
    <w:rsid w:val="001B5A5D"/>
    <w:rsid w:val="001B7A65"/>
    <w:rsid w:val="001C0230"/>
    <w:rsid w:val="001C02E6"/>
    <w:rsid w:val="001C03BB"/>
    <w:rsid w:val="001C07AD"/>
    <w:rsid w:val="001C1CE5"/>
    <w:rsid w:val="001C2F7F"/>
    <w:rsid w:val="001C363A"/>
    <w:rsid w:val="001C3D2A"/>
    <w:rsid w:val="001D05D0"/>
    <w:rsid w:val="001D18C7"/>
    <w:rsid w:val="001D2F66"/>
    <w:rsid w:val="001D403B"/>
    <w:rsid w:val="001D51BA"/>
    <w:rsid w:val="001D6342"/>
    <w:rsid w:val="001D69B3"/>
    <w:rsid w:val="001D6D53"/>
    <w:rsid w:val="001D7586"/>
    <w:rsid w:val="001D7DC0"/>
    <w:rsid w:val="001E11F4"/>
    <w:rsid w:val="001E167D"/>
    <w:rsid w:val="001E2CD1"/>
    <w:rsid w:val="001E38D4"/>
    <w:rsid w:val="001E58E2"/>
    <w:rsid w:val="001E6203"/>
    <w:rsid w:val="001E7AED"/>
    <w:rsid w:val="001E7C07"/>
    <w:rsid w:val="001F0BF5"/>
    <w:rsid w:val="001F0C44"/>
    <w:rsid w:val="001F21FC"/>
    <w:rsid w:val="001F2871"/>
    <w:rsid w:val="001F3916"/>
    <w:rsid w:val="001F484C"/>
    <w:rsid w:val="001F4FEF"/>
    <w:rsid w:val="001F50B6"/>
    <w:rsid w:val="001F54B2"/>
    <w:rsid w:val="001F54C5"/>
    <w:rsid w:val="001F63AB"/>
    <w:rsid w:val="001F662C"/>
    <w:rsid w:val="001F7074"/>
    <w:rsid w:val="001F7EAD"/>
    <w:rsid w:val="00200490"/>
    <w:rsid w:val="0020120B"/>
    <w:rsid w:val="0020177A"/>
    <w:rsid w:val="00201F3A"/>
    <w:rsid w:val="00202039"/>
    <w:rsid w:val="002027F3"/>
    <w:rsid w:val="00202DF0"/>
    <w:rsid w:val="00202E52"/>
    <w:rsid w:val="00203F96"/>
    <w:rsid w:val="00204061"/>
    <w:rsid w:val="00204E9B"/>
    <w:rsid w:val="002063B5"/>
    <w:rsid w:val="002069B2"/>
    <w:rsid w:val="00207FA3"/>
    <w:rsid w:val="0021061C"/>
    <w:rsid w:val="002135D4"/>
    <w:rsid w:val="00213BA2"/>
    <w:rsid w:val="0021491D"/>
    <w:rsid w:val="00214A30"/>
    <w:rsid w:val="00214DA8"/>
    <w:rsid w:val="00214E08"/>
    <w:rsid w:val="00215423"/>
    <w:rsid w:val="002158FA"/>
    <w:rsid w:val="00215DC2"/>
    <w:rsid w:val="00217D2C"/>
    <w:rsid w:val="00217E15"/>
    <w:rsid w:val="00220600"/>
    <w:rsid w:val="00221329"/>
    <w:rsid w:val="002224DB"/>
    <w:rsid w:val="00223710"/>
    <w:rsid w:val="00223FCB"/>
    <w:rsid w:val="002252C3"/>
    <w:rsid w:val="00225A8A"/>
    <w:rsid w:val="00225C54"/>
    <w:rsid w:val="002268BA"/>
    <w:rsid w:val="00227F1D"/>
    <w:rsid w:val="00230115"/>
    <w:rsid w:val="00230765"/>
    <w:rsid w:val="0023135B"/>
    <w:rsid w:val="002319E4"/>
    <w:rsid w:val="00233062"/>
    <w:rsid w:val="00234D9C"/>
    <w:rsid w:val="0023514F"/>
    <w:rsid w:val="00235632"/>
    <w:rsid w:val="00235872"/>
    <w:rsid w:val="00236CF7"/>
    <w:rsid w:val="002374FA"/>
    <w:rsid w:val="00241507"/>
    <w:rsid w:val="00241559"/>
    <w:rsid w:val="002435B3"/>
    <w:rsid w:val="00243F6B"/>
    <w:rsid w:val="002458EB"/>
    <w:rsid w:val="00246D61"/>
    <w:rsid w:val="00247DC5"/>
    <w:rsid w:val="002500C8"/>
    <w:rsid w:val="00250F1A"/>
    <w:rsid w:val="002510FD"/>
    <w:rsid w:val="00251BD6"/>
    <w:rsid w:val="00251C43"/>
    <w:rsid w:val="00252F20"/>
    <w:rsid w:val="002544FF"/>
    <w:rsid w:val="00256CD4"/>
    <w:rsid w:val="00257543"/>
    <w:rsid w:val="0025795E"/>
    <w:rsid w:val="00261180"/>
    <w:rsid w:val="002617E7"/>
    <w:rsid w:val="00262DC6"/>
    <w:rsid w:val="00264228"/>
    <w:rsid w:val="00264334"/>
    <w:rsid w:val="0026473E"/>
    <w:rsid w:val="002654EE"/>
    <w:rsid w:val="0026599E"/>
    <w:rsid w:val="00266214"/>
    <w:rsid w:val="0026693A"/>
    <w:rsid w:val="00266BBD"/>
    <w:rsid w:val="00266E78"/>
    <w:rsid w:val="0026716F"/>
    <w:rsid w:val="00267C83"/>
    <w:rsid w:val="00267CE2"/>
    <w:rsid w:val="00271373"/>
    <w:rsid w:val="0027144F"/>
    <w:rsid w:val="00271800"/>
    <w:rsid w:val="00271BED"/>
    <w:rsid w:val="00271E8E"/>
    <w:rsid w:val="00271F3A"/>
    <w:rsid w:val="00273278"/>
    <w:rsid w:val="00273506"/>
    <w:rsid w:val="002737F4"/>
    <w:rsid w:val="00274305"/>
    <w:rsid w:val="00274309"/>
    <w:rsid w:val="00274922"/>
    <w:rsid w:val="002767D9"/>
    <w:rsid w:val="002771E6"/>
    <w:rsid w:val="002778FD"/>
    <w:rsid w:val="00277F3E"/>
    <w:rsid w:val="002805F5"/>
    <w:rsid w:val="00280751"/>
    <w:rsid w:val="002817E4"/>
    <w:rsid w:val="002820AC"/>
    <w:rsid w:val="00282776"/>
    <w:rsid w:val="0028280A"/>
    <w:rsid w:val="00284A2A"/>
    <w:rsid w:val="002854C5"/>
    <w:rsid w:val="002867CB"/>
    <w:rsid w:val="00286ACD"/>
    <w:rsid w:val="002873E6"/>
    <w:rsid w:val="00287838"/>
    <w:rsid w:val="00287971"/>
    <w:rsid w:val="002900F9"/>
    <w:rsid w:val="002907B5"/>
    <w:rsid w:val="002910E0"/>
    <w:rsid w:val="002928AD"/>
    <w:rsid w:val="00292EB7"/>
    <w:rsid w:val="00293507"/>
    <w:rsid w:val="00293AB4"/>
    <w:rsid w:val="00293B5D"/>
    <w:rsid w:val="00293E63"/>
    <w:rsid w:val="00294786"/>
    <w:rsid w:val="00295CD5"/>
    <w:rsid w:val="00296227"/>
    <w:rsid w:val="0029667C"/>
    <w:rsid w:val="00296F44"/>
    <w:rsid w:val="0029777D"/>
    <w:rsid w:val="002A055E"/>
    <w:rsid w:val="002A0807"/>
    <w:rsid w:val="002A1D4E"/>
    <w:rsid w:val="002A1DC7"/>
    <w:rsid w:val="002A2869"/>
    <w:rsid w:val="002A2D7B"/>
    <w:rsid w:val="002A3DE5"/>
    <w:rsid w:val="002A6614"/>
    <w:rsid w:val="002A6730"/>
    <w:rsid w:val="002A7C5F"/>
    <w:rsid w:val="002A7C7F"/>
    <w:rsid w:val="002B0DF5"/>
    <w:rsid w:val="002B1BE4"/>
    <w:rsid w:val="002B24D6"/>
    <w:rsid w:val="002B2793"/>
    <w:rsid w:val="002C0B71"/>
    <w:rsid w:val="002C0D68"/>
    <w:rsid w:val="002C12B6"/>
    <w:rsid w:val="002C2333"/>
    <w:rsid w:val="002C234A"/>
    <w:rsid w:val="002C41E6"/>
    <w:rsid w:val="002C5BA4"/>
    <w:rsid w:val="002C5E15"/>
    <w:rsid w:val="002C69D6"/>
    <w:rsid w:val="002D071A"/>
    <w:rsid w:val="002D0B98"/>
    <w:rsid w:val="002D31EB"/>
    <w:rsid w:val="002D3262"/>
    <w:rsid w:val="002D34B2"/>
    <w:rsid w:val="002D5315"/>
    <w:rsid w:val="002D7637"/>
    <w:rsid w:val="002D78D9"/>
    <w:rsid w:val="002D7E6B"/>
    <w:rsid w:val="002E03C7"/>
    <w:rsid w:val="002E07B0"/>
    <w:rsid w:val="002E17F2"/>
    <w:rsid w:val="002E2A67"/>
    <w:rsid w:val="002E3830"/>
    <w:rsid w:val="002E4650"/>
    <w:rsid w:val="002E4FB1"/>
    <w:rsid w:val="002E53EC"/>
    <w:rsid w:val="002E5562"/>
    <w:rsid w:val="002E5596"/>
    <w:rsid w:val="002E6804"/>
    <w:rsid w:val="002E7859"/>
    <w:rsid w:val="002E7CAE"/>
    <w:rsid w:val="002E7CC7"/>
    <w:rsid w:val="002F2276"/>
    <w:rsid w:val="002F2580"/>
    <w:rsid w:val="002F2771"/>
    <w:rsid w:val="002F311E"/>
    <w:rsid w:val="002F3639"/>
    <w:rsid w:val="002F37A9"/>
    <w:rsid w:val="002F4179"/>
    <w:rsid w:val="002F734F"/>
    <w:rsid w:val="0030025F"/>
    <w:rsid w:val="00300913"/>
    <w:rsid w:val="003014A4"/>
    <w:rsid w:val="00301CE6"/>
    <w:rsid w:val="00302170"/>
    <w:rsid w:val="0030256B"/>
    <w:rsid w:val="00303BF2"/>
    <w:rsid w:val="003042B2"/>
    <w:rsid w:val="00304BD5"/>
    <w:rsid w:val="0030501F"/>
    <w:rsid w:val="00305E07"/>
    <w:rsid w:val="00306426"/>
    <w:rsid w:val="00307BA1"/>
    <w:rsid w:val="0031077B"/>
    <w:rsid w:val="00310B05"/>
    <w:rsid w:val="00311267"/>
    <w:rsid w:val="0031131B"/>
    <w:rsid w:val="00311702"/>
    <w:rsid w:val="003117F7"/>
    <w:rsid w:val="00311822"/>
    <w:rsid w:val="00311E82"/>
    <w:rsid w:val="00312389"/>
    <w:rsid w:val="0031328D"/>
    <w:rsid w:val="00313FD6"/>
    <w:rsid w:val="003141C5"/>
    <w:rsid w:val="003143BD"/>
    <w:rsid w:val="00317772"/>
    <w:rsid w:val="00317B40"/>
    <w:rsid w:val="003203ED"/>
    <w:rsid w:val="00320A3A"/>
    <w:rsid w:val="00321688"/>
    <w:rsid w:val="003229E1"/>
    <w:rsid w:val="00322C9F"/>
    <w:rsid w:val="003234E3"/>
    <w:rsid w:val="00323A10"/>
    <w:rsid w:val="00324D23"/>
    <w:rsid w:val="0032556F"/>
    <w:rsid w:val="003256FF"/>
    <w:rsid w:val="00326116"/>
    <w:rsid w:val="0032619E"/>
    <w:rsid w:val="00326DC0"/>
    <w:rsid w:val="00326E2E"/>
    <w:rsid w:val="003275CD"/>
    <w:rsid w:val="003310E2"/>
    <w:rsid w:val="00331751"/>
    <w:rsid w:val="003337D3"/>
    <w:rsid w:val="00334579"/>
    <w:rsid w:val="003350C8"/>
    <w:rsid w:val="00335858"/>
    <w:rsid w:val="00336230"/>
    <w:rsid w:val="0033676E"/>
    <w:rsid w:val="00336BDA"/>
    <w:rsid w:val="0033702D"/>
    <w:rsid w:val="00340335"/>
    <w:rsid w:val="0034062B"/>
    <w:rsid w:val="0034124A"/>
    <w:rsid w:val="00341F62"/>
    <w:rsid w:val="00342420"/>
    <w:rsid w:val="00342BD7"/>
    <w:rsid w:val="00343A07"/>
    <w:rsid w:val="00344F21"/>
    <w:rsid w:val="00345322"/>
    <w:rsid w:val="003467C5"/>
    <w:rsid w:val="003469DA"/>
    <w:rsid w:val="00346DB5"/>
    <w:rsid w:val="00347331"/>
    <w:rsid w:val="003477B1"/>
    <w:rsid w:val="00351BDC"/>
    <w:rsid w:val="00352897"/>
    <w:rsid w:val="003531ED"/>
    <w:rsid w:val="00356C6F"/>
    <w:rsid w:val="003572A5"/>
    <w:rsid w:val="00357380"/>
    <w:rsid w:val="00357979"/>
    <w:rsid w:val="003602D9"/>
    <w:rsid w:val="003604CE"/>
    <w:rsid w:val="00360B5C"/>
    <w:rsid w:val="00362844"/>
    <w:rsid w:val="00363407"/>
    <w:rsid w:val="00363ABA"/>
    <w:rsid w:val="00364242"/>
    <w:rsid w:val="00367A76"/>
    <w:rsid w:val="00367BF6"/>
    <w:rsid w:val="00370E47"/>
    <w:rsid w:val="00371375"/>
    <w:rsid w:val="00371E24"/>
    <w:rsid w:val="00372F5D"/>
    <w:rsid w:val="003734BB"/>
    <w:rsid w:val="00373508"/>
    <w:rsid w:val="00373D3D"/>
    <w:rsid w:val="003742AC"/>
    <w:rsid w:val="00375510"/>
    <w:rsid w:val="00375760"/>
    <w:rsid w:val="0037640E"/>
    <w:rsid w:val="00376A8D"/>
    <w:rsid w:val="00377069"/>
    <w:rsid w:val="00377210"/>
    <w:rsid w:val="00377237"/>
    <w:rsid w:val="00377CE1"/>
    <w:rsid w:val="003817C3"/>
    <w:rsid w:val="00381867"/>
    <w:rsid w:val="003823C9"/>
    <w:rsid w:val="00384496"/>
    <w:rsid w:val="003855C4"/>
    <w:rsid w:val="00385BF0"/>
    <w:rsid w:val="00386E7F"/>
    <w:rsid w:val="003876A3"/>
    <w:rsid w:val="00387B9B"/>
    <w:rsid w:val="00390E57"/>
    <w:rsid w:val="003939FF"/>
    <w:rsid w:val="003948BF"/>
    <w:rsid w:val="00394C82"/>
    <w:rsid w:val="00394CB8"/>
    <w:rsid w:val="00395D97"/>
    <w:rsid w:val="00396077"/>
    <w:rsid w:val="0039762E"/>
    <w:rsid w:val="00397D89"/>
    <w:rsid w:val="003A0C10"/>
    <w:rsid w:val="003A1128"/>
    <w:rsid w:val="003A1476"/>
    <w:rsid w:val="003A1A10"/>
    <w:rsid w:val="003A1AA5"/>
    <w:rsid w:val="003A2223"/>
    <w:rsid w:val="003A225B"/>
    <w:rsid w:val="003A2A0F"/>
    <w:rsid w:val="003A2DD2"/>
    <w:rsid w:val="003A45A1"/>
    <w:rsid w:val="003A5AED"/>
    <w:rsid w:val="003A5B0A"/>
    <w:rsid w:val="003A6437"/>
    <w:rsid w:val="003A6BAC"/>
    <w:rsid w:val="003A7EF3"/>
    <w:rsid w:val="003B01DA"/>
    <w:rsid w:val="003B159C"/>
    <w:rsid w:val="003B2426"/>
    <w:rsid w:val="003B3232"/>
    <w:rsid w:val="003B369F"/>
    <w:rsid w:val="003B36A3"/>
    <w:rsid w:val="003B3CD4"/>
    <w:rsid w:val="003B3FCB"/>
    <w:rsid w:val="003B5235"/>
    <w:rsid w:val="003B527F"/>
    <w:rsid w:val="003B5B89"/>
    <w:rsid w:val="003B6B85"/>
    <w:rsid w:val="003B6F6B"/>
    <w:rsid w:val="003B7FE5"/>
    <w:rsid w:val="003C0B53"/>
    <w:rsid w:val="003C11C8"/>
    <w:rsid w:val="003C2702"/>
    <w:rsid w:val="003C3336"/>
    <w:rsid w:val="003C3352"/>
    <w:rsid w:val="003C3C52"/>
    <w:rsid w:val="003C4EDC"/>
    <w:rsid w:val="003C4F52"/>
    <w:rsid w:val="003C5035"/>
    <w:rsid w:val="003C7209"/>
    <w:rsid w:val="003C741B"/>
    <w:rsid w:val="003C7806"/>
    <w:rsid w:val="003D109F"/>
    <w:rsid w:val="003D1677"/>
    <w:rsid w:val="003D1B50"/>
    <w:rsid w:val="003D1D63"/>
    <w:rsid w:val="003D2478"/>
    <w:rsid w:val="003D3231"/>
    <w:rsid w:val="003D3C45"/>
    <w:rsid w:val="003D44DE"/>
    <w:rsid w:val="003D5072"/>
    <w:rsid w:val="003D5672"/>
    <w:rsid w:val="003D5B1F"/>
    <w:rsid w:val="003D5B44"/>
    <w:rsid w:val="003D60FF"/>
    <w:rsid w:val="003D7C8C"/>
    <w:rsid w:val="003E0FFE"/>
    <w:rsid w:val="003E1235"/>
    <w:rsid w:val="003E15FA"/>
    <w:rsid w:val="003E4235"/>
    <w:rsid w:val="003E4EB5"/>
    <w:rsid w:val="003E55E4"/>
    <w:rsid w:val="003E565D"/>
    <w:rsid w:val="003E605B"/>
    <w:rsid w:val="003E74E3"/>
    <w:rsid w:val="003E7AE2"/>
    <w:rsid w:val="003F05C7"/>
    <w:rsid w:val="003F1073"/>
    <w:rsid w:val="003F116C"/>
    <w:rsid w:val="003F12FF"/>
    <w:rsid w:val="003F131F"/>
    <w:rsid w:val="003F1704"/>
    <w:rsid w:val="003F233A"/>
    <w:rsid w:val="003F2977"/>
    <w:rsid w:val="003F2CD4"/>
    <w:rsid w:val="003F366A"/>
    <w:rsid w:val="003F3BE8"/>
    <w:rsid w:val="003F4886"/>
    <w:rsid w:val="003F63F6"/>
    <w:rsid w:val="003F6BBE"/>
    <w:rsid w:val="004000E8"/>
    <w:rsid w:val="00400C4F"/>
    <w:rsid w:val="00402E2B"/>
    <w:rsid w:val="0040512B"/>
    <w:rsid w:val="00405CA5"/>
    <w:rsid w:val="004068A0"/>
    <w:rsid w:val="004073C3"/>
    <w:rsid w:val="00407CD3"/>
    <w:rsid w:val="00407EC0"/>
    <w:rsid w:val="00410134"/>
    <w:rsid w:val="00410B72"/>
    <w:rsid w:val="00410F18"/>
    <w:rsid w:val="0041120A"/>
    <w:rsid w:val="00411C4A"/>
    <w:rsid w:val="0041263E"/>
    <w:rsid w:val="00413A2B"/>
    <w:rsid w:val="00413AAC"/>
    <w:rsid w:val="00413DD4"/>
    <w:rsid w:val="00414085"/>
    <w:rsid w:val="00414261"/>
    <w:rsid w:val="0041583D"/>
    <w:rsid w:val="00415F87"/>
    <w:rsid w:val="00416237"/>
    <w:rsid w:val="004166C1"/>
    <w:rsid w:val="004167DE"/>
    <w:rsid w:val="004167F4"/>
    <w:rsid w:val="0041728E"/>
    <w:rsid w:val="004177EE"/>
    <w:rsid w:val="004178F9"/>
    <w:rsid w:val="00420A72"/>
    <w:rsid w:val="004210CE"/>
    <w:rsid w:val="00421105"/>
    <w:rsid w:val="00422F7B"/>
    <w:rsid w:val="00423ADD"/>
    <w:rsid w:val="004242F4"/>
    <w:rsid w:val="004254F4"/>
    <w:rsid w:val="004257A4"/>
    <w:rsid w:val="00427248"/>
    <w:rsid w:val="00427509"/>
    <w:rsid w:val="004278CF"/>
    <w:rsid w:val="00430087"/>
    <w:rsid w:val="004317A7"/>
    <w:rsid w:val="0043184C"/>
    <w:rsid w:val="004322AC"/>
    <w:rsid w:val="00433520"/>
    <w:rsid w:val="00434401"/>
    <w:rsid w:val="00434863"/>
    <w:rsid w:val="00437447"/>
    <w:rsid w:val="0043755C"/>
    <w:rsid w:val="00437B2A"/>
    <w:rsid w:val="00437DB3"/>
    <w:rsid w:val="00441072"/>
    <w:rsid w:val="00441A92"/>
    <w:rsid w:val="00441CFF"/>
    <w:rsid w:val="00442B3A"/>
    <w:rsid w:val="004430B6"/>
    <w:rsid w:val="00443A66"/>
    <w:rsid w:val="00444720"/>
    <w:rsid w:val="00444F56"/>
    <w:rsid w:val="0044535B"/>
    <w:rsid w:val="00445530"/>
    <w:rsid w:val="00445CA9"/>
    <w:rsid w:val="00446488"/>
    <w:rsid w:val="00446C09"/>
    <w:rsid w:val="00446DAC"/>
    <w:rsid w:val="004508B0"/>
    <w:rsid w:val="00451723"/>
    <w:rsid w:val="004517AA"/>
    <w:rsid w:val="00452317"/>
    <w:rsid w:val="00452CAC"/>
    <w:rsid w:val="004548E6"/>
    <w:rsid w:val="004556FF"/>
    <w:rsid w:val="00455CA6"/>
    <w:rsid w:val="00457565"/>
    <w:rsid w:val="00457736"/>
    <w:rsid w:val="00457B71"/>
    <w:rsid w:val="0046194B"/>
    <w:rsid w:val="00461EDE"/>
    <w:rsid w:val="00462014"/>
    <w:rsid w:val="00462E16"/>
    <w:rsid w:val="004636EF"/>
    <w:rsid w:val="00463A72"/>
    <w:rsid w:val="00464355"/>
    <w:rsid w:val="004648E8"/>
    <w:rsid w:val="004669E2"/>
    <w:rsid w:val="00467FEA"/>
    <w:rsid w:val="00470B3A"/>
    <w:rsid w:val="00470C31"/>
    <w:rsid w:val="00470DEF"/>
    <w:rsid w:val="004712F7"/>
    <w:rsid w:val="004717A8"/>
    <w:rsid w:val="004717C1"/>
    <w:rsid w:val="00471838"/>
    <w:rsid w:val="00472788"/>
    <w:rsid w:val="00472985"/>
    <w:rsid w:val="00472A8F"/>
    <w:rsid w:val="004734D0"/>
    <w:rsid w:val="00473E95"/>
    <w:rsid w:val="00474BBE"/>
    <w:rsid w:val="00474C7D"/>
    <w:rsid w:val="0047556B"/>
    <w:rsid w:val="00475845"/>
    <w:rsid w:val="00476D56"/>
    <w:rsid w:val="004770B0"/>
    <w:rsid w:val="0047742B"/>
    <w:rsid w:val="00477768"/>
    <w:rsid w:val="00477DBC"/>
    <w:rsid w:val="00480234"/>
    <w:rsid w:val="0048026B"/>
    <w:rsid w:val="004811DC"/>
    <w:rsid w:val="00483408"/>
    <w:rsid w:val="0048477E"/>
    <w:rsid w:val="00484A54"/>
    <w:rsid w:val="004850C4"/>
    <w:rsid w:val="00485227"/>
    <w:rsid w:val="00485714"/>
    <w:rsid w:val="0048609B"/>
    <w:rsid w:val="004879B4"/>
    <w:rsid w:val="00487B12"/>
    <w:rsid w:val="0049201F"/>
    <w:rsid w:val="00492BC5"/>
    <w:rsid w:val="00494422"/>
    <w:rsid w:val="00494E2C"/>
    <w:rsid w:val="004964F1"/>
    <w:rsid w:val="00497B84"/>
    <w:rsid w:val="004A094D"/>
    <w:rsid w:val="004A10C6"/>
    <w:rsid w:val="004A16BC"/>
    <w:rsid w:val="004A2A6D"/>
    <w:rsid w:val="004A2B94"/>
    <w:rsid w:val="004A500E"/>
    <w:rsid w:val="004A5A05"/>
    <w:rsid w:val="004A5EFC"/>
    <w:rsid w:val="004B017C"/>
    <w:rsid w:val="004B033E"/>
    <w:rsid w:val="004B097E"/>
    <w:rsid w:val="004B1035"/>
    <w:rsid w:val="004B1FC7"/>
    <w:rsid w:val="004B42CA"/>
    <w:rsid w:val="004B480F"/>
    <w:rsid w:val="004B5B8B"/>
    <w:rsid w:val="004B63B1"/>
    <w:rsid w:val="004B7C0C"/>
    <w:rsid w:val="004C14FB"/>
    <w:rsid w:val="004C1A3B"/>
    <w:rsid w:val="004C1D95"/>
    <w:rsid w:val="004C229F"/>
    <w:rsid w:val="004C28A1"/>
    <w:rsid w:val="004C2949"/>
    <w:rsid w:val="004C2A03"/>
    <w:rsid w:val="004C3898"/>
    <w:rsid w:val="004C3E1B"/>
    <w:rsid w:val="004C4905"/>
    <w:rsid w:val="004C51D2"/>
    <w:rsid w:val="004C5466"/>
    <w:rsid w:val="004C63E8"/>
    <w:rsid w:val="004C73D4"/>
    <w:rsid w:val="004D06E6"/>
    <w:rsid w:val="004D124C"/>
    <w:rsid w:val="004D147E"/>
    <w:rsid w:val="004D36B1"/>
    <w:rsid w:val="004D3C1E"/>
    <w:rsid w:val="004D4337"/>
    <w:rsid w:val="004D7EBD"/>
    <w:rsid w:val="004E0CE6"/>
    <w:rsid w:val="004E1024"/>
    <w:rsid w:val="004E2680"/>
    <w:rsid w:val="004E2742"/>
    <w:rsid w:val="004E28F9"/>
    <w:rsid w:val="004E4287"/>
    <w:rsid w:val="004E4340"/>
    <w:rsid w:val="004E462E"/>
    <w:rsid w:val="004E4944"/>
    <w:rsid w:val="004E56DC"/>
    <w:rsid w:val="004E599E"/>
    <w:rsid w:val="004E6F3C"/>
    <w:rsid w:val="004E76F4"/>
    <w:rsid w:val="004E7D68"/>
    <w:rsid w:val="004F0617"/>
    <w:rsid w:val="004F0B4E"/>
    <w:rsid w:val="004F0B6C"/>
    <w:rsid w:val="004F2078"/>
    <w:rsid w:val="004F273C"/>
    <w:rsid w:val="004F40CA"/>
    <w:rsid w:val="004F49F0"/>
    <w:rsid w:val="004F4DA3"/>
    <w:rsid w:val="004F51BE"/>
    <w:rsid w:val="004F6E49"/>
    <w:rsid w:val="004F6EE4"/>
    <w:rsid w:val="004F788B"/>
    <w:rsid w:val="005032D2"/>
    <w:rsid w:val="00505C67"/>
    <w:rsid w:val="00506557"/>
    <w:rsid w:val="0050677A"/>
    <w:rsid w:val="005079B7"/>
    <w:rsid w:val="00507CE8"/>
    <w:rsid w:val="00507DD4"/>
    <w:rsid w:val="00510400"/>
    <w:rsid w:val="00510568"/>
    <w:rsid w:val="00510793"/>
    <w:rsid w:val="005108D8"/>
    <w:rsid w:val="005109C4"/>
    <w:rsid w:val="00511559"/>
    <w:rsid w:val="005115CE"/>
    <w:rsid w:val="005116F9"/>
    <w:rsid w:val="00511A44"/>
    <w:rsid w:val="00511ECE"/>
    <w:rsid w:val="005125EA"/>
    <w:rsid w:val="005139E9"/>
    <w:rsid w:val="00513A32"/>
    <w:rsid w:val="00513ED6"/>
    <w:rsid w:val="00514D40"/>
    <w:rsid w:val="005153A7"/>
    <w:rsid w:val="00515A32"/>
    <w:rsid w:val="00516D2A"/>
    <w:rsid w:val="00517A54"/>
    <w:rsid w:val="005202D1"/>
    <w:rsid w:val="00520B6D"/>
    <w:rsid w:val="005219CF"/>
    <w:rsid w:val="0052451A"/>
    <w:rsid w:val="00524AF7"/>
    <w:rsid w:val="00524C08"/>
    <w:rsid w:val="005254DE"/>
    <w:rsid w:val="0052614F"/>
    <w:rsid w:val="00530C9E"/>
    <w:rsid w:val="005310A1"/>
    <w:rsid w:val="00533136"/>
    <w:rsid w:val="00534B59"/>
    <w:rsid w:val="005351D7"/>
    <w:rsid w:val="00535271"/>
    <w:rsid w:val="00535CC4"/>
    <w:rsid w:val="005361DD"/>
    <w:rsid w:val="00536759"/>
    <w:rsid w:val="005369FB"/>
    <w:rsid w:val="005377E6"/>
    <w:rsid w:val="00537C62"/>
    <w:rsid w:val="00540618"/>
    <w:rsid w:val="00540C2F"/>
    <w:rsid w:val="005439BC"/>
    <w:rsid w:val="00546356"/>
    <w:rsid w:val="005466A8"/>
    <w:rsid w:val="005468AD"/>
    <w:rsid w:val="00546968"/>
    <w:rsid w:val="00546970"/>
    <w:rsid w:val="00547F4D"/>
    <w:rsid w:val="0055012D"/>
    <w:rsid w:val="00550419"/>
    <w:rsid w:val="00550767"/>
    <w:rsid w:val="00550A17"/>
    <w:rsid w:val="00550B4B"/>
    <w:rsid w:val="00550B5E"/>
    <w:rsid w:val="005514AE"/>
    <w:rsid w:val="00551A49"/>
    <w:rsid w:val="00553F91"/>
    <w:rsid w:val="00554AF2"/>
    <w:rsid w:val="00554E19"/>
    <w:rsid w:val="00556A0E"/>
    <w:rsid w:val="0056053D"/>
    <w:rsid w:val="0056121F"/>
    <w:rsid w:val="00562DBE"/>
    <w:rsid w:val="00563AD7"/>
    <w:rsid w:val="005650A5"/>
    <w:rsid w:val="00567234"/>
    <w:rsid w:val="00570E0F"/>
    <w:rsid w:val="00571C40"/>
    <w:rsid w:val="00572505"/>
    <w:rsid w:val="005731AF"/>
    <w:rsid w:val="005733EE"/>
    <w:rsid w:val="005738F8"/>
    <w:rsid w:val="00575921"/>
    <w:rsid w:val="00575DF3"/>
    <w:rsid w:val="00576E42"/>
    <w:rsid w:val="00577EF0"/>
    <w:rsid w:val="00577FFD"/>
    <w:rsid w:val="005800D6"/>
    <w:rsid w:val="00580EAF"/>
    <w:rsid w:val="005811E4"/>
    <w:rsid w:val="005813ED"/>
    <w:rsid w:val="005817AD"/>
    <w:rsid w:val="0058224C"/>
    <w:rsid w:val="005825AB"/>
    <w:rsid w:val="0058260D"/>
    <w:rsid w:val="00582809"/>
    <w:rsid w:val="00582BF1"/>
    <w:rsid w:val="0058345F"/>
    <w:rsid w:val="00583EF8"/>
    <w:rsid w:val="0058447F"/>
    <w:rsid w:val="00584B20"/>
    <w:rsid w:val="00584FDE"/>
    <w:rsid w:val="005857AB"/>
    <w:rsid w:val="00586648"/>
    <w:rsid w:val="00586AD5"/>
    <w:rsid w:val="00586F25"/>
    <w:rsid w:val="0058798C"/>
    <w:rsid w:val="005879BC"/>
    <w:rsid w:val="005900FA"/>
    <w:rsid w:val="005903C8"/>
    <w:rsid w:val="00590B36"/>
    <w:rsid w:val="0059127E"/>
    <w:rsid w:val="00592A8B"/>
    <w:rsid w:val="00592F8B"/>
    <w:rsid w:val="00592F97"/>
    <w:rsid w:val="005935A4"/>
    <w:rsid w:val="005938DC"/>
    <w:rsid w:val="00593D60"/>
    <w:rsid w:val="005948C2"/>
    <w:rsid w:val="00595068"/>
    <w:rsid w:val="00595DCA"/>
    <w:rsid w:val="00596140"/>
    <w:rsid w:val="0059779B"/>
    <w:rsid w:val="005A0716"/>
    <w:rsid w:val="005A1834"/>
    <w:rsid w:val="005A1B76"/>
    <w:rsid w:val="005A209A"/>
    <w:rsid w:val="005A224E"/>
    <w:rsid w:val="005A22AC"/>
    <w:rsid w:val="005A28EF"/>
    <w:rsid w:val="005A322A"/>
    <w:rsid w:val="005A4256"/>
    <w:rsid w:val="005A4879"/>
    <w:rsid w:val="005A4A67"/>
    <w:rsid w:val="005A662D"/>
    <w:rsid w:val="005B11EA"/>
    <w:rsid w:val="005B15A3"/>
    <w:rsid w:val="005B1C54"/>
    <w:rsid w:val="005B35D7"/>
    <w:rsid w:val="005B392A"/>
    <w:rsid w:val="005B3AA3"/>
    <w:rsid w:val="005B3DBD"/>
    <w:rsid w:val="005B3E47"/>
    <w:rsid w:val="005B44AA"/>
    <w:rsid w:val="005B55AE"/>
    <w:rsid w:val="005B61E8"/>
    <w:rsid w:val="005B643C"/>
    <w:rsid w:val="005B69DE"/>
    <w:rsid w:val="005B6F83"/>
    <w:rsid w:val="005B7D5A"/>
    <w:rsid w:val="005C0A98"/>
    <w:rsid w:val="005C2C2B"/>
    <w:rsid w:val="005C2E55"/>
    <w:rsid w:val="005C490B"/>
    <w:rsid w:val="005C74FB"/>
    <w:rsid w:val="005D1602"/>
    <w:rsid w:val="005D1654"/>
    <w:rsid w:val="005D24E8"/>
    <w:rsid w:val="005D34BF"/>
    <w:rsid w:val="005D4056"/>
    <w:rsid w:val="005D4159"/>
    <w:rsid w:val="005D4ADC"/>
    <w:rsid w:val="005D6082"/>
    <w:rsid w:val="005D62B8"/>
    <w:rsid w:val="005D6673"/>
    <w:rsid w:val="005E0772"/>
    <w:rsid w:val="005E09F4"/>
    <w:rsid w:val="005E0E4B"/>
    <w:rsid w:val="005E1B24"/>
    <w:rsid w:val="005E3061"/>
    <w:rsid w:val="005E34D6"/>
    <w:rsid w:val="005E385F"/>
    <w:rsid w:val="005E3DE7"/>
    <w:rsid w:val="005E44C4"/>
    <w:rsid w:val="005E47F4"/>
    <w:rsid w:val="005E505F"/>
    <w:rsid w:val="005E5B81"/>
    <w:rsid w:val="005E62AC"/>
    <w:rsid w:val="005E79C7"/>
    <w:rsid w:val="005F1B01"/>
    <w:rsid w:val="005F2CB1"/>
    <w:rsid w:val="005F2CC6"/>
    <w:rsid w:val="005F3025"/>
    <w:rsid w:val="005F5002"/>
    <w:rsid w:val="005F500F"/>
    <w:rsid w:val="005F563A"/>
    <w:rsid w:val="005F618C"/>
    <w:rsid w:val="005F6385"/>
    <w:rsid w:val="005F6B1B"/>
    <w:rsid w:val="005F70BD"/>
    <w:rsid w:val="005F7E09"/>
    <w:rsid w:val="00600A53"/>
    <w:rsid w:val="00601177"/>
    <w:rsid w:val="006015AF"/>
    <w:rsid w:val="00601EFA"/>
    <w:rsid w:val="0060283C"/>
    <w:rsid w:val="00602F7B"/>
    <w:rsid w:val="00604498"/>
    <w:rsid w:val="00604F14"/>
    <w:rsid w:val="00605343"/>
    <w:rsid w:val="006061AA"/>
    <w:rsid w:val="00607770"/>
    <w:rsid w:val="00610AB2"/>
    <w:rsid w:val="006111C4"/>
    <w:rsid w:val="0061135F"/>
    <w:rsid w:val="00611B83"/>
    <w:rsid w:val="00612D42"/>
    <w:rsid w:val="00612DC3"/>
    <w:rsid w:val="00612DD2"/>
    <w:rsid w:val="00613257"/>
    <w:rsid w:val="0061325D"/>
    <w:rsid w:val="00613C23"/>
    <w:rsid w:val="0061469F"/>
    <w:rsid w:val="00615888"/>
    <w:rsid w:val="00615E16"/>
    <w:rsid w:val="00615E93"/>
    <w:rsid w:val="006163BF"/>
    <w:rsid w:val="00617710"/>
    <w:rsid w:val="00620A71"/>
    <w:rsid w:val="00620D80"/>
    <w:rsid w:val="006212A9"/>
    <w:rsid w:val="00621C05"/>
    <w:rsid w:val="00621E54"/>
    <w:rsid w:val="0062203D"/>
    <w:rsid w:val="006234A6"/>
    <w:rsid w:val="00624529"/>
    <w:rsid w:val="00624976"/>
    <w:rsid w:val="00626D70"/>
    <w:rsid w:val="00630001"/>
    <w:rsid w:val="006301DE"/>
    <w:rsid w:val="00630356"/>
    <w:rsid w:val="00630DF7"/>
    <w:rsid w:val="006311B3"/>
    <w:rsid w:val="00631BF4"/>
    <w:rsid w:val="00631D2A"/>
    <w:rsid w:val="00631FCC"/>
    <w:rsid w:val="00632594"/>
    <w:rsid w:val="0063284C"/>
    <w:rsid w:val="006340B5"/>
    <w:rsid w:val="00634160"/>
    <w:rsid w:val="00634536"/>
    <w:rsid w:val="00634F10"/>
    <w:rsid w:val="00635E28"/>
    <w:rsid w:val="00636084"/>
    <w:rsid w:val="00636398"/>
    <w:rsid w:val="006366FD"/>
    <w:rsid w:val="006368D3"/>
    <w:rsid w:val="00636F85"/>
    <w:rsid w:val="006377EC"/>
    <w:rsid w:val="006401A5"/>
    <w:rsid w:val="00640C4E"/>
    <w:rsid w:val="0064151F"/>
    <w:rsid w:val="00641533"/>
    <w:rsid w:val="0064208D"/>
    <w:rsid w:val="00642ED8"/>
    <w:rsid w:val="00643475"/>
    <w:rsid w:val="0064396A"/>
    <w:rsid w:val="00645ADE"/>
    <w:rsid w:val="00645C2E"/>
    <w:rsid w:val="0064624E"/>
    <w:rsid w:val="00647D03"/>
    <w:rsid w:val="00650AB9"/>
    <w:rsid w:val="00650B6D"/>
    <w:rsid w:val="00650E37"/>
    <w:rsid w:val="0065115B"/>
    <w:rsid w:val="006512E1"/>
    <w:rsid w:val="00651A2E"/>
    <w:rsid w:val="00651DD2"/>
    <w:rsid w:val="006524A9"/>
    <w:rsid w:val="00652B78"/>
    <w:rsid w:val="00652CBA"/>
    <w:rsid w:val="006533DA"/>
    <w:rsid w:val="006535B6"/>
    <w:rsid w:val="00653C64"/>
    <w:rsid w:val="00655733"/>
    <w:rsid w:val="00655A31"/>
    <w:rsid w:val="00655ACD"/>
    <w:rsid w:val="00656A92"/>
    <w:rsid w:val="00656DDE"/>
    <w:rsid w:val="00657C4C"/>
    <w:rsid w:val="0066011D"/>
    <w:rsid w:val="006607C0"/>
    <w:rsid w:val="006613A6"/>
    <w:rsid w:val="00661633"/>
    <w:rsid w:val="00661B43"/>
    <w:rsid w:val="006627A2"/>
    <w:rsid w:val="006634E6"/>
    <w:rsid w:val="006649BD"/>
    <w:rsid w:val="0066554A"/>
    <w:rsid w:val="0066554F"/>
    <w:rsid w:val="006655EE"/>
    <w:rsid w:val="00666A6F"/>
    <w:rsid w:val="00667EE7"/>
    <w:rsid w:val="00670922"/>
    <w:rsid w:val="00670BE1"/>
    <w:rsid w:val="00670D25"/>
    <w:rsid w:val="00670E41"/>
    <w:rsid w:val="00670FC6"/>
    <w:rsid w:val="00671719"/>
    <w:rsid w:val="0067176C"/>
    <w:rsid w:val="0067218F"/>
    <w:rsid w:val="00672308"/>
    <w:rsid w:val="00672DE6"/>
    <w:rsid w:val="00672F93"/>
    <w:rsid w:val="00673B47"/>
    <w:rsid w:val="006741F2"/>
    <w:rsid w:val="00674CC3"/>
    <w:rsid w:val="006758B8"/>
    <w:rsid w:val="00675C72"/>
    <w:rsid w:val="0067639E"/>
    <w:rsid w:val="00676798"/>
    <w:rsid w:val="006771F9"/>
    <w:rsid w:val="006773CD"/>
    <w:rsid w:val="006776D7"/>
    <w:rsid w:val="00680277"/>
    <w:rsid w:val="00680BBD"/>
    <w:rsid w:val="00681003"/>
    <w:rsid w:val="006817C9"/>
    <w:rsid w:val="00682024"/>
    <w:rsid w:val="006829A5"/>
    <w:rsid w:val="00683395"/>
    <w:rsid w:val="00683ECE"/>
    <w:rsid w:val="00684340"/>
    <w:rsid w:val="00684CF7"/>
    <w:rsid w:val="00686801"/>
    <w:rsid w:val="00687C66"/>
    <w:rsid w:val="00690032"/>
    <w:rsid w:val="00690460"/>
    <w:rsid w:val="00690B84"/>
    <w:rsid w:val="00691A02"/>
    <w:rsid w:val="00691ACF"/>
    <w:rsid w:val="00692CA7"/>
    <w:rsid w:val="00693793"/>
    <w:rsid w:val="006946EB"/>
    <w:rsid w:val="00694EB8"/>
    <w:rsid w:val="00695ABB"/>
    <w:rsid w:val="00695FC2"/>
    <w:rsid w:val="006962C7"/>
    <w:rsid w:val="00696638"/>
    <w:rsid w:val="00696949"/>
    <w:rsid w:val="00696ED1"/>
    <w:rsid w:val="00697052"/>
    <w:rsid w:val="006A2F14"/>
    <w:rsid w:val="006A46FB"/>
    <w:rsid w:val="006A51AD"/>
    <w:rsid w:val="006A5B1C"/>
    <w:rsid w:val="006A5E28"/>
    <w:rsid w:val="006A5FAB"/>
    <w:rsid w:val="006A697B"/>
    <w:rsid w:val="006A71F0"/>
    <w:rsid w:val="006A7AFF"/>
    <w:rsid w:val="006B02AD"/>
    <w:rsid w:val="006B1816"/>
    <w:rsid w:val="006B2099"/>
    <w:rsid w:val="006B2188"/>
    <w:rsid w:val="006B387F"/>
    <w:rsid w:val="006B4ED7"/>
    <w:rsid w:val="006B50CF"/>
    <w:rsid w:val="006B50EA"/>
    <w:rsid w:val="006B5AD2"/>
    <w:rsid w:val="006B5B0F"/>
    <w:rsid w:val="006B6253"/>
    <w:rsid w:val="006B7340"/>
    <w:rsid w:val="006C03B8"/>
    <w:rsid w:val="006C1A9D"/>
    <w:rsid w:val="006C2482"/>
    <w:rsid w:val="006C2652"/>
    <w:rsid w:val="006C2E74"/>
    <w:rsid w:val="006C327A"/>
    <w:rsid w:val="006C3C1B"/>
    <w:rsid w:val="006C3E3D"/>
    <w:rsid w:val="006C40FF"/>
    <w:rsid w:val="006C4B61"/>
    <w:rsid w:val="006C55C5"/>
    <w:rsid w:val="006C5EC9"/>
    <w:rsid w:val="006C6059"/>
    <w:rsid w:val="006C6547"/>
    <w:rsid w:val="006C716E"/>
    <w:rsid w:val="006C7522"/>
    <w:rsid w:val="006C7DE5"/>
    <w:rsid w:val="006D0459"/>
    <w:rsid w:val="006D0C46"/>
    <w:rsid w:val="006D1BAE"/>
    <w:rsid w:val="006D21E5"/>
    <w:rsid w:val="006D2D68"/>
    <w:rsid w:val="006D2DC9"/>
    <w:rsid w:val="006D391C"/>
    <w:rsid w:val="006D41F0"/>
    <w:rsid w:val="006D4DCE"/>
    <w:rsid w:val="006D5744"/>
    <w:rsid w:val="006D5940"/>
    <w:rsid w:val="006D6F08"/>
    <w:rsid w:val="006E039E"/>
    <w:rsid w:val="006E05B2"/>
    <w:rsid w:val="006E05CD"/>
    <w:rsid w:val="006E062C"/>
    <w:rsid w:val="006E0878"/>
    <w:rsid w:val="006E2032"/>
    <w:rsid w:val="006E28B7"/>
    <w:rsid w:val="006E2F42"/>
    <w:rsid w:val="006E3310"/>
    <w:rsid w:val="006E4579"/>
    <w:rsid w:val="006E4772"/>
    <w:rsid w:val="006E4E39"/>
    <w:rsid w:val="006E53CC"/>
    <w:rsid w:val="006E5605"/>
    <w:rsid w:val="006E565E"/>
    <w:rsid w:val="006E673D"/>
    <w:rsid w:val="006E675A"/>
    <w:rsid w:val="006E76AB"/>
    <w:rsid w:val="006E77CB"/>
    <w:rsid w:val="006E7D3B"/>
    <w:rsid w:val="006F077D"/>
    <w:rsid w:val="006F1B70"/>
    <w:rsid w:val="006F2542"/>
    <w:rsid w:val="006F2B4B"/>
    <w:rsid w:val="006F341D"/>
    <w:rsid w:val="006F349A"/>
    <w:rsid w:val="006F3CDE"/>
    <w:rsid w:val="006F3E0F"/>
    <w:rsid w:val="006F552E"/>
    <w:rsid w:val="006F58D4"/>
    <w:rsid w:val="006F7CBD"/>
    <w:rsid w:val="0070346E"/>
    <w:rsid w:val="00704EDB"/>
    <w:rsid w:val="007058A9"/>
    <w:rsid w:val="00705AAE"/>
    <w:rsid w:val="00705C39"/>
    <w:rsid w:val="00706101"/>
    <w:rsid w:val="00707072"/>
    <w:rsid w:val="00707090"/>
    <w:rsid w:val="00707D61"/>
    <w:rsid w:val="00707DA5"/>
    <w:rsid w:val="00712287"/>
    <w:rsid w:val="00712772"/>
    <w:rsid w:val="00714602"/>
    <w:rsid w:val="007148D3"/>
    <w:rsid w:val="0071525F"/>
    <w:rsid w:val="00715B9A"/>
    <w:rsid w:val="00716CC0"/>
    <w:rsid w:val="00717532"/>
    <w:rsid w:val="0071784B"/>
    <w:rsid w:val="007211F2"/>
    <w:rsid w:val="00721358"/>
    <w:rsid w:val="00722535"/>
    <w:rsid w:val="00723EC6"/>
    <w:rsid w:val="007249B8"/>
    <w:rsid w:val="00725201"/>
    <w:rsid w:val="00726EA6"/>
    <w:rsid w:val="00727208"/>
    <w:rsid w:val="00727680"/>
    <w:rsid w:val="00727B02"/>
    <w:rsid w:val="00730045"/>
    <w:rsid w:val="00730B68"/>
    <w:rsid w:val="00731815"/>
    <w:rsid w:val="00732461"/>
    <w:rsid w:val="007329CC"/>
    <w:rsid w:val="0073348B"/>
    <w:rsid w:val="007348B1"/>
    <w:rsid w:val="00734E4F"/>
    <w:rsid w:val="00734F58"/>
    <w:rsid w:val="007358B4"/>
    <w:rsid w:val="007362A6"/>
    <w:rsid w:val="00736D7D"/>
    <w:rsid w:val="00737418"/>
    <w:rsid w:val="00737B4F"/>
    <w:rsid w:val="0074053E"/>
    <w:rsid w:val="00740E58"/>
    <w:rsid w:val="00742663"/>
    <w:rsid w:val="0074279E"/>
    <w:rsid w:val="00743476"/>
    <w:rsid w:val="007445A0"/>
    <w:rsid w:val="0074524B"/>
    <w:rsid w:val="00745291"/>
    <w:rsid w:val="0074619F"/>
    <w:rsid w:val="00746C15"/>
    <w:rsid w:val="00746C6F"/>
    <w:rsid w:val="00746D6F"/>
    <w:rsid w:val="007472EF"/>
    <w:rsid w:val="00747D8B"/>
    <w:rsid w:val="00750ADF"/>
    <w:rsid w:val="00750EDF"/>
    <w:rsid w:val="00751228"/>
    <w:rsid w:val="0075145D"/>
    <w:rsid w:val="00754BAA"/>
    <w:rsid w:val="007551C8"/>
    <w:rsid w:val="00756E0E"/>
    <w:rsid w:val="007571E1"/>
    <w:rsid w:val="00757676"/>
    <w:rsid w:val="007604B2"/>
    <w:rsid w:val="00761542"/>
    <w:rsid w:val="0076290D"/>
    <w:rsid w:val="00762A71"/>
    <w:rsid w:val="00762B72"/>
    <w:rsid w:val="00763336"/>
    <w:rsid w:val="00764E08"/>
    <w:rsid w:val="00764E31"/>
    <w:rsid w:val="00765281"/>
    <w:rsid w:val="00765BD7"/>
    <w:rsid w:val="00766BAD"/>
    <w:rsid w:val="00766C07"/>
    <w:rsid w:val="00766C10"/>
    <w:rsid w:val="007671C7"/>
    <w:rsid w:val="0076730B"/>
    <w:rsid w:val="00767657"/>
    <w:rsid w:val="00767D67"/>
    <w:rsid w:val="00771754"/>
    <w:rsid w:val="00771E25"/>
    <w:rsid w:val="00772857"/>
    <w:rsid w:val="0077299B"/>
    <w:rsid w:val="007730BD"/>
    <w:rsid w:val="007735C1"/>
    <w:rsid w:val="00773725"/>
    <w:rsid w:val="0077486F"/>
    <w:rsid w:val="00774CD1"/>
    <w:rsid w:val="007755F2"/>
    <w:rsid w:val="007756AD"/>
    <w:rsid w:val="00775C29"/>
    <w:rsid w:val="00776971"/>
    <w:rsid w:val="00777C98"/>
    <w:rsid w:val="00780BEC"/>
    <w:rsid w:val="007816CF"/>
    <w:rsid w:val="0078177E"/>
    <w:rsid w:val="0078225E"/>
    <w:rsid w:val="0078304C"/>
    <w:rsid w:val="0078328B"/>
    <w:rsid w:val="00783673"/>
    <w:rsid w:val="00783891"/>
    <w:rsid w:val="0078493F"/>
    <w:rsid w:val="00785490"/>
    <w:rsid w:val="0078604B"/>
    <w:rsid w:val="00786064"/>
    <w:rsid w:val="0078695B"/>
    <w:rsid w:val="00787CB5"/>
    <w:rsid w:val="007925EA"/>
    <w:rsid w:val="007931C9"/>
    <w:rsid w:val="00793534"/>
    <w:rsid w:val="00793CD8"/>
    <w:rsid w:val="00793E8A"/>
    <w:rsid w:val="00794725"/>
    <w:rsid w:val="007956E8"/>
    <w:rsid w:val="00795C92"/>
    <w:rsid w:val="00796231"/>
    <w:rsid w:val="00796D27"/>
    <w:rsid w:val="00797980"/>
    <w:rsid w:val="007A0A34"/>
    <w:rsid w:val="007A1304"/>
    <w:rsid w:val="007A1CB3"/>
    <w:rsid w:val="007A240C"/>
    <w:rsid w:val="007A298E"/>
    <w:rsid w:val="007A306F"/>
    <w:rsid w:val="007A31EA"/>
    <w:rsid w:val="007A328D"/>
    <w:rsid w:val="007A33F6"/>
    <w:rsid w:val="007A43A6"/>
    <w:rsid w:val="007A4A6E"/>
    <w:rsid w:val="007A4E19"/>
    <w:rsid w:val="007A58A6"/>
    <w:rsid w:val="007A5ECB"/>
    <w:rsid w:val="007A6CAA"/>
    <w:rsid w:val="007A7CE4"/>
    <w:rsid w:val="007B1199"/>
    <w:rsid w:val="007B20A3"/>
    <w:rsid w:val="007B2339"/>
    <w:rsid w:val="007B2887"/>
    <w:rsid w:val="007B2E84"/>
    <w:rsid w:val="007B3D2D"/>
    <w:rsid w:val="007B50AE"/>
    <w:rsid w:val="007B51DF"/>
    <w:rsid w:val="007B6A97"/>
    <w:rsid w:val="007B7C7A"/>
    <w:rsid w:val="007C008A"/>
    <w:rsid w:val="007C05DD"/>
    <w:rsid w:val="007C071B"/>
    <w:rsid w:val="007C1EA0"/>
    <w:rsid w:val="007C3458"/>
    <w:rsid w:val="007C3D18"/>
    <w:rsid w:val="007C44EA"/>
    <w:rsid w:val="007C493D"/>
    <w:rsid w:val="007C5E95"/>
    <w:rsid w:val="007C60BF"/>
    <w:rsid w:val="007C6A07"/>
    <w:rsid w:val="007C75A1"/>
    <w:rsid w:val="007C76E7"/>
    <w:rsid w:val="007C77A5"/>
    <w:rsid w:val="007D04DA"/>
    <w:rsid w:val="007D04E5"/>
    <w:rsid w:val="007D114D"/>
    <w:rsid w:val="007D1AF5"/>
    <w:rsid w:val="007D4CE5"/>
    <w:rsid w:val="007D5901"/>
    <w:rsid w:val="007D6006"/>
    <w:rsid w:val="007D63E7"/>
    <w:rsid w:val="007D7526"/>
    <w:rsid w:val="007D7956"/>
    <w:rsid w:val="007D7DDF"/>
    <w:rsid w:val="007E160F"/>
    <w:rsid w:val="007E18CF"/>
    <w:rsid w:val="007E1DCE"/>
    <w:rsid w:val="007E24B2"/>
    <w:rsid w:val="007E256B"/>
    <w:rsid w:val="007E2F4A"/>
    <w:rsid w:val="007E3279"/>
    <w:rsid w:val="007E4610"/>
    <w:rsid w:val="007E4715"/>
    <w:rsid w:val="007E505B"/>
    <w:rsid w:val="007E65EF"/>
    <w:rsid w:val="007E7091"/>
    <w:rsid w:val="007E74C3"/>
    <w:rsid w:val="007E7942"/>
    <w:rsid w:val="007E7E78"/>
    <w:rsid w:val="007F03D6"/>
    <w:rsid w:val="007F221A"/>
    <w:rsid w:val="007F31CB"/>
    <w:rsid w:val="007F45A0"/>
    <w:rsid w:val="007F5500"/>
    <w:rsid w:val="007F6FFE"/>
    <w:rsid w:val="007F790D"/>
    <w:rsid w:val="0080122F"/>
    <w:rsid w:val="008031A6"/>
    <w:rsid w:val="0080327B"/>
    <w:rsid w:val="00803FAE"/>
    <w:rsid w:val="00804960"/>
    <w:rsid w:val="00804A58"/>
    <w:rsid w:val="00805F26"/>
    <w:rsid w:val="0080605F"/>
    <w:rsid w:val="00807786"/>
    <w:rsid w:val="008105B7"/>
    <w:rsid w:val="00810908"/>
    <w:rsid w:val="00810914"/>
    <w:rsid w:val="00811267"/>
    <w:rsid w:val="008114A1"/>
    <w:rsid w:val="008117A8"/>
    <w:rsid w:val="00811FCB"/>
    <w:rsid w:val="0081245C"/>
    <w:rsid w:val="0081455B"/>
    <w:rsid w:val="00814AA1"/>
    <w:rsid w:val="00814DC7"/>
    <w:rsid w:val="008158D6"/>
    <w:rsid w:val="00816207"/>
    <w:rsid w:val="00816CBC"/>
    <w:rsid w:val="00817196"/>
    <w:rsid w:val="0081749A"/>
    <w:rsid w:val="00817E26"/>
    <w:rsid w:val="008207AC"/>
    <w:rsid w:val="00821234"/>
    <w:rsid w:val="00822477"/>
    <w:rsid w:val="0082269C"/>
    <w:rsid w:val="008235DB"/>
    <w:rsid w:val="00824550"/>
    <w:rsid w:val="00824AB4"/>
    <w:rsid w:val="00825C42"/>
    <w:rsid w:val="00825D25"/>
    <w:rsid w:val="00826BAC"/>
    <w:rsid w:val="00827BBD"/>
    <w:rsid w:val="00827D6F"/>
    <w:rsid w:val="0083113B"/>
    <w:rsid w:val="00831D06"/>
    <w:rsid w:val="008331E4"/>
    <w:rsid w:val="008339E1"/>
    <w:rsid w:val="00835051"/>
    <w:rsid w:val="00835427"/>
    <w:rsid w:val="00836E89"/>
    <w:rsid w:val="008370ED"/>
    <w:rsid w:val="008372EB"/>
    <w:rsid w:val="008376AC"/>
    <w:rsid w:val="008377DA"/>
    <w:rsid w:val="008402D3"/>
    <w:rsid w:val="00840AB3"/>
    <w:rsid w:val="00841EEB"/>
    <w:rsid w:val="00842143"/>
    <w:rsid w:val="00842F64"/>
    <w:rsid w:val="008444E8"/>
    <w:rsid w:val="00844E80"/>
    <w:rsid w:val="00845C13"/>
    <w:rsid w:val="008461ED"/>
    <w:rsid w:val="008464EB"/>
    <w:rsid w:val="00846FE7"/>
    <w:rsid w:val="00847648"/>
    <w:rsid w:val="00850768"/>
    <w:rsid w:val="00851F6D"/>
    <w:rsid w:val="0085270F"/>
    <w:rsid w:val="00853208"/>
    <w:rsid w:val="00853375"/>
    <w:rsid w:val="00853C37"/>
    <w:rsid w:val="00854867"/>
    <w:rsid w:val="0085562C"/>
    <w:rsid w:val="00855A7A"/>
    <w:rsid w:val="008563BB"/>
    <w:rsid w:val="00856911"/>
    <w:rsid w:val="00856AD9"/>
    <w:rsid w:val="00856CC0"/>
    <w:rsid w:val="0086204C"/>
    <w:rsid w:val="0086267C"/>
    <w:rsid w:val="008629EF"/>
    <w:rsid w:val="0086479F"/>
    <w:rsid w:val="00865F2E"/>
    <w:rsid w:val="00866881"/>
    <w:rsid w:val="008672C6"/>
    <w:rsid w:val="008677FD"/>
    <w:rsid w:val="008706D4"/>
    <w:rsid w:val="00870F8A"/>
    <w:rsid w:val="00871948"/>
    <w:rsid w:val="008719A4"/>
    <w:rsid w:val="00871D23"/>
    <w:rsid w:val="008735C8"/>
    <w:rsid w:val="00874312"/>
    <w:rsid w:val="0087437C"/>
    <w:rsid w:val="0087444A"/>
    <w:rsid w:val="00875CD7"/>
    <w:rsid w:val="00876A72"/>
    <w:rsid w:val="00876B4D"/>
    <w:rsid w:val="00877544"/>
    <w:rsid w:val="00877F18"/>
    <w:rsid w:val="008802FE"/>
    <w:rsid w:val="008807DA"/>
    <w:rsid w:val="00883B20"/>
    <w:rsid w:val="00883D41"/>
    <w:rsid w:val="00884A31"/>
    <w:rsid w:val="00886F0A"/>
    <w:rsid w:val="00887900"/>
    <w:rsid w:val="00887B89"/>
    <w:rsid w:val="00890641"/>
    <w:rsid w:val="00891752"/>
    <w:rsid w:val="00891D5F"/>
    <w:rsid w:val="00892997"/>
    <w:rsid w:val="008935E0"/>
    <w:rsid w:val="0089403D"/>
    <w:rsid w:val="008944C8"/>
    <w:rsid w:val="008947CE"/>
    <w:rsid w:val="0089495B"/>
    <w:rsid w:val="00894A49"/>
    <w:rsid w:val="00894A88"/>
    <w:rsid w:val="00894D66"/>
    <w:rsid w:val="00894DA8"/>
    <w:rsid w:val="00895386"/>
    <w:rsid w:val="008955C3"/>
    <w:rsid w:val="0089687F"/>
    <w:rsid w:val="00896B21"/>
    <w:rsid w:val="00896F88"/>
    <w:rsid w:val="00897EE5"/>
    <w:rsid w:val="008A04FB"/>
    <w:rsid w:val="008A077E"/>
    <w:rsid w:val="008A11AD"/>
    <w:rsid w:val="008A1E72"/>
    <w:rsid w:val="008A21FF"/>
    <w:rsid w:val="008A2CE2"/>
    <w:rsid w:val="008A30AC"/>
    <w:rsid w:val="008A3555"/>
    <w:rsid w:val="008A44B8"/>
    <w:rsid w:val="008A51A8"/>
    <w:rsid w:val="008A54C7"/>
    <w:rsid w:val="008A6540"/>
    <w:rsid w:val="008A6F2D"/>
    <w:rsid w:val="008A77D8"/>
    <w:rsid w:val="008A7C77"/>
    <w:rsid w:val="008A7D60"/>
    <w:rsid w:val="008B0483"/>
    <w:rsid w:val="008B120C"/>
    <w:rsid w:val="008B18B3"/>
    <w:rsid w:val="008B2B19"/>
    <w:rsid w:val="008B356E"/>
    <w:rsid w:val="008B4668"/>
    <w:rsid w:val="008B51A0"/>
    <w:rsid w:val="008B592A"/>
    <w:rsid w:val="008B6BF6"/>
    <w:rsid w:val="008B7B5C"/>
    <w:rsid w:val="008C0C99"/>
    <w:rsid w:val="008C0C9A"/>
    <w:rsid w:val="008C108A"/>
    <w:rsid w:val="008C112E"/>
    <w:rsid w:val="008C176D"/>
    <w:rsid w:val="008C1C8F"/>
    <w:rsid w:val="008C1EB8"/>
    <w:rsid w:val="008C2017"/>
    <w:rsid w:val="008C36AA"/>
    <w:rsid w:val="008C3D97"/>
    <w:rsid w:val="008C431D"/>
    <w:rsid w:val="008C4958"/>
    <w:rsid w:val="008C4BAA"/>
    <w:rsid w:val="008C4C4D"/>
    <w:rsid w:val="008C54D5"/>
    <w:rsid w:val="008C6AE8"/>
    <w:rsid w:val="008C6F82"/>
    <w:rsid w:val="008C7573"/>
    <w:rsid w:val="008D16A5"/>
    <w:rsid w:val="008D34F1"/>
    <w:rsid w:val="008D35B0"/>
    <w:rsid w:val="008D386A"/>
    <w:rsid w:val="008D39D8"/>
    <w:rsid w:val="008D3A4A"/>
    <w:rsid w:val="008D4116"/>
    <w:rsid w:val="008D460F"/>
    <w:rsid w:val="008D4669"/>
    <w:rsid w:val="008D4A58"/>
    <w:rsid w:val="008D5FA4"/>
    <w:rsid w:val="008D6287"/>
    <w:rsid w:val="008D6D1A"/>
    <w:rsid w:val="008D7F5D"/>
    <w:rsid w:val="008E065E"/>
    <w:rsid w:val="008E0927"/>
    <w:rsid w:val="008E0AD0"/>
    <w:rsid w:val="008E1909"/>
    <w:rsid w:val="008E211A"/>
    <w:rsid w:val="008E2E5C"/>
    <w:rsid w:val="008E2E7C"/>
    <w:rsid w:val="008E3CD9"/>
    <w:rsid w:val="008E3DC9"/>
    <w:rsid w:val="008E457C"/>
    <w:rsid w:val="008E4E4A"/>
    <w:rsid w:val="008E55D4"/>
    <w:rsid w:val="008E6E53"/>
    <w:rsid w:val="008F1EAB"/>
    <w:rsid w:val="008F1FD2"/>
    <w:rsid w:val="008F23DC"/>
    <w:rsid w:val="008F2D75"/>
    <w:rsid w:val="008F33DC"/>
    <w:rsid w:val="008F3732"/>
    <w:rsid w:val="008F477F"/>
    <w:rsid w:val="008F5AD4"/>
    <w:rsid w:val="008F5FD1"/>
    <w:rsid w:val="008F67B8"/>
    <w:rsid w:val="008F6854"/>
    <w:rsid w:val="008F7894"/>
    <w:rsid w:val="008F7CF6"/>
    <w:rsid w:val="008F7D7B"/>
    <w:rsid w:val="008F7F76"/>
    <w:rsid w:val="00902350"/>
    <w:rsid w:val="0090307C"/>
    <w:rsid w:val="0090336B"/>
    <w:rsid w:val="00903C54"/>
    <w:rsid w:val="009053AA"/>
    <w:rsid w:val="009056F9"/>
    <w:rsid w:val="009068EB"/>
    <w:rsid w:val="00906939"/>
    <w:rsid w:val="0091077F"/>
    <w:rsid w:val="009108E6"/>
    <w:rsid w:val="00910B7D"/>
    <w:rsid w:val="00910C73"/>
    <w:rsid w:val="0091118B"/>
    <w:rsid w:val="0091186D"/>
    <w:rsid w:val="00911DFB"/>
    <w:rsid w:val="00912046"/>
    <w:rsid w:val="009139D9"/>
    <w:rsid w:val="00913C7D"/>
    <w:rsid w:val="00914979"/>
    <w:rsid w:val="00914981"/>
    <w:rsid w:val="00914AD8"/>
    <w:rsid w:val="00916079"/>
    <w:rsid w:val="00916ABF"/>
    <w:rsid w:val="00917CE9"/>
    <w:rsid w:val="00917FED"/>
    <w:rsid w:val="009202B9"/>
    <w:rsid w:val="00920BF2"/>
    <w:rsid w:val="00921DD7"/>
    <w:rsid w:val="00922010"/>
    <w:rsid w:val="009226AD"/>
    <w:rsid w:val="00922A2F"/>
    <w:rsid w:val="00922CED"/>
    <w:rsid w:val="00923064"/>
    <w:rsid w:val="0092358E"/>
    <w:rsid w:val="00924877"/>
    <w:rsid w:val="009253F1"/>
    <w:rsid w:val="009263F7"/>
    <w:rsid w:val="009275FA"/>
    <w:rsid w:val="0092763B"/>
    <w:rsid w:val="00931BD9"/>
    <w:rsid w:val="00931F6B"/>
    <w:rsid w:val="009321B5"/>
    <w:rsid w:val="00934FAF"/>
    <w:rsid w:val="00935432"/>
    <w:rsid w:val="00935D87"/>
    <w:rsid w:val="00935E11"/>
    <w:rsid w:val="009368F3"/>
    <w:rsid w:val="00937497"/>
    <w:rsid w:val="00940ADD"/>
    <w:rsid w:val="00941636"/>
    <w:rsid w:val="00942B5B"/>
    <w:rsid w:val="0094310D"/>
    <w:rsid w:val="00943722"/>
    <w:rsid w:val="00943742"/>
    <w:rsid w:val="00943EA0"/>
    <w:rsid w:val="009441D0"/>
    <w:rsid w:val="00944859"/>
    <w:rsid w:val="00944AF4"/>
    <w:rsid w:val="00945ABF"/>
    <w:rsid w:val="00945BB6"/>
    <w:rsid w:val="00945C05"/>
    <w:rsid w:val="00946945"/>
    <w:rsid w:val="009476E2"/>
    <w:rsid w:val="00947713"/>
    <w:rsid w:val="009477B4"/>
    <w:rsid w:val="00950AE8"/>
    <w:rsid w:val="00950B02"/>
    <w:rsid w:val="00950DE7"/>
    <w:rsid w:val="00950FED"/>
    <w:rsid w:val="00951E94"/>
    <w:rsid w:val="00952647"/>
    <w:rsid w:val="00953920"/>
    <w:rsid w:val="00953D47"/>
    <w:rsid w:val="0095681E"/>
    <w:rsid w:val="009572D4"/>
    <w:rsid w:val="009605F8"/>
    <w:rsid w:val="00960BA1"/>
    <w:rsid w:val="0096159D"/>
    <w:rsid w:val="00961921"/>
    <w:rsid w:val="00961D7F"/>
    <w:rsid w:val="009636D3"/>
    <w:rsid w:val="0096430A"/>
    <w:rsid w:val="00965039"/>
    <w:rsid w:val="0096554B"/>
    <w:rsid w:val="0096584A"/>
    <w:rsid w:val="00966A1A"/>
    <w:rsid w:val="00966DE8"/>
    <w:rsid w:val="009706A9"/>
    <w:rsid w:val="00970D7B"/>
    <w:rsid w:val="00971399"/>
    <w:rsid w:val="00971F08"/>
    <w:rsid w:val="00974307"/>
    <w:rsid w:val="0097442D"/>
    <w:rsid w:val="00974DA5"/>
    <w:rsid w:val="00974E50"/>
    <w:rsid w:val="00975A1D"/>
    <w:rsid w:val="0097603D"/>
    <w:rsid w:val="00976949"/>
    <w:rsid w:val="009774DB"/>
    <w:rsid w:val="00980477"/>
    <w:rsid w:val="00980E52"/>
    <w:rsid w:val="009828E5"/>
    <w:rsid w:val="00983A00"/>
    <w:rsid w:val="0098431E"/>
    <w:rsid w:val="00984E95"/>
    <w:rsid w:val="00985253"/>
    <w:rsid w:val="009853B3"/>
    <w:rsid w:val="0098546D"/>
    <w:rsid w:val="00985552"/>
    <w:rsid w:val="009867B8"/>
    <w:rsid w:val="00986BD2"/>
    <w:rsid w:val="0098709E"/>
    <w:rsid w:val="00987A88"/>
    <w:rsid w:val="00987FBB"/>
    <w:rsid w:val="00990152"/>
    <w:rsid w:val="00990186"/>
    <w:rsid w:val="00990630"/>
    <w:rsid w:val="00990D55"/>
    <w:rsid w:val="00991092"/>
    <w:rsid w:val="00991761"/>
    <w:rsid w:val="00994DCA"/>
    <w:rsid w:val="0099594D"/>
    <w:rsid w:val="009960EC"/>
    <w:rsid w:val="009961CD"/>
    <w:rsid w:val="009968C7"/>
    <w:rsid w:val="009970DD"/>
    <w:rsid w:val="009975FB"/>
    <w:rsid w:val="009A0FBA"/>
    <w:rsid w:val="009A1601"/>
    <w:rsid w:val="009A38B7"/>
    <w:rsid w:val="009A3CA2"/>
    <w:rsid w:val="009A462D"/>
    <w:rsid w:val="009A4D16"/>
    <w:rsid w:val="009A4D1C"/>
    <w:rsid w:val="009A4D86"/>
    <w:rsid w:val="009A540A"/>
    <w:rsid w:val="009A546D"/>
    <w:rsid w:val="009A5CBA"/>
    <w:rsid w:val="009A5D06"/>
    <w:rsid w:val="009A7274"/>
    <w:rsid w:val="009B1613"/>
    <w:rsid w:val="009B1ADF"/>
    <w:rsid w:val="009B1F30"/>
    <w:rsid w:val="009B2C2A"/>
    <w:rsid w:val="009B3054"/>
    <w:rsid w:val="009B3AC2"/>
    <w:rsid w:val="009B4398"/>
    <w:rsid w:val="009B44F3"/>
    <w:rsid w:val="009B472B"/>
    <w:rsid w:val="009B4CC0"/>
    <w:rsid w:val="009B4DF4"/>
    <w:rsid w:val="009B564E"/>
    <w:rsid w:val="009B64E5"/>
    <w:rsid w:val="009B6B64"/>
    <w:rsid w:val="009B7E87"/>
    <w:rsid w:val="009C03E1"/>
    <w:rsid w:val="009C1198"/>
    <w:rsid w:val="009C1B52"/>
    <w:rsid w:val="009C2F4B"/>
    <w:rsid w:val="009C395E"/>
    <w:rsid w:val="009C3B26"/>
    <w:rsid w:val="009C403E"/>
    <w:rsid w:val="009C4D88"/>
    <w:rsid w:val="009C6DD4"/>
    <w:rsid w:val="009C7375"/>
    <w:rsid w:val="009D0A4B"/>
    <w:rsid w:val="009D106B"/>
    <w:rsid w:val="009D171C"/>
    <w:rsid w:val="009D190A"/>
    <w:rsid w:val="009D1F8A"/>
    <w:rsid w:val="009D4FF0"/>
    <w:rsid w:val="009D530D"/>
    <w:rsid w:val="009D55F8"/>
    <w:rsid w:val="009D5CE6"/>
    <w:rsid w:val="009D703C"/>
    <w:rsid w:val="009D718F"/>
    <w:rsid w:val="009D73AF"/>
    <w:rsid w:val="009E068F"/>
    <w:rsid w:val="009E14E0"/>
    <w:rsid w:val="009E173D"/>
    <w:rsid w:val="009E1E74"/>
    <w:rsid w:val="009E35DB"/>
    <w:rsid w:val="009E47A3"/>
    <w:rsid w:val="009E5EE1"/>
    <w:rsid w:val="009E7599"/>
    <w:rsid w:val="009F010B"/>
    <w:rsid w:val="009F0561"/>
    <w:rsid w:val="009F08F3"/>
    <w:rsid w:val="009F1CB0"/>
    <w:rsid w:val="009F344F"/>
    <w:rsid w:val="009F4CE8"/>
    <w:rsid w:val="009F55DD"/>
    <w:rsid w:val="009F68B7"/>
    <w:rsid w:val="009F7652"/>
    <w:rsid w:val="00A00568"/>
    <w:rsid w:val="00A048A8"/>
    <w:rsid w:val="00A04F49"/>
    <w:rsid w:val="00A0550B"/>
    <w:rsid w:val="00A06A91"/>
    <w:rsid w:val="00A06E47"/>
    <w:rsid w:val="00A1055D"/>
    <w:rsid w:val="00A124CA"/>
    <w:rsid w:val="00A12BD7"/>
    <w:rsid w:val="00A13E54"/>
    <w:rsid w:val="00A16294"/>
    <w:rsid w:val="00A1640B"/>
    <w:rsid w:val="00A16451"/>
    <w:rsid w:val="00A17757"/>
    <w:rsid w:val="00A17F63"/>
    <w:rsid w:val="00A202EC"/>
    <w:rsid w:val="00A20C94"/>
    <w:rsid w:val="00A2193B"/>
    <w:rsid w:val="00A2351A"/>
    <w:rsid w:val="00A2395E"/>
    <w:rsid w:val="00A264A9"/>
    <w:rsid w:val="00A27785"/>
    <w:rsid w:val="00A30187"/>
    <w:rsid w:val="00A32726"/>
    <w:rsid w:val="00A328EA"/>
    <w:rsid w:val="00A32976"/>
    <w:rsid w:val="00A32A9D"/>
    <w:rsid w:val="00A32E01"/>
    <w:rsid w:val="00A33231"/>
    <w:rsid w:val="00A33E52"/>
    <w:rsid w:val="00A3448A"/>
    <w:rsid w:val="00A35C53"/>
    <w:rsid w:val="00A36297"/>
    <w:rsid w:val="00A36A75"/>
    <w:rsid w:val="00A36EA0"/>
    <w:rsid w:val="00A371AA"/>
    <w:rsid w:val="00A377B4"/>
    <w:rsid w:val="00A40A18"/>
    <w:rsid w:val="00A41511"/>
    <w:rsid w:val="00A41E2B"/>
    <w:rsid w:val="00A433E8"/>
    <w:rsid w:val="00A45B74"/>
    <w:rsid w:val="00A528D8"/>
    <w:rsid w:val="00A52E1D"/>
    <w:rsid w:val="00A53468"/>
    <w:rsid w:val="00A5567A"/>
    <w:rsid w:val="00A55EED"/>
    <w:rsid w:val="00A55EFE"/>
    <w:rsid w:val="00A605AF"/>
    <w:rsid w:val="00A61499"/>
    <w:rsid w:val="00A62A77"/>
    <w:rsid w:val="00A62B50"/>
    <w:rsid w:val="00A63483"/>
    <w:rsid w:val="00A63EEB"/>
    <w:rsid w:val="00A6406E"/>
    <w:rsid w:val="00A64156"/>
    <w:rsid w:val="00A647F1"/>
    <w:rsid w:val="00A64EE3"/>
    <w:rsid w:val="00A657D7"/>
    <w:rsid w:val="00A660AC"/>
    <w:rsid w:val="00A67007"/>
    <w:rsid w:val="00A67E6C"/>
    <w:rsid w:val="00A7072D"/>
    <w:rsid w:val="00A71AA2"/>
    <w:rsid w:val="00A71B99"/>
    <w:rsid w:val="00A723E4"/>
    <w:rsid w:val="00A739D0"/>
    <w:rsid w:val="00A74B35"/>
    <w:rsid w:val="00A761D4"/>
    <w:rsid w:val="00A76A1B"/>
    <w:rsid w:val="00A76B7E"/>
    <w:rsid w:val="00A76ECD"/>
    <w:rsid w:val="00A77EC4"/>
    <w:rsid w:val="00A8438B"/>
    <w:rsid w:val="00A84450"/>
    <w:rsid w:val="00A84F17"/>
    <w:rsid w:val="00A91792"/>
    <w:rsid w:val="00A92382"/>
    <w:rsid w:val="00A92879"/>
    <w:rsid w:val="00A931A5"/>
    <w:rsid w:val="00A9442A"/>
    <w:rsid w:val="00A96075"/>
    <w:rsid w:val="00A96080"/>
    <w:rsid w:val="00A9627A"/>
    <w:rsid w:val="00A97965"/>
    <w:rsid w:val="00A97F08"/>
    <w:rsid w:val="00A97FCD"/>
    <w:rsid w:val="00AA016F"/>
    <w:rsid w:val="00AA1ED6"/>
    <w:rsid w:val="00AA234A"/>
    <w:rsid w:val="00AA2598"/>
    <w:rsid w:val="00AA2E90"/>
    <w:rsid w:val="00AA51D6"/>
    <w:rsid w:val="00AA62A4"/>
    <w:rsid w:val="00AA761B"/>
    <w:rsid w:val="00AB02D8"/>
    <w:rsid w:val="00AB06E7"/>
    <w:rsid w:val="00AB0BC8"/>
    <w:rsid w:val="00AB0F54"/>
    <w:rsid w:val="00AB11CA"/>
    <w:rsid w:val="00AB14D9"/>
    <w:rsid w:val="00AB2CF3"/>
    <w:rsid w:val="00AB3A28"/>
    <w:rsid w:val="00AB43E1"/>
    <w:rsid w:val="00AB46E3"/>
    <w:rsid w:val="00AB4AB8"/>
    <w:rsid w:val="00AB655E"/>
    <w:rsid w:val="00AB6561"/>
    <w:rsid w:val="00AB684F"/>
    <w:rsid w:val="00AC007F"/>
    <w:rsid w:val="00AC0A07"/>
    <w:rsid w:val="00AC0A7A"/>
    <w:rsid w:val="00AC11B3"/>
    <w:rsid w:val="00AC1BBE"/>
    <w:rsid w:val="00AC2A9E"/>
    <w:rsid w:val="00AC2ECD"/>
    <w:rsid w:val="00AC3119"/>
    <w:rsid w:val="00AC49FB"/>
    <w:rsid w:val="00AC50BA"/>
    <w:rsid w:val="00AC5A10"/>
    <w:rsid w:val="00AD056A"/>
    <w:rsid w:val="00AD0AA3"/>
    <w:rsid w:val="00AD104F"/>
    <w:rsid w:val="00AD3F16"/>
    <w:rsid w:val="00AD3F94"/>
    <w:rsid w:val="00AD408F"/>
    <w:rsid w:val="00AD4A5A"/>
    <w:rsid w:val="00AD54C3"/>
    <w:rsid w:val="00AD5523"/>
    <w:rsid w:val="00AD5C1D"/>
    <w:rsid w:val="00AD67DF"/>
    <w:rsid w:val="00AD6BB2"/>
    <w:rsid w:val="00AE27AC"/>
    <w:rsid w:val="00AE2834"/>
    <w:rsid w:val="00AE3837"/>
    <w:rsid w:val="00AE40E0"/>
    <w:rsid w:val="00AE4996"/>
    <w:rsid w:val="00AE4DBA"/>
    <w:rsid w:val="00AE4F07"/>
    <w:rsid w:val="00AE5843"/>
    <w:rsid w:val="00AE72A0"/>
    <w:rsid w:val="00AF0F3C"/>
    <w:rsid w:val="00AF1AF3"/>
    <w:rsid w:val="00AF1C5D"/>
    <w:rsid w:val="00AF1F8E"/>
    <w:rsid w:val="00AF37F6"/>
    <w:rsid w:val="00AF42D7"/>
    <w:rsid w:val="00AF47FC"/>
    <w:rsid w:val="00AF60E9"/>
    <w:rsid w:val="00AF61E1"/>
    <w:rsid w:val="00B006FE"/>
    <w:rsid w:val="00B007CB"/>
    <w:rsid w:val="00B0135A"/>
    <w:rsid w:val="00B02AA9"/>
    <w:rsid w:val="00B02FA3"/>
    <w:rsid w:val="00B03951"/>
    <w:rsid w:val="00B03D41"/>
    <w:rsid w:val="00B040E5"/>
    <w:rsid w:val="00B0458A"/>
    <w:rsid w:val="00B04864"/>
    <w:rsid w:val="00B05084"/>
    <w:rsid w:val="00B107FC"/>
    <w:rsid w:val="00B10A94"/>
    <w:rsid w:val="00B115EA"/>
    <w:rsid w:val="00B11EA2"/>
    <w:rsid w:val="00B12082"/>
    <w:rsid w:val="00B138EE"/>
    <w:rsid w:val="00B14432"/>
    <w:rsid w:val="00B157F9"/>
    <w:rsid w:val="00B16392"/>
    <w:rsid w:val="00B16485"/>
    <w:rsid w:val="00B16B32"/>
    <w:rsid w:val="00B17A4D"/>
    <w:rsid w:val="00B20256"/>
    <w:rsid w:val="00B20AF2"/>
    <w:rsid w:val="00B20D09"/>
    <w:rsid w:val="00B22088"/>
    <w:rsid w:val="00B255AB"/>
    <w:rsid w:val="00B261F4"/>
    <w:rsid w:val="00B26EDD"/>
    <w:rsid w:val="00B2763F"/>
    <w:rsid w:val="00B27691"/>
    <w:rsid w:val="00B27AAC"/>
    <w:rsid w:val="00B302ED"/>
    <w:rsid w:val="00B304F3"/>
    <w:rsid w:val="00B30929"/>
    <w:rsid w:val="00B31357"/>
    <w:rsid w:val="00B3363F"/>
    <w:rsid w:val="00B34C4F"/>
    <w:rsid w:val="00B372AA"/>
    <w:rsid w:val="00B40445"/>
    <w:rsid w:val="00B40BEF"/>
    <w:rsid w:val="00B41229"/>
    <w:rsid w:val="00B41888"/>
    <w:rsid w:val="00B41EB8"/>
    <w:rsid w:val="00B41F62"/>
    <w:rsid w:val="00B4267F"/>
    <w:rsid w:val="00B428EF"/>
    <w:rsid w:val="00B43213"/>
    <w:rsid w:val="00B439A0"/>
    <w:rsid w:val="00B44530"/>
    <w:rsid w:val="00B45A52"/>
    <w:rsid w:val="00B45A57"/>
    <w:rsid w:val="00B45CBB"/>
    <w:rsid w:val="00B46175"/>
    <w:rsid w:val="00B5166D"/>
    <w:rsid w:val="00B51E2B"/>
    <w:rsid w:val="00B52336"/>
    <w:rsid w:val="00B534C3"/>
    <w:rsid w:val="00B557C7"/>
    <w:rsid w:val="00B57509"/>
    <w:rsid w:val="00B577D0"/>
    <w:rsid w:val="00B6047E"/>
    <w:rsid w:val="00B60498"/>
    <w:rsid w:val="00B6053F"/>
    <w:rsid w:val="00B612DB"/>
    <w:rsid w:val="00B6159A"/>
    <w:rsid w:val="00B6188F"/>
    <w:rsid w:val="00B62A65"/>
    <w:rsid w:val="00B62B93"/>
    <w:rsid w:val="00B651C8"/>
    <w:rsid w:val="00B664C7"/>
    <w:rsid w:val="00B66768"/>
    <w:rsid w:val="00B70A50"/>
    <w:rsid w:val="00B730D6"/>
    <w:rsid w:val="00B73404"/>
    <w:rsid w:val="00B739F6"/>
    <w:rsid w:val="00B75287"/>
    <w:rsid w:val="00B76A2D"/>
    <w:rsid w:val="00B8147E"/>
    <w:rsid w:val="00B814EB"/>
    <w:rsid w:val="00B81A6C"/>
    <w:rsid w:val="00B81AD2"/>
    <w:rsid w:val="00B838DF"/>
    <w:rsid w:val="00B85A64"/>
    <w:rsid w:val="00B85D8D"/>
    <w:rsid w:val="00B85DE5"/>
    <w:rsid w:val="00B87FE2"/>
    <w:rsid w:val="00B90F73"/>
    <w:rsid w:val="00B91965"/>
    <w:rsid w:val="00B92322"/>
    <w:rsid w:val="00B92C83"/>
    <w:rsid w:val="00B93943"/>
    <w:rsid w:val="00B93B59"/>
    <w:rsid w:val="00B93C73"/>
    <w:rsid w:val="00B9406A"/>
    <w:rsid w:val="00B94681"/>
    <w:rsid w:val="00B95AED"/>
    <w:rsid w:val="00B968B5"/>
    <w:rsid w:val="00B96A85"/>
    <w:rsid w:val="00B96CAC"/>
    <w:rsid w:val="00B97752"/>
    <w:rsid w:val="00B97AB9"/>
    <w:rsid w:val="00BA059C"/>
    <w:rsid w:val="00BA1608"/>
    <w:rsid w:val="00BA1EA2"/>
    <w:rsid w:val="00BA2280"/>
    <w:rsid w:val="00BA2A08"/>
    <w:rsid w:val="00BA37B6"/>
    <w:rsid w:val="00BA37E4"/>
    <w:rsid w:val="00BA3BF9"/>
    <w:rsid w:val="00BA4F2A"/>
    <w:rsid w:val="00BA56D2"/>
    <w:rsid w:val="00BA5CF3"/>
    <w:rsid w:val="00BA6E05"/>
    <w:rsid w:val="00BA7273"/>
    <w:rsid w:val="00BA76E0"/>
    <w:rsid w:val="00BA7CAA"/>
    <w:rsid w:val="00BB0874"/>
    <w:rsid w:val="00BB0C12"/>
    <w:rsid w:val="00BB0FFD"/>
    <w:rsid w:val="00BB1926"/>
    <w:rsid w:val="00BB2A25"/>
    <w:rsid w:val="00BB2E6F"/>
    <w:rsid w:val="00BB3C8E"/>
    <w:rsid w:val="00BB478B"/>
    <w:rsid w:val="00BB51E9"/>
    <w:rsid w:val="00BB59BD"/>
    <w:rsid w:val="00BB5F15"/>
    <w:rsid w:val="00BB6098"/>
    <w:rsid w:val="00BB6AE7"/>
    <w:rsid w:val="00BB7539"/>
    <w:rsid w:val="00BB7C78"/>
    <w:rsid w:val="00BC0935"/>
    <w:rsid w:val="00BC0FDC"/>
    <w:rsid w:val="00BC18D7"/>
    <w:rsid w:val="00BC21F5"/>
    <w:rsid w:val="00BC2712"/>
    <w:rsid w:val="00BC2D3E"/>
    <w:rsid w:val="00BC3053"/>
    <w:rsid w:val="00BC47BA"/>
    <w:rsid w:val="00BC4C6A"/>
    <w:rsid w:val="00BC4D2E"/>
    <w:rsid w:val="00BC53F2"/>
    <w:rsid w:val="00BC6DC4"/>
    <w:rsid w:val="00BC71DB"/>
    <w:rsid w:val="00BD0BD6"/>
    <w:rsid w:val="00BD1345"/>
    <w:rsid w:val="00BD1CC4"/>
    <w:rsid w:val="00BD2553"/>
    <w:rsid w:val="00BD28DD"/>
    <w:rsid w:val="00BD293F"/>
    <w:rsid w:val="00BD32E5"/>
    <w:rsid w:val="00BD33DD"/>
    <w:rsid w:val="00BD48AC"/>
    <w:rsid w:val="00BD55C2"/>
    <w:rsid w:val="00BD5F1A"/>
    <w:rsid w:val="00BD5F1B"/>
    <w:rsid w:val="00BD7D1C"/>
    <w:rsid w:val="00BD7E94"/>
    <w:rsid w:val="00BE0899"/>
    <w:rsid w:val="00BE1234"/>
    <w:rsid w:val="00BE16FF"/>
    <w:rsid w:val="00BE2FA6"/>
    <w:rsid w:val="00BE333F"/>
    <w:rsid w:val="00BE3EB2"/>
    <w:rsid w:val="00BE4150"/>
    <w:rsid w:val="00BE4AB2"/>
    <w:rsid w:val="00BE4EDB"/>
    <w:rsid w:val="00BE5F2B"/>
    <w:rsid w:val="00BE6583"/>
    <w:rsid w:val="00BE6924"/>
    <w:rsid w:val="00BE7406"/>
    <w:rsid w:val="00BE7603"/>
    <w:rsid w:val="00BE7EA2"/>
    <w:rsid w:val="00BF26DB"/>
    <w:rsid w:val="00BF3279"/>
    <w:rsid w:val="00BF42EB"/>
    <w:rsid w:val="00BF438B"/>
    <w:rsid w:val="00BF4661"/>
    <w:rsid w:val="00BF4F2C"/>
    <w:rsid w:val="00BF57C7"/>
    <w:rsid w:val="00BF6A9D"/>
    <w:rsid w:val="00BF74C7"/>
    <w:rsid w:val="00C015F1"/>
    <w:rsid w:val="00C01891"/>
    <w:rsid w:val="00C01B87"/>
    <w:rsid w:val="00C01F33"/>
    <w:rsid w:val="00C02031"/>
    <w:rsid w:val="00C02CC6"/>
    <w:rsid w:val="00C03682"/>
    <w:rsid w:val="00C03B8E"/>
    <w:rsid w:val="00C040F7"/>
    <w:rsid w:val="00C041AE"/>
    <w:rsid w:val="00C041B0"/>
    <w:rsid w:val="00C044AB"/>
    <w:rsid w:val="00C0514A"/>
    <w:rsid w:val="00C05706"/>
    <w:rsid w:val="00C058CC"/>
    <w:rsid w:val="00C05F3D"/>
    <w:rsid w:val="00C07377"/>
    <w:rsid w:val="00C102C6"/>
    <w:rsid w:val="00C10478"/>
    <w:rsid w:val="00C10C8B"/>
    <w:rsid w:val="00C12107"/>
    <w:rsid w:val="00C12A69"/>
    <w:rsid w:val="00C12EBF"/>
    <w:rsid w:val="00C13074"/>
    <w:rsid w:val="00C14D4B"/>
    <w:rsid w:val="00C154BB"/>
    <w:rsid w:val="00C1571B"/>
    <w:rsid w:val="00C1782C"/>
    <w:rsid w:val="00C207D5"/>
    <w:rsid w:val="00C219E8"/>
    <w:rsid w:val="00C234DB"/>
    <w:rsid w:val="00C23A9C"/>
    <w:rsid w:val="00C26FF1"/>
    <w:rsid w:val="00C27690"/>
    <w:rsid w:val="00C279B5"/>
    <w:rsid w:val="00C27C45"/>
    <w:rsid w:val="00C30656"/>
    <w:rsid w:val="00C3080D"/>
    <w:rsid w:val="00C31C1E"/>
    <w:rsid w:val="00C3264B"/>
    <w:rsid w:val="00C32812"/>
    <w:rsid w:val="00C33584"/>
    <w:rsid w:val="00C33F2A"/>
    <w:rsid w:val="00C356D1"/>
    <w:rsid w:val="00C3693B"/>
    <w:rsid w:val="00C3719D"/>
    <w:rsid w:val="00C374C3"/>
    <w:rsid w:val="00C37516"/>
    <w:rsid w:val="00C37C68"/>
    <w:rsid w:val="00C4169C"/>
    <w:rsid w:val="00C4292F"/>
    <w:rsid w:val="00C42BBB"/>
    <w:rsid w:val="00C4469E"/>
    <w:rsid w:val="00C51239"/>
    <w:rsid w:val="00C5132D"/>
    <w:rsid w:val="00C51AFA"/>
    <w:rsid w:val="00C52697"/>
    <w:rsid w:val="00C54995"/>
    <w:rsid w:val="00C54D41"/>
    <w:rsid w:val="00C55C78"/>
    <w:rsid w:val="00C56560"/>
    <w:rsid w:val="00C56CE9"/>
    <w:rsid w:val="00C60783"/>
    <w:rsid w:val="00C60BFA"/>
    <w:rsid w:val="00C615A3"/>
    <w:rsid w:val="00C623C0"/>
    <w:rsid w:val="00C64562"/>
    <w:rsid w:val="00C64672"/>
    <w:rsid w:val="00C652CE"/>
    <w:rsid w:val="00C65D12"/>
    <w:rsid w:val="00C70697"/>
    <w:rsid w:val="00C726FF"/>
    <w:rsid w:val="00C72EF4"/>
    <w:rsid w:val="00C750D4"/>
    <w:rsid w:val="00C75D2F"/>
    <w:rsid w:val="00C75EBE"/>
    <w:rsid w:val="00C767BE"/>
    <w:rsid w:val="00C76813"/>
    <w:rsid w:val="00C7683A"/>
    <w:rsid w:val="00C76E3C"/>
    <w:rsid w:val="00C774D6"/>
    <w:rsid w:val="00C80129"/>
    <w:rsid w:val="00C80C0D"/>
    <w:rsid w:val="00C80C52"/>
    <w:rsid w:val="00C810CC"/>
    <w:rsid w:val="00C81479"/>
    <w:rsid w:val="00C81568"/>
    <w:rsid w:val="00C81BF2"/>
    <w:rsid w:val="00C84D49"/>
    <w:rsid w:val="00C9027A"/>
    <w:rsid w:val="00C9068E"/>
    <w:rsid w:val="00C91597"/>
    <w:rsid w:val="00C918ED"/>
    <w:rsid w:val="00C91E1E"/>
    <w:rsid w:val="00C91FF8"/>
    <w:rsid w:val="00C93017"/>
    <w:rsid w:val="00C93C4B"/>
    <w:rsid w:val="00C93DE3"/>
    <w:rsid w:val="00C944AB"/>
    <w:rsid w:val="00C94B13"/>
    <w:rsid w:val="00C95073"/>
    <w:rsid w:val="00C95818"/>
    <w:rsid w:val="00C95B1D"/>
    <w:rsid w:val="00C95B40"/>
    <w:rsid w:val="00C95BEE"/>
    <w:rsid w:val="00C965BF"/>
    <w:rsid w:val="00C9793F"/>
    <w:rsid w:val="00CA0A22"/>
    <w:rsid w:val="00CA0B16"/>
    <w:rsid w:val="00CA0E17"/>
    <w:rsid w:val="00CA1ED8"/>
    <w:rsid w:val="00CA1FD5"/>
    <w:rsid w:val="00CA21B2"/>
    <w:rsid w:val="00CA2DD2"/>
    <w:rsid w:val="00CA3FD0"/>
    <w:rsid w:val="00CA5641"/>
    <w:rsid w:val="00CA7B69"/>
    <w:rsid w:val="00CA7EA9"/>
    <w:rsid w:val="00CB1F63"/>
    <w:rsid w:val="00CB216B"/>
    <w:rsid w:val="00CB250C"/>
    <w:rsid w:val="00CB2882"/>
    <w:rsid w:val="00CB7170"/>
    <w:rsid w:val="00CB798B"/>
    <w:rsid w:val="00CC040E"/>
    <w:rsid w:val="00CC06AF"/>
    <w:rsid w:val="00CC08B7"/>
    <w:rsid w:val="00CC0C42"/>
    <w:rsid w:val="00CC111F"/>
    <w:rsid w:val="00CC2011"/>
    <w:rsid w:val="00CC23E1"/>
    <w:rsid w:val="00CC277D"/>
    <w:rsid w:val="00CC2C79"/>
    <w:rsid w:val="00CC2E46"/>
    <w:rsid w:val="00CC33B2"/>
    <w:rsid w:val="00CC3553"/>
    <w:rsid w:val="00CC395E"/>
    <w:rsid w:val="00CC3DA8"/>
    <w:rsid w:val="00CC3EA0"/>
    <w:rsid w:val="00CC4B9C"/>
    <w:rsid w:val="00CC5F1D"/>
    <w:rsid w:val="00CC6291"/>
    <w:rsid w:val="00CC630F"/>
    <w:rsid w:val="00CC7B45"/>
    <w:rsid w:val="00CD0AB5"/>
    <w:rsid w:val="00CD1188"/>
    <w:rsid w:val="00CD2579"/>
    <w:rsid w:val="00CD2ED1"/>
    <w:rsid w:val="00CD2EEA"/>
    <w:rsid w:val="00CD337B"/>
    <w:rsid w:val="00CD3913"/>
    <w:rsid w:val="00CD3950"/>
    <w:rsid w:val="00CD3DFE"/>
    <w:rsid w:val="00CD3FBF"/>
    <w:rsid w:val="00CD4161"/>
    <w:rsid w:val="00CD451C"/>
    <w:rsid w:val="00CD5547"/>
    <w:rsid w:val="00CD6A58"/>
    <w:rsid w:val="00CD7454"/>
    <w:rsid w:val="00CD7BB3"/>
    <w:rsid w:val="00CD7CC9"/>
    <w:rsid w:val="00CE0424"/>
    <w:rsid w:val="00CE0CF0"/>
    <w:rsid w:val="00CE148F"/>
    <w:rsid w:val="00CE14CA"/>
    <w:rsid w:val="00CE170B"/>
    <w:rsid w:val="00CE1DC0"/>
    <w:rsid w:val="00CE2190"/>
    <w:rsid w:val="00CE2292"/>
    <w:rsid w:val="00CE329E"/>
    <w:rsid w:val="00CE379D"/>
    <w:rsid w:val="00CE4BA8"/>
    <w:rsid w:val="00CE4FB1"/>
    <w:rsid w:val="00CE5370"/>
    <w:rsid w:val="00CE5BF0"/>
    <w:rsid w:val="00CE6444"/>
    <w:rsid w:val="00CE6D89"/>
    <w:rsid w:val="00CE7561"/>
    <w:rsid w:val="00CF1354"/>
    <w:rsid w:val="00CF1851"/>
    <w:rsid w:val="00CF27AA"/>
    <w:rsid w:val="00CF3B1F"/>
    <w:rsid w:val="00CF3BF6"/>
    <w:rsid w:val="00CF41DF"/>
    <w:rsid w:val="00CF4291"/>
    <w:rsid w:val="00CF613D"/>
    <w:rsid w:val="00CF625B"/>
    <w:rsid w:val="00CF6381"/>
    <w:rsid w:val="00CF687E"/>
    <w:rsid w:val="00CF7C73"/>
    <w:rsid w:val="00D0232C"/>
    <w:rsid w:val="00D0276A"/>
    <w:rsid w:val="00D0349B"/>
    <w:rsid w:val="00D03581"/>
    <w:rsid w:val="00D038AA"/>
    <w:rsid w:val="00D03A82"/>
    <w:rsid w:val="00D0453E"/>
    <w:rsid w:val="00D06835"/>
    <w:rsid w:val="00D10249"/>
    <w:rsid w:val="00D115C3"/>
    <w:rsid w:val="00D11897"/>
    <w:rsid w:val="00D1261E"/>
    <w:rsid w:val="00D1288D"/>
    <w:rsid w:val="00D13135"/>
    <w:rsid w:val="00D13E4E"/>
    <w:rsid w:val="00D1467E"/>
    <w:rsid w:val="00D14718"/>
    <w:rsid w:val="00D14770"/>
    <w:rsid w:val="00D15A36"/>
    <w:rsid w:val="00D175D3"/>
    <w:rsid w:val="00D17A07"/>
    <w:rsid w:val="00D20441"/>
    <w:rsid w:val="00D20857"/>
    <w:rsid w:val="00D2207F"/>
    <w:rsid w:val="00D22335"/>
    <w:rsid w:val="00D239A7"/>
    <w:rsid w:val="00D23F47"/>
    <w:rsid w:val="00D247B8"/>
    <w:rsid w:val="00D24AEA"/>
    <w:rsid w:val="00D2548D"/>
    <w:rsid w:val="00D264AD"/>
    <w:rsid w:val="00D30606"/>
    <w:rsid w:val="00D316AC"/>
    <w:rsid w:val="00D316E9"/>
    <w:rsid w:val="00D31805"/>
    <w:rsid w:val="00D3564C"/>
    <w:rsid w:val="00D36E71"/>
    <w:rsid w:val="00D37163"/>
    <w:rsid w:val="00D37C92"/>
    <w:rsid w:val="00D37D87"/>
    <w:rsid w:val="00D40B33"/>
    <w:rsid w:val="00D40C88"/>
    <w:rsid w:val="00D4318F"/>
    <w:rsid w:val="00D438BF"/>
    <w:rsid w:val="00D43FF5"/>
    <w:rsid w:val="00D440F8"/>
    <w:rsid w:val="00D4619F"/>
    <w:rsid w:val="00D463E6"/>
    <w:rsid w:val="00D469F2"/>
    <w:rsid w:val="00D46B1B"/>
    <w:rsid w:val="00D50029"/>
    <w:rsid w:val="00D50AC8"/>
    <w:rsid w:val="00D50F97"/>
    <w:rsid w:val="00D510F9"/>
    <w:rsid w:val="00D5139D"/>
    <w:rsid w:val="00D51EC4"/>
    <w:rsid w:val="00D52E1A"/>
    <w:rsid w:val="00D537EA"/>
    <w:rsid w:val="00D546FF"/>
    <w:rsid w:val="00D55AD5"/>
    <w:rsid w:val="00D56558"/>
    <w:rsid w:val="00D56E07"/>
    <w:rsid w:val="00D56F77"/>
    <w:rsid w:val="00D576CA"/>
    <w:rsid w:val="00D60DDC"/>
    <w:rsid w:val="00D61AF5"/>
    <w:rsid w:val="00D61BE7"/>
    <w:rsid w:val="00D623DA"/>
    <w:rsid w:val="00D63329"/>
    <w:rsid w:val="00D643D8"/>
    <w:rsid w:val="00D64926"/>
    <w:rsid w:val="00D64B28"/>
    <w:rsid w:val="00D64C15"/>
    <w:rsid w:val="00D64F68"/>
    <w:rsid w:val="00D65164"/>
    <w:rsid w:val="00D652B5"/>
    <w:rsid w:val="00D65B01"/>
    <w:rsid w:val="00D66155"/>
    <w:rsid w:val="00D67F24"/>
    <w:rsid w:val="00D708B0"/>
    <w:rsid w:val="00D715EE"/>
    <w:rsid w:val="00D71C9E"/>
    <w:rsid w:val="00D7288C"/>
    <w:rsid w:val="00D73960"/>
    <w:rsid w:val="00D741C1"/>
    <w:rsid w:val="00D74C98"/>
    <w:rsid w:val="00D7528D"/>
    <w:rsid w:val="00D75C5A"/>
    <w:rsid w:val="00D763B0"/>
    <w:rsid w:val="00D7659B"/>
    <w:rsid w:val="00D767D8"/>
    <w:rsid w:val="00D773D9"/>
    <w:rsid w:val="00D77B1D"/>
    <w:rsid w:val="00D8021F"/>
    <w:rsid w:val="00D80383"/>
    <w:rsid w:val="00D820DB"/>
    <w:rsid w:val="00D823C6"/>
    <w:rsid w:val="00D8281A"/>
    <w:rsid w:val="00D83B14"/>
    <w:rsid w:val="00D8409E"/>
    <w:rsid w:val="00D846DA"/>
    <w:rsid w:val="00D84FCF"/>
    <w:rsid w:val="00D85767"/>
    <w:rsid w:val="00D8653C"/>
    <w:rsid w:val="00D86CA3"/>
    <w:rsid w:val="00D871CE"/>
    <w:rsid w:val="00D874E8"/>
    <w:rsid w:val="00D90BC0"/>
    <w:rsid w:val="00D9196D"/>
    <w:rsid w:val="00D92982"/>
    <w:rsid w:val="00D94DBF"/>
    <w:rsid w:val="00D94DCD"/>
    <w:rsid w:val="00D95155"/>
    <w:rsid w:val="00D970FB"/>
    <w:rsid w:val="00D9710B"/>
    <w:rsid w:val="00DA0050"/>
    <w:rsid w:val="00DA0099"/>
    <w:rsid w:val="00DA0944"/>
    <w:rsid w:val="00DA1B05"/>
    <w:rsid w:val="00DA20C7"/>
    <w:rsid w:val="00DA305E"/>
    <w:rsid w:val="00DA444E"/>
    <w:rsid w:val="00DA488F"/>
    <w:rsid w:val="00DA5417"/>
    <w:rsid w:val="00DA56E8"/>
    <w:rsid w:val="00DA5B89"/>
    <w:rsid w:val="00DA6842"/>
    <w:rsid w:val="00DA7A90"/>
    <w:rsid w:val="00DB0A9F"/>
    <w:rsid w:val="00DB0F71"/>
    <w:rsid w:val="00DB261C"/>
    <w:rsid w:val="00DB269D"/>
    <w:rsid w:val="00DB2F1E"/>
    <w:rsid w:val="00DB377D"/>
    <w:rsid w:val="00DB4317"/>
    <w:rsid w:val="00DB5D4D"/>
    <w:rsid w:val="00DC2507"/>
    <w:rsid w:val="00DC2D36"/>
    <w:rsid w:val="00DC5064"/>
    <w:rsid w:val="00DC52D1"/>
    <w:rsid w:val="00DC53EF"/>
    <w:rsid w:val="00DD1801"/>
    <w:rsid w:val="00DD189D"/>
    <w:rsid w:val="00DD2759"/>
    <w:rsid w:val="00DD2F93"/>
    <w:rsid w:val="00DD348F"/>
    <w:rsid w:val="00DD353B"/>
    <w:rsid w:val="00DD42F8"/>
    <w:rsid w:val="00DD4E31"/>
    <w:rsid w:val="00DD50A4"/>
    <w:rsid w:val="00DD5420"/>
    <w:rsid w:val="00DD549E"/>
    <w:rsid w:val="00DD75CD"/>
    <w:rsid w:val="00DD7E86"/>
    <w:rsid w:val="00DE0770"/>
    <w:rsid w:val="00DE162A"/>
    <w:rsid w:val="00DE2203"/>
    <w:rsid w:val="00DE4563"/>
    <w:rsid w:val="00DE4A01"/>
    <w:rsid w:val="00DE5608"/>
    <w:rsid w:val="00DE58D0"/>
    <w:rsid w:val="00DE6488"/>
    <w:rsid w:val="00DE654F"/>
    <w:rsid w:val="00DE6DBD"/>
    <w:rsid w:val="00DF067F"/>
    <w:rsid w:val="00DF0A9B"/>
    <w:rsid w:val="00DF0B6E"/>
    <w:rsid w:val="00DF10B3"/>
    <w:rsid w:val="00DF15E0"/>
    <w:rsid w:val="00DF1AE1"/>
    <w:rsid w:val="00DF3704"/>
    <w:rsid w:val="00DF37A0"/>
    <w:rsid w:val="00DF3E95"/>
    <w:rsid w:val="00DF4737"/>
    <w:rsid w:val="00DF5B2E"/>
    <w:rsid w:val="00DF70EF"/>
    <w:rsid w:val="00DF71A0"/>
    <w:rsid w:val="00E01A58"/>
    <w:rsid w:val="00E02DB2"/>
    <w:rsid w:val="00E03887"/>
    <w:rsid w:val="00E051F4"/>
    <w:rsid w:val="00E05349"/>
    <w:rsid w:val="00E05836"/>
    <w:rsid w:val="00E05AEA"/>
    <w:rsid w:val="00E06480"/>
    <w:rsid w:val="00E067C9"/>
    <w:rsid w:val="00E07402"/>
    <w:rsid w:val="00E076F6"/>
    <w:rsid w:val="00E0775F"/>
    <w:rsid w:val="00E10845"/>
    <w:rsid w:val="00E10EC6"/>
    <w:rsid w:val="00E10FC9"/>
    <w:rsid w:val="00E110E7"/>
    <w:rsid w:val="00E11221"/>
    <w:rsid w:val="00E11B20"/>
    <w:rsid w:val="00E11C08"/>
    <w:rsid w:val="00E125FE"/>
    <w:rsid w:val="00E1277A"/>
    <w:rsid w:val="00E127A7"/>
    <w:rsid w:val="00E131D8"/>
    <w:rsid w:val="00E1407D"/>
    <w:rsid w:val="00E14825"/>
    <w:rsid w:val="00E14953"/>
    <w:rsid w:val="00E14D9A"/>
    <w:rsid w:val="00E161F1"/>
    <w:rsid w:val="00E17EA4"/>
    <w:rsid w:val="00E17FA2"/>
    <w:rsid w:val="00E20426"/>
    <w:rsid w:val="00E20444"/>
    <w:rsid w:val="00E216F7"/>
    <w:rsid w:val="00E22330"/>
    <w:rsid w:val="00E23AF9"/>
    <w:rsid w:val="00E24339"/>
    <w:rsid w:val="00E24E25"/>
    <w:rsid w:val="00E2513B"/>
    <w:rsid w:val="00E25A48"/>
    <w:rsid w:val="00E26163"/>
    <w:rsid w:val="00E30B5A"/>
    <w:rsid w:val="00E3123D"/>
    <w:rsid w:val="00E31461"/>
    <w:rsid w:val="00E31D43"/>
    <w:rsid w:val="00E31FF2"/>
    <w:rsid w:val="00E32317"/>
    <w:rsid w:val="00E32608"/>
    <w:rsid w:val="00E32A3F"/>
    <w:rsid w:val="00E32C3A"/>
    <w:rsid w:val="00E34188"/>
    <w:rsid w:val="00E34B6E"/>
    <w:rsid w:val="00E34EEE"/>
    <w:rsid w:val="00E35559"/>
    <w:rsid w:val="00E35D3B"/>
    <w:rsid w:val="00E3723A"/>
    <w:rsid w:val="00E37860"/>
    <w:rsid w:val="00E37DE5"/>
    <w:rsid w:val="00E37EC2"/>
    <w:rsid w:val="00E41BF6"/>
    <w:rsid w:val="00E420BA"/>
    <w:rsid w:val="00E4398F"/>
    <w:rsid w:val="00E446F1"/>
    <w:rsid w:val="00E44CDE"/>
    <w:rsid w:val="00E456FF"/>
    <w:rsid w:val="00E46886"/>
    <w:rsid w:val="00E46F62"/>
    <w:rsid w:val="00E4714D"/>
    <w:rsid w:val="00E47AEF"/>
    <w:rsid w:val="00E500B2"/>
    <w:rsid w:val="00E50440"/>
    <w:rsid w:val="00E50C06"/>
    <w:rsid w:val="00E5216B"/>
    <w:rsid w:val="00E52254"/>
    <w:rsid w:val="00E522DC"/>
    <w:rsid w:val="00E53822"/>
    <w:rsid w:val="00E53B75"/>
    <w:rsid w:val="00E5490E"/>
    <w:rsid w:val="00E54E3B"/>
    <w:rsid w:val="00E55129"/>
    <w:rsid w:val="00E55DC8"/>
    <w:rsid w:val="00E5691F"/>
    <w:rsid w:val="00E56D9C"/>
    <w:rsid w:val="00E57565"/>
    <w:rsid w:val="00E57D9E"/>
    <w:rsid w:val="00E6049E"/>
    <w:rsid w:val="00E60B12"/>
    <w:rsid w:val="00E610A7"/>
    <w:rsid w:val="00E61885"/>
    <w:rsid w:val="00E61AC2"/>
    <w:rsid w:val="00E61C67"/>
    <w:rsid w:val="00E62239"/>
    <w:rsid w:val="00E624DA"/>
    <w:rsid w:val="00E63838"/>
    <w:rsid w:val="00E63E31"/>
    <w:rsid w:val="00E64434"/>
    <w:rsid w:val="00E64C1A"/>
    <w:rsid w:val="00E65768"/>
    <w:rsid w:val="00E65A4C"/>
    <w:rsid w:val="00E660D3"/>
    <w:rsid w:val="00E66953"/>
    <w:rsid w:val="00E66B1B"/>
    <w:rsid w:val="00E6712F"/>
    <w:rsid w:val="00E67182"/>
    <w:rsid w:val="00E67C51"/>
    <w:rsid w:val="00E70411"/>
    <w:rsid w:val="00E704A2"/>
    <w:rsid w:val="00E70784"/>
    <w:rsid w:val="00E709A3"/>
    <w:rsid w:val="00E729DD"/>
    <w:rsid w:val="00E72D9D"/>
    <w:rsid w:val="00E72EFC"/>
    <w:rsid w:val="00E73163"/>
    <w:rsid w:val="00E7338B"/>
    <w:rsid w:val="00E748D3"/>
    <w:rsid w:val="00E74EEE"/>
    <w:rsid w:val="00E758EC"/>
    <w:rsid w:val="00E75A6D"/>
    <w:rsid w:val="00E75F30"/>
    <w:rsid w:val="00E7632A"/>
    <w:rsid w:val="00E76EE6"/>
    <w:rsid w:val="00E8234C"/>
    <w:rsid w:val="00E83AA9"/>
    <w:rsid w:val="00E83BA9"/>
    <w:rsid w:val="00E83D21"/>
    <w:rsid w:val="00E83E12"/>
    <w:rsid w:val="00E84B74"/>
    <w:rsid w:val="00E85928"/>
    <w:rsid w:val="00E87822"/>
    <w:rsid w:val="00E90395"/>
    <w:rsid w:val="00E904B2"/>
    <w:rsid w:val="00E90C5B"/>
    <w:rsid w:val="00E90E49"/>
    <w:rsid w:val="00E91639"/>
    <w:rsid w:val="00E917F9"/>
    <w:rsid w:val="00E91BCF"/>
    <w:rsid w:val="00E927A5"/>
    <w:rsid w:val="00E9291C"/>
    <w:rsid w:val="00E9338B"/>
    <w:rsid w:val="00E93C4A"/>
    <w:rsid w:val="00E93FFE"/>
    <w:rsid w:val="00E94B4C"/>
    <w:rsid w:val="00E94F8A"/>
    <w:rsid w:val="00E979DE"/>
    <w:rsid w:val="00EA041B"/>
    <w:rsid w:val="00EA0545"/>
    <w:rsid w:val="00EA1092"/>
    <w:rsid w:val="00EA2164"/>
    <w:rsid w:val="00EA2499"/>
    <w:rsid w:val="00EA2D1F"/>
    <w:rsid w:val="00EA3BAF"/>
    <w:rsid w:val="00EA44AD"/>
    <w:rsid w:val="00EA4A45"/>
    <w:rsid w:val="00EA4ACC"/>
    <w:rsid w:val="00EA5CEA"/>
    <w:rsid w:val="00EA5FEF"/>
    <w:rsid w:val="00EA6814"/>
    <w:rsid w:val="00EA768D"/>
    <w:rsid w:val="00EA7A41"/>
    <w:rsid w:val="00EB077B"/>
    <w:rsid w:val="00EB1773"/>
    <w:rsid w:val="00EB2B40"/>
    <w:rsid w:val="00EB334E"/>
    <w:rsid w:val="00EB3685"/>
    <w:rsid w:val="00EB446E"/>
    <w:rsid w:val="00EB4D1D"/>
    <w:rsid w:val="00EB4EA2"/>
    <w:rsid w:val="00EB5091"/>
    <w:rsid w:val="00EB6BE0"/>
    <w:rsid w:val="00EB6EC5"/>
    <w:rsid w:val="00EB7091"/>
    <w:rsid w:val="00EB77E3"/>
    <w:rsid w:val="00EC27C6"/>
    <w:rsid w:val="00EC4207"/>
    <w:rsid w:val="00EC5653"/>
    <w:rsid w:val="00EC5800"/>
    <w:rsid w:val="00EC624B"/>
    <w:rsid w:val="00EC65E6"/>
    <w:rsid w:val="00EC71CE"/>
    <w:rsid w:val="00ED060E"/>
    <w:rsid w:val="00ED08A3"/>
    <w:rsid w:val="00ED1006"/>
    <w:rsid w:val="00ED1672"/>
    <w:rsid w:val="00ED1EED"/>
    <w:rsid w:val="00ED1F48"/>
    <w:rsid w:val="00ED5162"/>
    <w:rsid w:val="00ED6152"/>
    <w:rsid w:val="00EE1EFA"/>
    <w:rsid w:val="00EE39D7"/>
    <w:rsid w:val="00EE4234"/>
    <w:rsid w:val="00EE49E9"/>
    <w:rsid w:val="00EE510E"/>
    <w:rsid w:val="00EE5684"/>
    <w:rsid w:val="00EE573C"/>
    <w:rsid w:val="00EE6C2C"/>
    <w:rsid w:val="00EE6FE1"/>
    <w:rsid w:val="00EE7450"/>
    <w:rsid w:val="00EE7CA6"/>
    <w:rsid w:val="00EF18FE"/>
    <w:rsid w:val="00EF1D39"/>
    <w:rsid w:val="00EF1FDF"/>
    <w:rsid w:val="00EF4DE4"/>
    <w:rsid w:val="00EF4DF5"/>
    <w:rsid w:val="00EF50BD"/>
    <w:rsid w:val="00EF5122"/>
    <w:rsid w:val="00EF5787"/>
    <w:rsid w:val="00EF6084"/>
    <w:rsid w:val="00EF60D0"/>
    <w:rsid w:val="00EF674D"/>
    <w:rsid w:val="00F020A5"/>
    <w:rsid w:val="00F027B4"/>
    <w:rsid w:val="00F03A57"/>
    <w:rsid w:val="00F03B0D"/>
    <w:rsid w:val="00F0528D"/>
    <w:rsid w:val="00F06C67"/>
    <w:rsid w:val="00F06DFD"/>
    <w:rsid w:val="00F070EB"/>
    <w:rsid w:val="00F071D1"/>
    <w:rsid w:val="00F07205"/>
    <w:rsid w:val="00F07533"/>
    <w:rsid w:val="00F0794F"/>
    <w:rsid w:val="00F10629"/>
    <w:rsid w:val="00F10753"/>
    <w:rsid w:val="00F129CA"/>
    <w:rsid w:val="00F13268"/>
    <w:rsid w:val="00F148EB"/>
    <w:rsid w:val="00F14F48"/>
    <w:rsid w:val="00F153BA"/>
    <w:rsid w:val="00F154BD"/>
    <w:rsid w:val="00F156C0"/>
    <w:rsid w:val="00F15FA5"/>
    <w:rsid w:val="00F16060"/>
    <w:rsid w:val="00F1692D"/>
    <w:rsid w:val="00F17052"/>
    <w:rsid w:val="00F1734F"/>
    <w:rsid w:val="00F17382"/>
    <w:rsid w:val="00F17D8D"/>
    <w:rsid w:val="00F2003E"/>
    <w:rsid w:val="00F209B7"/>
    <w:rsid w:val="00F21028"/>
    <w:rsid w:val="00F21659"/>
    <w:rsid w:val="00F22A39"/>
    <w:rsid w:val="00F2376F"/>
    <w:rsid w:val="00F23770"/>
    <w:rsid w:val="00F24216"/>
    <w:rsid w:val="00F243D8"/>
    <w:rsid w:val="00F2485A"/>
    <w:rsid w:val="00F25453"/>
    <w:rsid w:val="00F2594C"/>
    <w:rsid w:val="00F25BFD"/>
    <w:rsid w:val="00F266A5"/>
    <w:rsid w:val="00F27815"/>
    <w:rsid w:val="00F30828"/>
    <w:rsid w:val="00F313D6"/>
    <w:rsid w:val="00F32168"/>
    <w:rsid w:val="00F323D7"/>
    <w:rsid w:val="00F32A91"/>
    <w:rsid w:val="00F34128"/>
    <w:rsid w:val="00F34273"/>
    <w:rsid w:val="00F3488D"/>
    <w:rsid w:val="00F35900"/>
    <w:rsid w:val="00F35E71"/>
    <w:rsid w:val="00F37A85"/>
    <w:rsid w:val="00F402FB"/>
    <w:rsid w:val="00F4076F"/>
    <w:rsid w:val="00F40F0C"/>
    <w:rsid w:val="00F42484"/>
    <w:rsid w:val="00F44C3B"/>
    <w:rsid w:val="00F455C7"/>
    <w:rsid w:val="00F45AEE"/>
    <w:rsid w:val="00F4766C"/>
    <w:rsid w:val="00F503A9"/>
    <w:rsid w:val="00F5052A"/>
    <w:rsid w:val="00F507D1"/>
    <w:rsid w:val="00F50E80"/>
    <w:rsid w:val="00F519CE"/>
    <w:rsid w:val="00F51ADA"/>
    <w:rsid w:val="00F52896"/>
    <w:rsid w:val="00F545F9"/>
    <w:rsid w:val="00F54C84"/>
    <w:rsid w:val="00F55449"/>
    <w:rsid w:val="00F5598F"/>
    <w:rsid w:val="00F56F8D"/>
    <w:rsid w:val="00F57B3C"/>
    <w:rsid w:val="00F57D36"/>
    <w:rsid w:val="00F60074"/>
    <w:rsid w:val="00F607C5"/>
    <w:rsid w:val="00F60B11"/>
    <w:rsid w:val="00F60DEA"/>
    <w:rsid w:val="00F6302A"/>
    <w:rsid w:val="00F63F81"/>
    <w:rsid w:val="00F64C2B"/>
    <w:rsid w:val="00F64F0C"/>
    <w:rsid w:val="00F64FEA"/>
    <w:rsid w:val="00F651BE"/>
    <w:rsid w:val="00F65549"/>
    <w:rsid w:val="00F67C45"/>
    <w:rsid w:val="00F67F53"/>
    <w:rsid w:val="00F703BE"/>
    <w:rsid w:val="00F71099"/>
    <w:rsid w:val="00F71F69"/>
    <w:rsid w:val="00F72B72"/>
    <w:rsid w:val="00F72E21"/>
    <w:rsid w:val="00F74BB9"/>
    <w:rsid w:val="00F752EC"/>
    <w:rsid w:val="00F75582"/>
    <w:rsid w:val="00F75F8E"/>
    <w:rsid w:val="00F76EFA"/>
    <w:rsid w:val="00F778A9"/>
    <w:rsid w:val="00F804BE"/>
    <w:rsid w:val="00F80FC2"/>
    <w:rsid w:val="00F8142D"/>
    <w:rsid w:val="00F81721"/>
    <w:rsid w:val="00F817CE"/>
    <w:rsid w:val="00F8456C"/>
    <w:rsid w:val="00F859D8"/>
    <w:rsid w:val="00F868F5"/>
    <w:rsid w:val="00F9056A"/>
    <w:rsid w:val="00F90F8D"/>
    <w:rsid w:val="00F9165B"/>
    <w:rsid w:val="00F925D7"/>
    <w:rsid w:val="00F92782"/>
    <w:rsid w:val="00F927A0"/>
    <w:rsid w:val="00F93AA9"/>
    <w:rsid w:val="00F94C8C"/>
    <w:rsid w:val="00F94EE7"/>
    <w:rsid w:val="00F9620A"/>
    <w:rsid w:val="00F96690"/>
    <w:rsid w:val="00F96985"/>
    <w:rsid w:val="00F97838"/>
    <w:rsid w:val="00FA2A19"/>
    <w:rsid w:val="00FA2BB3"/>
    <w:rsid w:val="00FA39E7"/>
    <w:rsid w:val="00FA445F"/>
    <w:rsid w:val="00FA61DD"/>
    <w:rsid w:val="00FA695A"/>
    <w:rsid w:val="00FA6F82"/>
    <w:rsid w:val="00FA6FA6"/>
    <w:rsid w:val="00FA77F7"/>
    <w:rsid w:val="00FB022F"/>
    <w:rsid w:val="00FB0492"/>
    <w:rsid w:val="00FB05FA"/>
    <w:rsid w:val="00FB10CB"/>
    <w:rsid w:val="00FB12AA"/>
    <w:rsid w:val="00FB158B"/>
    <w:rsid w:val="00FB2274"/>
    <w:rsid w:val="00FB4C21"/>
    <w:rsid w:val="00FB4C80"/>
    <w:rsid w:val="00FB5C1D"/>
    <w:rsid w:val="00FB6A6A"/>
    <w:rsid w:val="00FC0743"/>
    <w:rsid w:val="00FC1D05"/>
    <w:rsid w:val="00FC3006"/>
    <w:rsid w:val="00FC3822"/>
    <w:rsid w:val="00FC4089"/>
    <w:rsid w:val="00FC61C5"/>
    <w:rsid w:val="00FC661D"/>
    <w:rsid w:val="00FC708B"/>
    <w:rsid w:val="00FC7429"/>
    <w:rsid w:val="00FD0690"/>
    <w:rsid w:val="00FD07F6"/>
    <w:rsid w:val="00FD1EC8"/>
    <w:rsid w:val="00FD36A3"/>
    <w:rsid w:val="00FD3FC5"/>
    <w:rsid w:val="00FD47ED"/>
    <w:rsid w:val="00FD5166"/>
    <w:rsid w:val="00FD5D39"/>
    <w:rsid w:val="00FD68B5"/>
    <w:rsid w:val="00FD74DB"/>
    <w:rsid w:val="00FD7660"/>
    <w:rsid w:val="00FD78C4"/>
    <w:rsid w:val="00FE0655"/>
    <w:rsid w:val="00FE12EA"/>
    <w:rsid w:val="00FE131D"/>
    <w:rsid w:val="00FE1AB3"/>
    <w:rsid w:val="00FE211F"/>
    <w:rsid w:val="00FE2365"/>
    <w:rsid w:val="00FE2968"/>
    <w:rsid w:val="00FE3152"/>
    <w:rsid w:val="00FE42F2"/>
    <w:rsid w:val="00FE4C7B"/>
    <w:rsid w:val="00FE5F69"/>
    <w:rsid w:val="00FE6318"/>
    <w:rsid w:val="00FE67B2"/>
    <w:rsid w:val="00FE7336"/>
    <w:rsid w:val="00FE787C"/>
    <w:rsid w:val="00FF0FF0"/>
    <w:rsid w:val="00FF153E"/>
    <w:rsid w:val="00FF1E2C"/>
    <w:rsid w:val="00FF2C62"/>
    <w:rsid w:val="00FF2CB4"/>
    <w:rsid w:val="00FF31CC"/>
    <w:rsid w:val="00FF3265"/>
    <w:rsid w:val="00FF45A5"/>
    <w:rsid w:val="00FF5307"/>
    <w:rsid w:val="00FF54D5"/>
    <w:rsid w:val="00FF5BCB"/>
    <w:rsid w:val="00FF5C91"/>
    <w:rsid w:val="00FF67CA"/>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1CD6EAA5-945E-4D6C-A268-20664ED2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uiPriority w:val="39"/>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customStyle="1" w:styleId="TAHCar">
    <w:name w:val="TAH Car"/>
    <w:link w:val="TAH"/>
    <w:locked/>
    <w:rsid w:val="002771E6"/>
    <w:rPr>
      <w:rFonts w:ascii="Arial" w:hAnsi="Arial"/>
      <w:b/>
      <w:sz w:val="18"/>
      <w:lang w:val="en-GB"/>
    </w:rPr>
  </w:style>
  <w:style w:type="paragraph" w:styleId="Subtitle">
    <w:name w:val="Subtitle"/>
    <w:basedOn w:val="Normal"/>
    <w:next w:val="Normal"/>
    <w:link w:val="SubtitleChar"/>
    <w:qFormat/>
    <w:rsid w:val="00C930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3017"/>
    <w:rPr>
      <w:rFonts w:asciiTheme="minorHAnsi" w:eastAsiaTheme="minorEastAsia" w:hAnsiTheme="minorHAnsi" w:cstheme="minorBidi"/>
      <w:color w:val="5A5A5A" w:themeColor="text1" w:themeTint="A5"/>
      <w:spacing w:val="15"/>
      <w:sz w:val="22"/>
      <w:szCs w:val="22"/>
      <w:lang w:val="en-GB" w:eastAsia="zh-CN"/>
    </w:rPr>
  </w:style>
  <w:style w:type="character" w:customStyle="1" w:styleId="IvDbodytextChar">
    <w:name w:val="IvD bodytext Char"/>
    <w:basedOn w:val="DefaultParagraphFont"/>
    <w:link w:val="IvDbodytext"/>
    <w:locked/>
    <w:rsid w:val="00642ED8"/>
    <w:rPr>
      <w:rFonts w:ascii="Arial" w:hAnsi="Arial" w:cs="Arial"/>
      <w:spacing w:val="2"/>
      <w:sz w:val="22"/>
    </w:rPr>
  </w:style>
  <w:style w:type="paragraph" w:customStyle="1" w:styleId="IvDbodytext">
    <w:name w:val="IvD bodytext"/>
    <w:basedOn w:val="BodyText"/>
    <w:link w:val="IvDbodytextChar"/>
    <w:qFormat/>
    <w:rsid w:val="00642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styleId="PlaceholderText">
    <w:name w:val="Placeholder Text"/>
    <w:basedOn w:val="DefaultParagraphFont"/>
    <w:uiPriority w:val="99"/>
    <w:semiHidden/>
    <w:rsid w:val="007175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5NUHHDQN7SK2-1476151046-99196</_dlc_DocId>
    <_dlc_DocIdUrl xmlns="f166a696-7b5b-4ccd-9f0c-ffde0cceec81">
      <Url>https://ericsson.sharepoint.com/sites/star/_layouts/15/DocIdRedir.aspx?ID=5NUHHDQN7SK2-1476151046-99196</Url>
      <Description>5NUHHDQN7SK2-1476151046-99196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6F3BF68-F1B8-4C68-A49E-952F0F25A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A603AD89-7BEB-4332-B8EB-36AD59DE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TotalTime>
  <Pages>9</Pages>
  <Words>4198</Words>
  <Characters>22252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4</cp:revision>
  <cp:lastPrinted>2019-08-17T06:22:00Z</cp:lastPrinted>
  <dcterms:created xsi:type="dcterms:W3CDTF">2019-10-04T17:52:00Z</dcterms:created>
  <dcterms:modified xsi:type="dcterms:W3CDTF">2019-10-04T18:03:00Z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5dab6528-2302-40d6-aee4-3b7af8c3e1b0</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