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 xml:space="preserve">3GPP TSG RAN WG1 Meeting </w:t>
      </w:r>
      <w:r>
        <w:rPr>
          <w:rFonts w:hint="eastAsia" w:ascii="Arial" w:hAnsi="Arial" w:eastAsia="宋体" w:cs="Arial"/>
          <w:b/>
          <w:sz w:val="24"/>
          <w:szCs w:val="24"/>
          <w:lang w:val="en-US" w:eastAsia="zh-CN"/>
        </w:rPr>
        <w:t>#98bis</w:t>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 xml:space="preserve"> </w:t>
      </w:r>
      <w:r>
        <w:rPr>
          <w:rFonts w:hint="eastAsia" w:ascii="Arial" w:hAnsi="Arial" w:eastAsia="宋体" w:cs="Arial"/>
          <w:b/>
          <w:sz w:val="24"/>
          <w:szCs w:val="24"/>
          <w:lang w:val="en-US" w:eastAsia="zh-CN"/>
        </w:rPr>
        <w:t xml:space="preserve">           </w:t>
      </w:r>
      <w:bookmarkStart w:id="0" w:name="_GoBack"/>
      <w:r>
        <w:rPr>
          <w:rFonts w:hint="eastAsia" w:ascii="Arial" w:hAnsi="Arial" w:eastAsia="宋体" w:cs="Arial"/>
          <w:b/>
          <w:sz w:val="24"/>
          <w:szCs w:val="24"/>
          <w:lang w:val="en-US" w:eastAsia="zh-CN"/>
        </w:rPr>
        <w:t xml:space="preserve"> </w:t>
      </w:r>
      <w:r>
        <w:rPr>
          <w:rFonts w:ascii="Arial" w:hAnsi="Arial" w:cs="Arial"/>
          <w:b/>
          <w:sz w:val="24"/>
          <w:szCs w:val="24"/>
        </w:rPr>
        <w:t>R1-19</w:t>
      </w:r>
      <w:r>
        <w:rPr>
          <w:rFonts w:hint="eastAsia" w:ascii="Arial" w:hAnsi="Arial" w:eastAsia="宋体" w:cs="Arial"/>
          <w:b/>
          <w:sz w:val="24"/>
          <w:szCs w:val="24"/>
          <w:lang w:val="en-US" w:eastAsia="zh-CN"/>
        </w:rPr>
        <w:t>10369</w:t>
      </w:r>
      <w:bookmarkEnd w:id="0"/>
    </w:p>
    <w:p>
      <w:pPr>
        <w:tabs>
          <w:tab w:val="center" w:pos="4536"/>
          <w:tab w:val="right" w:pos="8280"/>
          <w:tab w:val="right" w:pos="9639"/>
        </w:tabs>
        <w:snapToGrid w:val="0"/>
        <w:spacing w:after="0" w:line="264" w:lineRule="auto"/>
        <w:rPr>
          <w:rFonts w:hint="default" w:eastAsia="宋体"/>
          <w:b/>
          <w:bCs/>
          <w:sz w:val="24"/>
          <w:szCs w:val="24"/>
          <w:lang w:val="en-US" w:eastAsia="zh-CN"/>
        </w:rPr>
      </w:pPr>
      <w:r>
        <w:rPr>
          <w:rFonts w:hint="eastAsia" w:ascii="Arial" w:hAnsi="Arial" w:eastAsia="宋体" w:cs="Arial"/>
          <w:b/>
          <w:sz w:val="24"/>
          <w:lang w:val="en-US" w:eastAsia="zh-CN"/>
        </w:rPr>
        <w:t>Chongqing</w:t>
      </w:r>
      <w:r>
        <w:rPr>
          <w:rFonts w:ascii="Arial" w:hAnsi="Arial" w:cs="Arial"/>
          <w:b/>
          <w:sz w:val="24"/>
        </w:rPr>
        <w:t xml:space="preserve">, </w:t>
      </w:r>
      <w:r>
        <w:rPr>
          <w:rFonts w:hint="eastAsia" w:ascii="Arial" w:hAnsi="Arial" w:eastAsia="宋体" w:cs="Arial"/>
          <w:b/>
          <w:sz w:val="24"/>
          <w:lang w:val="en-US" w:eastAsia="zh-CN"/>
        </w:rPr>
        <w:t>China,</w:t>
      </w:r>
      <w:r>
        <w:rPr>
          <w:rFonts w:ascii="Arial" w:hAnsi="Arial" w:eastAsia="宋体" w:cs="Arial"/>
          <w:b/>
          <w:sz w:val="24"/>
          <w:lang w:val="en-US" w:eastAsia="zh-CN"/>
        </w:rPr>
        <w:t xml:space="preserve"> </w:t>
      </w:r>
      <w:r>
        <w:rPr>
          <w:rFonts w:hint="eastAsia" w:ascii="Arial" w:hAnsi="Arial" w:eastAsia="宋体" w:cs="Arial"/>
          <w:b/>
          <w:sz w:val="24"/>
          <w:lang w:val="en-US" w:eastAsia="zh-CN"/>
        </w:rPr>
        <w:t>14</w:t>
      </w:r>
      <w:r>
        <w:rPr>
          <w:rFonts w:ascii="Arial" w:hAnsi="Arial" w:cs="Arial"/>
          <w:b/>
          <w:sz w:val="24"/>
          <w:vertAlign w:val="superscript"/>
          <w:lang w:val="en-US"/>
        </w:rPr>
        <w:t>th</w:t>
      </w:r>
      <w:r>
        <w:rPr>
          <w:rFonts w:hint="eastAsia" w:ascii="Arial" w:hAnsi="Arial" w:cs="Arial"/>
          <w:b/>
          <w:sz w:val="24"/>
          <w:szCs w:val="22"/>
          <w:lang w:val="en-US" w:eastAsia="zh-CN"/>
        </w:rPr>
        <w:t>-20</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lang w:val="en-US" w:eastAsia="zh-CN"/>
        </w:rPr>
        <w:t xml:space="preserve">Oct. </w:t>
      </w:r>
      <w:r>
        <w:rPr>
          <w:rFonts w:ascii="Arial" w:hAnsi="Arial" w:cs="Arial"/>
          <w:b/>
          <w:sz w:val="24"/>
        </w:rPr>
        <w:t>2019</w:t>
      </w:r>
      <w:r>
        <w:rPr>
          <w:rFonts w:hint="eastAsia" w:ascii="Arial" w:hAnsi="Arial" w:eastAsia="宋体" w:cs="Arial"/>
          <w:b/>
          <w:sz w:val="24"/>
          <w:lang w:val="en-US" w:eastAsia="zh-CN"/>
        </w:rPr>
        <w:t xml:space="preserve"> </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eastAsia"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 Sanechips</w:t>
      </w:r>
    </w:p>
    <w:p>
      <w:pPr>
        <w:tabs>
          <w:tab w:val="center" w:pos="4536"/>
          <w:tab w:val="right" w:pos="8280"/>
          <w:tab w:val="right" w:pos="9781"/>
        </w:tabs>
        <w:snapToGrid w:val="0"/>
        <w:spacing w:after="0" w:line="264" w:lineRule="auto"/>
        <w:jc w:val="left"/>
        <w:rPr>
          <w:rFonts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Remaining issues on UL NR positioning signals</w:t>
      </w:r>
    </w:p>
    <w:p>
      <w:pPr>
        <w:tabs>
          <w:tab w:val="center" w:pos="4536"/>
          <w:tab w:val="right" w:pos="8280"/>
          <w:tab w:val="right" w:pos="9781"/>
        </w:tabs>
        <w:snapToGrid w:val="0"/>
        <w:spacing w:after="0" w:line="264" w:lineRule="auto"/>
        <w:jc w:val="left"/>
        <w:rPr>
          <w:rFonts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2</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hint="eastAsia" w:eastAsiaTheme="minorEastAsia"/>
          <w:sz w:val="20"/>
          <w:lang w:val="en-US" w:eastAsia="zh-CN"/>
        </w:rPr>
      </w:pPr>
      <w:r>
        <w:rPr>
          <w:rFonts w:hint="eastAsia" w:eastAsiaTheme="minorEastAsia"/>
          <w:sz w:val="20"/>
          <w:lang w:val="en-US" w:eastAsia="zh-CN"/>
        </w:rPr>
        <w:t>In RAN#83, NR positioning WID was approved [1] to specify solutions to enable RAT dependent(for both FR1 and FR2) and RAT independent NR positioning techniques, one objective on UL positioning methods is as follows:</w:t>
      </w:r>
    </w:p>
    <w:p>
      <w:pPr>
        <w:overflowPunct/>
        <w:autoSpaceDE/>
        <w:autoSpaceDN/>
        <w:snapToGrid w:val="0"/>
        <w:spacing w:afterLines="50" w:line="264" w:lineRule="auto"/>
        <w:textAlignment w:val="auto"/>
        <w:rPr>
          <w:rFonts w:eastAsiaTheme="minorEastAsia"/>
          <w:i/>
          <w:iCs/>
          <w:sz w:val="20"/>
          <w:szCs w:val="22"/>
          <w:lang w:val="en-US" w:eastAsia="zh-CN"/>
        </w:rPr>
      </w:pPr>
      <w:r>
        <w:rPr>
          <w:rFonts w:hint="default" w:eastAsiaTheme="minorEastAsia"/>
          <w:i/>
          <w:iCs/>
          <w:sz w:val="20"/>
          <w:szCs w:val="22"/>
          <w:lang w:val="en-US" w:eastAsia="zh-CN"/>
        </w:rPr>
        <w:t>“</w:t>
      </w:r>
      <w:r>
        <w:rPr>
          <w:rFonts w:eastAsiaTheme="minorEastAsia"/>
          <w:i/>
          <w:iCs/>
          <w:sz w:val="20"/>
          <w:szCs w:val="22"/>
          <w:lang w:val="en-US" w:eastAsia="zh-CN"/>
        </w:rPr>
        <w:t>Define UL SRS with possible enhancements for positioning which is applicable at least for RTT, UL-TDOA, UL-AoA”</w:t>
      </w:r>
    </w:p>
    <w:p>
      <w:pPr>
        <w:keepNext w:val="0"/>
        <w:keepLines w:val="0"/>
        <w:pageBreakBefore w:val="0"/>
        <w:widowControl/>
        <w:kinsoku/>
        <w:wordWrap/>
        <w:overflowPunct/>
        <w:topLinePunct w:val="0"/>
        <w:autoSpaceDE/>
        <w:autoSpaceDN/>
        <w:bidi w:val="0"/>
        <w:adjustRightInd w:val="0"/>
        <w:snapToGrid w:val="0"/>
        <w:spacing w:afterLines="50" w:line="264" w:lineRule="auto"/>
        <w:textAlignment w:val="auto"/>
        <w:rPr>
          <w:rFonts w:hint="default" w:eastAsiaTheme="minorEastAsia"/>
          <w:sz w:val="20"/>
          <w:lang w:val="en-US" w:eastAsia="zh-CN"/>
        </w:rPr>
      </w:pPr>
      <w:r>
        <w:rPr>
          <w:rFonts w:hint="eastAsia" w:eastAsiaTheme="minorEastAsia"/>
          <w:sz w:val="20"/>
          <w:lang w:val="en-US" w:eastAsia="zh-CN"/>
        </w:rPr>
        <w:t>After several times of online discussion,  some agreements were achieved:</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r>
        <w:rPr>
          <w:rFonts w:hint="eastAsia" w:eastAsia="宋体"/>
          <w:i/>
          <w:iCs/>
          <w:color w:val="auto"/>
          <w:sz w:val="20"/>
          <w:szCs w:val="20"/>
          <w:highlight w:val="none"/>
          <w:u w:val="single"/>
          <w:lang w:val="en-US" w:eastAsia="zh-CN"/>
        </w:rPr>
        <w:t>#1</w:t>
      </w:r>
      <w:r>
        <w:rPr>
          <w:i/>
          <w:iCs/>
          <w:color w:val="auto"/>
          <w:sz w:val="20"/>
          <w:szCs w:val="20"/>
          <w:highlight w:val="none"/>
          <w:u w:val="single"/>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 xml:space="preserve">The RE pattern of an SRS resource for positioning is configured with a comb offset for the first symbol in an SRS resource. </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 xml:space="preserve">The relative RE offsets of following symbols are defined relative to the comb offset of the first symbol in the SRS resource. </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A relative RE offset of each of the following symbols is derived from the configured number of symbols for an SRS resource, the comb size for the SRS resource and the SRS symbol index within the SRS resource.</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FFS: The use of the following for deriving the relative offset in addition to the above</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A configurable number of consecutive symbols with the same offset</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Repetition factor</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No additional parameters will be considered</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r>
        <w:rPr>
          <w:rFonts w:hint="eastAsia" w:eastAsia="宋体"/>
          <w:i/>
          <w:iCs/>
          <w:color w:val="auto"/>
          <w:sz w:val="20"/>
          <w:szCs w:val="20"/>
          <w:highlight w:val="none"/>
          <w:u w:val="single"/>
          <w:lang w:val="en-US" w:eastAsia="zh-CN"/>
        </w:rPr>
        <w:t>#2</w:t>
      </w:r>
      <w:r>
        <w:rPr>
          <w:i/>
          <w:iCs/>
          <w:color w:val="auto"/>
          <w:sz w:val="20"/>
          <w:szCs w:val="20"/>
          <w:highlight w:val="none"/>
          <w:u w:val="single"/>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Conclusion:</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No additional comb sizes for SRS for positioning purposes will be introduced in Rel-16 beyond those already agreed.</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Conclusion:</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No additional number of symbols per SRS resource other than the values already agreed is supported</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r>
        <w:rPr>
          <w:rFonts w:hint="eastAsia" w:eastAsia="宋体"/>
          <w:i/>
          <w:iCs/>
          <w:color w:val="auto"/>
          <w:sz w:val="20"/>
          <w:szCs w:val="20"/>
          <w:highlight w:val="none"/>
          <w:u w:val="single"/>
          <w:lang w:val="en-US" w:eastAsia="zh-CN"/>
        </w:rPr>
        <w:t>#3</w:t>
      </w:r>
      <w:r>
        <w:rPr>
          <w:i/>
          <w:iCs/>
          <w:color w:val="auto"/>
          <w:sz w:val="20"/>
          <w:szCs w:val="20"/>
          <w:highlight w:val="none"/>
          <w:u w:val="single"/>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For positioning, starting positions in the time domain for the SRS resource can be anywhere in the slot, i.e. an offset l</w:t>
      </w:r>
      <w:r>
        <w:rPr>
          <w:i/>
          <w:iCs/>
          <w:sz w:val="20"/>
          <w:szCs w:val="20"/>
          <w:vertAlign w:val="subscript"/>
        </w:rPr>
        <w:t>offset</w:t>
      </w:r>
      <w:r>
        <w:rPr>
          <w:i/>
          <w:iCs/>
          <w:sz w:val="20"/>
          <w:szCs w:val="20"/>
        </w:rPr>
        <w:t xml:space="preserve">  range of {0,1,…,13}.</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r>
        <w:rPr>
          <w:rFonts w:hint="eastAsia" w:eastAsia="宋体"/>
          <w:i/>
          <w:iCs/>
          <w:color w:val="auto"/>
          <w:sz w:val="20"/>
          <w:szCs w:val="20"/>
          <w:highlight w:val="none"/>
          <w:u w:val="single"/>
          <w:lang w:val="en-US" w:eastAsia="zh-CN"/>
        </w:rPr>
        <w:t>#4</w:t>
      </w:r>
      <w:r>
        <w:rPr>
          <w:i/>
          <w:iCs/>
          <w:color w:val="auto"/>
          <w:sz w:val="20"/>
          <w:szCs w:val="20"/>
          <w:highlight w:val="none"/>
          <w:u w:val="single"/>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For positioning, with regard to UL Beam management/alignment towards serving and neighbouring cells, at least the following (option 2 from prior agreement) can be used:</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UE Tx beam-sweeping on UL SRS transmissions across multiple UL SRS Resources</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sz w:val="20"/>
          <w:szCs w:val="20"/>
        </w:rPr>
        <w:t>FFS: other options</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default" w:eastAsiaTheme="minorEastAsia"/>
          <w:sz w:val="20"/>
          <w:szCs w:val="22"/>
          <w:lang w:val="en-US" w:eastAsia="zh-CN"/>
        </w:rPr>
      </w:pPr>
      <w:r>
        <w:rPr>
          <w:rFonts w:hint="eastAsia" w:eastAsiaTheme="minorEastAsia"/>
          <w:sz w:val="20"/>
          <w:szCs w:val="22"/>
          <w:lang w:val="en-US" w:eastAsia="zh-CN"/>
        </w:rPr>
        <w:t>Yet some remaining issues are still need to be further discussed, in this paper we provide our opinion towards UL SRS for positioning.</w:t>
      </w:r>
    </w:p>
    <w:p>
      <w:pPr>
        <w:pStyle w:val="2"/>
        <w:tabs>
          <w:tab w:val="left" w:pos="360"/>
          <w:tab w:val="clear" w:pos="612"/>
        </w:tabs>
        <w:ind w:hanging="612"/>
      </w:pPr>
      <w:r>
        <w:rPr>
          <w:rFonts w:hint="eastAsia"/>
          <w:lang w:val="en-US" w:eastAsia="zh-CN"/>
        </w:rPr>
        <w:t>Discussion</w:t>
      </w:r>
    </w:p>
    <w:p>
      <w:pPr>
        <w:pStyle w:val="3"/>
        <w:widowControl w:val="0"/>
        <w:pBdr>
          <w:top w:val="none" w:color="auto" w:sz="0" w:space="0"/>
        </w:pBdr>
        <w:overflowPunct/>
        <w:snapToGrid w:val="0"/>
        <w:spacing w:before="260" w:after="260" w:line="240" w:lineRule="auto"/>
        <w:jc w:val="left"/>
        <w:textAlignment w:val="auto"/>
        <w:rPr>
          <w:rFonts w:hint="default" w:ascii="Arial" w:hAnsi="Arial" w:eastAsia="黑体" w:cs="Arial"/>
          <w:iCs w:val="0"/>
          <w:sz w:val="21"/>
          <w:szCs w:val="21"/>
          <w:lang w:val="en-US" w:eastAsia="zh-CN"/>
        </w:rPr>
      </w:pPr>
      <w:r>
        <w:rPr>
          <w:rFonts w:hint="eastAsia" w:eastAsia="黑体" w:cs="Arial"/>
          <w:iCs w:val="0"/>
          <w:sz w:val="21"/>
          <w:szCs w:val="21"/>
          <w:lang w:val="en-US" w:eastAsia="zh-CN"/>
        </w:rPr>
        <w:t>U</w:t>
      </w:r>
      <w:r>
        <w:rPr>
          <w:rFonts w:hint="default" w:ascii="Arial" w:hAnsi="Arial" w:eastAsia="黑体" w:cs="Arial"/>
          <w:iCs w:val="0"/>
          <w:sz w:val="21"/>
          <w:szCs w:val="21"/>
          <w:lang w:val="en-US" w:eastAsia="zh-CN"/>
        </w:rPr>
        <w:t>sage</w:t>
      </w:r>
    </w:p>
    <w:p>
      <w:pPr>
        <w:pStyle w:val="14"/>
        <w:overflowPunct/>
        <w:autoSpaceDE/>
        <w:autoSpaceDN/>
        <w:snapToGrid w:val="0"/>
        <w:spacing w:beforeLines="50" w:afterLines="50" w:line="240" w:lineRule="auto"/>
        <w:textAlignment w:val="auto"/>
        <w:rPr>
          <w:b w:val="0"/>
          <w:bCs w:val="0"/>
          <w:sz w:val="20"/>
          <w:lang w:val="en-US" w:eastAsia="zh-CN"/>
        </w:rPr>
      </w:pPr>
      <w:r>
        <w:rPr>
          <w:rFonts w:hint="eastAsia"/>
          <w:b w:val="0"/>
          <w:bCs w:val="0"/>
          <w:sz w:val="20"/>
          <w:lang w:val="en-US" w:eastAsia="zh-CN"/>
        </w:rPr>
        <w:t xml:space="preserve">Whether </w:t>
      </w:r>
      <w:r>
        <w:rPr>
          <w:b w:val="0"/>
          <w:bCs w:val="0"/>
          <w:sz w:val="20"/>
          <w:lang w:val="en-US" w:eastAsia="zh-CN"/>
        </w:rPr>
        <w:t xml:space="preserve">to support </w:t>
      </w:r>
      <w:r>
        <w:rPr>
          <w:rFonts w:hint="eastAsia"/>
          <w:b w:val="0"/>
          <w:bCs w:val="0"/>
          <w:sz w:val="20"/>
          <w:lang w:val="en-US" w:eastAsia="zh-CN"/>
        </w:rPr>
        <w:t xml:space="preserve">a new usage of SRS is not agreed yet. In Rel-15, the higher layer parameter usage is configured per SRS resource set, the candidate values include </w:t>
      </w:r>
      <w:r>
        <w:rPr>
          <w:rFonts w:hint="eastAsia"/>
          <w:b w:val="0"/>
          <w:bCs w:val="0"/>
          <w:i/>
          <w:iCs/>
          <w:sz w:val="20"/>
          <w:lang w:val="en-US" w:eastAsia="zh-CN"/>
        </w:rPr>
        <w:t>beamManagement, codebook, nonCodebook, antennaSwitching</w:t>
      </w:r>
      <w:r>
        <w:rPr>
          <w:rFonts w:hint="eastAsia"/>
          <w:b w:val="0"/>
          <w:bCs w:val="0"/>
          <w:sz w:val="20"/>
          <w:lang w:val="en-US" w:eastAsia="zh-CN"/>
        </w:rPr>
        <w:t xml:space="preserve">. </w:t>
      </w:r>
    </w:p>
    <w:p>
      <w:pPr>
        <w:snapToGrid w:val="0"/>
        <w:spacing w:after="181"/>
        <w:rPr>
          <w:rFonts w:hint="eastAsia"/>
          <w:i w:val="0"/>
          <w:iCs w:val="0"/>
          <w:sz w:val="20"/>
          <w:lang w:val="en-US" w:eastAsia="zh-CN"/>
        </w:rPr>
      </w:pPr>
      <w:r>
        <w:rPr>
          <w:rFonts w:hint="eastAsia"/>
          <w:sz w:val="20"/>
          <w:lang w:val="en-US" w:eastAsia="zh-CN"/>
        </w:rPr>
        <w:t>According to our understanding, a new usage of SRS with some modification is enough for positioning and nearly cost</w:t>
      </w:r>
      <w:r>
        <w:rPr>
          <w:sz w:val="20"/>
          <w:lang w:val="en-US" w:eastAsia="zh-CN"/>
        </w:rPr>
        <w:t>s</w:t>
      </w:r>
      <w:r>
        <w:rPr>
          <w:rFonts w:hint="eastAsia"/>
          <w:sz w:val="20"/>
          <w:lang w:val="en-US" w:eastAsia="zh-CN"/>
        </w:rPr>
        <w:t xml:space="preserve"> nothing. The main </w:t>
      </w:r>
      <w:r>
        <w:rPr>
          <w:sz w:val="20"/>
          <w:lang w:val="en-US" w:eastAsia="zh-CN"/>
        </w:rPr>
        <w:t>concern with such new usage of SRS</w:t>
      </w:r>
      <w:r>
        <w:rPr>
          <w:rFonts w:hint="eastAsia"/>
          <w:sz w:val="20"/>
          <w:lang w:val="en-US" w:eastAsia="zh-CN"/>
        </w:rPr>
        <w:t xml:space="preserve"> is that sometimes the SRS may not be used purely for positioning</w:t>
      </w:r>
      <w:r>
        <w:rPr>
          <w:sz w:val="20"/>
          <w:lang w:val="en-US" w:eastAsia="zh-CN"/>
        </w:rPr>
        <w:t xml:space="preserve">. In our view, </w:t>
      </w:r>
      <w:r>
        <w:rPr>
          <w:rFonts w:hint="eastAsia"/>
          <w:sz w:val="20"/>
          <w:lang w:val="en-US" w:eastAsia="zh-CN"/>
        </w:rPr>
        <w:t>this problem can be solved by configuring two usage</w:t>
      </w:r>
      <w:r>
        <w:rPr>
          <w:sz w:val="20"/>
          <w:lang w:val="en-US" w:eastAsia="zh-CN"/>
        </w:rPr>
        <w:t>s</w:t>
      </w:r>
      <w:r>
        <w:rPr>
          <w:rFonts w:hint="eastAsia"/>
          <w:sz w:val="20"/>
          <w:lang w:val="en-US" w:eastAsia="zh-CN"/>
        </w:rPr>
        <w:t xml:space="preserve"> for one SRS set. So we propose to agree one new candidate value of higher layer parameter </w:t>
      </w:r>
      <w:r>
        <w:rPr>
          <w:rFonts w:hint="eastAsia"/>
          <w:i/>
          <w:iCs/>
          <w:sz w:val="20"/>
          <w:lang w:val="en-US" w:eastAsia="zh-CN"/>
        </w:rPr>
        <w:t xml:space="preserve">usage </w:t>
      </w:r>
      <w:r>
        <w:rPr>
          <w:rFonts w:hint="eastAsia"/>
          <w:sz w:val="20"/>
          <w:lang w:val="en-US" w:eastAsia="zh-CN"/>
        </w:rPr>
        <w:t xml:space="preserve">per SRS resource set, i.e. </w:t>
      </w:r>
      <w:r>
        <w:rPr>
          <w:rFonts w:hint="eastAsia"/>
          <w:i/>
          <w:iCs/>
          <w:sz w:val="20"/>
          <w:lang w:val="en-US" w:eastAsia="zh-CN"/>
        </w:rPr>
        <w:t xml:space="preserve">positioning. </w:t>
      </w:r>
      <w:r>
        <w:rPr>
          <w:rFonts w:hint="eastAsia"/>
          <w:i w:val="0"/>
          <w:iCs w:val="0"/>
          <w:sz w:val="20"/>
          <w:lang w:val="en-US" w:eastAsia="zh-CN"/>
        </w:rPr>
        <w:t>Otherwise,</w:t>
      </w:r>
      <w:r>
        <w:rPr>
          <w:rFonts w:hint="eastAsia"/>
          <w:i/>
          <w:iCs/>
          <w:sz w:val="20"/>
          <w:lang w:val="en-US" w:eastAsia="zh-CN"/>
        </w:rPr>
        <w:t xml:space="preserve"> </w:t>
      </w:r>
      <w:r>
        <w:rPr>
          <w:rFonts w:hint="eastAsia"/>
          <w:i w:val="0"/>
          <w:iCs w:val="0"/>
          <w:sz w:val="20"/>
          <w:lang w:val="en-US" w:eastAsia="zh-CN"/>
        </w:rPr>
        <w:t xml:space="preserve">one of the current usages, e.g. </w:t>
      </w:r>
      <w:r>
        <w:rPr>
          <w:rFonts w:hint="eastAsia"/>
          <w:i/>
          <w:iCs/>
          <w:sz w:val="20"/>
          <w:lang w:val="en-US" w:eastAsia="zh-CN"/>
        </w:rPr>
        <w:t xml:space="preserve">beamManagement </w:t>
      </w:r>
      <w:r>
        <w:rPr>
          <w:rFonts w:hint="eastAsia"/>
          <w:i w:val="0"/>
          <w:iCs w:val="0"/>
          <w:sz w:val="20"/>
          <w:lang w:val="en-US" w:eastAsia="zh-CN"/>
        </w:rPr>
        <w:t xml:space="preserve"> should be used for positioning if SRS for positioning is configured by RRC signaling. That</w:t>
      </w:r>
      <w:r>
        <w:rPr>
          <w:rFonts w:hint="default"/>
          <w:i w:val="0"/>
          <w:iCs w:val="0"/>
          <w:sz w:val="20"/>
          <w:lang w:val="en-US" w:eastAsia="zh-CN"/>
        </w:rPr>
        <w:t>’</w:t>
      </w:r>
      <w:r>
        <w:rPr>
          <w:rFonts w:hint="eastAsia"/>
          <w:i w:val="0"/>
          <w:iCs w:val="0"/>
          <w:sz w:val="20"/>
          <w:lang w:val="en-US" w:eastAsia="zh-CN"/>
        </w:rPr>
        <w:t xml:space="preserve">s because the higher layer parameter of </w:t>
      </w:r>
      <w:r>
        <w:rPr>
          <w:rFonts w:hint="eastAsia"/>
          <w:i/>
          <w:iCs/>
          <w:sz w:val="20"/>
          <w:lang w:val="en-US" w:eastAsia="zh-CN"/>
        </w:rPr>
        <w:t>usage</w:t>
      </w:r>
      <w:r>
        <w:rPr>
          <w:rFonts w:hint="eastAsia"/>
          <w:i w:val="0"/>
          <w:iCs w:val="0"/>
          <w:sz w:val="20"/>
          <w:lang w:val="en-US" w:eastAsia="zh-CN"/>
        </w:rPr>
        <w:t xml:space="preserve"> is mandatory configured. Then some of SRS resource sets configured with </w:t>
      </w:r>
      <w:r>
        <w:rPr>
          <w:rFonts w:hint="eastAsia"/>
          <w:b w:val="0"/>
          <w:bCs w:val="0"/>
          <w:i/>
          <w:iCs/>
          <w:sz w:val="20"/>
          <w:lang w:val="en-US" w:eastAsia="zh-CN"/>
        </w:rPr>
        <w:t xml:space="preserve">beamManagement </w:t>
      </w:r>
      <w:r>
        <w:rPr>
          <w:rFonts w:hint="eastAsia"/>
          <w:i w:val="0"/>
          <w:iCs w:val="0"/>
          <w:sz w:val="20"/>
          <w:lang w:val="en-US" w:eastAsia="zh-CN"/>
        </w:rPr>
        <w:t>are actually for positioning rather than for beam management, but UE doesn</w:t>
      </w:r>
      <w:r>
        <w:rPr>
          <w:rFonts w:hint="default"/>
          <w:i w:val="0"/>
          <w:iCs w:val="0"/>
          <w:sz w:val="20"/>
          <w:lang w:val="en-US" w:eastAsia="zh-CN"/>
        </w:rPr>
        <w:t>’</w:t>
      </w:r>
      <w:r>
        <w:rPr>
          <w:rFonts w:hint="eastAsia"/>
          <w:i w:val="0"/>
          <w:iCs w:val="0"/>
          <w:sz w:val="20"/>
          <w:lang w:val="en-US" w:eastAsia="zh-CN"/>
        </w:rPr>
        <w:t xml:space="preserve">t know this information. However,  this will cause incorrect UE behavior as the following rule for SRS for beam management should be satisfied based on current 38.214. Likewise, other usages, like </w:t>
      </w:r>
      <w:r>
        <w:rPr>
          <w:rFonts w:hint="eastAsia"/>
          <w:b w:val="0"/>
          <w:bCs w:val="0"/>
          <w:i/>
          <w:iCs/>
          <w:sz w:val="20"/>
          <w:lang w:val="en-US" w:eastAsia="zh-CN"/>
        </w:rPr>
        <w:t xml:space="preserve">codebook, nonCodebook, antennaSwitching, </w:t>
      </w:r>
      <w:r>
        <w:rPr>
          <w:rFonts w:hint="eastAsia"/>
          <w:b w:val="0"/>
          <w:bCs w:val="0"/>
          <w:i w:val="0"/>
          <w:iCs w:val="0"/>
          <w:sz w:val="20"/>
          <w:lang w:val="en-US" w:eastAsia="zh-CN"/>
        </w:rPr>
        <w:t>are also hard to be reused for positioning because the number of ports, SRS precoder, power control, etc. may not be the same between positioning and others.</w:t>
      </w:r>
    </w:p>
    <w:p>
      <w:pPr>
        <w:snapToGrid w:val="0"/>
        <w:spacing w:after="0" w:line="240" w:lineRule="auto"/>
        <w:rPr>
          <w:rFonts w:hint="eastAsia"/>
          <w:i w:val="0"/>
          <w:iCs w:val="0"/>
          <w:sz w:val="20"/>
          <w:lang w:val="en-US" w:eastAsia="zh-CN"/>
        </w:rPr>
      </w:pPr>
      <w:r>
        <w:rPr>
          <w:rFonts w:hint="eastAsia"/>
          <w:i w:val="0"/>
          <w:iCs w:val="0"/>
          <w:sz w:val="20"/>
          <w:lang w:val="en-US" w:eastAsia="zh-CN"/>
        </w:rPr>
        <w:t>----------------------------------------38.214---------------------------------------</w:t>
      </w:r>
    </w:p>
    <w:p>
      <w:pPr>
        <w:snapToGrid w:val="0"/>
        <w:spacing w:after="0" w:line="240" w:lineRule="auto"/>
        <w:rPr>
          <w:color w:val="000000"/>
          <w:sz w:val="20"/>
        </w:rPr>
      </w:pPr>
      <w:r>
        <w:rPr>
          <w:color w:val="000000"/>
          <w:sz w:val="20"/>
        </w:rPr>
        <w:t>When the higher layer parameter</w:t>
      </w:r>
      <w:r>
        <w:rPr>
          <w:i/>
          <w:color w:val="000000"/>
          <w:sz w:val="20"/>
        </w:rPr>
        <w:t xml:space="preserve"> usage </w:t>
      </w:r>
      <w:r>
        <w:rPr>
          <w:color w:val="000000"/>
          <w:sz w:val="20"/>
        </w:rPr>
        <w:t>is set to 'beamManagement'</w:t>
      </w:r>
      <w:r>
        <w:rPr>
          <w:i/>
          <w:color w:val="000000"/>
          <w:sz w:val="20"/>
        </w:rPr>
        <w:t xml:space="preserve">, </w:t>
      </w:r>
      <w:r>
        <w:rPr>
          <w:color w:val="000000"/>
          <w:sz w:val="20"/>
        </w:rPr>
        <w:t>only one SRS resource in each of multiple SRS sets may be transmitted at a given time instant, but the SRS resources in different SRS resource sets with the same time domain behaviour in the same BWP may be transmitted simultaneously.</w:t>
      </w:r>
    </w:p>
    <w:p>
      <w:pPr>
        <w:snapToGrid w:val="0"/>
        <w:spacing w:after="0" w:line="240" w:lineRule="auto"/>
        <w:rPr>
          <w:rFonts w:hint="eastAsia" w:cs="Times New Roman"/>
          <w:b/>
          <w:bCs/>
          <w:i/>
          <w:iCs/>
          <w:sz w:val="20"/>
          <w:szCs w:val="20"/>
          <w:lang w:val="en-US" w:eastAsia="zh-CN" w:bidi="ar-SA"/>
        </w:rPr>
      </w:pPr>
      <w:r>
        <w:rPr>
          <w:rFonts w:hint="eastAsia" w:eastAsia="宋体"/>
          <w:color w:val="000000"/>
          <w:sz w:val="20"/>
          <w:lang w:val="en-US" w:eastAsia="zh-CN"/>
        </w:rPr>
        <w:t>----------------------------------------------------------------------------------------</w:t>
      </w:r>
    </w:p>
    <w:p>
      <w:pPr>
        <w:pStyle w:val="14"/>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outlineLvl w:val="9"/>
        <w:rPr>
          <w:rFonts w:hint="eastAsia" w:cs="Times New Roman"/>
          <w:b/>
          <w:bCs/>
          <w:i w:val="0"/>
          <w:iCs w:val="0"/>
          <w:sz w:val="20"/>
          <w:szCs w:val="20"/>
          <w:lang w:val="en-US" w:eastAsia="zh-CN" w:bidi="ar-SA"/>
        </w:rPr>
      </w:pPr>
      <w:r>
        <w:rPr>
          <w:rFonts w:hint="eastAsia" w:cs="Times New Roman"/>
          <w:b/>
          <w:bCs/>
          <w:i w:val="0"/>
          <w:iCs w:val="0"/>
          <w:sz w:val="20"/>
          <w:szCs w:val="20"/>
          <w:lang w:val="en-US" w:eastAsia="zh-CN" w:bidi="ar-SA"/>
        </w:rPr>
        <w:t xml:space="preserve">Proposal 1: Introduce a new usage, i.e. </w:t>
      </w:r>
      <w:r>
        <w:rPr>
          <w:rFonts w:hint="default" w:cs="Times New Roman"/>
          <w:b/>
          <w:bCs/>
          <w:i w:val="0"/>
          <w:iCs w:val="0"/>
          <w:sz w:val="20"/>
          <w:szCs w:val="20"/>
          <w:lang w:val="en-US" w:eastAsia="zh-CN" w:bidi="ar-SA"/>
        </w:rPr>
        <w:t>‘</w:t>
      </w:r>
      <w:r>
        <w:rPr>
          <w:rFonts w:hint="eastAsia" w:cs="Times New Roman"/>
          <w:b/>
          <w:bCs/>
          <w:i w:val="0"/>
          <w:iCs w:val="0"/>
          <w:sz w:val="20"/>
          <w:szCs w:val="20"/>
          <w:lang w:val="en-US" w:eastAsia="zh-CN" w:bidi="ar-SA"/>
        </w:rPr>
        <w:t>positioning</w:t>
      </w:r>
      <w:r>
        <w:rPr>
          <w:rFonts w:hint="default" w:cs="Times New Roman"/>
          <w:b/>
          <w:bCs/>
          <w:i w:val="0"/>
          <w:iCs w:val="0"/>
          <w:sz w:val="20"/>
          <w:szCs w:val="20"/>
          <w:lang w:val="en-US" w:eastAsia="zh-CN" w:bidi="ar-SA"/>
        </w:rPr>
        <w:t>’</w:t>
      </w:r>
      <w:r>
        <w:rPr>
          <w:rFonts w:hint="eastAsia" w:cs="Times New Roman"/>
          <w:b/>
          <w:bCs/>
          <w:i w:val="0"/>
          <w:iCs w:val="0"/>
          <w:sz w:val="20"/>
          <w:szCs w:val="20"/>
          <w:lang w:val="en-US" w:eastAsia="zh-CN" w:bidi="ar-SA"/>
        </w:rPr>
        <w:t xml:space="preserve"> per SRS resource set.</w:t>
      </w:r>
    </w:p>
    <w:p>
      <w:pPr>
        <w:pStyle w:val="3"/>
        <w:widowControl w:val="0"/>
        <w:pBdr>
          <w:top w:val="none" w:color="auto" w:sz="0" w:space="0"/>
        </w:pBdr>
        <w:overflowPunct/>
        <w:snapToGrid w:val="0"/>
        <w:spacing w:before="260" w:after="260" w:line="240" w:lineRule="auto"/>
        <w:jc w:val="left"/>
        <w:textAlignment w:val="auto"/>
        <w:rPr>
          <w:rFonts w:hint="default" w:ascii="Arial" w:hAnsi="Arial" w:eastAsia="黑体" w:cs="Arial"/>
          <w:iCs w:val="0"/>
          <w:sz w:val="21"/>
          <w:szCs w:val="21"/>
          <w:lang w:val="en-US" w:eastAsia="zh-CN"/>
        </w:rPr>
      </w:pPr>
      <w:r>
        <w:rPr>
          <w:rFonts w:hint="eastAsia" w:eastAsia="黑体" w:cs="Arial"/>
          <w:iCs w:val="0"/>
          <w:sz w:val="21"/>
          <w:szCs w:val="21"/>
          <w:lang w:val="en-US" w:eastAsia="zh-CN"/>
        </w:rPr>
        <w:t>Configuration</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default"/>
          <w:b w:val="0"/>
          <w:bCs w:val="0"/>
          <w:sz w:val="20"/>
          <w:szCs w:val="20"/>
          <w:lang w:val="en-US" w:eastAsia="zh-CN"/>
        </w:rPr>
      </w:pPr>
      <w:r>
        <w:rPr>
          <w:rFonts w:hint="eastAsia"/>
          <w:b w:val="0"/>
          <w:bCs w:val="0"/>
          <w:sz w:val="20"/>
          <w:szCs w:val="20"/>
          <w:lang w:val="en-US" w:eastAsia="zh-CN"/>
        </w:rPr>
        <w:t>Different with DL, UL SRS transmission needs to consider more about UE transmission power, UE capability for bandwidth, numerology. Specifically, the maximum transmission bandwidth is aligned with the BWP which is configured UE for data transmission. So SRS cannot be transmitted outside the active UL BWP.</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eastAsia" w:eastAsia="宋体"/>
          <w:b/>
          <w:bCs/>
          <w:i w:val="0"/>
          <w:iCs w:val="0"/>
          <w:sz w:val="20"/>
          <w:szCs w:val="20"/>
          <w:lang w:val="en-US" w:eastAsia="zh-CN"/>
        </w:rPr>
      </w:pPr>
      <w:r>
        <w:rPr>
          <w:rFonts w:hint="eastAsia"/>
          <w:b/>
          <w:bCs/>
          <w:i w:val="0"/>
          <w:iCs w:val="0"/>
          <w:sz w:val="20"/>
          <w:szCs w:val="20"/>
          <w:lang w:val="en-US" w:eastAsia="zh-CN"/>
        </w:rPr>
        <w:t xml:space="preserve">Proposal 2: </w:t>
      </w:r>
      <w:r>
        <w:rPr>
          <w:b/>
          <w:bCs/>
          <w:i w:val="0"/>
          <w:iCs w:val="0"/>
          <w:sz w:val="20"/>
          <w:szCs w:val="20"/>
        </w:rPr>
        <w:t>SRS is configured within the active UL BWP</w:t>
      </w:r>
      <w:r>
        <w:rPr>
          <w:rFonts w:hint="eastAsia" w:eastAsia="宋体"/>
          <w:b/>
          <w:bCs/>
          <w:i w:val="0"/>
          <w:iCs w:val="0"/>
          <w:sz w:val="20"/>
          <w:szCs w:val="20"/>
          <w:lang w:val="en-US" w:eastAsia="zh-CN"/>
        </w:rPr>
        <w:t>.</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eastAsia" w:eastAsia="宋体"/>
          <w:b w:val="0"/>
          <w:bCs w:val="0"/>
          <w:i w:val="0"/>
          <w:iCs w:val="0"/>
          <w:sz w:val="20"/>
          <w:szCs w:val="20"/>
          <w:lang w:val="en-US" w:eastAsia="zh-CN"/>
        </w:rPr>
      </w:pPr>
      <w:r>
        <w:rPr>
          <w:rFonts w:hint="eastAsia" w:eastAsia="宋体"/>
          <w:b w:val="0"/>
          <w:bCs w:val="0"/>
          <w:i w:val="0"/>
          <w:iCs w:val="0"/>
          <w:sz w:val="20"/>
          <w:szCs w:val="20"/>
          <w:lang w:val="en-US" w:eastAsia="zh-CN"/>
        </w:rPr>
        <w:t xml:space="preserve">The current minimum granularity of SRS configuration in frequency domain is 4 PRB which include 4x12=48 subcarriers. If comb 8 is used as the agreement, only 6 REs are used for SRS transmission. Fortunately, the current SRS sequence design is based on ZC sequence and CGS in which the granularity is also 6. Then, the new SRS sequence is not needed. Because of only 6 REs in one SRS unit, the maximum number of cyclic shifts can only be 6, 3, 2 or 1. In order to maximize the SRS capacity, we support 6 as the maximum number of cyclic shifts for comb 8. For comb 2, and 4, the values of Rel-15 can be reused. </w:t>
      </w:r>
    </w:p>
    <w:p>
      <w:pPr>
        <w:keepNext w:val="0"/>
        <w:keepLines w:val="0"/>
        <w:pageBreakBefore w:val="0"/>
        <w:widowControl/>
        <w:kinsoku/>
        <w:wordWrap/>
        <w:overflowPunct w:val="0"/>
        <w:topLinePunct w:val="0"/>
        <w:autoSpaceDE w:val="0"/>
        <w:autoSpaceDN w:val="0"/>
        <w:bidi w:val="0"/>
        <w:adjustRightInd w:val="0"/>
        <w:snapToGrid w:val="0"/>
        <w:spacing w:before="181" w:beforeLines="50" w:after="0" w:line="240" w:lineRule="auto"/>
        <w:textAlignment w:val="baseline"/>
        <w:outlineLvl w:val="9"/>
        <w:rPr>
          <w:rFonts w:hint="eastAsia" w:eastAsia="宋体"/>
          <w:b/>
          <w:bCs/>
          <w:i w:val="0"/>
          <w:iCs w:val="0"/>
          <w:sz w:val="20"/>
          <w:szCs w:val="20"/>
          <w:lang w:val="en-US" w:eastAsia="zh-CN"/>
        </w:rPr>
      </w:pPr>
      <w:r>
        <w:rPr>
          <w:rFonts w:hint="eastAsia" w:eastAsia="宋体"/>
          <w:b/>
          <w:bCs/>
          <w:i w:val="0"/>
          <w:iCs w:val="0"/>
          <w:sz w:val="20"/>
          <w:szCs w:val="20"/>
          <w:lang w:val="en-US" w:eastAsia="zh-CN"/>
        </w:rPr>
        <w:t xml:space="preserve">Proposal 3: Support 6 as the maximum number of cyclic shifts for comb 8. </w:t>
      </w:r>
    </w:p>
    <w:p>
      <w:pPr>
        <w:keepNext w:val="0"/>
        <w:keepLines w:val="0"/>
        <w:pageBreakBefore w:val="0"/>
        <w:widowControl/>
        <w:numPr>
          <w:ilvl w:val="0"/>
          <w:numId w:val="9"/>
        </w:numPr>
        <w:kinsoku/>
        <w:wordWrap/>
        <w:topLinePunct w:val="0"/>
        <w:bidi w:val="0"/>
        <w:adjustRightInd w:val="0"/>
        <w:snapToGrid w:val="0"/>
        <w:spacing w:before="0" w:beforeLines="-2147483648" w:after="0" w:afterLines="-2147483648" w:line="240" w:lineRule="auto"/>
        <w:ind w:left="726" w:hanging="363"/>
        <w:outlineLvl w:val="9"/>
        <w:rPr>
          <w:rFonts w:hint="eastAsia" w:eastAsia="宋体"/>
          <w:b/>
          <w:bCs/>
          <w:i w:val="0"/>
          <w:iCs w:val="0"/>
          <w:sz w:val="20"/>
          <w:szCs w:val="20"/>
          <w:lang w:val="en-US" w:eastAsia="zh-CN"/>
        </w:rPr>
      </w:pPr>
      <w:r>
        <w:rPr>
          <w:rFonts w:hint="eastAsia"/>
          <w:b/>
          <w:bCs/>
          <w:i w:val="0"/>
          <w:iCs w:val="0"/>
          <w:sz w:val="20"/>
          <w:szCs w:val="20"/>
          <w:lang w:val="en-US" w:eastAsia="zh-CN"/>
        </w:rPr>
        <w:t xml:space="preserve">Rel-15 SRS sequence is reused. </w:t>
      </w:r>
    </w:p>
    <w:p>
      <w:pPr>
        <w:pStyle w:val="3"/>
        <w:widowControl w:val="0"/>
        <w:pBdr>
          <w:top w:val="none" w:color="auto" w:sz="0" w:space="0"/>
        </w:pBdr>
        <w:overflowPunct/>
        <w:snapToGrid w:val="0"/>
        <w:spacing w:before="260" w:after="260" w:line="240" w:lineRule="auto"/>
        <w:jc w:val="left"/>
        <w:textAlignment w:val="auto"/>
        <w:rPr>
          <w:rFonts w:hint="eastAsia" w:eastAsia="黑体" w:cs="Arial"/>
          <w:iCs w:val="0"/>
          <w:sz w:val="21"/>
          <w:szCs w:val="21"/>
          <w:lang w:val="en-US" w:eastAsia="zh-CN"/>
        </w:rPr>
      </w:pPr>
      <w:r>
        <w:rPr>
          <w:rFonts w:hint="eastAsia" w:eastAsia="黑体" w:cs="Arial"/>
          <w:iCs w:val="0"/>
          <w:sz w:val="21"/>
          <w:szCs w:val="21"/>
          <w:lang w:val="en-US" w:eastAsia="zh-CN"/>
        </w:rPr>
        <w:t>RRC configuration or LPP</w:t>
      </w:r>
    </w:p>
    <w:p>
      <w:pPr>
        <w:widowControl w:val="0"/>
        <w:snapToGrid w:val="0"/>
        <w:spacing w:before="120" w:after="120" w:line="276" w:lineRule="auto"/>
        <w:rPr>
          <w:rFonts w:eastAsiaTheme="minorEastAsia"/>
          <w:sz w:val="20"/>
          <w:lang w:val="en-US" w:eastAsia="zh-CN"/>
        </w:rPr>
      </w:pPr>
      <w:r>
        <w:rPr>
          <w:rFonts w:hint="eastAsia" w:eastAsiaTheme="minorEastAsia"/>
          <w:sz w:val="20"/>
          <w:lang w:val="en-US" w:eastAsia="zh-CN"/>
        </w:rPr>
        <w:t xml:space="preserve">The general LTE UTDOA procedure is illustrated in </w:t>
      </w:r>
      <w:r>
        <w:rPr>
          <w:rFonts w:eastAsiaTheme="minorEastAsia"/>
          <w:sz w:val="20"/>
          <w:lang w:val="en-US" w:eastAsia="zh-CN"/>
        </w:rPr>
        <w:t>F</w:t>
      </w:r>
      <w:r>
        <w:rPr>
          <w:rFonts w:hint="eastAsia" w:eastAsiaTheme="minorEastAsia"/>
          <w:sz w:val="20"/>
          <w:lang w:val="en-US" w:eastAsia="zh-CN"/>
        </w:rPr>
        <w:t>igure 1:</w:t>
      </w:r>
    </w:p>
    <w:p>
      <w:pPr>
        <w:widowControl w:val="0"/>
        <w:snapToGrid w:val="0"/>
        <w:spacing w:after="120" w:line="200" w:lineRule="exact"/>
      </w:pPr>
      <w:r>
        <w:rPr>
          <w:lang w:val="en-US" w:eastAsia="zh-CN"/>
        </w:rPr>
        <w:drawing>
          <wp:anchor distT="0" distB="0" distL="114935" distR="114935" simplePos="0" relativeHeight="251840512" behindDoc="0" locked="0" layoutInCell="1" allowOverlap="1">
            <wp:simplePos x="0" y="0"/>
            <wp:positionH relativeFrom="column">
              <wp:posOffset>1130935</wp:posOffset>
            </wp:positionH>
            <wp:positionV relativeFrom="paragraph">
              <wp:posOffset>178435</wp:posOffset>
            </wp:positionV>
            <wp:extent cx="3247390" cy="2749550"/>
            <wp:effectExtent l="0" t="0" r="10160" b="12700"/>
            <wp:wrapTopAndBottom/>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5" cstate="print"/>
                    <a:stretch>
                      <a:fillRect/>
                    </a:stretch>
                  </pic:blipFill>
                  <pic:spPr>
                    <a:xfrm>
                      <a:off x="0" y="0"/>
                      <a:ext cx="3247390" cy="2749550"/>
                    </a:xfrm>
                    <a:prstGeom prst="rect">
                      <a:avLst/>
                    </a:prstGeom>
                    <a:noFill/>
                    <a:ln>
                      <a:noFill/>
                    </a:ln>
                  </pic:spPr>
                </pic:pic>
              </a:graphicData>
            </a:graphic>
          </wp:anchor>
        </w:drawing>
      </w:r>
    </w:p>
    <w:p>
      <w:pPr>
        <w:pStyle w:val="14"/>
        <w:widowControl w:val="0"/>
        <w:snapToGrid w:val="0"/>
        <w:spacing w:after="120" w:line="200" w:lineRule="exact"/>
        <w:jc w:val="center"/>
        <w:rPr>
          <w:rFonts w:eastAsiaTheme="minorEastAsia"/>
          <w:sz w:val="20"/>
          <w:lang w:val="en-US" w:eastAsia="zh-CN"/>
        </w:rPr>
      </w:pPr>
      <w:r>
        <w:rPr>
          <w:rFonts w:hint="eastAsia" w:eastAsia="宋体"/>
          <w:b w:val="0"/>
          <w:bCs w:val="0"/>
          <w:sz w:val="18"/>
          <w:szCs w:val="18"/>
          <w:lang w:val="en-US" w:eastAsia="zh-CN"/>
        </w:rPr>
        <w:t xml:space="preserve">Figure </w:t>
      </w:r>
      <w:r>
        <w:rPr>
          <w:b w:val="0"/>
          <w:bCs w:val="0"/>
          <w:sz w:val="18"/>
          <w:szCs w:val="18"/>
        </w:rPr>
        <w:fldChar w:fldCharType="begin"/>
      </w:r>
      <w:r>
        <w:rPr>
          <w:b w:val="0"/>
          <w:bCs w:val="0"/>
          <w:sz w:val="18"/>
          <w:szCs w:val="18"/>
        </w:rPr>
        <w:instrText xml:space="preserve"> SEQ 图 \* ARABIC </w:instrText>
      </w:r>
      <w:r>
        <w:rPr>
          <w:b w:val="0"/>
          <w:bCs w:val="0"/>
          <w:sz w:val="18"/>
          <w:szCs w:val="18"/>
        </w:rPr>
        <w:fldChar w:fldCharType="separate"/>
      </w:r>
      <w:r>
        <w:rPr>
          <w:b w:val="0"/>
          <w:bCs w:val="0"/>
          <w:sz w:val="18"/>
          <w:szCs w:val="18"/>
        </w:rPr>
        <w:t>1</w:t>
      </w:r>
      <w:r>
        <w:rPr>
          <w:b w:val="0"/>
          <w:bCs w:val="0"/>
          <w:sz w:val="18"/>
          <w:szCs w:val="18"/>
        </w:rPr>
        <w:fldChar w:fldCharType="end"/>
      </w:r>
      <w:r>
        <w:rPr>
          <w:rFonts w:hint="eastAsia" w:eastAsia="宋体"/>
          <w:b w:val="0"/>
          <w:bCs w:val="0"/>
          <w:sz w:val="18"/>
          <w:szCs w:val="18"/>
          <w:lang w:val="en-US" w:eastAsia="zh-CN"/>
        </w:rPr>
        <w:t>: LTE UTDOA procedure</w:t>
      </w:r>
    </w:p>
    <w:p>
      <w:pPr>
        <w:widowControl w:val="0"/>
        <w:numPr>
          <w:ilvl w:val="0"/>
          <w:numId w:val="10"/>
        </w:numPr>
        <w:tabs>
          <w:tab w:val="left" w:pos="312"/>
        </w:tabs>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The E-SMLC sends an Information Request message indicating to the eNodeB the need to invoke periodic SRS  for target UE. The E-SMLC may provide the eNB with a number of SRS transmissions. </w:t>
      </w:r>
    </w:p>
    <w:p>
      <w:pPr>
        <w:widowControl w:val="0"/>
        <w:numPr>
          <w:ilvl w:val="0"/>
          <w:numId w:val="10"/>
        </w:numPr>
        <w:tabs>
          <w:tab w:val="left" w:pos="312"/>
        </w:tabs>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The eNodeB determines the resources to be allocated for the UE and sends an Information Response to the E-SMLC that includes the allocated resources and the associated parameters. </w:t>
      </w:r>
    </w:p>
    <w:p>
      <w:pPr>
        <w:pStyle w:val="118"/>
        <w:widowControl w:val="0"/>
        <w:numPr>
          <w:ilvl w:val="0"/>
          <w:numId w:val="10"/>
        </w:numPr>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If in step 2 the eNodeB determines that resources will be allocated, the eNodeB then allocates the resources to the target UE.</w:t>
      </w:r>
    </w:p>
    <w:p>
      <w:pPr>
        <w:pStyle w:val="118"/>
        <w:widowControl w:val="0"/>
        <w:numPr>
          <w:ilvl w:val="0"/>
          <w:numId w:val="10"/>
        </w:numPr>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The E-SMLC selects a set of LMUs to be used for the UTDOA positioning and sends a measurement request with the SRS configuration to each one of them (via SLm).</w:t>
      </w:r>
    </w:p>
    <w:p>
      <w:pPr>
        <w:pStyle w:val="118"/>
        <w:widowControl w:val="0"/>
        <w:numPr>
          <w:ilvl w:val="0"/>
          <w:numId w:val="10"/>
        </w:numPr>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LMUs report back to E-SMLC the uplink measurement reports.</w:t>
      </w:r>
    </w:p>
    <w:p>
      <w:pPr>
        <w:widowControl w:val="0"/>
        <w:snapToGrid w:val="0"/>
        <w:spacing w:before="120" w:after="120" w:line="276" w:lineRule="auto"/>
        <w:rPr>
          <w:rFonts w:hint="default" w:eastAsiaTheme="minorEastAsia"/>
          <w:sz w:val="20"/>
          <w:szCs w:val="22"/>
          <w:lang w:val="en-US" w:eastAsia="zh-CN"/>
        </w:rPr>
      </w:pPr>
      <w:r>
        <w:rPr>
          <w:rFonts w:hint="eastAsia" w:eastAsiaTheme="minorEastAsia"/>
          <w:sz w:val="20"/>
          <w:szCs w:val="22"/>
          <w:lang w:val="en-US" w:eastAsia="zh-CN"/>
        </w:rPr>
        <w:t>During last meeting, there were some companies who wanted to move the SRS configuration function from RRC to LPP for positioning. The RRC is involved in UL positioning procedure in step 3, the eNodeB configure the SRS information through RRC. If it was in LPP, the procedure is generally as illustrated in Figure 2:</w:t>
      </w:r>
    </w:p>
    <w:p>
      <w:pPr>
        <w:jc w:val="center"/>
      </w:pPr>
      <w:r>
        <w:drawing>
          <wp:inline distT="0" distB="0" distL="114300" distR="114300">
            <wp:extent cx="4639945" cy="3180080"/>
            <wp:effectExtent l="0" t="0" r="8255" b="1270"/>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pic:cNvPicPr>
                      <a:picLocks noChangeAspect="1"/>
                    </pic:cNvPicPr>
                  </pic:nvPicPr>
                  <pic:blipFill>
                    <a:blip r:embed="rId6"/>
                    <a:stretch>
                      <a:fillRect/>
                    </a:stretch>
                  </pic:blipFill>
                  <pic:spPr>
                    <a:xfrm>
                      <a:off x="0" y="0"/>
                      <a:ext cx="4639945" cy="3180080"/>
                    </a:xfrm>
                    <a:prstGeom prst="rect">
                      <a:avLst/>
                    </a:prstGeom>
                    <a:noFill/>
                    <a:ln>
                      <a:noFill/>
                    </a:ln>
                  </pic:spPr>
                </pic:pic>
              </a:graphicData>
            </a:graphic>
          </wp:inline>
        </w:drawing>
      </w:r>
    </w:p>
    <w:p>
      <w:pPr>
        <w:pStyle w:val="14"/>
        <w:widowControl w:val="0"/>
        <w:snapToGrid w:val="0"/>
        <w:spacing w:after="120" w:line="200" w:lineRule="exact"/>
        <w:jc w:val="center"/>
        <w:rPr>
          <w:rFonts w:hint="default" w:eastAsia="宋体"/>
          <w:b w:val="0"/>
          <w:bCs w:val="0"/>
          <w:sz w:val="18"/>
          <w:szCs w:val="18"/>
          <w:lang w:val="en-US" w:eastAsia="zh-CN"/>
        </w:rPr>
      </w:pPr>
      <w:r>
        <w:rPr>
          <w:rFonts w:hint="eastAsia" w:eastAsia="宋体"/>
          <w:b w:val="0"/>
          <w:bCs w:val="0"/>
          <w:sz w:val="18"/>
          <w:szCs w:val="18"/>
          <w:lang w:val="en-US" w:eastAsia="zh-CN"/>
        </w:rPr>
        <w:t>Figure 2 UL TODA procedure with SRS configured in LPP</w:t>
      </w:r>
    </w:p>
    <w:p>
      <w:pPr>
        <w:widowControl w:val="0"/>
        <w:snapToGrid w:val="0"/>
        <w:spacing w:before="120" w:after="120" w:line="276" w:lineRule="auto"/>
        <w:rPr>
          <w:rFonts w:hint="default" w:eastAsiaTheme="minorEastAsia"/>
          <w:sz w:val="20"/>
          <w:szCs w:val="22"/>
          <w:lang w:val="en-US" w:eastAsia="zh-CN"/>
        </w:rPr>
      </w:pPr>
      <w:r>
        <w:rPr>
          <w:rFonts w:hint="eastAsia" w:eastAsiaTheme="minorEastAsia"/>
          <w:sz w:val="20"/>
          <w:szCs w:val="22"/>
          <w:lang w:val="en-US" w:eastAsia="zh-CN"/>
        </w:rPr>
        <w:t xml:space="preserve">According to our understanding, this modification bring no much benefit. Under this procedure, it is obvious that the SRS configuration is transmitted twice, both signal overhead and latency are added. Meanwhile, the gNB has the right of final decision on SRS resource allocation, it may change when other service with higher priority increases, through RRC, this adjustment can be transmitted more instantly. At last, sometimes the SRS may be reused for other purpose besides positioning. If it is added in LPP, then such SRS configuration would be transmitted twice, which is totally unnecessary. The advantage to capture it in LPP may be that when the UL SRS configurations were stable within a certain area, by LPP the UE can get SRS configuration of many cells, and do not need to be configured again when it moves across different cell, but considering a high-accuracy requirement would always need much resource allocation, whether ideal UL SRS resource allocation is possible need to be studied further.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val="0"/>
          <w:iCs w:val="0"/>
          <w:sz w:val="20"/>
          <w:szCs w:val="22"/>
          <w:lang w:val="en-US" w:eastAsia="zh-CN"/>
        </w:rPr>
      </w:pPr>
      <w:r>
        <w:rPr>
          <w:rFonts w:hint="eastAsia" w:eastAsiaTheme="minorEastAsia"/>
          <w:b/>
          <w:i w:val="0"/>
          <w:iCs w:val="0"/>
          <w:sz w:val="20"/>
          <w:szCs w:val="22"/>
          <w:lang w:val="en-US" w:eastAsia="zh-CN"/>
        </w:rPr>
        <w:t xml:space="preserve">Proposal 4: Keep SRS configuration for positioning in RRC. Study whether LPP can also capture the configuration. </w:t>
      </w:r>
    </w:p>
    <w:p>
      <w:pPr>
        <w:pStyle w:val="3"/>
        <w:widowControl w:val="0"/>
        <w:pBdr>
          <w:top w:val="none" w:color="auto" w:sz="0" w:space="0"/>
        </w:pBdr>
        <w:overflowPunct/>
        <w:snapToGrid w:val="0"/>
        <w:spacing w:before="260" w:after="260" w:line="240" w:lineRule="auto"/>
        <w:jc w:val="left"/>
        <w:textAlignment w:val="auto"/>
        <w:rPr>
          <w:rFonts w:hint="default" w:eastAsia="黑体" w:cs="Arial"/>
          <w:iCs w:val="0"/>
          <w:sz w:val="21"/>
          <w:szCs w:val="21"/>
          <w:lang w:val="en-US" w:eastAsia="zh-CN"/>
        </w:rPr>
      </w:pPr>
      <w:r>
        <w:rPr>
          <w:rFonts w:hint="eastAsia" w:eastAsia="黑体" w:cs="Arial"/>
          <w:iCs w:val="0"/>
          <w:sz w:val="21"/>
          <w:szCs w:val="21"/>
          <w:lang w:val="en-US" w:eastAsia="zh-CN"/>
        </w:rPr>
        <w:t xml:space="preserve"> Power control towards neighbouring cells</w:t>
      </w:r>
    </w:p>
    <w:p>
      <w:pPr>
        <w:widowControl w:val="0"/>
        <w:snapToGrid w:val="0"/>
        <w:spacing w:after="0"/>
        <w:textAlignment w:val="center"/>
        <w:rPr>
          <w:rFonts w:hint="eastAsia" w:eastAsiaTheme="minorEastAsia"/>
          <w:sz w:val="20"/>
          <w:szCs w:val="22"/>
          <w:lang w:val="en-US" w:eastAsia="zh-CN"/>
        </w:rPr>
      </w:pPr>
      <w:r>
        <w:rPr>
          <w:rFonts w:hint="eastAsia" w:eastAsiaTheme="minorEastAsia"/>
          <w:sz w:val="20"/>
          <w:szCs w:val="22"/>
          <w:lang w:val="en-US" w:eastAsia="zh-CN"/>
        </w:rPr>
        <w:t>On the transmission power of UL SRS for positioning, a basic agreement has been agreed:</w:t>
      </w:r>
    </w:p>
    <w:p>
      <w:pPr>
        <w:pageBreakBefore w:val="0"/>
        <w:widowControl/>
        <w:kinsoku/>
        <w:wordWrap/>
        <w:overflowPunct w:val="0"/>
        <w:topLinePunct w:val="0"/>
        <w:autoSpaceDE w:val="0"/>
        <w:autoSpaceDN w:val="0"/>
        <w:bidi w:val="0"/>
        <w:adjustRightInd w:val="0"/>
        <w:snapToGrid w:val="0"/>
        <w:spacing w:line="240" w:lineRule="auto"/>
        <w:ind w:left="1440" w:hanging="1440"/>
        <w:textAlignment w:val="baseline"/>
        <w:outlineLvl w:val="9"/>
        <w:rPr>
          <w:i/>
          <w:iCs/>
          <w:sz w:val="20"/>
          <w:szCs w:val="20"/>
          <w:highlight w:val="none"/>
        </w:rPr>
      </w:pPr>
      <w:r>
        <w:rPr>
          <w:i/>
          <w:iCs/>
          <w:sz w:val="20"/>
          <w:szCs w:val="20"/>
          <w:highlight w:val="none"/>
        </w:rPr>
        <w:t>Agreement:</w:t>
      </w:r>
    </w:p>
    <w:p>
      <w:pPr>
        <w:keepNext/>
        <w:keepLines/>
        <w:pageBreakBefore w:val="0"/>
        <w:widowControl/>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rFonts w:hint="eastAsia" w:eastAsiaTheme="minorEastAsia"/>
          <w:i/>
          <w:iCs/>
          <w:sz w:val="20"/>
          <w:szCs w:val="20"/>
          <w:lang w:val="en-US" w:eastAsia="ko-KR"/>
        </w:rPr>
        <w:t>For positioning purposes, with regards to the UL SRS transmission power, support at least the following</w:t>
      </w:r>
      <w:r>
        <w:rPr>
          <w:i/>
          <w:iCs/>
          <w:sz w:val="20"/>
          <w:szCs w:val="20"/>
          <w:lang w:eastAsia="ko-KR"/>
        </w:rPr>
        <w:t xml:space="preserve"> in addition to the existing Rel-15 behaviour:</w:t>
      </w:r>
    </w:p>
    <w:p>
      <w:pPr>
        <w:keepNext/>
        <w:keepLines/>
        <w:pageBreakBefore w:val="0"/>
        <w:widowControl/>
        <w:numPr>
          <w:ilvl w:val="0"/>
          <w:numId w:val="11"/>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 xml:space="preserve">Support configuring a DL reference signal of a neighbouring cell to be used as DL path loss reference for the purpose of SRS power control.  </w:t>
      </w:r>
    </w:p>
    <w:p>
      <w:pPr>
        <w:keepNext/>
        <w:keepLines/>
        <w:pageBreakBefore w:val="0"/>
        <w:widowControl/>
        <w:numPr>
          <w:ilvl w:val="1"/>
          <w:numId w:val="11"/>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 xml:space="preserve">FFS: Which reference signals can be used (e.g. a CSI-RS, or a SSB, or DL PRS). </w:t>
      </w:r>
    </w:p>
    <w:p>
      <w:pPr>
        <w:keepNext/>
        <w:keepLines/>
        <w:pageBreakBefore w:val="0"/>
        <w:widowControl/>
        <w:numPr>
          <w:ilvl w:val="0"/>
          <w:numId w:val="11"/>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Study further the UE configuration signalling and procedure.</w:t>
      </w:r>
    </w:p>
    <w:p>
      <w:pPr>
        <w:keepNext/>
        <w:keepLines/>
        <w:pageBreakBefore w:val="0"/>
        <w:widowControl/>
        <w:numPr>
          <w:ilvl w:val="0"/>
          <w:numId w:val="11"/>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FFS on a fallback procedure if the UE is not able to obtain the pathloss reference.</w:t>
      </w:r>
    </w:p>
    <w:p>
      <w:pPr>
        <w:keepNext/>
        <w:keepLines/>
        <w:pageBreakBefore w:val="0"/>
        <w:widowControl/>
        <w:numPr>
          <w:ilvl w:val="0"/>
          <w:numId w:val="11"/>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FFS on number of measurements for pathloss.</w:t>
      </w:r>
    </w:p>
    <w:p>
      <w:pPr>
        <w:widowControl w:val="0"/>
        <w:snapToGrid w:val="0"/>
        <w:spacing w:after="0"/>
        <w:textAlignment w:val="center"/>
        <w:rPr>
          <w:rFonts w:hint="eastAsia" w:eastAsiaTheme="minorEastAsia"/>
          <w:sz w:val="20"/>
          <w:szCs w:val="22"/>
          <w:lang w:val="en-US" w:eastAsia="zh-CN"/>
        </w:rPr>
      </w:pPr>
      <w:r>
        <w:rPr>
          <w:rFonts w:hint="eastAsia" w:eastAsiaTheme="minorEastAsia"/>
          <w:sz w:val="20"/>
          <w:szCs w:val="22"/>
          <w:lang w:val="en-US" w:eastAsia="zh-CN"/>
        </w:rPr>
        <w:t xml:space="preserve">To detect the DL reference signal of a neighbouring cell as DL path loss reference, some configuration information must be known in advance by the target UE. The information can include the type of RS to indicate whether it is DL PRS, a kind of CSI-RS or SSB, its sequence ID, sequence generation information, resource allocation and transmission power. This configuration can be configured from the LCS server as kind of assistance data, which is the easiest way with least specification modification, or it can also be configured by the serving cells with enhancement of inter-cell information exchange.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val="0"/>
          <w:iCs w:val="0"/>
          <w:sz w:val="20"/>
          <w:szCs w:val="22"/>
          <w:lang w:val="en-US" w:eastAsia="zh-CN"/>
        </w:rPr>
      </w:pPr>
      <w:r>
        <w:rPr>
          <w:rFonts w:hint="eastAsia" w:eastAsiaTheme="minorEastAsia"/>
          <w:b/>
          <w:i w:val="0"/>
          <w:iCs w:val="0"/>
          <w:sz w:val="20"/>
          <w:szCs w:val="22"/>
          <w:lang w:val="en-US" w:eastAsia="zh-CN"/>
        </w:rPr>
        <w:t>Proposal 5:Neighbouring cells</w:t>
      </w:r>
      <w:r>
        <w:rPr>
          <w:rFonts w:hint="default" w:eastAsiaTheme="minorEastAsia"/>
          <w:b/>
          <w:i w:val="0"/>
          <w:iCs w:val="0"/>
          <w:sz w:val="20"/>
          <w:szCs w:val="22"/>
          <w:lang w:val="en-US" w:eastAsia="zh-CN"/>
        </w:rPr>
        <w:t>’</w:t>
      </w:r>
      <w:r>
        <w:rPr>
          <w:rFonts w:hint="eastAsia" w:eastAsiaTheme="minorEastAsia"/>
          <w:b/>
          <w:i w:val="0"/>
          <w:iCs w:val="0"/>
          <w:sz w:val="20"/>
          <w:szCs w:val="22"/>
          <w:lang w:val="en-US" w:eastAsia="zh-CN"/>
        </w:rPr>
        <w:t xml:space="preserve"> DL path loss RS for positioning should be configured to UE either by LMF or serving gNB.</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The general idea is that the UE may use beam sweeping mode to transmit UL SRS for positioning, and different beam to different direction of course can target to different cells. The transmission power of each beam is related to its targeting cell, naturally different beam can use different transmission power since their target cell can be at different distance. Transmission power is decided according to the cell</w:t>
      </w:r>
      <w:r>
        <w:rPr>
          <w:rFonts w:hint="default" w:eastAsiaTheme="minorEastAsia"/>
          <w:sz w:val="20"/>
          <w:szCs w:val="22"/>
          <w:lang w:val="en-US" w:eastAsia="zh-CN"/>
        </w:rPr>
        <w:t>’</w:t>
      </w:r>
      <w:r>
        <w:rPr>
          <w:rFonts w:hint="eastAsia" w:eastAsiaTheme="minorEastAsia"/>
          <w:sz w:val="20"/>
          <w:szCs w:val="22"/>
          <w:lang w:val="en-US" w:eastAsia="zh-CN"/>
        </w:rPr>
        <w:t xml:space="preserve">s path loss RS receiving power, then the mapping between PL RS and SRS beam should be constructed. Since it is already agreed that staggered pattern should be realized within one resource and most likely that a SRS beam for positioning is corresponding to one SRS resource.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val="0"/>
          <w:iCs w:val="0"/>
          <w:sz w:val="20"/>
          <w:szCs w:val="22"/>
          <w:lang w:val="en-US" w:eastAsia="zh-CN"/>
        </w:rPr>
      </w:pPr>
      <w:r>
        <w:rPr>
          <w:rFonts w:hint="eastAsia" w:eastAsiaTheme="minorEastAsia"/>
          <w:b/>
          <w:i w:val="0"/>
          <w:iCs w:val="0"/>
          <w:sz w:val="20"/>
          <w:szCs w:val="22"/>
          <w:lang w:val="en-US" w:eastAsia="zh-CN"/>
        </w:rPr>
        <w:t>Proposal 6:The transmission power should be configured per SRS resource for positioning.</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val="0"/>
          <w:iCs w:val="0"/>
          <w:sz w:val="20"/>
          <w:szCs w:val="22"/>
          <w:lang w:val="en-US" w:eastAsia="zh-CN"/>
        </w:rPr>
      </w:pPr>
      <w:r>
        <w:rPr>
          <w:rFonts w:hint="eastAsia" w:eastAsiaTheme="minorEastAsia"/>
          <w:b/>
          <w:i w:val="0"/>
          <w:iCs w:val="0"/>
          <w:sz w:val="20"/>
          <w:szCs w:val="22"/>
          <w:lang w:val="en-US" w:eastAsia="zh-CN"/>
        </w:rPr>
        <w:t>Proposal 7: Path loss RS should be configured per SRS resource for positioning.</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Another problem is how to choose the neighbouring cells</w:t>
      </w:r>
      <w:r>
        <w:rPr>
          <w:rFonts w:hint="default" w:eastAsiaTheme="minorEastAsia"/>
          <w:sz w:val="20"/>
          <w:szCs w:val="22"/>
          <w:lang w:val="en-US" w:eastAsia="zh-CN"/>
        </w:rPr>
        <w:t>’</w:t>
      </w:r>
      <w:r>
        <w:rPr>
          <w:rFonts w:hint="eastAsia" w:eastAsiaTheme="minorEastAsia"/>
          <w:sz w:val="20"/>
          <w:szCs w:val="22"/>
          <w:lang w:val="en-US" w:eastAsia="zh-CN"/>
        </w:rPr>
        <w:t xml:space="preserve"> path loss RS for a positioning session, to send all the PL RS of  all the neighbouring cells should clearly not be a choice. RRM measurements always exist for a active UE, and it can be used as kind of reference for neighbouring PL RS. This work can be done either by serving gNB or LMF.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val="0"/>
          <w:iCs w:val="0"/>
          <w:sz w:val="20"/>
          <w:szCs w:val="22"/>
          <w:lang w:val="en-US" w:eastAsia="zh-CN"/>
        </w:rPr>
      </w:pPr>
      <w:r>
        <w:rPr>
          <w:rFonts w:hint="eastAsia" w:eastAsiaTheme="minorEastAsia"/>
          <w:b/>
          <w:i w:val="0"/>
          <w:iCs w:val="0"/>
          <w:sz w:val="20"/>
          <w:szCs w:val="22"/>
          <w:lang w:val="en-US" w:eastAsia="zh-CN"/>
        </w:rPr>
        <w:t>Proposal 8:Neighbouring cells</w:t>
      </w:r>
      <w:r>
        <w:rPr>
          <w:rFonts w:hint="default" w:eastAsiaTheme="minorEastAsia"/>
          <w:b/>
          <w:i w:val="0"/>
          <w:iCs w:val="0"/>
          <w:sz w:val="20"/>
          <w:szCs w:val="22"/>
          <w:lang w:val="en-US" w:eastAsia="zh-CN"/>
        </w:rPr>
        <w:t>’</w:t>
      </w:r>
      <w:r>
        <w:rPr>
          <w:rFonts w:hint="eastAsia" w:eastAsiaTheme="minorEastAsia"/>
          <w:b/>
          <w:i w:val="0"/>
          <w:iCs w:val="0"/>
          <w:sz w:val="20"/>
          <w:szCs w:val="22"/>
          <w:lang w:val="en-US" w:eastAsia="zh-CN"/>
        </w:rPr>
        <w:t xml:space="preserve"> PL RS for positioning should be selected by serving gNB or LMF.</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sz w:val="20"/>
          <w:szCs w:val="22"/>
          <w:lang w:val="en-US" w:eastAsia="zh-CN"/>
        </w:rPr>
      </w:pPr>
      <w:r>
        <w:rPr>
          <w:rFonts w:hint="eastAsia" w:eastAsiaTheme="minorEastAsia"/>
          <w:sz w:val="20"/>
          <w:szCs w:val="22"/>
          <w:lang w:val="en-US" w:eastAsia="zh-CN"/>
        </w:rPr>
        <w:t>The whole procedure is as figure 3, first, the SRS for positioning with some recommended PL RS are configured. But at the beginning, the gNB do not know which SRS resource is aiming at which cell. A couple of recommended PL RSs from all the possible neighbouring cells should be configured. But not all of them can be actually detected, for those who can be detected, the UE has a general idea of its direction and its origin gNB. The UE need to do the mapping between SRS resource and its target cell. For the first round of beam sweeping, the UE can adjust each beam</w:t>
      </w:r>
      <w:r>
        <w:rPr>
          <w:rFonts w:hint="default" w:eastAsiaTheme="minorEastAsia"/>
          <w:sz w:val="20"/>
          <w:szCs w:val="22"/>
          <w:lang w:val="en-US" w:eastAsia="zh-CN"/>
        </w:rPr>
        <w:t>’</w:t>
      </w:r>
      <w:r>
        <w:rPr>
          <w:rFonts w:hint="eastAsia" w:eastAsiaTheme="minorEastAsia"/>
          <w:sz w:val="20"/>
          <w:szCs w:val="22"/>
          <w:lang w:val="en-US" w:eastAsia="zh-CN"/>
        </w:rPr>
        <w:t>s power or direction according to the information of PL RS transmitting power from that direction. Then, UE can report this kind of mapping between the SRS resources and PL RS(neighbour cells). Then the neighbouring cells can detect the SRS and reconfigure the transmission power, this kind of information need to be transmitted to the serving cell. Then, with the mapping, it can configure different transmission power and certain PL RS as spatial relation information to different SRS resource, noting that now PL RS con be configured per SRS resource. When all these information are configured back to UE, the UE can modify each resource</w:t>
      </w:r>
      <w:r>
        <w:rPr>
          <w:rFonts w:hint="default" w:eastAsiaTheme="minorEastAsia"/>
          <w:sz w:val="20"/>
          <w:szCs w:val="22"/>
          <w:lang w:val="en-US" w:eastAsia="zh-CN"/>
        </w:rPr>
        <w:t>’</w:t>
      </w:r>
      <w:r>
        <w:rPr>
          <w:rFonts w:hint="eastAsia" w:eastAsiaTheme="minorEastAsia"/>
          <w:sz w:val="20"/>
          <w:szCs w:val="22"/>
          <w:lang w:val="en-US" w:eastAsia="zh-CN"/>
        </w:rPr>
        <w:t xml:space="preserve">s transmission power or transmission direction according to spatial relation.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jc w:val="center"/>
        <w:textAlignment w:val="auto"/>
        <w:outlineLvl w:val="9"/>
      </w:pPr>
      <w:r>
        <w:drawing>
          <wp:inline distT="0" distB="0" distL="114300" distR="114300">
            <wp:extent cx="4547235" cy="4808855"/>
            <wp:effectExtent l="0" t="0" r="5715" b="1079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7"/>
                    <a:stretch>
                      <a:fillRect/>
                    </a:stretch>
                  </pic:blipFill>
                  <pic:spPr>
                    <a:xfrm>
                      <a:off x="0" y="0"/>
                      <a:ext cx="4547235" cy="4808855"/>
                    </a:xfrm>
                    <a:prstGeom prst="rect">
                      <a:avLst/>
                    </a:prstGeom>
                    <a:noFill/>
                    <a:ln>
                      <a:noFill/>
                    </a:ln>
                  </pic:spPr>
                </pic:pic>
              </a:graphicData>
            </a:graphic>
          </wp:inline>
        </w:drawing>
      </w:r>
    </w:p>
    <w:p>
      <w:pPr>
        <w:pStyle w:val="14"/>
        <w:keepNext w:val="0"/>
        <w:keepLines w:val="0"/>
        <w:pageBreakBefore w:val="0"/>
        <w:widowControl/>
        <w:kinsoku/>
        <w:wordWrap/>
        <w:overflowPunct/>
        <w:topLinePunct w:val="0"/>
        <w:autoSpaceDE/>
        <w:autoSpaceDN/>
        <w:bidi w:val="0"/>
        <w:adjustRightInd w:val="0"/>
        <w:snapToGrid w:val="0"/>
        <w:spacing w:before="181" w:beforeLines="50" w:afterLines="50" w:line="264" w:lineRule="auto"/>
        <w:jc w:val="center"/>
        <w:textAlignment w:val="auto"/>
        <w:outlineLvl w:val="9"/>
        <w:rPr>
          <w:rFonts w:hint="default"/>
          <w:b w:val="0"/>
          <w:bCs w:val="0"/>
          <w:sz w:val="20"/>
          <w:szCs w:val="20"/>
          <w:lang w:val="en-US" w:eastAsia="zh-CN"/>
        </w:rPr>
      </w:pPr>
      <w:r>
        <w:rPr>
          <w:rFonts w:hint="eastAsia"/>
          <w:b w:val="0"/>
          <w:bCs w:val="0"/>
          <w:sz w:val="20"/>
          <w:szCs w:val="20"/>
          <w:lang w:val="en-US" w:eastAsia="zh-CN"/>
        </w:rPr>
        <w:t>Figure 3 power control for UL SRS</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val="0"/>
          <w:iCs w:val="0"/>
          <w:sz w:val="20"/>
          <w:szCs w:val="22"/>
          <w:lang w:val="en-US" w:eastAsia="zh-CN"/>
        </w:rPr>
      </w:pPr>
      <w:r>
        <w:rPr>
          <w:rFonts w:hint="eastAsia" w:eastAsiaTheme="minorEastAsia"/>
          <w:b/>
          <w:i w:val="0"/>
          <w:iCs w:val="0"/>
          <w:sz w:val="20"/>
          <w:szCs w:val="22"/>
          <w:lang w:val="en-US" w:eastAsia="zh-CN"/>
        </w:rPr>
        <w:t>Proposal 9:Only report PL RS can be configured as spatial relation information.</w:t>
      </w:r>
    </w:p>
    <w:p>
      <w:pPr>
        <w:pStyle w:val="2"/>
        <w:tabs>
          <w:tab w:val="left" w:pos="450"/>
          <w:tab w:val="clear" w:pos="612"/>
        </w:tabs>
        <w:ind w:hanging="612"/>
      </w:pPr>
      <w:r>
        <w:t>Conclusion</w:t>
      </w:r>
    </w:p>
    <w:p>
      <w:pPr>
        <w:pageBreakBefore w:val="0"/>
        <w:kinsoku/>
        <w:wordWrap/>
        <w:topLinePunct w:val="0"/>
        <w:bidi w:val="0"/>
        <w:snapToGrid w:val="0"/>
        <w:spacing w:after="120"/>
        <w:rPr>
          <w:rFonts w:hint="eastAsia" w:eastAsiaTheme="minorEastAsia"/>
          <w:sz w:val="20"/>
          <w:lang w:val="en-US" w:eastAsia="zh-CN"/>
        </w:rPr>
      </w:pPr>
      <w:r>
        <w:rPr>
          <w:rFonts w:hint="eastAsia" w:eastAsiaTheme="minorEastAsia"/>
          <w:sz w:val="20"/>
          <w:lang w:val="en-US" w:eastAsia="zh-CN"/>
        </w:rPr>
        <w:t>Based on our study, the following proposals are proposed:</w:t>
      </w:r>
    </w:p>
    <w:p>
      <w:pPr>
        <w:pStyle w:val="14"/>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outlineLvl w:val="9"/>
        <w:rPr>
          <w:rFonts w:hint="eastAsia" w:cs="Times New Roman"/>
          <w:b/>
          <w:bCs/>
          <w:i/>
          <w:iCs/>
          <w:sz w:val="20"/>
          <w:szCs w:val="20"/>
          <w:lang w:val="en-US" w:eastAsia="zh-CN" w:bidi="ar-SA"/>
        </w:rPr>
      </w:pPr>
      <w:r>
        <w:rPr>
          <w:rFonts w:hint="eastAsia" w:cs="Times New Roman"/>
          <w:b/>
          <w:bCs/>
          <w:i/>
          <w:iCs/>
          <w:sz w:val="20"/>
          <w:szCs w:val="20"/>
          <w:lang w:val="en-US" w:eastAsia="zh-CN" w:bidi="ar-SA"/>
        </w:rPr>
        <w:t xml:space="preserve">Proposal 1: </w:t>
      </w:r>
      <w:r>
        <w:rPr>
          <w:rFonts w:hint="eastAsia" w:cs="Times New Roman"/>
          <w:b w:val="0"/>
          <w:bCs w:val="0"/>
          <w:i/>
          <w:iCs/>
          <w:sz w:val="20"/>
          <w:szCs w:val="20"/>
          <w:lang w:val="en-US" w:eastAsia="zh-CN" w:bidi="ar-SA"/>
        </w:rPr>
        <w:t xml:space="preserve">Introduce a new usage, i.e. </w:t>
      </w:r>
      <w:r>
        <w:rPr>
          <w:rFonts w:hint="default" w:cs="Times New Roman"/>
          <w:b w:val="0"/>
          <w:bCs w:val="0"/>
          <w:i/>
          <w:iCs/>
          <w:sz w:val="20"/>
          <w:szCs w:val="20"/>
          <w:lang w:val="en-US" w:eastAsia="zh-CN" w:bidi="ar-SA"/>
        </w:rPr>
        <w:t>‘</w:t>
      </w:r>
      <w:r>
        <w:rPr>
          <w:rFonts w:hint="eastAsia" w:cs="Times New Roman"/>
          <w:b w:val="0"/>
          <w:bCs w:val="0"/>
          <w:i/>
          <w:iCs/>
          <w:sz w:val="20"/>
          <w:szCs w:val="20"/>
          <w:lang w:val="en-US" w:eastAsia="zh-CN" w:bidi="ar-SA"/>
        </w:rPr>
        <w:t>positioning</w:t>
      </w:r>
      <w:r>
        <w:rPr>
          <w:rFonts w:hint="default" w:cs="Times New Roman"/>
          <w:b w:val="0"/>
          <w:bCs w:val="0"/>
          <w:i/>
          <w:iCs/>
          <w:sz w:val="20"/>
          <w:szCs w:val="20"/>
          <w:lang w:val="en-US" w:eastAsia="zh-CN" w:bidi="ar-SA"/>
        </w:rPr>
        <w:t>’</w:t>
      </w:r>
      <w:r>
        <w:rPr>
          <w:rFonts w:hint="eastAsia" w:cs="Times New Roman"/>
          <w:b w:val="0"/>
          <w:bCs w:val="0"/>
          <w:i/>
          <w:iCs/>
          <w:sz w:val="20"/>
          <w:szCs w:val="20"/>
          <w:lang w:val="en-US" w:eastAsia="zh-CN" w:bidi="ar-SA"/>
        </w:rPr>
        <w:t xml:space="preserve"> per SRS resource set.</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eastAsia" w:eastAsia="宋体"/>
          <w:b/>
          <w:bCs/>
          <w:i/>
          <w:iCs/>
          <w:sz w:val="20"/>
          <w:szCs w:val="20"/>
          <w:lang w:val="en-US" w:eastAsia="zh-CN"/>
        </w:rPr>
      </w:pPr>
      <w:r>
        <w:rPr>
          <w:rFonts w:hint="eastAsia"/>
          <w:b/>
          <w:bCs/>
          <w:i/>
          <w:iCs/>
          <w:sz w:val="20"/>
          <w:szCs w:val="20"/>
          <w:lang w:val="en-US" w:eastAsia="zh-CN"/>
        </w:rPr>
        <w:t xml:space="preserve">Proposal 2: </w:t>
      </w:r>
      <w:r>
        <w:rPr>
          <w:b w:val="0"/>
          <w:bCs w:val="0"/>
          <w:i/>
          <w:iCs/>
          <w:sz w:val="20"/>
          <w:szCs w:val="20"/>
        </w:rPr>
        <w:t>SRS is configured within the active UL BWP</w:t>
      </w:r>
      <w:r>
        <w:rPr>
          <w:rFonts w:hint="eastAsia" w:eastAsia="宋体"/>
          <w:b w:val="0"/>
          <w:bCs w:val="0"/>
          <w:i/>
          <w:iCs/>
          <w:sz w:val="20"/>
          <w:szCs w:val="20"/>
          <w:lang w:val="en-US" w:eastAsia="zh-CN"/>
        </w:rPr>
        <w:t>.</w:t>
      </w:r>
    </w:p>
    <w:p>
      <w:pPr>
        <w:keepNext w:val="0"/>
        <w:keepLines w:val="0"/>
        <w:pageBreakBefore w:val="0"/>
        <w:widowControl/>
        <w:kinsoku/>
        <w:wordWrap/>
        <w:overflowPunct w:val="0"/>
        <w:topLinePunct w:val="0"/>
        <w:autoSpaceDE w:val="0"/>
        <w:autoSpaceDN w:val="0"/>
        <w:bidi w:val="0"/>
        <w:adjustRightInd w:val="0"/>
        <w:snapToGrid w:val="0"/>
        <w:spacing w:before="181" w:beforeLines="50" w:after="0" w:line="240" w:lineRule="auto"/>
        <w:textAlignment w:val="baseline"/>
        <w:outlineLvl w:val="9"/>
        <w:rPr>
          <w:rFonts w:hint="eastAsia" w:eastAsia="宋体"/>
          <w:b/>
          <w:bCs/>
          <w:i/>
          <w:iCs/>
          <w:sz w:val="20"/>
          <w:szCs w:val="20"/>
          <w:lang w:val="en-US" w:eastAsia="zh-CN"/>
        </w:rPr>
      </w:pPr>
      <w:r>
        <w:rPr>
          <w:rFonts w:hint="eastAsia" w:eastAsiaTheme="minorEastAsia"/>
          <w:b/>
          <w:bCs w:val="0"/>
          <w:i/>
          <w:iCs/>
          <w:sz w:val="20"/>
          <w:szCs w:val="22"/>
          <w:lang w:val="en-US" w:eastAsia="zh-CN"/>
        </w:rPr>
        <w:t>Proposal 3:</w:t>
      </w:r>
      <w:r>
        <w:rPr>
          <w:rFonts w:hint="eastAsia" w:eastAsia="宋体"/>
          <w:b/>
          <w:bCs/>
          <w:i/>
          <w:iCs/>
          <w:sz w:val="20"/>
          <w:szCs w:val="20"/>
          <w:lang w:val="en-US" w:eastAsia="zh-CN"/>
        </w:rPr>
        <w:t xml:space="preserve"> </w:t>
      </w:r>
      <w:r>
        <w:rPr>
          <w:rFonts w:hint="eastAsia" w:eastAsia="宋体"/>
          <w:b w:val="0"/>
          <w:bCs w:val="0"/>
          <w:i/>
          <w:iCs/>
          <w:sz w:val="20"/>
          <w:szCs w:val="20"/>
          <w:lang w:val="en-US" w:eastAsia="zh-CN"/>
        </w:rPr>
        <w:t xml:space="preserve">Support 6 as the maximum number of cyclic shifts for comb 8. </w:t>
      </w:r>
    </w:p>
    <w:p>
      <w:pPr>
        <w:keepNext w:val="0"/>
        <w:keepLines w:val="0"/>
        <w:pageBreakBefore w:val="0"/>
        <w:widowControl/>
        <w:numPr>
          <w:ilvl w:val="0"/>
          <w:numId w:val="9"/>
        </w:numPr>
        <w:kinsoku/>
        <w:wordWrap/>
        <w:topLinePunct w:val="0"/>
        <w:bidi w:val="0"/>
        <w:adjustRightInd w:val="0"/>
        <w:snapToGrid w:val="0"/>
        <w:spacing w:before="0" w:beforeLines="-2147483648" w:after="0" w:afterLines="-2147483648" w:line="240" w:lineRule="auto"/>
        <w:ind w:left="726" w:hanging="363"/>
        <w:outlineLvl w:val="9"/>
        <w:rPr>
          <w:rFonts w:hint="eastAsia" w:eastAsiaTheme="minorEastAsia"/>
          <w:b w:val="0"/>
          <w:bCs w:val="0"/>
          <w:i/>
          <w:iCs/>
          <w:sz w:val="20"/>
          <w:szCs w:val="22"/>
          <w:lang w:val="en-US" w:eastAsia="zh-CN"/>
        </w:rPr>
      </w:pPr>
      <w:r>
        <w:rPr>
          <w:rFonts w:hint="eastAsia"/>
          <w:b w:val="0"/>
          <w:bCs w:val="0"/>
          <w:i/>
          <w:iCs/>
          <w:sz w:val="20"/>
          <w:szCs w:val="20"/>
          <w:lang w:val="en-US" w:eastAsia="zh-CN"/>
        </w:rPr>
        <w:t xml:space="preserve">Rel-15 SRS sequence is reused. </w:t>
      </w:r>
    </w:p>
    <w:p>
      <w:pPr>
        <w:keepNext w:val="0"/>
        <w:keepLines w:val="0"/>
        <w:pageBreakBefore w:val="0"/>
        <w:widowControl/>
        <w:numPr>
          <w:ilvl w:val="0"/>
          <w:numId w:val="0"/>
        </w:numPr>
        <w:kinsoku/>
        <w:wordWrap/>
        <w:topLinePunct w:val="0"/>
        <w:bidi w:val="0"/>
        <w:adjustRightInd w:val="0"/>
        <w:snapToGrid w:val="0"/>
        <w:spacing w:before="0" w:beforeLines="-2147483648" w:after="0" w:afterLines="-2147483648" w:line="240" w:lineRule="auto"/>
        <w:outlineLvl w:val="9"/>
        <w:rPr>
          <w:rFonts w:hint="eastAsia" w:eastAsiaTheme="minorEastAsia"/>
          <w:b/>
          <w:bCs w:val="0"/>
          <w:i/>
          <w:iCs/>
          <w:sz w:val="20"/>
          <w:szCs w:val="22"/>
          <w:lang w:val="en-US" w:eastAsia="zh-CN"/>
        </w:rPr>
      </w:pPr>
      <w:r>
        <w:rPr>
          <w:rFonts w:hint="eastAsia" w:eastAsiaTheme="minorEastAsia"/>
          <w:b/>
          <w:i/>
          <w:iCs/>
          <w:sz w:val="20"/>
          <w:szCs w:val="22"/>
          <w:lang w:val="en-US" w:eastAsia="zh-CN"/>
        </w:rPr>
        <w:t xml:space="preserve">Proposal 4: </w:t>
      </w:r>
      <w:r>
        <w:rPr>
          <w:rFonts w:hint="eastAsia" w:eastAsiaTheme="minorEastAsia"/>
          <w:b w:val="0"/>
          <w:bCs/>
          <w:i/>
          <w:iCs/>
          <w:sz w:val="20"/>
          <w:szCs w:val="22"/>
          <w:lang w:val="en-US" w:eastAsia="zh-CN"/>
        </w:rPr>
        <w:t xml:space="preserve">Keep SRS configuration for positioning in RRC. Study whether LPP can also capture the configuration.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5:</w:t>
      </w:r>
      <w:r>
        <w:rPr>
          <w:rFonts w:hint="eastAsia" w:eastAsiaTheme="minorEastAsia"/>
          <w:b w:val="0"/>
          <w:bCs/>
          <w:i/>
          <w:iCs/>
          <w:sz w:val="20"/>
          <w:szCs w:val="22"/>
          <w:lang w:val="en-US" w:eastAsia="zh-CN"/>
        </w:rPr>
        <w:t>Neighbouring cells</w:t>
      </w:r>
      <w:r>
        <w:rPr>
          <w:rFonts w:hint="default" w:eastAsiaTheme="minorEastAsia"/>
          <w:b w:val="0"/>
          <w:bCs/>
          <w:i/>
          <w:iCs/>
          <w:sz w:val="20"/>
          <w:szCs w:val="22"/>
          <w:lang w:val="en-US" w:eastAsia="zh-CN"/>
        </w:rPr>
        <w:t>’</w:t>
      </w:r>
      <w:r>
        <w:rPr>
          <w:rFonts w:hint="eastAsia" w:eastAsiaTheme="minorEastAsia"/>
          <w:b w:val="0"/>
          <w:bCs/>
          <w:i/>
          <w:iCs/>
          <w:sz w:val="20"/>
          <w:szCs w:val="22"/>
          <w:lang w:val="en-US" w:eastAsia="zh-CN"/>
        </w:rPr>
        <w:t xml:space="preserve"> DL path loss RS for positioning should be configured to UE either by LMF or serving gNB.</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iCs/>
          <w:sz w:val="20"/>
          <w:szCs w:val="22"/>
          <w:lang w:val="en-US" w:eastAsia="zh-CN"/>
        </w:rPr>
        <w:t>Proposal 6:</w:t>
      </w:r>
      <w:r>
        <w:rPr>
          <w:rFonts w:hint="eastAsia" w:eastAsiaTheme="minorEastAsia"/>
          <w:b w:val="0"/>
          <w:bCs/>
          <w:i/>
          <w:iCs/>
          <w:sz w:val="20"/>
          <w:szCs w:val="22"/>
          <w:lang w:val="en-US" w:eastAsia="zh-CN"/>
        </w:rPr>
        <w:t>The transmission power should be configured per SRS resource for positioning.</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 xml:space="preserve">Proposal 7: </w:t>
      </w:r>
      <w:r>
        <w:rPr>
          <w:rFonts w:hint="eastAsia" w:eastAsiaTheme="minorEastAsia"/>
          <w:b w:val="0"/>
          <w:bCs/>
          <w:i/>
          <w:iCs/>
          <w:sz w:val="20"/>
          <w:szCs w:val="22"/>
          <w:lang w:val="en-US" w:eastAsia="zh-CN"/>
        </w:rPr>
        <w:t>Path loss RS should be configured per SRS resource for positioning.</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8:</w:t>
      </w:r>
      <w:r>
        <w:rPr>
          <w:rFonts w:hint="eastAsia" w:eastAsiaTheme="minorEastAsia"/>
          <w:b w:val="0"/>
          <w:bCs/>
          <w:i/>
          <w:iCs/>
          <w:sz w:val="20"/>
          <w:szCs w:val="22"/>
          <w:lang w:val="en-US" w:eastAsia="zh-CN"/>
        </w:rPr>
        <w:t>Neighbouring cells</w:t>
      </w:r>
      <w:r>
        <w:rPr>
          <w:rFonts w:hint="default" w:eastAsiaTheme="minorEastAsia"/>
          <w:b w:val="0"/>
          <w:bCs/>
          <w:i/>
          <w:iCs/>
          <w:sz w:val="20"/>
          <w:szCs w:val="22"/>
          <w:lang w:val="en-US" w:eastAsia="zh-CN"/>
        </w:rPr>
        <w:t>’</w:t>
      </w:r>
      <w:r>
        <w:rPr>
          <w:rFonts w:hint="eastAsia" w:eastAsiaTheme="minorEastAsia"/>
          <w:b w:val="0"/>
          <w:bCs/>
          <w:i/>
          <w:iCs/>
          <w:sz w:val="20"/>
          <w:szCs w:val="22"/>
          <w:lang w:val="en-US" w:eastAsia="zh-CN"/>
        </w:rPr>
        <w:t xml:space="preserve"> PL RS for positioning should be selected by serving gNB or LMF.</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9:</w:t>
      </w:r>
      <w:r>
        <w:rPr>
          <w:rFonts w:hint="eastAsia" w:eastAsiaTheme="minorEastAsia"/>
          <w:b w:val="0"/>
          <w:bCs/>
          <w:i/>
          <w:iCs/>
          <w:sz w:val="20"/>
          <w:szCs w:val="22"/>
          <w:lang w:val="en-US" w:eastAsia="zh-CN"/>
        </w:rPr>
        <w:t>Only report PL RS can be configured as spatial relation information.</w:t>
      </w:r>
    </w:p>
    <w:p>
      <w:pPr>
        <w:pStyle w:val="2"/>
        <w:tabs>
          <w:tab w:val="left" w:pos="450"/>
          <w:tab w:val="clear" w:pos="612"/>
        </w:tabs>
        <w:ind w:hanging="612"/>
      </w:pPr>
      <w:r>
        <w:t>References</w:t>
      </w:r>
    </w:p>
    <w:p>
      <w:pPr>
        <w:pStyle w:val="126"/>
        <w:numPr>
          <w:ilvl w:val="0"/>
          <w:numId w:val="12"/>
        </w:numPr>
        <w:snapToGrid w:val="0"/>
        <w:rPr>
          <w:sz w:val="20"/>
          <w:szCs w:val="20"/>
          <w:lang w:val="en-GB"/>
        </w:rPr>
      </w:pPr>
      <w:r>
        <w:rPr>
          <w:rFonts w:hint="eastAsia"/>
          <w:sz w:val="20"/>
          <w:szCs w:val="20"/>
        </w:rPr>
        <w:t>Chairman notes of RAN1#96</w:t>
      </w:r>
      <w:r>
        <w:rPr>
          <w:rFonts w:hint="eastAsia"/>
          <w:sz w:val="20"/>
          <w:szCs w:val="20"/>
          <w:lang w:val="en-US" w:eastAsia="zh-CN"/>
        </w:rPr>
        <w:t>bis</w:t>
      </w:r>
      <w:r>
        <w:rPr>
          <w:rFonts w:hint="eastAsia"/>
          <w:sz w:val="20"/>
          <w:szCs w:val="20"/>
        </w:rPr>
        <w:t xml:space="preserve"> meeting</w:t>
      </w:r>
    </w:p>
    <w:p>
      <w:pPr>
        <w:pStyle w:val="126"/>
        <w:numPr>
          <w:ilvl w:val="0"/>
          <w:numId w:val="12"/>
        </w:numPr>
        <w:snapToGrid w:val="0"/>
        <w:rPr>
          <w:sz w:val="20"/>
          <w:szCs w:val="20"/>
          <w:lang w:val="en-GB"/>
        </w:rPr>
      </w:pPr>
      <w:r>
        <w:rPr>
          <w:rFonts w:hint="eastAsia" w:ascii="Times New Roman" w:hAnsi="Times New Roman" w:eastAsia="宋体" w:cs="Times New Roman"/>
          <w:b w:val="0"/>
          <w:bCs w:val="0"/>
          <w:sz w:val="20"/>
          <w:szCs w:val="22"/>
          <w:lang w:val="en-US" w:eastAsia="zh-CN"/>
        </w:rPr>
        <w:t>http://howltestuffworks.blogspot.com/2014/07/timing-advance-and-time-alignment-timer.htm</w:t>
      </w:r>
      <w:r>
        <w:rPr>
          <w:rFonts w:hint="eastAsia" w:cs="Times New Roman"/>
          <w:b w:val="0"/>
          <w:bCs w:val="0"/>
          <w:sz w:val="20"/>
          <w:szCs w:val="22"/>
          <w:lang w:val="en-US" w:eastAsia="zh-CN"/>
        </w:rPr>
        <w:t>l</w:t>
      </w: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4">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6">
    <w:nsid w:val="4B0963C4"/>
    <w:multiLevelType w:val="multilevel"/>
    <w:tmpl w:val="4B0963C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57C3D6C"/>
    <w:multiLevelType w:val="multilevel"/>
    <w:tmpl w:val="557C3D6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06B111C"/>
    <w:multiLevelType w:val="multilevel"/>
    <w:tmpl w:val="706B11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AF2933"/>
    <w:multiLevelType w:val="multilevel"/>
    <w:tmpl w:val="70AF29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11"/>
  </w:num>
  <w:num w:numId="4">
    <w:abstractNumId w:val="5"/>
  </w:num>
  <w:num w:numId="5">
    <w:abstractNumId w:val="7"/>
  </w:num>
  <w:num w:numId="6">
    <w:abstractNumId w:val="3"/>
  </w:num>
  <w:num w:numId="7">
    <w:abstractNumId w:val="4"/>
  </w:num>
  <w:num w:numId="8">
    <w:abstractNumId w:val="10"/>
  </w:num>
  <w:num w:numId="9">
    <w:abstractNumId w:val="6"/>
  </w:num>
  <w:num w:numId="10">
    <w:abstractNumId w:val="8"/>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143"/>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3F92"/>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12A074D"/>
    <w:rsid w:val="01400369"/>
    <w:rsid w:val="023F038C"/>
    <w:rsid w:val="0269688F"/>
    <w:rsid w:val="0288086A"/>
    <w:rsid w:val="02CF7F8E"/>
    <w:rsid w:val="02D56662"/>
    <w:rsid w:val="02F91C61"/>
    <w:rsid w:val="034314F3"/>
    <w:rsid w:val="035A2D91"/>
    <w:rsid w:val="03BF4D7D"/>
    <w:rsid w:val="03E11197"/>
    <w:rsid w:val="03F3554F"/>
    <w:rsid w:val="03F36C24"/>
    <w:rsid w:val="03FA589A"/>
    <w:rsid w:val="040E37F0"/>
    <w:rsid w:val="0471637A"/>
    <w:rsid w:val="047D6D1D"/>
    <w:rsid w:val="04BD3046"/>
    <w:rsid w:val="04E222CA"/>
    <w:rsid w:val="04E23B19"/>
    <w:rsid w:val="05273492"/>
    <w:rsid w:val="055F7F29"/>
    <w:rsid w:val="056F2326"/>
    <w:rsid w:val="05C27C8C"/>
    <w:rsid w:val="05E427B2"/>
    <w:rsid w:val="06134263"/>
    <w:rsid w:val="063A38BA"/>
    <w:rsid w:val="06545225"/>
    <w:rsid w:val="065F0AFE"/>
    <w:rsid w:val="06A62BA1"/>
    <w:rsid w:val="06D734E2"/>
    <w:rsid w:val="06F74976"/>
    <w:rsid w:val="06FE340B"/>
    <w:rsid w:val="0717277A"/>
    <w:rsid w:val="075173ED"/>
    <w:rsid w:val="076B4EDA"/>
    <w:rsid w:val="07757D07"/>
    <w:rsid w:val="07825A77"/>
    <w:rsid w:val="07B77DA0"/>
    <w:rsid w:val="07E94368"/>
    <w:rsid w:val="087C1F80"/>
    <w:rsid w:val="08B61EB5"/>
    <w:rsid w:val="09251C31"/>
    <w:rsid w:val="09735A12"/>
    <w:rsid w:val="097A5551"/>
    <w:rsid w:val="09855BE2"/>
    <w:rsid w:val="09B32EC2"/>
    <w:rsid w:val="09F020FF"/>
    <w:rsid w:val="0A36207A"/>
    <w:rsid w:val="0AE442C3"/>
    <w:rsid w:val="0AEC32DF"/>
    <w:rsid w:val="0B0D4E56"/>
    <w:rsid w:val="0B3423AE"/>
    <w:rsid w:val="0B3B565D"/>
    <w:rsid w:val="0B8A0BE3"/>
    <w:rsid w:val="0B966EC9"/>
    <w:rsid w:val="0BA16115"/>
    <w:rsid w:val="0BB21BB1"/>
    <w:rsid w:val="0C353BED"/>
    <w:rsid w:val="0C376A21"/>
    <w:rsid w:val="0C4D3004"/>
    <w:rsid w:val="0CA56F24"/>
    <w:rsid w:val="0CA84E01"/>
    <w:rsid w:val="0CB44256"/>
    <w:rsid w:val="0CCB66FC"/>
    <w:rsid w:val="0CF93852"/>
    <w:rsid w:val="0D1321BC"/>
    <w:rsid w:val="0DD5274D"/>
    <w:rsid w:val="0E0C48A6"/>
    <w:rsid w:val="0E0E2A94"/>
    <w:rsid w:val="0E1951E4"/>
    <w:rsid w:val="0E7640A8"/>
    <w:rsid w:val="0EBB5EE1"/>
    <w:rsid w:val="0EC02BE6"/>
    <w:rsid w:val="0F061F46"/>
    <w:rsid w:val="0F433F3F"/>
    <w:rsid w:val="0F512AE4"/>
    <w:rsid w:val="0F821EDD"/>
    <w:rsid w:val="0F974689"/>
    <w:rsid w:val="0F9D7E0A"/>
    <w:rsid w:val="0FBE1CB2"/>
    <w:rsid w:val="0FD14118"/>
    <w:rsid w:val="0FEF58CE"/>
    <w:rsid w:val="0FFC35AE"/>
    <w:rsid w:val="100C1557"/>
    <w:rsid w:val="10206C98"/>
    <w:rsid w:val="107D33D6"/>
    <w:rsid w:val="10AD0F99"/>
    <w:rsid w:val="10CB6F40"/>
    <w:rsid w:val="10DB530B"/>
    <w:rsid w:val="10E66C24"/>
    <w:rsid w:val="10EB6FCC"/>
    <w:rsid w:val="10FB0B18"/>
    <w:rsid w:val="11833D25"/>
    <w:rsid w:val="11A75BA8"/>
    <w:rsid w:val="11AC3D53"/>
    <w:rsid w:val="11B5413C"/>
    <w:rsid w:val="11E96EC9"/>
    <w:rsid w:val="11F20572"/>
    <w:rsid w:val="11F652A8"/>
    <w:rsid w:val="1211513C"/>
    <w:rsid w:val="12225B65"/>
    <w:rsid w:val="12A04A8C"/>
    <w:rsid w:val="12C30776"/>
    <w:rsid w:val="130D6539"/>
    <w:rsid w:val="13196527"/>
    <w:rsid w:val="131C406C"/>
    <w:rsid w:val="131E1AD6"/>
    <w:rsid w:val="138A7A95"/>
    <w:rsid w:val="138C44D9"/>
    <w:rsid w:val="13AB0981"/>
    <w:rsid w:val="13C83130"/>
    <w:rsid w:val="13CC6AC3"/>
    <w:rsid w:val="13D25C2F"/>
    <w:rsid w:val="13E83435"/>
    <w:rsid w:val="14597E11"/>
    <w:rsid w:val="1482587A"/>
    <w:rsid w:val="14AA4239"/>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896645"/>
    <w:rsid w:val="17E611D0"/>
    <w:rsid w:val="18097DA2"/>
    <w:rsid w:val="180B1CB1"/>
    <w:rsid w:val="18210FE9"/>
    <w:rsid w:val="18BB1670"/>
    <w:rsid w:val="18D71E2D"/>
    <w:rsid w:val="18F17CD4"/>
    <w:rsid w:val="193405F9"/>
    <w:rsid w:val="195C4F0C"/>
    <w:rsid w:val="198759D0"/>
    <w:rsid w:val="199A440E"/>
    <w:rsid w:val="19F56019"/>
    <w:rsid w:val="1A553D43"/>
    <w:rsid w:val="1A563B1D"/>
    <w:rsid w:val="1A611342"/>
    <w:rsid w:val="1AB63435"/>
    <w:rsid w:val="1AEA71DE"/>
    <w:rsid w:val="1B552071"/>
    <w:rsid w:val="1B81710F"/>
    <w:rsid w:val="1B82251F"/>
    <w:rsid w:val="1BA27934"/>
    <w:rsid w:val="1BEA1D8D"/>
    <w:rsid w:val="1C0750D6"/>
    <w:rsid w:val="1C384EAA"/>
    <w:rsid w:val="1C3F72FF"/>
    <w:rsid w:val="1C964AE7"/>
    <w:rsid w:val="1C99574D"/>
    <w:rsid w:val="1CC21ABE"/>
    <w:rsid w:val="1CEF435C"/>
    <w:rsid w:val="1D1362B7"/>
    <w:rsid w:val="1D335699"/>
    <w:rsid w:val="1D612A42"/>
    <w:rsid w:val="1D814C43"/>
    <w:rsid w:val="1D8B0FBF"/>
    <w:rsid w:val="1D8D3774"/>
    <w:rsid w:val="1DC20AB7"/>
    <w:rsid w:val="1E3F2038"/>
    <w:rsid w:val="1E42620B"/>
    <w:rsid w:val="1E5B7F42"/>
    <w:rsid w:val="1EC00D0E"/>
    <w:rsid w:val="1F0459A1"/>
    <w:rsid w:val="1F087BE7"/>
    <w:rsid w:val="1F3B6850"/>
    <w:rsid w:val="1F4E569D"/>
    <w:rsid w:val="1FA56F65"/>
    <w:rsid w:val="1FC442F1"/>
    <w:rsid w:val="201B41F0"/>
    <w:rsid w:val="20232AEC"/>
    <w:rsid w:val="206609C6"/>
    <w:rsid w:val="20726272"/>
    <w:rsid w:val="20844ACD"/>
    <w:rsid w:val="20890208"/>
    <w:rsid w:val="20A50C21"/>
    <w:rsid w:val="20A804CC"/>
    <w:rsid w:val="2133281F"/>
    <w:rsid w:val="213E14BD"/>
    <w:rsid w:val="21580F84"/>
    <w:rsid w:val="216C7513"/>
    <w:rsid w:val="21A2291A"/>
    <w:rsid w:val="21A60491"/>
    <w:rsid w:val="22465106"/>
    <w:rsid w:val="226203F1"/>
    <w:rsid w:val="226B01B0"/>
    <w:rsid w:val="22705D1D"/>
    <w:rsid w:val="227A2231"/>
    <w:rsid w:val="22BA06F8"/>
    <w:rsid w:val="22E8238B"/>
    <w:rsid w:val="230541AD"/>
    <w:rsid w:val="23375015"/>
    <w:rsid w:val="235D19B9"/>
    <w:rsid w:val="23B03966"/>
    <w:rsid w:val="23CD19CB"/>
    <w:rsid w:val="23F1239B"/>
    <w:rsid w:val="23F14901"/>
    <w:rsid w:val="24E739CE"/>
    <w:rsid w:val="24F55F51"/>
    <w:rsid w:val="250545EF"/>
    <w:rsid w:val="250A61E7"/>
    <w:rsid w:val="251F3396"/>
    <w:rsid w:val="25262FF7"/>
    <w:rsid w:val="254A702B"/>
    <w:rsid w:val="255502F2"/>
    <w:rsid w:val="259A09AD"/>
    <w:rsid w:val="26506FDA"/>
    <w:rsid w:val="265905AA"/>
    <w:rsid w:val="26903F1E"/>
    <w:rsid w:val="26972AF0"/>
    <w:rsid w:val="26AF0FA6"/>
    <w:rsid w:val="26D57437"/>
    <w:rsid w:val="26D636E3"/>
    <w:rsid w:val="26D801CD"/>
    <w:rsid w:val="26DD1394"/>
    <w:rsid w:val="2716729D"/>
    <w:rsid w:val="27305CA3"/>
    <w:rsid w:val="273A5DA0"/>
    <w:rsid w:val="273F044A"/>
    <w:rsid w:val="276203F1"/>
    <w:rsid w:val="27640833"/>
    <w:rsid w:val="276A0AEF"/>
    <w:rsid w:val="276E0D72"/>
    <w:rsid w:val="278D4EC6"/>
    <w:rsid w:val="27AA279F"/>
    <w:rsid w:val="27C51579"/>
    <w:rsid w:val="27D529CE"/>
    <w:rsid w:val="27EE6360"/>
    <w:rsid w:val="28024573"/>
    <w:rsid w:val="280D2622"/>
    <w:rsid w:val="28352E2F"/>
    <w:rsid w:val="283F2875"/>
    <w:rsid w:val="28925FAE"/>
    <w:rsid w:val="28EA68B4"/>
    <w:rsid w:val="28F33755"/>
    <w:rsid w:val="294C1BC9"/>
    <w:rsid w:val="29B02469"/>
    <w:rsid w:val="29BB2026"/>
    <w:rsid w:val="2A400449"/>
    <w:rsid w:val="2A476F4B"/>
    <w:rsid w:val="2A4C0381"/>
    <w:rsid w:val="2A607EB6"/>
    <w:rsid w:val="2A9024CA"/>
    <w:rsid w:val="2AC6341B"/>
    <w:rsid w:val="2B0760A2"/>
    <w:rsid w:val="2B165FD3"/>
    <w:rsid w:val="2B424B73"/>
    <w:rsid w:val="2B4D3058"/>
    <w:rsid w:val="2B5456EA"/>
    <w:rsid w:val="2B747FBC"/>
    <w:rsid w:val="2B852A53"/>
    <w:rsid w:val="2C2366DE"/>
    <w:rsid w:val="2C71254F"/>
    <w:rsid w:val="2C902BF0"/>
    <w:rsid w:val="2C9A2640"/>
    <w:rsid w:val="2CE07732"/>
    <w:rsid w:val="2CE82407"/>
    <w:rsid w:val="2D0F710B"/>
    <w:rsid w:val="2D192BD5"/>
    <w:rsid w:val="2D2D6D56"/>
    <w:rsid w:val="2D354290"/>
    <w:rsid w:val="2D373F13"/>
    <w:rsid w:val="2D6A1973"/>
    <w:rsid w:val="2D753490"/>
    <w:rsid w:val="2D7E0488"/>
    <w:rsid w:val="2DCE4550"/>
    <w:rsid w:val="2E340FF9"/>
    <w:rsid w:val="2E49644E"/>
    <w:rsid w:val="2E6E7587"/>
    <w:rsid w:val="2E7D6426"/>
    <w:rsid w:val="2E890753"/>
    <w:rsid w:val="2EC13FC7"/>
    <w:rsid w:val="2EEF3E46"/>
    <w:rsid w:val="2EF87CF1"/>
    <w:rsid w:val="2EFF7E86"/>
    <w:rsid w:val="2F117B7C"/>
    <w:rsid w:val="30122C9F"/>
    <w:rsid w:val="301A73E7"/>
    <w:rsid w:val="30203302"/>
    <w:rsid w:val="30560DEB"/>
    <w:rsid w:val="30905F37"/>
    <w:rsid w:val="309E73AA"/>
    <w:rsid w:val="30C24060"/>
    <w:rsid w:val="30CC76F2"/>
    <w:rsid w:val="30D03380"/>
    <w:rsid w:val="30EE3E66"/>
    <w:rsid w:val="31E40892"/>
    <w:rsid w:val="32425F45"/>
    <w:rsid w:val="32536F0B"/>
    <w:rsid w:val="3257279C"/>
    <w:rsid w:val="32782EB5"/>
    <w:rsid w:val="3284071D"/>
    <w:rsid w:val="32A62664"/>
    <w:rsid w:val="32CB7A81"/>
    <w:rsid w:val="32FE73A9"/>
    <w:rsid w:val="33050CA1"/>
    <w:rsid w:val="333E1B82"/>
    <w:rsid w:val="33510E4C"/>
    <w:rsid w:val="338E17D6"/>
    <w:rsid w:val="33F80A7C"/>
    <w:rsid w:val="34333D1C"/>
    <w:rsid w:val="343A3A12"/>
    <w:rsid w:val="344E09D0"/>
    <w:rsid w:val="3482784E"/>
    <w:rsid w:val="34940E12"/>
    <w:rsid w:val="34A3647B"/>
    <w:rsid w:val="34C46954"/>
    <w:rsid w:val="34D37DB2"/>
    <w:rsid w:val="34E90214"/>
    <w:rsid w:val="35011698"/>
    <w:rsid w:val="35141047"/>
    <w:rsid w:val="35180A32"/>
    <w:rsid w:val="3554536F"/>
    <w:rsid w:val="358402AB"/>
    <w:rsid w:val="359567C4"/>
    <w:rsid w:val="35981AAD"/>
    <w:rsid w:val="359E0372"/>
    <w:rsid w:val="35CB282B"/>
    <w:rsid w:val="35D02726"/>
    <w:rsid w:val="35D54C83"/>
    <w:rsid w:val="35DE4B10"/>
    <w:rsid w:val="36096F27"/>
    <w:rsid w:val="36A04622"/>
    <w:rsid w:val="36B62FFE"/>
    <w:rsid w:val="36F916B9"/>
    <w:rsid w:val="3725502E"/>
    <w:rsid w:val="37264F35"/>
    <w:rsid w:val="37590B4E"/>
    <w:rsid w:val="378E34C8"/>
    <w:rsid w:val="383F42AF"/>
    <w:rsid w:val="386D1686"/>
    <w:rsid w:val="387971FC"/>
    <w:rsid w:val="38A86975"/>
    <w:rsid w:val="39140F75"/>
    <w:rsid w:val="391625CC"/>
    <w:rsid w:val="39D14550"/>
    <w:rsid w:val="39D40A5E"/>
    <w:rsid w:val="39EE619C"/>
    <w:rsid w:val="3A5A37F4"/>
    <w:rsid w:val="3A9A0587"/>
    <w:rsid w:val="3ACE770D"/>
    <w:rsid w:val="3ACF184A"/>
    <w:rsid w:val="3ADA4A92"/>
    <w:rsid w:val="3B4C52CF"/>
    <w:rsid w:val="3BBD77CB"/>
    <w:rsid w:val="3BCB55AD"/>
    <w:rsid w:val="3BEA4FCE"/>
    <w:rsid w:val="3C2705E0"/>
    <w:rsid w:val="3C7F3A1A"/>
    <w:rsid w:val="3CB52021"/>
    <w:rsid w:val="3D0867A5"/>
    <w:rsid w:val="3D123C30"/>
    <w:rsid w:val="3D9212EA"/>
    <w:rsid w:val="3D9E759F"/>
    <w:rsid w:val="3E1031B0"/>
    <w:rsid w:val="3E1A0BAC"/>
    <w:rsid w:val="3E752A5F"/>
    <w:rsid w:val="3E7C5F11"/>
    <w:rsid w:val="3E861D88"/>
    <w:rsid w:val="3ED830D8"/>
    <w:rsid w:val="3EDB4974"/>
    <w:rsid w:val="3FB13684"/>
    <w:rsid w:val="3FBD08F4"/>
    <w:rsid w:val="3FC34AB4"/>
    <w:rsid w:val="3FF1461A"/>
    <w:rsid w:val="40806B30"/>
    <w:rsid w:val="409810E7"/>
    <w:rsid w:val="40A35FFF"/>
    <w:rsid w:val="40C413F9"/>
    <w:rsid w:val="411B04A1"/>
    <w:rsid w:val="412008D4"/>
    <w:rsid w:val="412F7E1B"/>
    <w:rsid w:val="41444A56"/>
    <w:rsid w:val="41AD6EFD"/>
    <w:rsid w:val="41F37F4D"/>
    <w:rsid w:val="42044F00"/>
    <w:rsid w:val="42160EDB"/>
    <w:rsid w:val="424871C8"/>
    <w:rsid w:val="42507DAD"/>
    <w:rsid w:val="42660EA5"/>
    <w:rsid w:val="42750B3B"/>
    <w:rsid w:val="42A04671"/>
    <w:rsid w:val="42D4569E"/>
    <w:rsid w:val="42D947C3"/>
    <w:rsid w:val="42F378CB"/>
    <w:rsid w:val="42FA49BF"/>
    <w:rsid w:val="43E63A0D"/>
    <w:rsid w:val="43ED2271"/>
    <w:rsid w:val="44161D74"/>
    <w:rsid w:val="442566BD"/>
    <w:rsid w:val="443545C3"/>
    <w:rsid w:val="4438416A"/>
    <w:rsid w:val="44830D6C"/>
    <w:rsid w:val="44B425EB"/>
    <w:rsid w:val="44C31E2B"/>
    <w:rsid w:val="450C1383"/>
    <w:rsid w:val="450D7405"/>
    <w:rsid w:val="45104F29"/>
    <w:rsid w:val="45165FB0"/>
    <w:rsid w:val="452828B5"/>
    <w:rsid w:val="45E6424A"/>
    <w:rsid w:val="4623252E"/>
    <w:rsid w:val="46A62584"/>
    <w:rsid w:val="46A870F6"/>
    <w:rsid w:val="46CF2BD2"/>
    <w:rsid w:val="47425583"/>
    <w:rsid w:val="479C0C94"/>
    <w:rsid w:val="47D92098"/>
    <w:rsid w:val="47FB08BD"/>
    <w:rsid w:val="48097CC8"/>
    <w:rsid w:val="48465BDE"/>
    <w:rsid w:val="48657C65"/>
    <w:rsid w:val="48836F69"/>
    <w:rsid w:val="48D3084E"/>
    <w:rsid w:val="49072A6A"/>
    <w:rsid w:val="491979AA"/>
    <w:rsid w:val="493A4AA6"/>
    <w:rsid w:val="49695898"/>
    <w:rsid w:val="49997807"/>
    <w:rsid w:val="49B11E42"/>
    <w:rsid w:val="49E056FA"/>
    <w:rsid w:val="49F3049D"/>
    <w:rsid w:val="4A88676A"/>
    <w:rsid w:val="4A916B3F"/>
    <w:rsid w:val="4A98729A"/>
    <w:rsid w:val="4AC7560F"/>
    <w:rsid w:val="4ACE7722"/>
    <w:rsid w:val="4B040003"/>
    <w:rsid w:val="4B1568F7"/>
    <w:rsid w:val="4B735132"/>
    <w:rsid w:val="4B933FB5"/>
    <w:rsid w:val="4BA14B89"/>
    <w:rsid w:val="4BAE02E9"/>
    <w:rsid w:val="4BB11F07"/>
    <w:rsid w:val="4BCA79AB"/>
    <w:rsid w:val="4BE16EAE"/>
    <w:rsid w:val="4BFC3517"/>
    <w:rsid w:val="4C365A46"/>
    <w:rsid w:val="4C9E6485"/>
    <w:rsid w:val="4CEE62B7"/>
    <w:rsid w:val="4D516DC4"/>
    <w:rsid w:val="4D66718D"/>
    <w:rsid w:val="4D894399"/>
    <w:rsid w:val="4D8A19DE"/>
    <w:rsid w:val="4DB95690"/>
    <w:rsid w:val="4DC24B0B"/>
    <w:rsid w:val="4DF01BD0"/>
    <w:rsid w:val="4DFD54D3"/>
    <w:rsid w:val="4E146A2D"/>
    <w:rsid w:val="4E1B29C4"/>
    <w:rsid w:val="4E274D75"/>
    <w:rsid w:val="4E3E3682"/>
    <w:rsid w:val="4EB023C9"/>
    <w:rsid w:val="4ECD039A"/>
    <w:rsid w:val="4F3C271A"/>
    <w:rsid w:val="4F7675FF"/>
    <w:rsid w:val="4F913248"/>
    <w:rsid w:val="4FB52F70"/>
    <w:rsid w:val="4FC34178"/>
    <w:rsid w:val="4FF93C17"/>
    <w:rsid w:val="506C02B1"/>
    <w:rsid w:val="506D6C28"/>
    <w:rsid w:val="508F4E8C"/>
    <w:rsid w:val="509D0C9B"/>
    <w:rsid w:val="50CB4E27"/>
    <w:rsid w:val="50D728A4"/>
    <w:rsid w:val="5133165F"/>
    <w:rsid w:val="513874FA"/>
    <w:rsid w:val="51B82B30"/>
    <w:rsid w:val="51CB14D4"/>
    <w:rsid w:val="51E464F5"/>
    <w:rsid w:val="52222767"/>
    <w:rsid w:val="52881251"/>
    <w:rsid w:val="528D09F0"/>
    <w:rsid w:val="532D0AA6"/>
    <w:rsid w:val="535149E3"/>
    <w:rsid w:val="53575C78"/>
    <w:rsid w:val="537816A2"/>
    <w:rsid w:val="53E2002C"/>
    <w:rsid w:val="548E36FB"/>
    <w:rsid w:val="549D4A24"/>
    <w:rsid w:val="54F10CE9"/>
    <w:rsid w:val="556E0623"/>
    <w:rsid w:val="55D627FF"/>
    <w:rsid w:val="55E324E4"/>
    <w:rsid w:val="56105D10"/>
    <w:rsid w:val="56433752"/>
    <w:rsid w:val="564E7D5E"/>
    <w:rsid w:val="56981D68"/>
    <w:rsid w:val="569A309B"/>
    <w:rsid w:val="569B5AFA"/>
    <w:rsid w:val="56AB1B4D"/>
    <w:rsid w:val="56D72E03"/>
    <w:rsid w:val="56DC7FF2"/>
    <w:rsid w:val="56F71733"/>
    <w:rsid w:val="570B7366"/>
    <w:rsid w:val="573C6972"/>
    <w:rsid w:val="57511DCF"/>
    <w:rsid w:val="57A713C5"/>
    <w:rsid w:val="57BE52EA"/>
    <w:rsid w:val="57EF0395"/>
    <w:rsid w:val="57FA16D1"/>
    <w:rsid w:val="581C6A4B"/>
    <w:rsid w:val="58346E83"/>
    <w:rsid w:val="58630573"/>
    <w:rsid w:val="586A4293"/>
    <w:rsid w:val="58A55CAF"/>
    <w:rsid w:val="58C02EA9"/>
    <w:rsid w:val="58C954F7"/>
    <w:rsid w:val="58E871E0"/>
    <w:rsid w:val="58F14725"/>
    <w:rsid w:val="58F858AA"/>
    <w:rsid w:val="59194463"/>
    <w:rsid w:val="593E6F66"/>
    <w:rsid w:val="59741536"/>
    <w:rsid w:val="59E13AB0"/>
    <w:rsid w:val="5A4126B6"/>
    <w:rsid w:val="5B0608A4"/>
    <w:rsid w:val="5B5F18DD"/>
    <w:rsid w:val="5B657684"/>
    <w:rsid w:val="5B90527F"/>
    <w:rsid w:val="5B953D5C"/>
    <w:rsid w:val="5BBE2AD5"/>
    <w:rsid w:val="5BE717E9"/>
    <w:rsid w:val="5BF3281A"/>
    <w:rsid w:val="5C06741E"/>
    <w:rsid w:val="5C0B2A0C"/>
    <w:rsid w:val="5C166AC8"/>
    <w:rsid w:val="5C407B49"/>
    <w:rsid w:val="5C763CE1"/>
    <w:rsid w:val="5C766C4A"/>
    <w:rsid w:val="5C7811E8"/>
    <w:rsid w:val="5CDC5626"/>
    <w:rsid w:val="5CF57A9E"/>
    <w:rsid w:val="5D397258"/>
    <w:rsid w:val="5D501017"/>
    <w:rsid w:val="5DD47A98"/>
    <w:rsid w:val="5E170E1C"/>
    <w:rsid w:val="5E315456"/>
    <w:rsid w:val="5EC72F7B"/>
    <w:rsid w:val="5ECD1C76"/>
    <w:rsid w:val="5EFC575E"/>
    <w:rsid w:val="5F4231EF"/>
    <w:rsid w:val="5F54370A"/>
    <w:rsid w:val="5F682518"/>
    <w:rsid w:val="5F7A3598"/>
    <w:rsid w:val="5F811E92"/>
    <w:rsid w:val="5FE34BFA"/>
    <w:rsid w:val="5FE9192F"/>
    <w:rsid w:val="5FEF59F1"/>
    <w:rsid w:val="6034476A"/>
    <w:rsid w:val="604B398D"/>
    <w:rsid w:val="60B32BC0"/>
    <w:rsid w:val="60C064D3"/>
    <w:rsid w:val="613B3C82"/>
    <w:rsid w:val="615722E3"/>
    <w:rsid w:val="621020F3"/>
    <w:rsid w:val="624C487C"/>
    <w:rsid w:val="62B95518"/>
    <w:rsid w:val="62F00414"/>
    <w:rsid w:val="62F37BF4"/>
    <w:rsid w:val="63005C2C"/>
    <w:rsid w:val="635D52DB"/>
    <w:rsid w:val="63FF4A8E"/>
    <w:rsid w:val="64055C29"/>
    <w:rsid w:val="640B1344"/>
    <w:rsid w:val="640B1F89"/>
    <w:rsid w:val="645430D9"/>
    <w:rsid w:val="646B3D6E"/>
    <w:rsid w:val="64786062"/>
    <w:rsid w:val="64C913C0"/>
    <w:rsid w:val="64E75F6D"/>
    <w:rsid w:val="654319AF"/>
    <w:rsid w:val="65F82EA1"/>
    <w:rsid w:val="663F1CA8"/>
    <w:rsid w:val="664A21F5"/>
    <w:rsid w:val="665174CE"/>
    <w:rsid w:val="6664588F"/>
    <w:rsid w:val="66775D88"/>
    <w:rsid w:val="66B768D8"/>
    <w:rsid w:val="66B85C0F"/>
    <w:rsid w:val="66BB0BDC"/>
    <w:rsid w:val="66C829A4"/>
    <w:rsid w:val="66EC020C"/>
    <w:rsid w:val="66F64244"/>
    <w:rsid w:val="67391535"/>
    <w:rsid w:val="676E5820"/>
    <w:rsid w:val="67D20A8E"/>
    <w:rsid w:val="68026DDA"/>
    <w:rsid w:val="683624FC"/>
    <w:rsid w:val="68416C4D"/>
    <w:rsid w:val="6855099E"/>
    <w:rsid w:val="6891110F"/>
    <w:rsid w:val="68DD19AC"/>
    <w:rsid w:val="68EF2641"/>
    <w:rsid w:val="68F45734"/>
    <w:rsid w:val="68F94975"/>
    <w:rsid w:val="692D3A23"/>
    <w:rsid w:val="693A4AE6"/>
    <w:rsid w:val="6946264D"/>
    <w:rsid w:val="695B5759"/>
    <w:rsid w:val="695C2B7F"/>
    <w:rsid w:val="698D2330"/>
    <w:rsid w:val="69AE15E7"/>
    <w:rsid w:val="69D36BF1"/>
    <w:rsid w:val="69FA150A"/>
    <w:rsid w:val="6A383C24"/>
    <w:rsid w:val="6AAA7465"/>
    <w:rsid w:val="6AF44EC2"/>
    <w:rsid w:val="6B81035E"/>
    <w:rsid w:val="6BB22514"/>
    <w:rsid w:val="6C3B3E30"/>
    <w:rsid w:val="6C9A0EF4"/>
    <w:rsid w:val="6D114D78"/>
    <w:rsid w:val="6D2E3F2F"/>
    <w:rsid w:val="6D4C705F"/>
    <w:rsid w:val="6D594031"/>
    <w:rsid w:val="6DB7158A"/>
    <w:rsid w:val="6DBE706B"/>
    <w:rsid w:val="6DE7762B"/>
    <w:rsid w:val="6DFF0DB9"/>
    <w:rsid w:val="6E470773"/>
    <w:rsid w:val="6E590AB8"/>
    <w:rsid w:val="6E737B96"/>
    <w:rsid w:val="6E9505C7"/>
    <w:rsid w:val="6ED773B1"/>
    <w:rsid w:val="6F3B5685"/>
    <w:rsid w:val="6F72645F"/>
    <w:rsid w:val="6FDE5742"/>
    <w:rsid w:val="700556DA"/>
    <w:rsid w:val="703C3CFB"/>
    <w:rsid w:val="70D14465"/>
    <w:rsid w:val="71504343"/>
    <w:rsid w:val="71DB63BE"/>
    <w:rsid w:val="71E54EEE"/>
    <w:rsid w:val="7225137C"/>
    <w:rsid w:val="722F297B"/>
    <w:rsid w:val="727E7F67"/>
    <w:rsid w:val="731F187D"/>
    <w:rsid w:val="73770109"/>
    <w:rsid w:val="73BA09E1"/>
    <w:rsid w:val="73C734DE"/>
    <w:rsid w:val="73DC575A"/>
    <w:rsid w:val="73E76A24"/>
    <w:rsid w:val="744F55F9"/>
    <w:rsid w:val="747674F2"/>
    <w:rsid w:val="748E1E66"/>
    <w:rsid w:val="75175F0D"/>
    <w:rsid w:val="7525537B"/>
    <w:rsid w:val="752D4B3A"/>
    <w:rsid w:val="757F6DE2"/>
    <w:rsid w:val="760102EA"/>
    <w:rsid w:val="76305CC2"/>
    <w:rsid w:val="763D62CA"/>
    <w:rsid w:val="764D3861"/>
    <w:rsid w:val="76524C31"/>
    <w:rsid w:val="765A641A"/>
    <w:rsid w:val="767E608D"/>
    <w:rsid w:val="768761A2"/>
    <w:rsid w:val="768C04F8"/>
    <w:rsid w:val="76EB4324"/>
    <w:rsid w:val="76F203FC"/>
    <w:rsid w:val="771D5351"/>
    <w:rsid w:val="77453705"/>
    <w:rsid w:val="77720CF0"/>
    <w:rsid w:val="77985615"/>
    <w:rsid w:val="77BA518F"/>
    <w:rsid w:val="77BB4F79"/>
    <w:rsid w:val="785964E4"/>
    <w:rsid w:val="78D2280F"/>
    <w:rsid w:val="78D25085"/>
    <w:rsid w:val="791D7CF2"/>
    <w:rsid w:val="792148B1"/>
    <w:rsid w:val="79352B64"/>
    <w:rsid w:val="79377C70"/>
    <w:rsid w:val="79473300"/>
    <w:rsid w:val="7959199E"/>
    <w:rsid w:val="79633F17"/>
    <w:rsid w:val="79CA09B0"/>
    <w:rsid w:val="79D03DA2"/>
    <w:rsid w:val="79F36062"/>
    <w:rsid w:val="79FD3E8A"/>
    <w:rsid w:val="7A0563BA"/>
    <w:rsid w:val="7A260344"/>
    <w:rsid w:val="7A481DD3"/>
    <w:rsid w:val="7A565BB2"/>
    <w:rsid w:val="7A582F7A"/>
    <w:rsid w:val="7A874C31"/>
    <w:rsid w:val="7ACC24AB"/>
    <w:rsid w:val="7AE6075D"/>
    <w:rsid w:val="7AEB3D7E"/>
    <w:rsid w:val="7B633B89"/>
    <w:rsid w:val="7BB66EFF"/>
    <w:rsid w:val="7BBA3594"/>
    <w:rsid w:val="7BBA4EA9"/>
    <w:rsid w:val="7BF1730F"/>
    <w:rsid w:val="7BF844E8"/>
    <w:rsid w:val="7BF9211A"/>
    <w:rsid w:val="7C077139"/>
    <w:rsid w:val="7CAA38DC"/>
    <w:rsid w:val="7CAD018E"/>
    <w:rsid w:val="7D157361"/>
    <w:rsid w:val="7D4A732D"/>
    <w:rsid w:val="7D633546"/>
    <w:rsid w:val="7DB93F63"/>
    <w:rsid w:val="7DBD5EEB"/>
    <w:rsid w:val="7DE91632"/>
    <w:rsid w:val="7E375473"/>
    <w:rsid w:val="7E4A2BD0"/>
    <w:rsid w:val="7E4B11B1"/>
    <w:rsid w:val="7E6E1F3C"/>
    <w:rsid w:val="7E811F86"/>
    <w:rsid w:val="7EAD1996"/>
    <w:rsid w:val="7EC05525"/>
    <w:rsid w:val="7EEE74BB"/>
    <w:rsid w:val="7F1A79B4"/>
    <w:rsid w:val="7F1D7E5A"/>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basedOn w:val="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paragraph" w:customStyle="1" w:styleId="126">
    <w:name w:val="No Spacing1"/>
    <w:qFormat/>
    <w:uiPriority w:val="1"/>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3</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2019-09-30T08:06:02Z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