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5AEE1" w14:textId="28AFA803" w:rsidR="009C0564" w:rsidRPr="00CF195E" w:rsidRDefault="00D1449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34D93135" wp14:editId="4B93B211">
                <wp:simplePos x="0" y="0"/>
                <wp:positionH relativeFrom="column">
                  <wp:posOffset>0</wp:posOffset>
                </wp:positionH>
                <wp:positionV relativeFrom="paragraph">
                  <wp:posOffset>0</wp:posOffset>
                </wp:positionV>
                <wp:extent cx="635" cy="635"/>
                <wp:effectExtent l="9525" t="9525" r="8890" b="8890"/>
                <wp:wrapNone/>
                <wp:docPr id="1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A389E"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YXoQLRYFAABT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0638EC">
        <w:rPr>
          <w:b/>
          <w:kern w:val="2"/>
          <w:lang w:eastAsia="zh-CN"/>
        </w:rPr>
        <w:t>9</w:t>
      </w:r>
      <w:r w:rsidR="00AA1AE6">
        <w:rPr>
          <w:b/>
          <w:kern w:val="2"/>
          <w:lang w:eastAsia="zh-CN"/>
        </w:rPr>
        <w:t>8</w:t>
      </w:r>
      <w:r w:rsidR="002837A1">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223600" w:rsidRPr="00CF195E">
        <w:rPr>
          <w:b/>
          <w:kern w:val="2"/>
          <w:lang w:eastAsia="zh-CN"/>
        </w:rPr>
        <w:t>1</w:t>
      </w:r>
      <w:r w:rsidR="00223600">
        <w:rPr>
          <w:b/>
          <w:kern w:val="2"/>
          <w:lang w:eastAsia="zh-CN"/>
        </w:rPr>
        <w:t>910034</w:t>
      </w:r>
    </w:p>
    <w:p w14:paraId="0782D96A" w14:textId="4D472BA9" w:rsidR="009C0564" w:rsidRDefault="002837A1" w:rsidP="00CF195E">
      <w:pPr>
        <w:jc w:val="left"/>
        <w:rPr>
          <w:b/>
          <w:kern w:val="2"/>
          <w:lang w:eastAsia="zh-CN"/>
        </w:rPr>
      </w:pPr>
      <w:r>
        <w:rPr>
          <w:b/>
          <w:kern w:val="2"/>
          <w:lang w:eastAsia="zh-CN"/>
        </w:rPr>
        <w:t>Chongqing</w:t>
      </w:r>
      <w:r w:rsidRPr="00F561F1">
        <w:rPr>
          <w:b/>
          <w:kern w:val="2"/>
          <w:lang w:eastAsia="zh-CN"/>
        </w:rPr>
        <w:t xml:space="preserve">, </w:t>
      </w:r>
      <w:r>
        <w:rPr>
          <w:b/>
          <w:kern w:val="2"/>
          <w:lang w:eastAsia="zh-CN"/>
        </w:rPr>
        <w:t>China</w:t>
      </w:r>
      <w:r w:rsidRPr="00F561F1">
        <w:rPr>
          <w:b/>
          <w:kern w:val="2"/>
          <w:lang w:eastAsia="zh-CN"/>
        </w:rPr>
        <w:t xml:space="preserve">, </w:t>
      </w:r>
      <w:r>
        <w:rPr>
          <w:b/>
          <w:kern w:val="2"/>
          <w:lang w:eastAsia="zh-CN"/>
        </w:rPr>
        <w:t>Oct</w:t>
      </w:r>
      <w:r w:rsidR="00C07682">
        <w:rPr>
          <w:b/>
          <w:kern w:val="2"/>
          <w:lang w:eastAsia="zh-CN"/>
        </w:rPr>
        <w:t>ober</w:t>
      </w:r>
      <w:bookmarkStart w:id="0" w:name="_GoBack"/>
      <w:bookmarkEnd w:id="0"/>
      <w:r w:rsidRPr="00F561F1">
        <w:rPr>
          <w:b/>
          <w:kern w:val="2"/>
          <w:lang w:eastAsia="zh-CN"/>
        </w:rPr>
        <w:t xml:space="preserve"> </w:t>
      </w:r>
      <w:r>
        <w:rPr>
          <w:b/>
          <w:kern w:val="2"/>
          <w:lang w:eastAsia="zh-CN"/>
        </w:rPr>
        <w:t>14</w:t>
      </w:r>
      <w:r w:rsidRPr="00F561F1">
        <w:rPr>
          <w:b/>
          <w:kern w:val="2"/>
          <w:lang w:eastAsia="zh-CN"/>
        </w:rPr>
        <w:t xml:space="preserve"> – </w:t>
      </w:r>
      <w:r w:rsidR="00223600">
        <w:rPr>
          <w:b/>
          <w:kern w:val="2"/>
          <w:lang w:eastAsia="zh-CN"/>
        </w:rPr>
        <w:t>20</w:t>
      </w:r>
      <w:r w:rsidRPr="00F561F1">
        <w:rPr>
          <w:b/>
          <w:kern w:val="2"/>
          <w:lang w:eastAsia="zh-CN"/>
        </w:rPr>
        <w:t>, 2019</w:t>
      </w:r>
    </w:p>
    <w:p w14:paraId="41DB6BA8" w14:textId="77777777" w:rsidR="009C0564" w:rsidRPr="00CF195E" w:rsidRDefault="009C0564" w:rsidP="00CF195E">
      <w:pPr>
        <w:pBdr>
          <w:top w:val="single" w:sz="4" w:space="1" w:color="auto"/>
        </w:pBdr>
        <w:spacing w:after="0"/>
        <w:jc w:val="left"/>
        <w:rPr>
          <w:b/>
          <w:kern w:val="2"/>
          <w:sz w:val="16"/>
          <w:szCs w:val="16"/>
          <w:lang w:eastAsia="zh-CN"/>
        </w:rPr>
      </w:pPr>
    </w:p>
    <w:p w14:paraId="19BDF60F"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468DA">
        <w:rPr>
          <w:b/>
          <w:kern w:val="2"/>
          <w:lang w:eastAsia="zh-CN"/>
        </w:rPr>
        <w:t>7.2.10.</w:t>
      </w:r>
      <w:r w:rsidR="000A6E18">
        <w:rPr>
          <w:b/>
          <w:kern w:val="2"/>
          <w:lang w:eastAsia="zh-CN"/>
        </w:rPr>
        <w:t>2</w:t>
      </w:r>
    </w:p>
    <w:p w14:paraId="279551C0" w14:textId="1667ED98"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10C4E">
        <w:rPr>
          <w:b/>
          <w:kern w:val="2"/>
          <w:lang w:eastAsia="zh-CN"/>
        </w:rPr>
        <w:t>, HiSilicon</w:t>
      </w:r>
    </w:p>
    <w:p w14:paraId="266E0459" w14:textId="633DB4D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75F81">
        <w:rPr>
          <w:b/>
          <w:kern w:val="2"/>
          <w:lang w:eastAsia="zh-CN"/>
        </w:rPr>
        <w:t>SRS design for</w:t>
      </w:r>
      <w:r w:rsidR="002C0141" w:rsidRPr="00201310">
        <w:rPr>
          <w:b/>
          <w:kern w:val="2"/>
          <w:lang w:eastAsia="zh-CN"/>
        </w:rPr>
        <w:t xml:space="preserve"> NR </w:t>
      </w:r>
      <w:r w:rsidR="00F97601">
        <w:rPr>
          <w:b/>
          <w:kern w:val="2"/>
          <w:lang w:eastAsia="zh-CN"/>
        </w:rPr>
        <w:t>p</w:t>
      </w:r>
      <w:r w:rsidR="002C0141" w:rsidRPr="00201310">
        <w:rPr>
          <w:b/>
          <w:kern w:val="2"/>
          <w:lang w:eastAsia="zh-CN"/>
        </w:rPr>
        <w:t>ositioning</w:t>
      </w:r>
    </w:p>
    <w:p w14:paraId="65A99CC0" w14:textId="28F8ED33"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B7533">
        <w:rPr>
          <w:b/>
          <w:kern w:val="2"/>
          <w:lang w:eastAsia="zh-CN"/>
        </w:rPr>
        <w:t>D</w:t>
      </w:r>
      <w:r w:rsidR="001F7121" w:rsidRPr="00CF195E">
        <w:rPr>
          <w:b/>
          <w:kern w:val="2"/>
          <w:lang w:eastAsia="zh-CN"/>
        </w:rPr>
        <w:t>ecision</w:t>
      </w:r>
      <w:r w:rsidR="002D0439" w:rsidRPr="00CF195E">
        <w:rPr>
          <w:b/>
          <w:kern w:val="2"/>
          <w:lang w:eastAsia="zh-CN"/>
        </w:rPr>
        <w:t xml:space="preserve"> </w:t>
      </w:r>
    </w:p>
    <w:p w14:paraId="36EF6A76" w14:textId="77777777" w:rsidR="009C0564" w:rsidRPr="00CF195E" w:rsidRDefault="009C0564" w:rsidP="00CF195E">
      <w:pPr>
        <w:pBdr>
          <w:bottom w:val="single" w:sz="4" w:space="1" w:color="auto"/>
        </w:pBdr>
        <w:spacing w:after="0"/>
        <w:jc w:val="left"/>
        <w:rPr>
          <w:b/>
          <w:kern w:val="2"/>
          <w:sz w:val="16"/>
          <w:szCs w:val="16"/>
          <w:lang w:eastAsia="zh-CN"/>
        </w:rPr>
      </w:pPr>
    </w:p>
    <w:p w14:paraId="19D3FC3F" w14:textId="234C9681" w:rsidR="009C0564" w:rsidRDefault="009C0564">
      <w:pPr>
        <w:pStyle w:val="1"/>
      </w:pPr>
      <w:bookmarkStart w:id="1" w:name="_Ref124589705"/>
      <w:bookmarkStart w:id="2" w:name="_Ref129681862"/>
      <w:r w:rsidRPr="00CF195E">
        <w:t>Introduction</w:t>
      </w:r>
      <w:bookmarkEnd w:id="1"/>
      <w:bookmarkEnd w:id="2"/>
    </w:p>
    <w:p w14:paraId="50AD8A34" w14:textId="5A5DFB0A" w:rsidR="009F1181" w:rsidRPr="00A43E53" w:rsidRDefault="009F1181" w:rsidP="009F1181">
      <w:r>
        <w:t>In this contribution, we present our views on various aspects of SRS design for NR positioning. Some related UE behaviors and physical layer procedures for UL-based positioning are discussed in our companion paper</w:t>
      </w:r>
      <w:r w:rsidR="002B0D89">
        <w:t xml:space="preserve"> </w:t>
      </w:r>
      <w:r w:rsidR="00503BCC">
        <w:t>[1]</w:t>
      </w:r>
      <w:r>
        <w:t>.</w:t>
      </w:r>
    </w:p>
    <w:p w14:paraId="63AA236E" w14:textId="35A4F8D8" w:rsidR="009A3141" w:rsidRDefault="004522DD" w:rsidP="009A3141">
      <w:pPr>
        <w:pStyle w:val="1"/>
      </w:pPr>
      <w:r>
        <w:t>Discussion</w:t>
      </w:r>
    </w:p>
    <w:p w14:paraId="17B406DD" w14:textId="043E2922" w:rsidR="00133C9E" w:rsidRDefault="00133C9E" w:rsidP="00133C9E">
      <w:pPr>
        <w:pStyle w:val="2"/>
      </w:pPr>
      <w:r>
        <w:t>SRS frequency hopping for positioning purposes</w:t>
      </w:r>
    </w:p>
    <w:p w14:paraId="7077F7E4" w14:textId="301CEABF" w:rsidR="00133C9E" w:rsidRDefault="00133C9E" w:rsidP="00133C9E">
      <w:r>
        <w:t xml:space="preserve">Rel. 15 SRS supports both intra-slot frequency hopping and inter-slot frequency hopping. For each SRS resource transmission occasion, the number of SRS symbols in the same hop is given by the higher layer parameter </w:t>
      </w:r>
      <w:r w:rsidRPr="007C0176">
        <w:rPr>
          <w:i/>
        </w:rPr>
        <w:t>repetitionFactor</w:t>
      </w:r>
      <w:r>
        <w:t xml:space="preserve"> </w:t>
      </w:r>
      <m:oMath>
        <m:r>
          <w:rPr>
            <w:rFonts w:ascii="Cambria Math" w:hAnsi="Cambria Math"/>
          </w:rPr>
          <m:t>R</m:t>
        </m:r>
      </m:oMath>
      <w:r>
        <w:t xml:space="preserve"> </w:t>
      </w:r>
      <w:r w:rsidR="00021F40">
        <w:t xml:space="preserve">with the supported values of n1, n2, and n4. </w:t>
      </w:r>
      <w:r w:rsidR="00021F40" w:rsidRPr="007C0176">
        <w:rPr>
          <w:i/>
        </w:rPr>
        <w:t>repetitionFactor</w:t>
      </w:r>
      <w:r w:rsidR="00021F40">
        <w:t xml:space="preserve"> </w:t>
      </w:r>
      <m:oMath>
        <m:r>
          <w:rPr>
            <w:rFonts w:ascii="Cambria Math" w:hAnsi="Cambria Math"/>
          </w:rPr>
          <m:t>R</m:t>
        </m:r>
      </m:oMath>
      <w:r w:rsidR="00021F40">
        <w:t xml:space="preserve">  is configured </w:t>
      </w:r>
      <w:r w:rsidR="000754AF">
        <w:t>with a value so</w:t>
      </w:r>
      <w:r w:rsidR="00021F40">
        <w:t xml:space="preserve"> that </w:t>
      </w:r>
      <m:oMath>
        <m:r>
          <w:rPr>
            <w:rFonts w:ascii="Cambria Math" w:hAnsi="Cambria Math"/>
          </w:rPr>
          <m:t>R≤</m:t>
        </m:r>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oMath>
      <w:r w:rsidR="005C14B4">
        <w:t xml:space="preserve"> denotes the RRC parameter </w:t>
      </w:r>
      <w:r w:rsidR="005C14B4" w:rsidRPr="0009380F">
        <w:rPr>
          <w:rFonts w:eastAsia="Malgun Gothic"/>
          <w:i/>
        </w:rPr>
        <w:t>nrofSymbols</w:t>
      </w:r>
      <w:r w:rsidR="005C14B4">
        <w:t xml:space="preserve">; </w:t>
      </w:r>
      <w:r>
        <w:t xml:space="preserve">the number of </w:t>
      </w:r>
      <w:r w:rsidR="005C14B4">
        <w:t xml:space="preserve">consecutive </w:t>
      </w:r>
      <w:r>
        <w:t>OFDM symbols in the SRS resource (</w:t>
      </w:r>
      <w:r>
        <w:fldChar w:fldCharType="begin"/>
      </w:r>
      <w:r>
        <w:instrText xml:space="preserve"> REF _Ref16357091 \r \h </w:instrText>
      </w:r>
      <w:r>
        <w:fldChar w:fldCharType="separate"/>
      </w:r>
      <w:r w:rsidR="00133448">
        <w:t>[3]</w:t>
      </w:r>
      <w:r>
        <w:fldChar w:fldCharType="end"/>
      </w:r>
      <w:r>
        <w:t xml:space="preserve">, Clause 6.4.1.4.3). If </w:t>
      </w:r>
      <w:r w:rsidR="00C626C6" w:rsidRPr="007C0176">
        <w:rPr>
          <w:i/>
        </w:rPr>
        <w:t>repetitionFactor</w:t>
      </w:r>
      <w:r w:rsidR="00C626C6">
        <w:t xml:space="preserve"> </w:t>
      </w:r>
      <w:r>
        <w:t xml:space="preserve">is </w:t>
      </w:r>
      <w:r w:rsidR="00F16CBF">
        <w:t>set to</w:t>
      </w:r>
      <w:r w:rsidR="00C626C6">
        <w:t xml:space="preserve"> </w:t>
      </w:r>
      <w:r w:rsidR="00C626C6" w:rsidRPr="0009380F">
        <w:rPr>
          <w:rFonts w:eastAsia="Malgun Gothic"/>
          <w:i/>
        </w:rPr>
        <w:t>nrofSymbols</w:t>
      </w:r>
      <w:r w:rsidR="00F16CBF">
        <w:t xml:space="preserve"> in SRS configuration</w:t>
      </w:r>
      <w:r>
        <w:t xml:space="preserve">, all symbols of the same SRS resource transmission occasion are on the same hop, or, equivalently, intra-slot frequency hopping is not used. However, if </w:t>
      </w:r>
      <w:r w:rsidR="00C626C6" w:rsidRPr="007C0176">
        <w:rPr>
          <w:i/>
        </w:rPr>
        <w:t>repetitionFactor</w:t>
      </w:r>
      <w:r w:rsidR="00C626C6">
        <w:t xml:space="preserve"> </w:t>
      </w:r>
      <m:oMath>
        <m:r>
          <w:rPr>
            <w:rFonts w:ascii="Cambria Math" w:hAnsi="Cambria Math"/>
          </w:rPr>
          <m:t>R</m:t>
        </m:r>
      </m:oMath>
      <w:r w:rsidR="00C626C6">
        <w:t xml:space="preserve"> </w:t>
      </w:r>
      <w:r>
        <w:t xml:space="preserve">is </w:t>
      </w:r>
      <w:r w:rsidR="00C626C6">
        <w:t xml:space="preserve">set to a value smaller than </w:t>
      </w:r>
      <w:r w:rsidR="00C626C6" w:rsidRPr="0009380F">
        <w:rPr>
          <w:rFonts w:eastAsia="Malgun Gothic"/>
          <w:i/>
        </w:rPr>
        <w:t>nrofSymbols</w:t>
      </w:r>
      <w:r>
        <w:t xml:space="preserve">, starting from the first SRS resource symbol, every </w:t>
      </w:r>
      <m:oMath>
        <m:r>
          <w:rPr>
            <w:rFonts w:ascii="Cambria Math" w:hAnsi="Cambria Math"/>
          </w:rPr>
          <m:t>R</m:t>
        </m:r>
      </m:oMath>
      <w:r>
        <w:t xml:space="preserve"> consecutive SRS symbols within the same SRS resource transmission occasion are on a new frequency hop or, equivalently, intra-slot frequency hopping is used. </w:t>
      </w:r>
    </w:p>
    <w:p w14:paraId="456DDB17" w14:textId="36A61CD6" w:rsidR="00133C9E" w:rsidRDefault="00133C9E" w:rsidP="00133C9E">
      <w:pPr>
        <w:rPr>
          <w:lang w:val="en-GB"/>
        </w:rPr>
      </w:pPr>
      <w:r>
        <w:rPr>
          <w:lang w:val="en-GB"/>
        </w:rPr>
        <w:t xml:space="preserve">Intra-slot frequency hopping can boost power spectral density of the SRS reception at the gNB. However, gNB can coherently combine the channel across frequency hops to synthesize a full bandwidth channel frequency response estimate and, consequently, achieve a better multi-path resolution only if the phase continuity is ensured among different frequency hops in each slot. As specified in Clause 6.2 in </w:t>
      </w:r>
      <w:r>
        <w:rPr>
          <w:lang w:val="en-GB"/>
        </w:rPr>
        <w:fldChar w:fldCharType="begin"/>
      </w:r>
      <w:r>
        <w:rPr>
          <w:lang w:val="en-GB"/>
        </w:rPr>
        <w:instrText xml:space="preserve"> REF _Ref16357091 \r \h </w:instrText>
      </w:r>
      <w:r>
        <w:rPr>
          <w:lang w:val="en-GB"/>
        </w:rPr>
      </w:r>
      <w:r>
        <w:rPr>
          <w:lang w:val="en-GB"/>
        </w:rPr>
        <w:fldChar w:fldCharType="separate"/>
      </w:r>
      <w:r w:rsidR="00133448">
        <w:rPr>
          <w:lang w:val="en-GB"/>
        </w:rPr>
        <w:t>[3]</w:t>
      </w:r>
      <w:r>
        <w:rPr>
          <w:lang w:val="en-GB"/>
        </w:rPr>
        <w:fldChar w:fldCharType="end"/>
      </w:r>
      <w:r>
        <w:rPr>
          <w:lang w:val="en-GB"/>
        </w:rPr>
        <w:t xml:space="preserve"> (see</w:t>
      </w:r>
      <w:r w:rsidR="00157362">
        <w:rPr>
          <w:lang w:val="en-GB"/>
        </w:rPr>
        <w:t xml:space="preserve"> </w:t>
      </w:r>
      <w:r w:rsidR="00DF7F0D">
        <w:rPr>
          <w:lang w:val="en-GB"/>
        </w:rPr>
        <w:fldChar w:fldCharType="begin"/>
      </w:r>
      <w:r w:rsidR="00DF7F0D">
        <w:rPr>
          <w:lang w:val="en-GB"/>
        </w:rPr>
        <w:instrText xml:space="preserve"> REF _Ref20141596 \h </w:instrText>
      </w:r>
      <w:r w:rsidR="00DF7F0D">
        <w:rPr>
          <w:lang w:val="en-GB"/>
        </w:rPr>
      </w:r>
      <w:r w:rsidR="00DF7F0D">
        <w:rPr>
          <w:lang w:val="en-GB"/>
        </w:rPr>
        <w:fldChar w:fldCharType="separate"/>
      </w:r>
      <w:r w:rsidR="00133448">
        <w:t xml:space="preserve">Table </w:t>
      </w:r>
      <w:r w:rsidR="00133448">
        <w:rPr>
          <w:noProof/>
        </w:rPr>
        <w:t>1</w:t>
      </w:r>
      <w:r w:rsidR="00DF7F0D">
        <w:rPr>
          <w:lang w:val="en-GB"/>
        </w:rPr>
        <w:fldChar w:fldCharType="end"/>
      </w:r>
      <w:r>
        <w:rPr>
          <w:lang w:val="en-GB"/>
        </w:rPr>
        <w:t xml:space="preserve">), gNB does </w:t>
      </w:r>
      <w:r>
        <w:rPr>
          <w:rFonts w:hint="eastAsia"/>
          <w:lang w:val="en-GB" w:eastAsia="zh-CN"/>
        </w:rPr>
        <w:t xml:space="preserve">not assume </w:t>
      </w:r>
      <w:r>
        <w:rPr>
          <w:lang w:val="en-GB" w:eastAsia="zh-CN"/>
        </w:rPr>
        <w:t xml:space="preserve">such phase continuity among different frequency hops. As such, SRS intra-slot frequency hopping is not beneficial in terms of providing a more accurate estimate of the channel impulse response and multi-path resolution. Therefore, we propose the following. </w:t>
      </w:r>
    </w:p>
    <w:p w14:paraId="227AE589" w14:textId="472B900D" w:rsidR="00133C9E" w:rsidRDefault="00C9188F" w:rsidP="00133C9E">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w:t>
      </w:r>
      <w:r w:rsidRPr="006C5C3B">
        <w:rPr>
          <w:b/>
          <w:i/>
        </w:rPr>
        <w:fldChar w:fldCharType="end"/>
      </w:r>
      <w:r w:rsidRPr="006C5C3B">
        <w:rPr>
          <w:b/>
          <w:i/>
        </w:rPr>
        <w:t>:</w:t>
      </w:r>
      <w:r w:rsidRPr="000C40D9">
        <w:rPr>
          <w:b/>
          <w:i/>
        </w:rPr>
        <w:t xml:space="preserve"> </w:t>
      </w:r>
      <w:r w:rsidR="00E325FC">
        <w:rPr>
          <w:b/>
          <w:i/>
        </w:rPr>
        <w:t xml:space="preserve">Rel-16 </w:t>
      </w:r>
      <w:r w:rsidR="00133C9E">
        <w:rPr>
          <w:b/>
          <w:i/>
        </w:rPr>
        <w:t xml:space="preserve">SRS for positioning does not support intra-slot frequency hopping. </w:t>
      </w:r>
    </w:p>
    <w:p w14:paraId="5FC48CFD" w14:textId="77777777" w:rsidR="00133C9E" w:rsidRDefault="00133C9E" w:rsidP="00133C9E">
      <w:pPr>
        <w:pStyle w:val="a5"/>
        <w:keepNext/>
      </w:pPr>
      <w:bookmarkStart w:id="3" w:name="_Ref20141596"/>
      <w:r>
        <w:t xml:space="preserve">Table </w:t>
      </w:r>
      <w:r w:rsidR="00C9188F">
        <w:rPr>
          <w:noProof/>
        </w:rPr>
        <w:fldChar w:fldCharType="begin"/>
      </w:r>
      <w:r w:rsidR="00C9188F">
        <w:rPr>
          <w:noProof/>
        </w:rPr>
        <w:instrText xml:space="preserve"> SEQ Table \* ARABIC </w:instrText>
      </w:r>
      <w:r w:rsidR="00C9188F">
        <w:rPr>
          <w:noProof/>
        </w:rPr>
        <w:fldChar w:fldCharType="separate"/>
      </w:r>
      <w:r w:rsidR="00133448">
        <w:rPr>
          <w:noProof/>
        </w:rPr>
        <w:t>1</w:t>
      </w:r>
      <w:r w:rsidR="00C9188F">
        <w:rPr>
          <w:noProof/>
        </w:rPr>
        <w:fldChar w:fldCharType="end"/>
      </w:r>
      <w:bookmarkEnd w:id="3"/>
      <w:r>
        <w:t>: Snippet from 38.211 Clause 6.2</w:t>
      </w:r>
    </w:p>
    <w:tbl>
      <w:tblPr>
        <w:tblStyle w:val="ac"/>
        <w:tblW w:w="0" w:type="auto"/>
        <w:tblLook w:val="04A0" w:firstRow="1" w:lastRow="0" w:firstColumn="1" w:lastColumn="0" w:noHBand="0" w:noVBand="1"/>
      </w:tblPr>
      <w:tblGrid>
        <w:gridCol w:w="9307"/>
      </w:tblGrid>
      <w:tr w:rsidR="00133C9E" w14:paraId="472BCF8F" w14:textId="77777777" w:rsidTr="00FE65D3">
        <w:tc>
          <w:tcPr>
            <w:tcW w:w="9307" w:type="dxa"/>
          </w:tcPr>
          <w:p w14:paraId="1261A60C" w14:textId="77777777" w:rsidR="00133C9E" w:rsidRDefault="00133C9E" w:rsidP="00FE65D3">
            <w:pPr>
              <w:widowControl/>
              <w:rPr>
                <w:b/>
                <w:i/>
              </w:rPr>
            </w:pPr>
            <w:r w:rsidRPr="001C4213">
              <w:t>If intra-slot frequency hopping is enabled by higher layer parameter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tc>
      </w:tr>
    </w:tbl>
    <w:p w14:paraId="64416EF2" w14:textId="56E8C49F" w:rsidR="002A2D8B" w:rsidRDefault="00702DD9" w:rsidP="00E325FC">
      <w:r>
        <w:t xml:space="preserve">Since it has been agreed to support n8 and n12 for </w:t>
      </w:r>
      <w:r w:rsidRPr="00E325FC">
        <w:rPr>
          <w:i/>
        </w:rPr>
        <w:t>nrofSymbols</w:t>
      </w:r>
      <w:r>
        <w:rPr>
          <w:i/>
        </w:rPr>
        <w:t xml:space="preserve"> </w:t>
      </w:r>
      <w:r w:rsidR="00C626C6">
        <w:t xml:space="preserve">for positioning </w:t>
      </w:r>
      <w:r w:rsidRPr="00E325FC">
        <w:t>SRS</w:t>
      </w:r>
      <w:r w:rsidR="0033659F">
        <w:t xml:space="preserve"> </w:t>
      </w:r>
      <w:r w:rsidR="00C626C6">
        <w:t xml:space="preserve">in Rel. 16 </w:t>
      </w:r>
      <w:r w:rsidR="0033659F">
        <w:t xml:space="preserve">while the </w:t>
      </w:r>
      <w:r w:rsidR="0033659F" w:rsidRPr="007C0176">
        <w:rPr>
          <w:i/>
        </w:rPr>
        <w:t>repetitionFactor</w:t>
      </w:r>
      <w:r w:rsidR="0033659F">
        <w:t xml:space="preserve"> in Rel. 15 SRS supports only n1, n2, or n4</w:t>
      </w:r>
      <w:r>
        <w:t xml:space="preserve">, </w:t>
      </w:r>
      <w:r w:rsidR="004871C0">
        <w:t xml:space="preserve">we propose the </w:t>
      </w:r>
      <w:r w:rsidR="006962E1">
        <w:t xml:space="preserve">following to </w:t>
      </w:r>
      <w:r w:rsidR="002A2D8B">
        <w:t xml:space="preserve">avoid </w:t>
      </w:r>
      <w:r w:rsidR="00C626C6">
        <w:t xml:space="preserve">the </w:t>
      </w:r>
      <w:r w:rsidR="002A2D8B">
        <w:t>intra-slot frequency hopping for positioning SRS</w:t>
      </w:r>
      <w:r w:rsidR="00C626C6">
        <w:t>.</w:t>
      </w:r>
    </w:p>
    <w:p w14:paraId="19AA7023" w14:textId="445A1179" w:rsidR="00702DD9" w:rsidRPr="00D96EA3" w:rsidRDefault="00C9188F" w:rsidP="008757CA">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2</w:t>
      </w:r>
      <w:r w:rsidRPr="006C5C3B">
        <w:rPr>
          <w:b/>
          <w:i/>
        </w:rPr>
        <w:fldChar w:fldCharType="end"/>
      </w:r>
      <w:r w:rsidRPr="006C5C3B">
        <w:rPr>
          <w:b/>
          <w:i/>
        </w:rPr>
        <w:t>:</w:t>
      </w:r>
      <w:r w:rsidRPr="000C40D9">
        <w:rPr>
          <w:b/>
          <w:i/>
        </w:rPr>
        <w:t xml:space="preserve"> </w:t>
      </w:r>
      <w:r w:rsidR="004871C0" w:rsidRPr="004871C0">
        <w:rPr>
          <w:b/>
          <w:i/>
        </w:rPr>
        <w:t xml:space="preserve"> </w:t>
      </w:r>
      <w:r w:rsidR="004871C0" w:rsidRPr="00D96EA3">
        <w:rPr>
          <w:b/>
          <w:i/>
        </w:rPr>
        <w:t xml:space="preserve">Supported values for the RRC parameter repetitionFactor are n1, n2, n4, n8, and n12 in Rel. 16 SRS where repetitionFactor is set to nrofSymbols if SRS is used for positioning purposes.  </w:t>
      </w:r>
      <w:r w:rsidR="00FF6ECE" w:rsidRPr="00D96EA3">
        <w:rPr>
          <w:b/>
          <w:i/>
        </w:rPr>
        <w:t xml:space="preserve"> </w:t>
      </w:r>
    </w:p>
    <w:p w14:paraId="759DEF3A" w14:textId="77777777" w:rsidR="00D35C3E" w:rsidRPr="00D35C3E" w:rsidRDefault="00D35C3E" w:rsidP="00E325FC"/>
    <w:p w14:paraId="78E8DF12" w14:textId="77777777" w:rsidR="00AA6495" w:rsidRDefault="00AA6495" w:rsidP="00AA6495">
      <w:pPr>
        <w:pStyle w:val="2"/>
      </w:pPr>
      <w:r>
        <w:lastRenderedPageBreak/>
        <w:t>Construction of the staggered pattern inside the SRS resource structure</w:t>
      </w:r>
    </w:p>
    <w:tbl>
      <w:tblPr>
        <w:tblStyle w:val="ac"/>
        <w:tblW w:w="0" w:type="auto"/>
        <w:tblLook w:val="04A0" w:firstRow="1" w:lastRow="0" w:firstColumn="1" w:lastColumn="0" w:noHBand="0" w:noVBand="1"/>
      </w:tblPr>
      <w:tblGrid>
        <w:gridCol w:w="9307"/>
      </w:tblGrid>
      <w:tr w:rsidR="00AA6495" w14:paraId="4ED091DD" w14:textId="77777777" w:rsidTr="002837A1">
        <w:tc>
          <w:tcPr>
            <w:tcW w:w="9307" w:type="dxa"/>
          </w:tcPr>
          <w:p w14:paraId="18C2A616" w14:textId="72073F94" w:rsidR="00AA6495" w:rsidRPr="00CD697C" w:rsidRDefault="00AA6495" w:rsidP="002837A1">
            <w:pPr>
              <w:rPr>
                <w:b/>
                <w:u w:val="single"/>
              </w:rPr>
            </w:pPr>
            <w:r w:rsidRPr="00CD697C">
              <w:rPr>
                <w:b/>
                <w:u w:val="single"/>
              </w:rPr>
              <w:t xml:space="preserve">Agreement </w:t>
            </w:r>
            <w:r w:rsidR="00B03B1A">
              <w:rPr>
                <w:b/>
                <w:u w:val="single"/>
              </w:rPr>
              <w:fldChar w:fldCharType="begin"/>
            </w:r>
            <w:r w:rsidR="00B03B1A">
              <w:rPr>
                <w:b/>
                <w:u w:val="single"/>
              </w:rPr>
              <w:instrText xml:space="preserve"> REF _Ref19525676 \r \h </w:instrText>
            </w:r>
            <w:r w:rsidR="00B03B1A">
              <w:rPr>
                <w:b/>
                <w:u w:val="single"/>
              </w:rPr>
            </w:r>
            <w:r w:rsidR="00B03B1A">
              <w:rPr>
                <w:b/>
                <w:u w:val="single"/>
              </w:rPr>
              <w:fldChar w:fldCharType="separate"/>
            </w:r>
            <w:r w:rsidR="00133448">
              <w:rPr>
                <w:b/>
                <w:u w:val="single"/>
              </w:rPr>
              <w:t>[9]</w:t>
            </w:r>
            <w:r w:rsidR="00B03B1A">
              <w:rPr>
                <w:b/>
                <w:u w:val="single"/>
              </w:rPr>
              <w:fldChar w:fldCharType="end"/>
            </w:r>
            <w:r w:rsidRPr="00CD697C">
              <w:rPr>
                <w:b/>
                <w:u w:val="single"/>
              </w:rPr>
              <w:t>:</w:t>
            </w:r>
          </w:p>
          <w:p w14:paraId="2A67ADB2" w14:textId="77777777" w:rsidR="00AA6495" w:rsidRDefault="00AA6495" w:rsidP="00AA6495">
            <w:pPr>
              <w:numPr>
                <w:ilvl w:val="0"/>
                <w:numId w:val="47"/>
              </w:numPr>
              <w:autoSpaceDE/>
              <w:autoSpaceDN/>
              <w:adjustRightInd/>
              <w:snapToGrid/>
              <w:spacing w:after="0"/>
              <w:ind w:left="360"/>
              <w:jc w:val="left"/>
              <w:rPr>
                <w:lang w:eastAsia="x-none"/>
              </w:rPr>
            </w:pPr>
            <w:r>
              <w:rPr>
                <w:lang w:eastAsia="x-none"/>
              </w:rPr>
              <w:t xml:space="preserve">The RE pattern of an SRS resource for positioning is configured with a comb offset for the first symbol in an SRS resource. </w:t>
            </w:r>
          </w:p>
          <w:p w14:paraId="667F529D" w14:textId="77777777" w:rsidR="00AA6495" w:rsidRDefault="00AA6495" w:rsidP="00AA6495">
            <w:pPr>
              <w:numPr>
                <w:ilvl w:val="0"/>
                <w:numId w:val="47"/>
              </w:numPr>
              <w:autoSpaceDE/>
              <w:autoSpaceDN/>
              <w:adjustRightInd/>
              <w:snapToGrid/>
              <w:spacing w:after="0"/>
              <w:ind w:left="360"/>
              <w:jc w:val="left"/>
              <w:rPr>
                <w:lang w:eastAsia="x-none"/>
              </w:rPr>
            </w:pPr>
            <w:r>
              <w:rPr>
                <w:lang w:eastAsia="x-none"/>
              </w:rPr>
              <w:t xml:space="preserve">The relative RE offsets of following symbols are defined relative to the comb offset of the first symbol in the SRS resource. </w:t>
            </w:r>
          </w:p>
          <w:p w14:paraId="3D913FC8" w14:textId="77777777" w:rsidR="00AA6495" w:rsidRDefault="00AA6495" w:rsidP="00AA6495">
            <w:pPr>
              <w:numPr>
                <w:ilvl w:val="0"/>
                <w:numId w:val="47"/>
              </w:numPr>
              <w:autoSpaceDE/>
              <w:autoSpaceDN/>
              <w:adjustRightInd/>
              <w:snapToGrid/>
              <w:spacing w:after="0"/>
              <w:ind w:left="360"/>
              <w:jc w:val="left"/>
              <w:rPr>
                <w:lang w:eastAsia="x-none"/>
              </w:rPr>
            </w:pPr>
            <w:r>
              <w:rPr>
                <w:lang w:eastAsia="x-none"/>
              </w:rPr>
              <w:t>A relative RE offset of each of the following symbols is derived from the configured number of symbols for an SRS resource, the comb size for the SRS resource and the SRS symbol index within the SRS resource.</w:t>
            </w:r>
          </w:p>
          <w:p w14:paraId="0848A0F8" w14:textId="77777777" w:rsidR="00AA6495" w:rsidRDefault="00AA6495" w:rsidP="00AA6495">
            <w:pPr>
              <w:numPr>
                <w:ilvl w:val="0"/>
                <w:numId w:val="46"/>
              </w:numPr>
              <w:autoSpaceDE/>
              <w:autoSpaceDN/>
              <w:adjustRightInd/>
              <w:snapToGrid/>
              <w:spacing w:after="0"/>
              <w:ind w:left="720"/>
              <w:jc w:val="left"/>
              <w:rPr>
                <w:lang w:eastAsia="x-none"/>
              </w:rPr>
            </w:pPr>
            <w:r>
              <w:rPr>
                <w:lang w:eastAsia="x-none"/>
              </w:rPr>
              <w:t>FFS: The use of the following for deriving the relative offset in addition to the above</w:t>
            </w:r>
          </w:p>
          <w:p w14:paraId="6553FE3E" w14:textId="77777777" w:rsidR="00AA6495" w:rsidRDefault="00AA6495" w:rsidP="00AA6495">
            <w:pPr>
              <w:numPr>
                <w:ilvl w:val="1"/>
                <w:numId w:val="46"/>
              </w:numPr>
              <w:autoSpaceDE/>
              <w:autoSpaceDN/>
              <w:adjustRightInd/>
              <w:snapToGrid/>
              <w:spacing w:after="0"/>
              <w:ind w:left="1440"/>
              <w:jc w:val="left"/>
              <w:rPr>
                <w:lang w:eastAsia="x-none"/>
              </w:rPr>
            </w:pPr>
            <w:r>
              <w:rPr>
                <w:lang w:eastAsia="x-none"/>
              </w:rPr>
              <w:t>A configurable number of consecutive symbols with the same offset</w:t>
            </w:r>
          </w:p>
          <w:p w14:paraId="624D7A8C" w14:textId="77777777" w:rsidR="00AA6495" w:rsidRDefault="00AA6495" w:rsidP="00AA6495">
            <w:pPr>
              <w:numPr>
                <w:ilvl w:val="1"/>
                <w:numId w:val="46"/>
              </w:numPr>
              <w:autoSpaceDE/>
              <w:autoSpaceDN/>
              <w:adjustRightInd/>
              <w:snapToGrid/>
              <w:spacing w:after="0"/>
              <w:ind w:left="1440"/>
              <w:jc w:val="left"/>
              <w:rPr>
                <w:lang w:eastAsia="x-none"/>
              </w:rPr>
            </w:pPr>
            <w:r>
              <w:rPr>
                <w:lang w:eastAsia="x-none"/>
              </w:rPr>
              <w:t>Repetition factor</w:t>
            </w:r>
          </w:p>
          <w:p w14:paraId="4E2DD1A5" w14:textId="1F1E52F9" w:rsidR="00AA6495" w:rsidRDefault="00AA6495" w:rsidP="008A36AC">
            <w:pPr>
              <w:numPr>
                <w:ilvl w:val="0"/>
                <w:numId w:val="46"/>
              </w:numPr>
              <w:autoSpaceDE/>
              <w:autoSpaceDN/>
              <w:adjustRightInd/>
              <w:snapToGrid/>
              <w:spacing w:after="0"/>
              <w:ind w:left="720"/>
              <w:jc w:val="left"/>
            </w:pPr>
            <w:r>
              <w:rPr>
                <w:lang w:eastAsia="x-none"/>
              </w:rPr>
              <w:t>No additional parameters will be considered</w:t>
            </w:r>
          </w:p>
        </w:tc>
      </w:tr>
    </w:tbl>
    <w:p w14:paraId="3278ACD8" w14:textId="77777777" w:rsidR="00AA6495" w:rsidRDefault="00AA6495" w:rsidP="00AA6495"/>
    <w:p w14:paraId="68ACC764" w14:textId="4DF52346" w:rsidR="009278F3" w:rsidRDefault="009278F3" w:rsidP="009278F3">
      <w:pPr>
        <w:rPr>
          <w:bCs/>
          <w:iCs/>
        </w:rPr>
      </w:pPr>
      <w:r>
        <w:t xml:space="preserve">Staggered SRS resource mapping was agreed in RAN1 97 and some guidelines on the SRS resource mapping design were agreed in RAN1 98. In particular, it was agreed in RAN1 98 that </w:t>
      </w:r>
      <w:r>
        <w:rPr>
          <w:lang w:eastAsia="x-none"/>
        </w:rPr>
        <w:t xml:space="preserve">the RE pattern of an SRS resource for positioning is configured with a comb offset for the first symbol of the SRS resource and the relative RE offsets of the following symbols are defined relative to the comb offset of the first SRS symbol where the relative RE offset of each symbol is derived from the configured number of symbols for an SRS resource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oMath>
      <w:r>
        <w:rPr>
          <w:lang w:eastAsia="x-none"/>
        </w:rPr>
        <w:t xml:space="preserve">the comb size for the SRS resource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 xml:space="preserve">, </m:t>
        </m:r>
      </m:oMath>
      <w:r>
        <w:rPr>
          <w:lang w:eastAsia="x-none"/>
        </w:rPr>
        <w:t xml:space="preserve">and the SRS symbol index within the SRS resource </w:t>
      </w:r>
      <m:oMath>
        <m:sSup>
          <m:sSupPr>
            <m:ctrlPr>
              <w:rPr>
                <w:rFonts w:ascii="Cambria Math" w:hAnsi="Cambria Math"/>
                <w:i/>
                <w:lang w:eastAsia="x-none"/>
              </w:rPr>
            </m:ctrlPr>
          </m:sSupPr>
          <m:e>
            <m:r>
              <w:rPr>
                <w:rFonts w:ascii="Cambria Math" w:hAnsi="Cambria Math"/>
                <w:lang w:eastAsia="x-none"/>
              </w:rPr>
              <m:t>l</m:t>
            </m:r>
          </m:e>
          <m:sup>
            <m:r>
              <w:rPr>
                <w:rFonts w:ascii="Cambria Math" w:hAnsi="Cambria Math"/>
                <w:lang w:eastAsia="x-none"/>
              </w:rPr>
              <m:t>'</m:t>
            </m:r>
          </m:sup>
        </m:sSup>
        <m:r>
          <w:rPr>
            <w:rFonts w:ascii="Cambria Math" w:hAnsi="Cambria Math"/>
          </w:rPr>
          <m:t>.</m:t>
        </m:r>
      </m:oMath>
      <w:r>
        <w:rPr>
          <w:bCs/>
          <w:iCs/>
        </w:rPr>
        <w:t xml:space="preserve"> In addition to </w:t>
      </w:r>
      <m:oMath>
        <m:sSubSup>
          <m:sSubSupPr>
            <m:ctrlPr>
              <w:rPr>
                <w:rFonts w:ascii="Cambria Math" w:hAnsi="Cambria Math"/>
              </w:rPr>
            </m:ctrlPr>
          </m:sSubSupPr>
          <m:e>
            <m:r>
              <w:rPr>
                <w:rFonts w:ascii="Cambria Math" w:hAnsi="Cambria Math"/>
              </w:rPr>
              <m:t>N</m:t>
            </m:r>
          </m:e>
          <m:sub>
            <m:r>
              <m:rPr>
                <m:sty m:val="p"/>
              </m:rPr>
              <w:rPr>
                <w:rFonts w:ascii="Cambria Math" w:hAnsi="Cambria Math" w:hint="eastAsia"/>
              </w:rPr>
              <m:t>symb</m:t>
            </m:r>
          </m:sub>
          <m:sup>
            <m:r>
              <m:rPr>
                <m:sty m:val="p"/>
              </m:rPr>
              <w:rPr>
                <w:rFonts w:ascii="Cambria Math" w:hAnsi="Cambria Math" w:hint="eastAsia"/>
              </w:rPr>
              <m:t>SRS</m:t>
            </m:r>
          </m:sup>
        </m:sSubSup>
        <m:r>
          <w:rPr>
            <w:rFonts w:ascii="Cambria Math" w:hAnsi="Cambria Math"/>
          </w:rPr>
          <m:t xml:space="preserve">, </m:t>
        </m:r>
        <m:sSub>
          <m:sSubPr>
            <m:ctrlPr>
              <w:rPr>
                <w:rFonts w:ascii="Cambria Math" w:hAnsi="Cambria Math"/>
              </w:rPr>
            </m:ctrlPr>
          </m:sSubPr>
          <m:e>
            <m:r>
              <w:rPr>
                <w:rFonts w:ascii="Cambria Math" w:hAnsi="Cambria Math"/>
              </w:rPr>
              <m:t>K</m:t>
            </m:r>
          </m:e>
          <m:sub>
            <m:r>
              <w:rPr>
                <w:rFonts w:ascii="Cambria Math" w:hAnsi="Cambria Math"/>
              </w:rPr>
              <m:t>TC</m:t>
            </m:r>
          </m:sub>
        </m:sSub>
        <m:r>
          <w:rPr>
            <w:rFonts w:ascii="Cambria Math" w:hAnsi="Cambria Math"/>
          </w:rPr>
          <m:t>,</m:t>
        </m:r>
      </m:oMath>
      <w:r>
        <w:t xml:space="preserve"> and </w:t>
      </w:r>
      <m:oMath>
        <m:sSup>
          <m:sSupPr>
            <m:ctrlPr>
              <w:rPr>
                <w:rFonts w:ascii="Cambria Math" w:hAnsi="Cambria Math"/>
                <w:i/>
                <w:lang w:eastAsia="x-none"/>
              </w:rPr>
            </m:ctrlPr>
          </m:sSupPr>
          <m:e>
            <m:r>
              <w:rPr>
                <w:rFonts w:ascii="Cambria Math" w:hAnsi="Cambria Math"/>
                <w:lang w:eastAsia="x-none"/>
              </w:rPr>
              <m:t>l</m:t>
            </m:r>
          </m:e>
          <m:sup>
            <m:r>
              <w:rPr>
                <w:rFonts w:ascii="Cambria Math" w:hAnsi="Cambria Math"/>
                <w:lang w:eastAsia="x-none"/>
              </w:rPr>
              <m:t>'</m:t>
            </m:r>
          </m:sup>
        </m:sSup>
        <m:r>
          <w:rPr>
            <w:rFonts w:ascii="Cambria Math" w:hAnsi="Cambria Math"/>
            <w:lang w:eastAsia="x-none"/>
          </w:rPr>
          <m:t xml:space="preserve">, </m:t>
        </m:r>
      </m:oMath>
      <w:r>
        <w:rPr>
          <w:bCs/>
          <w:iCs/>
        </w:rPr>
        <w:t>it was further agreed to study the dependency of the relative RE offset of each symbol to a configurable number of consecutive symbols with the same offset (hereafter referred to as</w:t>
      </w:r>
      <w:r w:rsidR="00961BD5">
        <w:rPr>
          <w:bCs/>
          <w:iCs/>
        </w:rPr>
        <w:t xml:space="preserve"> </w:t>
      </w:r>
      <m:oMath>
        <m:r>
          <w:rPr>
            <w:rFonts w:ascii="Cambria Math" w:hAnsi="Cambria Math"/>
          </w:rPr>
          <m:t>G</m:t>
        </m:r>
      </m:oMath>
      <w:r>
        <w:rPr>
          <w:bCs/>
          <w:iCs/>
        </w:rPr>
        <w:t xml:space="preserve">) and the repetition factor </w:t>
      </w:r>
      <m:oMath>
        <m:r>
          <w:rPr>
            <w:rFonts w:ascii="Cambria Math" w:hAnsi="Cambria Math"/>
          </w:rPr>
          <m:t>R</m:t>
        </m:r>
      </m:oMath>
      <w:r>
        <w:rPr>
          <w:bCs/>
          <w:iCs/>
        </w:rPr>
        <w:t xml:space="preserve">. In this Section, we first explain why it is important to support a configurable number of consecutive symbols with the same offset in the SRS resource and then provide a simple </w:t>
      </w:r>
      <w:r w:rsidR="007E5A35">
        <w:rPr>
          <w:bCs/>
          <w:iCs/>
        </w:rPr>
        <w:t xml:space="preserve">unified </w:t>
      </w:r>
      <w:r>
        <w:rPr>
          <w:bCs/>
          <w:iCs/>
        </w:rPr>
        <w:t xml:space="preserve">formula that derives both the Rel. 16 staggered SRS resource mapping and Rel. 15 non-staggered SRS resource mapping based on </w:t>
      </w:r>
      <m:oMath>
        <m:sSubSup>
          <m:sSubSupPr>
            <m:ctrlPr>
              <w:rPr>
                <w:rFonts w:ascii="Cambria Math" w:hAnsi="Cambria Math"/>
              </w:rPr>
            </m:ctrlPr>
          </m:sSubSupPr>
          <m:e>
            <m:r>
              <w:rPr>
                <w:rFonts w:ascii="Cambria Math" w:hAnsi="Cambria Math"/>
              </w:rPr>
              <m:t>N</m:t>
            </m:r>
          </m:e>
          <m:sub>
            <m:r>
              <m:rPr>
                <m:sty m:val="p"/>
              </m:rPr>
              <w:rPr>
                <w:rFonts w:ascii="Cambria Math" w:hAnsi="Cambria Math" w:hint="eastAsia"/>
              </w:rPr>
              <m:t>symb</m:t>
            </m:r>
          </m:sub>
          <m:sup>
            <m:r>
              <m:rPr>
                <m:sty m:val="p"/>
              </m:rPr>
              <w:rPr>
                <w:rFonts w:ascii="Cambria Math" w:hAnsi="Cambria Math" w:hint="eastAsia"/>
              </w:rPr>
              <m:t>SRS</m:t>
            </m:r>
          </m:sup>
        </m:sSubSup>
        <m:r>
          <w:rPr>
            <w:rFonts w:ascii="Cambria Math" w:hAnsi="Cambria Math"/>
          </w:rPr>
          <m:t xml:space="preserve">, </m:t>
        </m:r>
        <m:sSub>
          <m:sSubPr>
            <m:ctrlPr>
              <w:rPr>
                <w:rFonts w:ascii="Cambria Math" w:hAnsi="Cambria Math"/>
              </w:rPr>
            </m:ctrlPr>
          </m:sSubPr>
          <m:e>
            <m:r>
              <w:rPr>
                <w:rFonts w:ascii="Cambria Math" w:hAnsi="Cambria Math"/>
              </w:rPr>
              <m:t>K</m:t>
            </m:r>
          </m:e>
          <m:sub>
            <m:r>
              <w:rPr>
                <w:rFonts w:ascii="Cambria Math" w:hAnsi="Cambria Math"/>
              </w:rPr>
              <m:t>TC</m:t>
            </m:r>
          </m:sub>
        </m:sSub>
        <m:r>
          <w:rPr>
            <w:rFonts w:ascii="Cambria Math" w:hAnsi="Cambria Math"/>
          </w:rPr>
          <m:t>,</m:t>
        </m:r>
      </m:oMath>
      <w:r>
        <w:t xml:space="preserve"> </w:t>
      </w:r>
      <m:oMath>
        <m:sSup>
          <m:sSupPr>
            <m:ctrlPr>
              <w:rPr>
                <w:rFonts w:ascii="Cambria Math" w:hAnsi="Cambria Math"/>
                <w:i/>
                <w:lang w:eastAsia="x-none"/>
              </w:rPr>
            </m:ctrlPr>
          </m:sSupPr>
          <m:e>
            <m:r>
              <w:rPr>
                <w:rFonts w:ascii="Cambria Math" w:hAnsi="Cambria Math"/>
                <w:lang w:eastAsia="x-none"/>
              </w:rPr>
              <m:t>l</m:t>
            </m:r>
          </m:e>
          <m:sup>
            <m:r>
              <w:rPr>
                <w:rFonts w:ascii="Cambria Math" w:hAnsi="Cambria Math"/>
                <w:lang w:eastAsia="x-none"/>
              </w:rPr>
              <m:t>'</m:t>
            </m:r>
          </m:sup>
        </m:sSup>
      </m:oMath>
      <w:r>
        <w:rPr>
          <w:lang w:eastAsia="x-none"/>
        </w:rPr>
        <w:t xml:space="preserve">, and </w:t>
      </w:r>
      <m:oMath>
        <m:r>
          <w:rPr>
            <w:rFonts w:ascii="Cambria Math" w:hAnsi="Cambria Math"/>
          </w:rPr>
          <m:t>G.</m:t>
        </m:r>
      </m:oMath>
    </w:p>
    <w:p w14:paraId="306398A9" w14:textId="111751A0" w:rsidR="009278F3" w:rsidRDefault="00F34889" w:rsidP="00E325FC">
      <w:pPr>
        <w:pStyle w:val="3"/>
      </w:pPr>
      <w:bookmarkStart w:id="4" w:name="_Ref20242811"/>
      <w:r>
        <w:t xml:space="preserve">Configuring </w:t>
      </w:r>
      <w:r w:rsidRPr="007C0176">
        <w:rPr>
          <w:i/>
        </w:rPr>
        <w:t>G</w:t>
      </w:r>
      <w:r>
        <w:t xml:space="preserve"> </w:t>
      </w:r>
      <w:r w:rsidRPr="00AE1AD3">
        <w:t>consecutive symbols with the same offset</w:t>
      </w:r>
      <w:r>
        <w:t xml:space="preserve"> in SRS resource</w:t>
      </w:r>
      <w:bookmarkEnd w:id="4"/>
    </w:p>
    <w:p w14:paraId="240427F9" w14:textId="0535E4B2" w:rsidR="009C44B2" w:rsidRDefault="009C44B2" w:rsidP="009C44B2">
      <w:r>
        <w:rPr>
          <w:bCs/>
          <w:iCs/>
        </w:rPr>
        <w:t xml:space="preserve">To explain the advantages of having the flexibility of supporting </w:t>
      </w:r>
      <m:oMath>
        <m:r>
          <w:rPr>
            <w:rFonts w:ascii="Cambria Math" w:hAnsi="Cambria Math"/>
          </w:rPr>
          <m:t>G</m:t>
        </m:r>
      </m:oMath>
      <w:r>
        <w:rPr>
          <w:bCs/>
          <w:iCs/>
        </w:rPr>
        <w:t xml:space="preserve"> consecutive symbols with the same RE offset in the SRS resource, first note that, similar to Rel. 15 SRS, a positioning SRS may be configured with unequal values 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 xml:space="preserve"> </m:t>
        </m:r>
      </m:oMath>
      <w:r>
        <w:t xml:space="preserve">due to the following reasons: 1) supported values 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oMath>
      <w:r>
        <w:t xml:space="preserve">are 1, 2, 4, 8, and 12 while the supported values for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oMath>
      <w:r>
        <w:t xml:space="preserve"> are 2, 4, and 8; 2) In general,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t xml:space="preserve">should be configured based on the coverage concerns while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oMath>
      <w:r>
        <w:t xml:space="preserve"> should be configured based on the number of SRSs that need to be multiplexed in the slot. There is no strong reason to necessarily configure equal values 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oMath>
      <w:r>
        <w:t xml:space="preserve"> even when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t xml:space="preserve"> is set to 2, 4, or 8 (e.g.,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=4</m:t>
        </m:r>
      </m:oMath>
      <w:r>
        <w:t xml:space="preserve"> may be configured with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=2</m:t>
        </m:r>
      </m:oMath>
      <w:r>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=8</m:t>
        </m:r>
      </m:oMath>
      <w:r>
        <w:t xml:space="preserve"> may be configured with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=4</m:t>
        </m:r>
      </m:oMath>
      <w:r>
        <w:t xml:space="preserve">). </w:t>
      </w:r>
    </w:p>
    <w:p w14:paraId="4E7E470F" w14:textId="16EEACF0" w:rsidR="009C44B2" w:rsidRDefault="009C44B2" w:rsidP="009C44B2">
      <w:r>
        <w:fldChar w:fldCharType="begin"/>
      </w:r>
      <w:r>
        <w:instrText xml:space="preserve"> REF _Ref20213959 \h </w:instrText>
      </w:r>
      <w:r>
        <w:fldChar w:fldCharType="separate"/>
      </w:r>
      <w:r w:rsidR="00133448">
        <w:t xml:space="preserve">Figure </w:t>
      </w:r>
      <w:r w:rsidR="00133448">
        <w:rPr>
          <w:noProof/>
        </w:rPr>
        <w:t>1</w:t>
      </w:r>
      <w:r>
        <w:fldChar w:fldCharType="end"/>
      </w:r>
      <w:r>
        <w:t xml:space="preserve"> shows two staggered positioning SRS 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=8</m:t>
        </m:r>
      </m:oMath>
      <w:r>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=4</m:t>
        </m:r>
      </m:oMath>
      <w:r>
        <w:t xml:space="preserve">. In the left sub-figure, </w:t>
      </w:r>
      <w:r w:rsidR="007E5A35">
        <w:t xml:space="preserve">every symbol has different RE offset </w:t>
      </w:r>
      <w:r w:rsidR="00947DE7">
        <w:t>relative to</w:t>
      </w:r>
      <w:r w:rsidR="007E5A35">
        <w:t xml:space="preserve"> the</w:t>
      </w:r>
      <w:r w:rsidR="00947DE7">
        <w:t xml:space="preserve"> first symbol (</w:t>
      </w:r>
      <m:oMath>
        <m:r>
          <w:rPr>
            <w:rFonts w:ascii="Cambria Math" w:hAnsi="Cambria Math"/>
          </w:rPr>
          <m:t>G=1)</m:t>
        </m:r>
      </m:oMath>
      <w:r>
        <w:rPr>
          <w:bCs/>
          <w:iCs/>
        </w:rPr>
        <w:t xml:space="preserve"> while in the right sub-figure, starting from the first SRS symbol (</w:t>
      </w:r>
      <m:oMath>
        <m:sSup>
          <m:sSupPr>
            <m:ctrlPr>
              <w:rPr>
                <w:rFonts w:ascii="Cambria Math" w:hAnsi="Cambria Math"/>
                <w:i/>
                <w:lang w:eastAsia="x-none"/>
              </w:rPr>
            </m:ctrlPr>
          </m:sSupPr>
          <m:e>
            <m:r>
              <w:rPr>
                <w:rFonts w:ascii="Cambria Math" w:hAnsi="Cambria Math"/>
                <w:lang w:eastAsia="x-none"/>
              </w:rPr>
              <m:t>l</m:t>
            </m:r>
          </m:e>
          <m:sup>
            <m:r>
              <w:rPr>
                <w:rFonts w:ascii="Cambria Math" w:hAnsi="Cambria Math"/>
                <w:lang w:eastAsia="x-none"/>
              </w:rPr>
              <m:t>'</m:t>
            </m:r>
          </m:sup>
        </m:sSup>
        <m:r>
          <w:rPr>
            <w:rFonts w:ascii="Cambria Math" w:hAnsi="Cambria Math"/>
            <w:lang w:eastAsia="x-none"/>
          </w:rPr>
          <m:t>=0)</m:t>
        </m:r>
      </m:oMath>
      <w:r>
        <w:rPr>
          <w:lang w:eastAsia="x-none"/>
        </w:rPr>
        <w:t xml:space="preserve">, every two symbols are bundled together and have the same RE offset </w:t>
      </w:r>
      <w:r w:rsidR="00B227C6">
        <w:rPr>
          <w:lang w:eastAsia="x-none"/>
        </w:rPr>
        <w:t xml:space="preserve">relative to the first symbol </w:t>
      </w:r>
      <w:r>
        <w:t>(</w:t>
      </w:r>
      <m:oMath>
        <m:r>
          <w:rPr>
            <w:rFonts w:ascii="Cambria Math" w:hAnsi="Cambria Math"/>
          </w:rPr>
          <m:t>G=2)</m:t>
        </m:r>
      </m:oMath>
      <w:r>
        <w:rPr>
          <w:bCs/>
          <w:iCs/>
        </w:rPr>
        <w:t xml:space="preserve">. Note that both sub-figures show fully staggered resource mapping where </w:t>
      </w:r>
      <w:r>
        <w:t xml:space="preserve">there is no RE in </w:t>
      </w:r>
      <w:r w:rsidRPr="005D3CD1">
        <w:t>the frequency domain on which SRS is not mapped at least at one SRS symbol.</w:t>
      </w:r>
      <w:r>
        <w:t xml:space="preserve"> A question regarding </w:t>
      </w:r>
      <w:r>
        <w:fldChar w:fldCharType="begin"/>
      </w:r>
      <w:r>
        <w:instrText xml:space="preserve"> REF _Ref20213959 \h </w:instrText>
      </w:r>
      <w:r>
        <w:fldChar w:fldCharType="separate"/>
      </w:r>
      <w:r w:rsidR="00133448">
        <w:t xml:space="preserve">Figure </w:t>
      </w:r>
      <w:r w:rsidR="00133448">
        <w:rPr>
          <w:noProof/>
        </w:rPr>
        <w:t>1</w:t>
      </w:r>
      <w:r>
        <w:fldChar w:fldCharType="end"/>
      </w:r>
      <w:r>
        <w:t xml:space="preserve"> that needs to be answered is that which of the following alternatives should be selected: </w:t>
      </w:r>
    </w:p>
    <w:p w14:paraId="5D78EEDA" w14:textId="77777777" w:rsidR="009C44B2" w:rsidRDefault="009C44B2" w:rsidP="009C44B2">
      <w:r>
        <w:t>Alt1) Support only the resource mapping depicted in the left sub-figure without symbol bundling;</w:t>
      </w:r>
    </w:p>
    <w:p w14:paraId="03700A53" w14:textId="193BC0CF" w:rsidR="009C44B2" w:rsidRDefault="009C44B2" w:rsidP="009C44B2">
      <w:r>
        <w:t xml:space="preserve">Alt2) Support both resource mappings depicted in the left and right sub-figures by introducing a configurable parameter </w:t>
      </w:r>
      <m:oMath>
        <m:r>
          <w:rPr>
            <w:rFonts w:ascii="Cambria Math" w:hAnsi="Cambria Math"/>
          </w:rPr>
          <m:t>G</m:t>
        </m:r>
      </m:oMath>
      <w:r>
        <w:t xml:space="preserve">. </w:t>
      </w:r>
    </w:p>
    <w:p w14:paraId="7C48BF8E" w14:textId="77777777" w:rsidR="009C44B2" w:rsidRDefault="009C44B2" w:rsidP="009C44B2"/>
    <w:p w14:paraId="0DE9ADA4" w14:textId="37FFE54A" w:rsidR="009C44B2" w:rsidRDefault="009C44B2" w:rsidP="009C44B2">
      <w:pPr>
        <w:keepNext/>
        <w:jc w:val="center"/>
      </w:pPr>
      <w:r>
        <w:rPr>
          <w:noProof/>
          <w:lang w:eastAsia="zh-CN"/>
        </w:rPr>
        <w:lastRenderedPageBreak/>
        <w:drawing>
          <wp:inline distT="0" distB="0" distL="0" distR="0" wp14:anchorId="4B8237F5" wp14:editId="5DA988FF">
            <wp:extent cx="3218688" cy="1892808"/>
            <wp:effectExtent l="0" t="0" r="127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18688" cy="1892808"/>
                    </a:xfrm>
                    <a:prstGeom prst="rect">
                      <a:avLst/>
                    </a:prstGeom>
                    <a:noFill/>
                  </pic:spPr>
                </pic:pic>
              </a:graphicData>
            </a:graphic>
          </wp:inline>
        </w:drawing>
      </w:r>
    </w:p>
    <w:p w14:paraId="58B71437" w14:textId="5E28199B" w:rsidR="009C44B2" w:rsidRPr="00D643BA" w:rsidRDefault="009C44B2" w:rsidP="009C44B2">
      <w:pPr>
        <w:pStyle w:val="a5"/>
      </w:pPr>
      <w:bookmarkStart w:id="5" w:name="_Ref20213959"/>
      <w:bookmarkStart w:id="6" w:name="_Ref20213950"/>
      <w:r>
        <w:t xml:space="preserve">Figure </w:t>
      </w:r>
      <w:r w:rsidR="00C9188F">
        <w:rPr>
          <w:noProof/>
        </w:rPr>
        <w:fldChar w:fldCharType="begin"/>
      </w:r>
      <w:r w:rsidR="00C9188F">
        <w:rPr>
          <w:noProof/>
        </w:rPr>
        <w:instrText xml:space="preserve"> SEQ Figure \* ARABIC </w:instrText>
      </w:r>
      <w:r w:rsidR="00C9188F">
        <w:rPr>
          <w:noProof/>
        </w:rPr>
        <w:fldChar w:fldCharType="separate"/>
      </w:r>
      <w:r w:rsidR="00133448">
        <w:rPr>
          <w:noProof/>
        </w:rPr>
        <w:t>1</w:t>
      </w:r>
      <w:r w:rsidR="00C9188F">
        <w:rPr>
          <w:noProof/>
        </w:rPr>
        <w:fldChar w:fldCharType="end"/>
      </w:r>
      <w:bookmarkEnd w:id="5"/>
      <w:r>
        <w:t>: Staggered Rel. 16 positioni</w:t>
      </w:r>
      <w:r w:rsidRPr="00D643BA">
        <w:t xml:space="preserve">ng SRS with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r>
          <m:rPr>
            <m:sty m:val="bi"/>
          </m:rPr>
          <w:rPr>
            <w:rFonts w:ascii="Cambria Math" w:hAnsi="Cambria Math"/>
          </w:rPr>
          <m:t xml:space="preserve">=8 </m:t>
        </m:r>
      </m:oMath>
      <w:r w:rsidRPr="00C04C48">
        <w:t xml:space="preserve">and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=4</m:t>
        </m:r>
      </m:oMath>
      <w:r w:rsidRPr="00C04C48">
        <w:t xml:space="preserve"> with </w:t>
      </w:r>
      <w:r w:rsidRPr="007C0176">
        <w:t>symbol bundling (</w:t>
      </w:r>
      <w:r w:rsidRPr="00D643BA">
        <w:rPr>
          <w:i/>
        </w:rPr>
        <w:t>G=2</w:t>
      </w:r>
      <w:r w:rsidRPr="007C0176">
        <w:t>) and without symbol bundling (</w:t>
      </w:r>
      <w:r w:rsidRPr="00D643BA">
        <w:rPr>
          <w:i/>
        </w:rPr>
        <w:t>G=1</w:t>
      </w:r>
      <w:r w:rsidRPr="007C0176">
        <w:t>).</w:t>
      </w:r>
      <w:bookmarkEnd w:id="6"/>
    </w:p>
    <w:p w14:paraId="028F5F32" w14:textId="77777777" w:rsidR="009C44B2" w:rsidRDefault="009C44B2" w:rsidP="009C44B2">
      <w:pPr>
        <w:rPr>
          <w:bCs/>
          <w:iCs/>
        </w:rPr>
      </w:pPr>
    </w:p>
    <w:p w14:paraId="5143B324" w14:textId="77777777" w:rsidR="009C44B2" w:rsidRDefault="009C44B2" w:rsidP="009C44B2">
      <w:pPr>
        <w:rPr>
          <w:bCs/>
          <w:iCs/>
        </w:rPr>
      </w:pPr>
      <w:r>
        <w:rPr>
          <w:bCs/>
          <w:iCs/>
        </w:rPr>
        <w:t xml:space="preserve">We believe that supporting Alt2 has a clear practical advantage: </w:t>
      </w:r>
      <w:r>
        <w:rPr>
          <w:bCs/>
          <w:iCs/>
        </w:rPr>
        <w:fldChar w:fldCharType="begin"/>
      </w:r>
      <w:r>
        <w:rPr>
          <w:bCs/>
          <w:iCs/>
        </w:rPr>
        <w:instrText xml:space="preserve"> REF _Ref20215707 \h </w:instrText>
      </w:r>
      <w:r>
        <w:rPr>
          <w:bCs/>
          <w:iCs/>
        </w:rPr>
      </w:r>
      <w:r>
        <w:rPr>
          <w:bCs/>
          <w:iCs/>
        </w:rPr>
        <w:fldChar w:fldCharType="separate"/>
      </w:r>
      <w:r w:rsidR="00133448">
        <w:t xml:space="preserve">Figure </w:t>
      </w:r>
      <w:r w:rsidR="00133448">
        <w:rPr>
          <w:noProof/>
        </w:rPr>
        <w:t>2</w:t>
      </w:r>
      <w:r>
        <w:rPr>
          <w:bCs/>
          <w:iCs/>
        </w:rPr>
        <w:fldChar w:fldCharType="end"/>
      </w:r>
      <w:r>
        <w:rPr>
          <w:bCs/>
          <w:iCs/>
        </w:rPr>
        <w:t xml:space="preserve"> shows the staggered positioning SRSs in </w:t>
      </w:r>
      <w:r>
        <w:rPr>
          <w:bCs/>
          <w:iCs/>
        </w:rPr>
        <w:fldChar w:fldCharType="begin"/>
      </w:r>
      <w:r>
        <w:rPr>
          <w:bCs/>
          <w:iCs/>
        </w:rPr>
        <w:instrText xml:space="preserve"> REF _Ref20213959 \h </w:instrText>
      </w:r>
      <w:r>
        <w:rPr>
          <w:bCs/>
          <w:iCs/>
        </w:rPr>
      </w:r>
      <w:r>
        <w:rPr>
          <w:bCs/>
          <w:iCs/>
        </w:rPr>
        <w:fldChar w:fldCharType="separate"/>
      </w:r>
      <w:r w:rsidR="00133448">
        <w:t xml:space="preserve">Figure </w:t>
      </w:r>
      <w:r w:rsidR="00133448">
        <w:rPr>
          <w:noProof/>
        </w:rPr>
        <w:t>1</w:t>
      </w:r>
      <w:r>
        <w:rPr>
          <w:bCs/>
          <w:iCs/>
        </w:rPr>
        <w:fldChar w:fldCharType="end"/>
      </w:r>
      <w:r>
        <w:rPr>
          <w:bCs/>
          <w:iCs/>
        </w:rPr>
        <w:t xml:space="preserve"> along with three Rel. 15 SRSs 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=4</m:t>
        </m:r>
      </m:oMath>
      <w:r>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=4</m:t>
        </m:r>
      </m:oMath>
      <w:r>
        <w:t xml:space="preserve">. As can be observed from the right sub-figure, when </w:t>
      </w:r>
      <m:oMath>
        <m:r>
          <w:rPr>
            <w:rFonts w:ascii="Cambria Math" w:hAnsi="Cambria Math"/>
          </w:rPr>
          <m:t>G=2</m:t>
        </m:r>
      </m:oMath>
      <w:r>
        <w:rPr>
          <w:bCs/>
          <w:iCs/>
        </w:rPr>
        <w:t xml:space="preserve"> is selected, </w:t>
      </w:r>
      <w:r w:rsidRPr="007C0176">
        <w:rPr>
          <w:bCs/>
          <w:i/>
          <w:iCs/>
        </w:rPr>
        <w:t>all</w:t>
      </w:r>
      <w:r>
        <w:rPr>
          <w:bCs/>
          <w:iCs/>
        </w:rPr>
        <w:t xml:space="preserve"> three Rel. 15 SRS resources can be FDMed with the positioning SRS without any collision. However, as shown in the left sub-figure, if </w:t>
      </w:r>
      <m:oMath>
        <m:r>
          <w:rPr>
            <w:rFonts w:ascii="Cambria Math" w:hAnsi="Cambria Math"/>
          </w:rPr>
          <m:t>G=1</m:t>
        </m:r>
      </m:oMath>
      <w:r>
        <w:rPr>
          <w:bCs/>
          <w:iCs/>
        </w:rPr>
        <w:t xml:space="preserve"> selected, or, equivalently, the symbol bundling is not supported, </w:t>
      </w:r>
      <w:r w:rsidRPr="007C0176">
        <w:rPr>
          <w:bCs/>
          <w:i/>
          <w:iCs/>
        </w:rPr>
        <w:t>all</w:t>
      </w:r>
      <w:r>
        <w:rPr>
          <w:bCs/>
          <w:iCs/>
        </w:rPr>
        <w:t xml:space="preserve"> three Rel. 15 SRSs collide with the Rel. 16 positioning SRS in some REs.  In fact, it is straightforward to observe that it is impossible to FDM any 4-symbol Rel. 15 SRS resource with the staggered positioning SRS depicted in the left sub-figure without some collisions.  This is due to the fact that any </w:t>
      </w:r>
      <m:oMath>
        <m:r>
          <w:rPr>
            <w:rFonts w:ascii="Cambria Math" w:hAnsi="Cambria Math"/>
          </w:rPr>
          <m:t xml:space="preserve">1×4 </m:t>
        </m:r>
      </m:oMath>
      <w:r>
        <w:rPr>
          <w:bCs/>
          <w:iCs/>
        </w:rPr>
        <w:t>box of REs with the same frequency domain index on 4 consecutive symbols carries one positioning SRS RE in the left sub-figure and, hence, cannot be FDMed with a 4-symbol Rel. 15 SRS without a collision.</w:t>
      </w:r>
    </w:p>
    <w:p w14:paraId="2D3C4BD7" w14:textId="7D1E5869" w:rsidR="009C44B2" w:rsidRDefault="009C44B2" w:rsidP="009C44B2">
      <w:pPr>
        <w:keepNext/>
        <w:jc w:val="center"/>
      </w:pPr>
      <w:r>
        <w:rPr>
          <w:bCs/>
          <w:iCs/>
          <w:noProof/>
          <w:lang w:eastAsia="zh-CN"/>
        </w:rPr>
        <w:drawing>
          <wp:inline distT="0" distB="0" distL="0" distR="0" wp14:anchorId="4BF9740E" wp14:editId="3BE6199F">
            <wp:extent cx="3328416" cy="2203704"/>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8416" cy="2203704"/>
                    </a:xfrm>
                    <a:prstGeom prst="rect">
                      <a:avLst/>
                    </a:prstGeom>
                    <a:noFill/>
                  </pic:spPr>
                </pic:pic>
              </a:graphicData>
            </a:graphic>
          </wp:inline>
        </w:drawing>
      </w:r>
    </w:p>
    <w:p w14:paraId="7D3646D3" w14:textId="77777777" w:rsidR="009C44B2" w:rsidRDefault="009C44B2" w:rsidP="009C44B2">
      <w:pPr>
        <w:pStyle w:val="a5"/>
        <w:rPr>
          <w:bCs w:val="0"/>
          <w:iCs/>
        </w:rPr>
      </w:pPr>
      <w:bookmarkStart w:id="7" w:name="_Ref20215707"/>
      <w:r>
        <w:t xml:space="preserve">Figure </w:t>
      </w:r>
      <w:r w:rsidR="00C9188F">
        <w:rPr>
          <w:noProof/>
        </w:rPr>
        <w:fldChar w:fldCharType="begin"/>
      </w:r>
      <w:r w:rsidR="00C9188F">
        <w:rPr>
          <w:noProof/>
        </w:rPr>
        <w:instrText xml:space="preserve"> SEQ Figure \* ARABIC </w:instrText>
      </w:r>
      <w:r w:rsidR="00C9188F">
        <w:rPr>
          <w:noProof/>
        </w:rPr>
        <w:fldChar w:fldCharType="separate"/>
      </w:r>
      <w:r w:rsidR="00133448">
        <w:rPr>
          <w:noProof/>
        </w:rPr>
        <w:t>2</w:t>
      </w:r>
      <w:r w:rsidR="00C9188F">
        <w:rPr>
          <w:noProof/>
        </w:rPr>
        <w:fldChar w:fldCharType="end"/>
      </w:r>
      <w:bookmarkEnd w:id="7"/>
      <w:r>
        <w:t>: Staggered Rel. 16 positioni</w:t>
      </w:r>
      <w:r w:rsidRPr="00D643BA">
        <w:t>ng SRS</w:t>
      </w:r>
      <w:r>
        <w:t xml:space="preserve"> </w:t>
      </w:r>
      <w:r w:rsidRPr="00D643BA">
        <w:t xml:space="preserve">with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r>
          <m:rPr>
            <m:sty m:val="bi"/>
          </m:rPr>
          <w:rPr>
            <w:rFonts w:ascii="Cambria Math" w:hAnsi="Cambria Math"/>
          </w:rPr>
          <m:t xml:space="preserve">=8 </m:t>
        </m:r>
      </m:oMath>
      <w:r w:rsidRPr="00C04C48">
        <w:t xml:space="preserve">and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=4</m:t>
        </m:r>
      </m:oMath>
      <w:r>
        <w:t xml:space="preserve"> and three non-staggered Rel. 15 SRS with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r>
          <m:rPr>
            <m:sty m:val="bi"/>
          </m:rPr>
          <w:rPr>
            <w:rFonts w:ascii="Cambria Math" w:hAnsi="Cambria Math"/>
          </w:rPr>
          <m:t xml:space="preserve">=4 </m:t>
        </m:r>
      </m:oMath>
      <w:r w:rsidRPr="00C04C48">
        <w:t xml:space="preserve">and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=4</m:t>
        </m:r>
      </m:oMath>
      <w:r>
        <w:t>.</w:t>
      </w:r>
    </w:p>
    <w:p w14:paraId="2648170C" w14:textId="77777777" w:rsidR="009C44B2" w:rsidRDefault="009C44B2" w:rsidP="009C44B2">
      <w:pPr>
        <w:rPr>
          <w:bCs/>
          <w:iCs/>
        </w:rPr>
      </w:pPr>
    </w:p>
    <w:p w14:paraId="0C4F1266" w14:textId="6E3B6E02" w:rsidR="009C44B2" w:rsidRDefault="009C44B2" w:rsidP="009C44B2">
      <w:r>
        <w:rPr>
          <w:bCs/>
          <w:iCs/>
        </w:rPr>
        <w:t xml:space="preserve">Above observation also holds for other pairs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oMath>
      <w:r>
        <w:t xml:space="preserve">. See, for instance, </w:t>
      </w:r>
      <w:r>
        <w:fldChar w:fldCharType="begin"/>
      </w:r>
      <w:r>
        <w:instrText xml:space="preserve"> REF _Ref20227694 \h </w:instrText>
      </w:r>
      <w:r>
        <w:fldChar w:fldCharType="separate"/>
      </w:r>
      <w:r w:rsidR="00133448">
        <w:t xml:space="preserve">Figure </w:t>
      </w:r>
      <w:r w:rsidR="00133448">
        <w:rPr>
          <w:noProof/>
        </w:rPr>
        <w:t>3</w:t>
      </w:r>
      <w:r>
        <w:fldChar w:fldCharType="end"/>
      </w:r>
      <w:r>
        <w:t xml:space="preserve"> that depicts </w:t>
      </w:r>
      <w:r w:rsidRPr="00A16130">
        <w:t xml:space="preserve">two non-staggered Rel. 15 SRS </w:t>
      </w:r>
      <w:r>
        <w:t xml:space="preserve">resources </w:t>
      </w:r>
      <w:r w:rsidRPr="00A16130">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=2 </m:t>
        </m:r>
      </m:oMath>
      <w:r w:rsidRPr="00A16130">
        <w:t>and</w:t>
      </w:r>
      <w:r>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=2</m:t>
        </m:r>
      </m:oMath>
      <w:r>
        <w:t xml:space="preserve"> that are FDMed with the same staggered positioning SRS resources in </w:t>
      </w:r>
      <w:r>
        <w:fldChar w:fldCharType="begin"/>
      </w:r>
      <w:r>
        <w:instrText xml:space="preserve"> REF _Ref20213959 \h </w:instrText>
      </w:r>
      <w:r>
        <w:fldChar w:fldCharType="separate"/>
      </w:r>
      <w:r w:rsidR="00133448">
        <w:t xml:space="preserve">Figure </w:t>
      </w:r>
      <w:r w:rsidR="00133448">
        <w:rPr>
          <w:noProof/>
        </w:rPr>
        <w:t>1</w:t>
      </w:r>
      <w:r>
        <w:fldChar w:fldCharType="end"/>
      </w:r>
      <w:r w:rsidRPr="00A16130">
        <w:t>.</w:t>
      </w:r>
      <w:r>
        <w:t xml:space="preserve"> As can be observed from the left sub-figure, it is impossible to FDM a Rel. 15 SRS </w:t>
      </w:r>
      <w:r w:rsidRPr="00A16130">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=2 </m:t>
        </m:r>
      </m:oMath>
      <w:r w:rsidRPr="00A16130">
        <w:t>and</w:t>
      </w:r>
      <w:r>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=2</m:t>
        </m:r>
      </m:oMath>
      <w:r>
        <w:t xml:space="preserve"> with the staggered positioning SRS resource that corresponds to </w:t>
      </w:r>
      <m:oMath>
        <m:r>
          <w:rPr>
            <w:rFonts w:ascii="Cambria Math" w:hAnsi="Cambria Math"/>
          </w:rPr>
          <m:t>G=1</m:t>
        </m:r>
      </m:oMath>
      <w:r>
        <w:rPr>
          <w:bCs/>
          <w:iCs/>
        </w:rPr>
        <w:t xml:space="preserve">. In turn, as shown in the right sub-figure, to FDM these Rel. 15 SRS resources with the staggered positioning SRS resource of </w:t>
      </w:r>
      <m:oMath>
        <m:sSubSup>
          <m:sSubSupPr>
            <m:ctrlPr>
              <w:rPr>
                <w:rFonts w:ascii="Cambria Math" w:hAnsi="Cambria Math"/>
                <w:bCs/>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=8 </m:t>
        </m:r>
      </m:oMath>
      <w:r w:rsidRPr="00C45F88">
        <w:rPr>
          <w:bCs/>
          <w:iCs/>
        </w:rPr>
        <w:t xml:space="preserve">and </w:t>
      </w:r>
      <m:oMath>
        <m:sSub>
          <m:sSubPr>
            <m:ctrlPr>
              <w:rPr>
                <w:rFonts w:ascii="Cambria Math" w:hAnsi="Cambria Math"/>
                <w:bCs/>
                <w:iCs/>
              </w:rPr>
            </m:ctrlPr>
          </m:sSubPr>
          <m:e>
            <m:r>
              <w:rPr>
                <w:rFonts w:ascii="Cambria Math" w:hAnsi="Cambria Math"/>
              </w:rPr>
              <m:t>K</m:t>
            </m:r>
          </m:e>
          <m:sub>
            <m:r>
              <m:rPr>
                <m:sty m:val="p"/>
              </m:rPr>
              <w:rPr>
                <w:rFonts w:ascii="Cambria Math" w:hAnsi="Cambria Math"/>
              </w:rPr>
              <m:t>TC</m:t>
            </m:r>
          </m:sub>
        </m:sSub>
        <m:r>
          <w:rPr>
            <w:rFonts w:ascii="Cambria Math" w:hAnsi="Cambria Math"/>
          </w:rPr>
          <m:t>=4</m:t>
        </m:r>
      </m:oMath>
      <w:r>
        <w:rPr>
          <w:bCs/>
          <w:iCs/>
        </w:rPr>
        <w:t xml:space="preserve">,  </w:t>
      </w:r>
      <w:r>
        <w:t xml:space="preserve"> </w:t>
      </w:r>
      <m:oMath>
        <m:r>
          <w:rPr>
            <w:rFonts w:ascii="Cambria Math" w:hAnsi="Cambria Math"/>
          </w:rPr>
          <m:t xml:space="preserve">G=2 </m:t>
        </m:r>
      </m:oMath>
      <w:r>
        <w:rPr>
          <w:bCs/>
          <w:iCs/>
        </w:rPr>
        <w:t xml:space="preserve">needs to be configured. </w:t>
      </w:r>
    </w:p>
    <w:p w14:paraId="5081919E" w14:textId="06AF1604" w:rsidR="009C44B2" w:rsidRDefault="009C44B2" w:rsidP="009C44B2">
      <w:pPr>
        <w:keepNext/>
        <w:jc w:val="center"/>
      </w:pPr>
      <w:r>
        <w:rPr>
          <w:noProof/>
          <w:lang w:eastAsia="zh-CN"/>
        </w:rPr>
        <w:lastRenderedPageBreak/>
        <w:drawing>
          <wp:inline distT="0" distB="0" distL="0" distR="0" wp14:anchorId="0571CF1E" wp14:editId="7A236A04">
            <wp:extent cx="3319272" cy="2203704"/>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19272" cy="2203704"/>
                    </a:xfrm>
                    <a:prstGeom prst="rect">
                      <a:avLst/>
                    </a:prstGeom>
                    <a:noFill/>
                  </pic:spPr>
                </pic:pic>
              </a:graphicData>
            </a:graphic>
          </wp:inline>
        </w:drawing>
      </w:r>
    </w:p>
    <w:p w14:paraId="15BC4DF1" w14:textId="77777777" w:rsidR="009C44B2" w:rsidRDefault="009C44B2" w:rsidP="009C44B2">
      <w:pPr>
        <w:pStyle w:val="a5"/>
      </w:pPr>
      <w:bookmarkStart w:id="8" w:name="_Ref20227694"/>
      <w:r>
        <w:t xml:space="preserve">Figure </w:t>
      </w:r>
      <w:r w:rsidR="00C9188F">
        <w:rPr>
          <w:noProof/>
        </w:rPr>
        <w:fldChar w:fldCharType="begin"/>
      </w:r>
      <w:r w:rsidR="00C9188F">
        <w:rPr>
          <w:noProof/>
        </w:rPr>
        <w:instrText xml:space="preserve"> SEQ Figure \* ARABIC </w:instrText>
      </w:r>
      <w:r w:rsidR="00C9188F">
        <w:rPr>
          <w:noProof/>
        </w:rPr>
        <w:fldChar w:fldCharType="separate"/>
      </w:r>
      <w:r w:rsidR="00133448">
        <w:rPr>
          <w:noProof/>
        </w:rPr>
        <w:t>3</w:t>
      </w:r>
      <w:r w:rsidR="00C9188F">
        <w:rPr>
          <w:noProof/>
        </w:rPr>
        <w:fldChar w:fldCharType="end"/>
      </w:r>
      <w:bookmarkEnd w:id="8"/>
      <w:r>
        <w:t>: Staggered Rel. 16 positioni</w:t>
      </w:r>
      <w:r w:rsidRPr="00D643BA">
        <w:t>ng SRS</w:t>
      </w:r>
      <w:r>
        <w:t xml:space="preserve"> </w:t>
      </w:r>
      <w:r w:rsidRPr="00D643BA">
        <w:t xml:space="preserve">with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r>
          <m:rPr>
            <m:sty m:val="bi"/>
          </m:rPr>
          <w:rPr>
            <w:rFonts w:ascii="Cambria Math" w:hAnsi="Cambria Math"/>
          </w:rPr>
          <m:t xml:space="preserve">=8 </m:t>
        </m:r>
      </m:oMath>
      <w:r w:rsidRPr="00C04C48">
        <w:t xml:space="preserve">and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=4</m:t>
        </m:r>
      </m:oMath>
      <w:r>
        <w:t xml:space="preserve"> and two non-staggered Rel. 15 SRS with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r>
          <m:rPr>
            <m:sty m:val="bi"/>
          </m:rPr>
          <w:rPr>
            <w:rFonts w:ascii="Cambria Math" w:hAnsi="Cambria Math"/>
          </w:rPr>
          <m:t xml:space="preserve">=2 </m:t>
        </m:r>
      </m:oMath>
      <w:r w:rsidRPr="00C04C48">
        <w:t xml:space="preserve">and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=2</m:t>
        </m:r>
      </m:oMath>
      <w:r>
        <w:t>.</w:t>
      </w:r>
    </w:p>
    <w:p w14:paraId="7406CD78" w14:textId="78F821CF" w:rsidR="009C44B2" w:rsidRPr="00D96EA3" w:rsidRDefault="00D35C3E" w:rsidP="009C44B2">
      <w:pPr>
        <w:rPr>
          <w:b/>
          <w:bCs/>
          <w:i/>
          <w:iCs/>
        </w:rPr>
      </w:pPr>
      <w:r w:rsidRPr="008B7DF0">
        <w:rPr>
          <w:b/>
          <w:i/>
        </w:rPr>
        <w:t xml:space="preserve">Observation </w:t>
      </w:r>
      <w:r w:rsidRPr="00F1585F">
        <w:rPr>
          <w:b/>
          <w:i/>
        </w:rPr>
        <w:fldChar w:fldCharType="begin"/>
      </w:r>
      <w:r w:rsidRPr="008B7DF0">
        <w:rPr>
          <w:b/>
          <w:i/>
        </w:rPr>
        <w:instrText xml:space="preserve"> SEQ Observation \* ARABIC </w:instrText>
      </w:r>
      <w:r w:rsidRPr="00F1585F">
        <w:rPr>
          <w:b/>
          <w:i/>
        </w:rPr>
        <w:fldChar w:fldCharType="separate"/>
      </w:r>
      <w:r w:rsidR="00133448">
        <w:rPr>
          <w:b/>
          <w:i/>
          <w:noProof/>
        </w:rPr>
        <w:t>1</w:t>
      </w:r>
      <w:r w:rsidRPr="00F1585F">
        <w:rPr>
          <w:b/>
          <w:i/>
        </w:rPr>
        <w:fldChar w:fldCharType="end"/>
      </w:r>
      <w:r>
        <w:rPr>
          <w:b/>
          <w:i/>
        </w:rPr>
        <w:t xml:space="preserve">: </w:t>
      </w:r>
      <w:r w:rsidR="009C44B2" w:rsidRPr="00D96EA3">
        <w:rPr>
          <w:b/>
          <w:i/>
        </w:rPr>
        <w:t xml:space="preserve">Configuring every </w:t>
      </w:r>
      <m:oMath>
        <m:r>
          <m:rPr>
            <m:sty m:val="bi"/>
          </m:rPr>
          <w:rPr>
            <w:rFonts w:ascii="Cambria Math" w:hAnsi="Cambria Math"/>
            <w:sz w:val="20"/>
            <w:szCs w:val="20"/>
          </w:rPr>
          <m:t xml:space="preserve">G≥ 1 </m:t>
        </m:r>
      </m:oMath>
      <w:r w:rsidR="009C44B2" w:rsidRPr="00D96EA3">
        <w:rPr>
          <w:b/>
          <w:i/>
        </w:rPr>
        <w:t xml:space="preserve">consecutive symbols with the same RE offset within a staggered SRS resource provides the possibility of FDM with Rel. 15 SRS resources without collision. </w:t>
      </w:r>
    </w:p>
    <w:p w14:paraId="326EC263" w14:textId="27E62DDB" w:rsidR="009C44B2" w:rsidRDefault="009C44B2" w:rsidP="009C44B2">
      <w:pPr>
        <w:rPr>
          <w:sz w:val="20"/>
          <w:szCs w:val="20"/>
        </w:rPr>
      </w:pPr>
      <w:r>
        <w:rPr>
          <w:bCs/>
          <w:iCs/>
        </w:rPr>
        <w:t xml:space="preserve">There are other advantages of having the flexibility of configuring </w:t>
      </w:r>
      <m:oMath>
        <m:r>
          <w:rPr>
            <w:rFonts w:ascii="Cambria Math" w:hAnsi="Cambria Math"/>
          </w:rPr>
          <m:t>G</m:t>
        </m:r>
        <m:r>
          <w:rPr>
            <w:rFonts w:ascii="Cambria Math" w:hAnsi="Cambria Math"/>
            <w:sz w:val="20"/>
            <w:szCs w:val="20"/>
          </w:rPr>
          <m:t xml:space="preserve">≥ 1 </m:t>
        </m:r>
      </m:oMath>
      <w:r w:rsidRPr="007C0176">
        <w:t>consecutive symbols with the same RE offset within a staggered SRS resource</w:t>
      </w:r>
      <w:r>
        <w:t xml:space="preserve">. For instance, it can </w:t>
      </w:r>
      <w:r w:rsidR="00AC118E">
        <w:t xml:space="preserve">be </w:t>
      </w:r>
      <w:r>
        <w:t xml:space="preserve">observed from the right sub-figure in </w:t>
      </w:r>
      <w:r>
        <w:fldChar w:fldCharType="begin"/>
      </w:r>
      <w:r>
        <w:instrText xml:space="preserve"> REF _Ref20213959 \h </w:instrText>
      </w:r>
      <w:r>
        <w:fldChar w:fldCharType="separate"/>
      </w:r>
      <w:r w:rsidR="00133448">
        <w:t xml:space="preserve">Figure </w:t>
      </w:r>
      <w:r w:rsidR="00133448">
        <w:rPr>
          <w:noProof/>
        </w:rPr>
        <w:t>1</w:t>
      </w:r>
      <w:r>
        <w:fldChar w:fldCharType="end"/>
      </w:r>
      <w:r>
        <w:t xml:space="preserve"> that, starting from the third SRS symbol (which falls in the last 6 symbols of the slot used for Rel. 15 SRS usages), every two consecutive </w:t>
      </w:r>
      <w:r w:rsidR="006040EC">
        <w:t xml:space="preserve">SRS </w:t>
      </w:r>
      <w:r>
        <w:t>symbols can concurrently be used as a two-symbol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=2 </m:t>
        </m:r>
      </m:oMath>
      <w:r>
        <w:t xml:space="preserve">) </w:t>
      </w:r>
      <w:r w:rsidR="001F03C1">
        <w:t xml:space="preserve">SRS resource </w:t>
      </w:r>
      <w:r>
        <w:t xml:space="preserve">with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 xml:space="preserve">=4 </m:t>
        </m:r>
      </m:oMath>
      <w:r>
        <w:t xml:space="preserve">for </w:t>
      </w:r>
      <w:r w:rsidR="00952E22">
        <w:t>Rel. 15 usages</w:t>
      </w:r>
      <w:r>
        <w:t xml:space="preserve">. This is made possible because of configuring </w:t>
      </w:r>
      <m:oMath>
        <m:r>
          <w:rPr>
            <w:rFonts w:ascii="Cambria Math" w:hAnsi="Cambria Math"/>
          </w:rPr>
          <m:t>G=2</m:t>
        </m:r>
      </m:oMath>
      <w:r w:rsidR="007E37AA">
        <w:t xml:space="preserve"> in the right sub-figure of </w:t>
      </w:r>
      <w:r w:rsidR="007E37AA">
        <w:fldChar w:fldCharType="begin"/>
      </w:r>
      <w:r w:rsidR="007E37AA">
        <w:instrText xml:space="preserve"> REF _Ref20213959 \h </w:instrText>
      </w:r>
      <w:r w:rsidR="007E37AA">
        <w:fldChar w:fldCharType="separate"/>
      </w:r>
      <w:r w:rsidR="00133448">
        <w:t xml:space="preserve">Figure </w:t>
      </w:r>
      <w:r w:rsidR="00133448">
        <w:rPr>
          <w:noProof/>
        </w:rPr>
        <w:t>1</w:t>
      </w:r>
      <w:r w:rsidR="007E37AA">
        <w:fldChar w:fldCharType="end"/>
      </w:r>
      <w:r w:rsidR="007E37AA">
        <w:t xml:space="preserve">. </w:t>
      </w:r>
      <w:r w:rsidR="006040EC">
        <w:t xml:space="preserve">Note </w:t>
      </w:r>
      <w:r w:rsidR="00F94063">
        <w:t xml:space="preserve">that sending a dual purpose SRS for the </w:t>
      </w:r>
      <w:r w:rsidR="006040EC">
        <w:t xml:space="preserve">Rel. 16 </w:t>
      </w:r>
      <w:r w:rsidR="00F94063">
        <w:t>positioning and</w:t>
      </w:r>
      <w:r w:rsidR="006040EC">
        <w:t xml:space="preserve"> Rel. 15 </w:t>
      </w:r>
      <w:r w:rsidR="00F8597A">
        <w:t xml:space="preserve">SRS </w:t>
      </w:r>
      <w:r w:rsidR="006040EC">
        <w:t>usages substantially reduces the uplink RS overhead and preserve</w:t>
      </w:r>
      <w:r w:rsidR="00F94063">
        <w:t>s</w:t>
      </w:r>
      <w:r w:rsidR="006040EC">
        <w:t xml:space="preserve"> UE power.  </w:t>
      </w:r>
      <w:r w:rsidR="002E0230">
        <w:t xml:space="preserve">  </w:t>
      </w:r>
    </w:p>
    <w:p w14:paraId="2BFFFA09" w14:textId="6235EF5E" w:rsidR="009C44B2" w:rsidRPr="00D96EA3" w:rsidRDefault="00D35C3E" w:rsidP="009D7D56">
      <w:pPr>
        <w:rPr>
          <w:b/>
          <w:i/>
        </w:rPr>
      </w:pPr>
      <w:r w:rsidRPr="008B7DF0">
        <w:rPr>
          <w:b/>
          <w:i/>
        </w:rPr>
        <w:t xml:space="preserve">Observation </w:t>
      </w:r>
      <w:r w:rsidRPr="00F1585F">
        <w:rPr>
          <w:b/>
          <w:i/>
        </w:rPr>
        <w:fldChar w:fldCharType="begin"/>
      </w:r>
      <w:r w:rsidRPr="008B7DF0">
        <w:rPr>
          <w:b/>
          <w:i/>
        </w:rPr>
        <w:instrText xml:space="preserve"> SEQ Observation \* ARABIC </w:instrText>
      </w:r>
      <w:r w:rsidRPr="00F1585F">
        <w:rPr>
          <w:b/>
          <w:i/>
        </w:rPr>
        <w:fldChar w:fldCharType="separate"/>
      </w:r>
      <w:r w:rsidR="00133448">
        <w:rPr>
          <w:b/>
          <w:i/>
          <w:noProof/>
        </w:rPr>
        <w:t>2</w:t>
      </w:r>
      <w:r w:rsidRPr="00F1585F">
        <w:rPr>
          <w:b/>
          <w:i/>
        </w:rPr>
        <w:fldChar w:fldCharType="end"/>
      </w:r>
      <w:r>
        <w:rPr>
          <w:b/>
          <w:i/>
        </w:rPr>
        <w:t xml:space="preserve">: </w:t>
      </w:r>
      <w:r w:rsidR="002B1622" w:rsidRPr="00D96EA3">
        <w:rPr>
          <w:b/>
          <w:i/>
        </w:rPr>
        <w:t xml:space="preserve">Configuring every </w:t>
      </w:r>
      <m:oMath>
        <m:r>
          <m:rPr>
            <m:sty m:val="bi"/>
          </m:rPr>
          <w:rPr>
            <w:rFonts w:ascii="Cambria Math" w:hAnsi="Cambria Math"/>
            <w:sz w:val="20"/>
            <w:szCs w:val="20"/>
          </w:rPr>
          <m:t>G</m:t>
        </m:r>
        <m:r>
          <m:rPr>
            <m:sty m:val="bi"/>
          </m:rPr>
          <w:rPr>
            <w:rFonts w:ascii="Cambria Math" w:hAnsi="Cambria Math" w:hint="eastAsia"/>
            <w:sz w:val="20"/>
            <w:szCs w:val="20"/>
          </w:rPr>
          <m:t>≥</m:t>
        </m:r>
        <m:r>
          <m:rPr>
            <m:sty m:val="bi"/>
          </m:rPr>
          <w:rPr>
            <w:rFonts w:ascii="Cambria Math" w:hAnsi="Cambria Math" w:hint="eastAsia"/>
            <w:sz w:val="20"/>
            <w:szCs w:val="20"/>
          </w:rPr>
          <m:t xml:space="preserve"> 1 </m:t>
        </m:r>
      </m:oMath>
      <w:r w:rsidR="002B1622" w:rsidRPr="00D96EA3">
        <w:rPr>
          <w:b/>
          <w:i/>
        </w:rPr>
        <w:t>consecutive symbols with the same RE offset within a staggered SRS resource makes it possible to use the SRS resource for</w:t>
      </w:r>
      <w:r w:rsidR="00F94063" w:rsidRPr="00D96EA3">
        <w:rPr>
          <w:b/>
          <w:i/>
        </w:rPr>
        <w:t xml:space="preserve"> dual purpose</w:t>
      </w:r>
      <w:r w:rsidR="002B1622" w:rsidRPr="00D96EA3">
        <w:rPr>
          <w:b/>
          <w:i/>
        </w:rPr>
        <w:t>s</w:t>
      </w:r>
      <w:r w:rsidR="00F8597A" w:rsidRPr="00D96EA3">
        <w:rPr>
          <w:b/>
          <w:i/>
        </w:rPr>
        <w:t xml:space="preserve">: 1) staggered SRS resource with </w:t>
      </w:r>
      <m:oMath>
        <m:sSubSup>
          <m:sSubSupPr>
            <m:ctrlPr>
              <w:rPr>
                <w:rFonts w:ascii="Cambria Math" w:hAnsi="Cambria Math"/>
                <w:b/>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oMath>
      <w:r w:rsidR="00F8597A" w:rsidRPr="00D96EA3">
        <w:rPr>
          <w:b/>
          <w:i/>
        </w:rPr>
        <w:t xml:space="preserve"> for positioning purposes; 2) one or multiple non-staggered SRS resources each with G symbols for Rel. 15 usages</w:t>
      </w:r>
      <w:r w:rsidR="003D4E0A" w:rsidRPr="00D96EA3">
        <w:rPr>
          <w:b/>
          <w:i/>
        </w:rPr>
        <w:t xml:space="preserve">. </w:t>
      </w:r>
    </w:p>
    <w:p w14:paraId="6E8602A7" w14:textId="0A6E54CF" w:rsidR="002B1622" w:rsidRDefault="00BB0BCF" w:rsidP="009D7D56">
      <w:r>
        <w:t>We should further stress that</w:t>
      </w:r>
      <w:r w:rsidR="00174B80">
        <w:t xml:space="preserve"> </w:t>
      </w:r>
      <m:oMath>
        <m:r>
          <w:rPr>
            <w:rFonts w:ascii="Cambria Math" w:hAnsi="Cambria Math"/>
            <w:sz w:val="20"/>
            <w:szCs w:val="20"/>
          </w:rPr>
          <m:t>G</m:t>
        </m:r>
      </m:oMath>
      <w:r>
        <w:t xml:space="preserve"> is a configurable </w:t>
      </w:r>
      <w:r w:rsidR="00174B80">
        <w:t xml:space="preserve">parameter and it can be configured </w:t>
      </w:r>
      <w:r w:rsidR="001F03C1">
        <w:t xml:space="preserve">to </w:t>
      </w:r>
      <w:r>
        <w:t xml:space="preserve"> </w:t>
      </w:r>
      <m:oMath>
        <m:r>
          <w:rPr>
            <w:rFonts w:ascii="Cambria Math" w:hAnsi="Cambria Math"/>
          </w:rPr>
          <m:t xml:space="preserve">G=1 </m:t>
        </m:r>
      </m:oMath>
      <w:r w:rsidR="00C22041">
        <w:t xml:space="preserve">similar to the left sub-figure of </w:t>
      </w:r>
      <w:r w:rsidR="00C22041">
        <w:fldChar w:fldCharType="begin"/>
      </w:r>
      <w:r w:rsidR="00C22041">
        <w:instrText xml:space="preserve"> REF _Ref20213959 \h </w:instrText>
      </w:r>
      <w:r w:rsidR="00C22041">
        <w:fldChar w:fldCharType="separate"/>
      </w:r>
      <w:r w:rsidR="00133448">
        <w:t xml:space="preserve">Figure </w:t>
      </w:r>
      <w:r w:rsidR="00133448">
        <w:rPr>
          <w:noProof/>
        </w:rPr>
        <w:t>1</w:t>
      </w:r>
      <w:r w:rsidR="00C22041">
        <w:fldChar w:fldCharType="end"/>
      </w:r>
      <w:r w:rsidR="00C22041">
        <w:t xml:space="preserve"> or it can be configured with a value larger than 1 based on the network decision. </w:t>
      </w:r>
      <w:r w:rsidR="00E45DDD">
        <w:t xml:space="preserve">As will be discussed in details in Section </w:t>
      </w:r>
      <w:r w:rsidR="00E45DDD">
        <w:fldChar w:fldCharType="begin"/>
      </w:r>
      <w:r w:rsidR="00E45DDD">
        <w:instrText xml:space="preserve"> REF _Ref20237149 \n \h </w:instrText>
      </w:r>
      <w:r w:rsidR="00E45DDD">
        <w:fldChar w:fldCharType="separate"/>
      </w:r>
      <w:r w:rsidR="00133448">
        <w:t>2.2.2</w:t>
      </w:r>
      <w:r w:rsidR="00E45DDD">
        <w:fldChar w:fldCharType="end"/>
      </w:r>
      <w:r w:rsidR="00E45DDD">
        <w:t xml:space="preserve">, such a flexibility </w:t>
      </w:r>
      <w:r w:rsidR="00B5170C">
        <w:t>facilitates</w:t>
      </w:r>
      <w:r w:rsidR="00E45DDD">
        <w:t xml:space="preserve"> providing </w:t>
      </w:r>
      <w:r w:rsidR="00E45DDD" w:rsidRPr="00E325FC">
        <w:rPr>
          <w:i/>
        </w:rPr>
        <w:t>one unified</w:t>
      </w:r>
      <w:r w:rsidR="00E45DDD">
        <w:t xml:space="preserve"> resource mapping equation for both Rel. 16 staggered and Rel. 15 non-staggered SRS resource mapping</w:t>
      </w:r>
      <w:r w:rsidR="00924218">
        <w:t>s</w:t>
      </w:r>
      <w:r w:rsidR="00B5170C">
        <w:t xml:space="preserve">. In our unified SRS resource mapping equation, Rel. 15 non-staggered resource mapping can be obtained as a special case </w:t>
      </w:r>
      <w:r w:rsidR="00BE1213">
        <w:t xml:space="preserve">of Rel. 16 staggered resource mapping </w:t>
      </w:r>
      <w:r w:rsidR="00B5170C">
        <w:t xml:space="preserve">by setting  </w:t>
      </w:r>
      <m:oMath>
        <m:r>
          <w:rPr>
            <w:rFonts w:ascii="Cambria Math" w:hAnsi="Cambria Math"/>
          </w:rPr>
          <m:t>G=</m:t>
        </m:r>
      </m:oMath>
      <w:r w:rsidR="00B5170C">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rsidR="00B5170C">
        <w:t>.</w:t>
      </w:r>
    </w:p>
    <w:p w14:paraId="5211EAAB" w14:textId="4A2CDC03" w:rsidR="00B5170C" w:rsidRPr="00D96EA3" w:rsidRDefault="00D35C3E" w:rsidP="00FF2D63">
      <w:pPr>
        <w:rPr>
          <w:b/>
          <w:i/>
        </w:rPr>
      </w:pPr>
      <w:r w:rsidRPr="008B7DF0">
        <w:rPr>
          <w:b/>
          <w:i/>
        </w:rPr>
        <w:t xml:space="preserve">Observation </w:t>
      </w:r>
      <w:r w:rsidRPr="00F1585F">
        <w:rPr>
          <w:b/>
          <w:i/>
        </w:rPr>
        <w:fldChar w:fldCharType="begin"/>
      </w:r>
      <w:r w:rsidRPr="008B7DF0">
        <w:rPr>
          <w:b/>
          <w:i/>
        </w:rPr>
        <w:instrText xml:space="preserve"> SEQ Observation \* ARABIC </w:instrText>
      </w:r>
      <w:r w:rsidRPr="00F1585F">
        <w:rPr>
          <w:b/>
          <w:i/>
        </w:rPr>
        <w:fldChar w:fldCharType="separate"/>
      </w:r>
      <w:r w:rsidR="00133448">
        <w:rPr>
          <w:b/>
          <w:i/>
          <w:noProof/>
        </w:rPr>
        <w:t>3</w:t>
      </w:r>
      <w:r w:rsidRPr="00F1585F">
        <w:rPr>
          <w:b/>
          <w:i/>
        </w:rPr>
        <w:fldChar w:fldCharType="end"/>
      </w:r>
      <w:r>
        <w:rPr>
          <w:b/>
          <w:i/>
        </w:rPr>
        <w:t xml:space="preserve">: </w:t>
      </w:r>
      <w:r w:rsidR="00BE1213" w:rsidRPr="00D96EA3">
        <w:rPr>
          <w:b/>
          <w:i/>
        </w:rPr>
        <w:t xml:space="preserve">Configuring every </w:t>
      </w:r>
      <m:oMath>
        <m:r>
          <m:rPr>
            <m:sty m:val="bi"/>
          </m:rPr>
          <w:rPr>
            <w:rFonts w:ascii="Cambria Math" w:hAnsi="Cambria Math" w:hint="eastAsia"/>
            <w:sz w:val="20"/>
            <w:szCs w:val="20"/>
          </w:rPr>
          <m:t>G</m:t>
        </m:r>
        <m:r>
          <m:rPr>
            <m:sty m:val="bi"/>
          </m:rPr>
          <w:rPr>
            <w:rFonts w:ascii="Cambria Math" w:hAnsi="Cambria Math" w:hint="eastAsia"/>
            <w:sz w:val="20"/>
            <w:szCs w:val="20"/>
          </w:rPr>
          <m:t>≥</m:t>
        </m:r>
        <m:r>
          <m:rPr>
            <m:sty m:val="bi"/>
          </m:rPr>
          <w:rPr>
            <w:rFonts w:ascii="Cambria Math" w:hAnsi="Cambria Math" w:hint="eastAsia"/>
            <w:sz w:val="20"/>
            <w:szCs w:val="20"/>
          </w:rPr>
          <m:t xml:space="preserve"> 1 </m:t>
        </m:r>
      </m:oMath>
      <w:r w:rsidR="00BE1213" w:rsidRPr="00D96EA3">
        <w:rPr>
          <w:b/>
          <w:i/>
        </w:rPr>
        <w:t xml:space="preserve">consecutive symbols with the same RE offset within a staggered SRS resource facilitates providing one unified resource mapping equation for both Rel. 16 staggered and Rel. 15 non-staggered SRS resource mappings. </w:t>
      </w:r>
    </w:p>
    <w:p w14:paraId="3D3B5D9B" w14:textId="22002CE2" w:rsidR="00E45DDD" w:rsidRPr="00F34889" w:rsidRDefault="00BE1213">
      <w:r>
        <w:t>Due to above three observations, we propose the following.</w:t>
      </w:r>
    </w:p>
    <w:p w14:paraId="6592CAFD" w14:textId="6D4C477E" w:rsidR="009C44B2" w:rsidRPr="007C0176" w:rsidRDefault="00C9188F" w:rsidP="009C44B2">
      <w:pPr>
        <w:rPr>
          <w:lang w:val="en-GB"/>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3</w:t>
      </w:r>
      <w:r w:rsidRPr="006C5C3B">
        <w:rPr>
          <w:b/>
          <w:i/>
        </w:rPr>
        <w:fldChar w:fldCharType="end"/>
      </w:r>
      <w:r w:rsidRPr="006C5C3B">
        <w:rPr>
          <w:b/>
          <w:i/>
        </w:rPr>
        <w:t>:</w:t>
      </w:r>
      <w:r w:rsidRPr="000C40D9">
        <w:rPr>
          <w:b/>
          <w:i/>
        </w:rPr>
        <w:t xml:space="preserve"> </w:t>
      </w:r>
      <w:r w:rsidR="009C44B2">
        <w:rPr>
          <w:b/>
          <w:i/>
        </w:rPr>
        <w:t xml:space="preserve">Support configuring every </w:t>
      </w:r>
      <m:oMath>
        <m:r>
          <m:rPr>
            <m:sty m:val="bi"/>
          </m:rPr>
          <w:rPr>
            <w:rFonts w:ascii="Cambria Math" w:hAnsi="Cambria Math"/>
            <w:sz w:val="20"/>
            <w:szCs w:val="20"/>
          </w:rPr>
          <m:t xml:space="preserve">G≥ 1 </m:t>
        </m:r>
      </m:oMath>
      <w:r w:rsidR="009C44B2" w:rsidRPr="00DB13CB">
        <w:rPr>
          <w:b/>
          <w:i/>
        </w:rPr>
        <w:t xml:space="preserve">consecutive symbols </w:t>
      </w:r>
      <w:r w:rsidR="009C44B2">
        <w:rPr>
          <w:b/>
          <w:i/>
        </w:rPr>
        <w:t xml:space="preserve">with the same RE offset </w:t>
      </w:r>
      <w:r w:rsidR="009C44B2" w:rsidRPr="00DB13CB">
        <w:rPr>
          <w:b/>
          <w:i/>
        </w:rPr>
        <w:t>within</w:t>
      </w:r>
      <w:r w:rsidR="009C44B2">
        <w:rPr>
          <w:b/>
          <w:i/>
        </w:rPr>
        <w:t xml:space="preserve"> the </w:t>
      </w:r>
      <w:r w:rsidR="00BB0BCF">
        <w:rPr>
          <w:b/>
          <w:i/>
        </w:rPr>
        <w:t xml:space="preserve">staggered </w:t>
      </w:r>
      <w:r w:rsidR="009C44B2">
        <w:rPr>
          <w:b/>
          <w:i/>
        </w:rPr>
        <w:t>SRS resource</w:t>
      </w:r>
      <m:oMath>
        <m:r>
          <m:rPr>
            <m:sty m:val="bi"/>
          </m:rPr>
          <w:rPr>
            <w:rFonts w:ascii="Cambria Math" w:eastAsia="Batang" w:hAnsi="Cambria Math"/>
            <w:szCs w:val="24"/>
            <w:lang w:val="en-GB"/>
          </w:rPr>
          <m:t>.</m:t>
        </m:r>
      </m:oMath>
      <w:r w:rsidR="009C44B2" w:rsidRPr="009531D2">
        <w:rPr>
          <w:lang w:val="en-GB"/>
        </w:rPr>
        <w:t xml:space="preserve"> </w:t>
      </w:r>
    </w:p>
    <w:p w14:paraId="3F19D3A0" w14:textId="74667817" w:rsidR="00AA6495" w:rsidRDefault="00AA6495" w:rsidP="00AA6495">
      <w:pPr>
        <w:pStyle w:val="3"/>
      </w:pPr>
      <w:bookmarkStart w:id="9" w:name="_Ref20237149"/>
      <w:r>
        <w:t>SRS resource mapping equation</w:t>
      </w:r>
      <w:bookmarkEnd w:id="9"/>
    </w:p>
    <w:p w14:paraId="48A3047F" w14:textId="0C6D82A1" w:rsidR="005D03E3" w:rsidRDefault="005D03E3" w:rsidP="005D03E3">
      <w:r>
        <w:t xml:space="preserve">In this section, we discuss how the Rel. 15 SRS resource mapping equation should be changed to support staggered resource mapping. In our opinion, </w:t>
      </w:r>
      <w:r w:rsidR="00AC118E">
        <w:t xml:space="preserve">three </w:t>
      </w:r>
      <w:r>
        <w:t>main requirements should be met in the new Rel. 16 SRS resource mapping equation:</w:t>
      </w:r>
    </w:p>
    <w:p w14:paraId="30F05CB8" w14:textId="77777777" w:rsidR="005D03E3" w:rsidRDefault="005D03E3" w:rsidP="005D03E3">
      <w:pPr>
        <w:pStyle w:val="af"/>
        <w:numPr>
          <w:ilvl w:val="0"/>
          <w:numId w:val="56"/>
        </w:numPr>
        <w:ind w:leftChars="0"/>
      </w:pPr>
      <w:r>
        <w:t xml:space="preserve">For the sake of simplicity, Rel. 15 non-staggered and Rel. 16 staggered resource mappings should be supported using a simple </w:t>
      </w:r>
      <w:r w:rsidRPr="00DB13CB">
        <w:rPr>
          <w:i/>
        </w:rPr>
        <w:t>single</w:t>
      </w:r>
      <w:r>
        <w:t xml:space="preserve"> resource mapping equation. </w:t>
      </w:r>
    </w:p>
    <w:p w14:paraId="1021DDDB" w14:textId="77777777" w:rsidR="005D03E3" w:rsidRDefault="005D03E3" w:rsidP="005D03E3">
      <w:pPr>
        <w:pStyle w:val="af"/>
        <w:numPr>
          <w:ilvl w:val="0"/>
          <w:numId w:val="56"/>
        </w:numPr>
        <w:ind w:leftChars="0"/>
      </w:pPr>
      <w:r>
        <w:t xml:space="preserve">Following the agreement in RAN1 98 and our discussion in Section </w:t>
      </w:r>
      <w:r>
        <w:fldChar w:fldCharType="begin"/>
      </w:r>
      <w:r>
        <w:instrText xml:space="preserve"> REF _Ref20242811 \n \h </w:instrText>
      </w:r>
      <w:r>
        <w:fldChar w:fldCharType="separate"/>
      </w:r>
      <w:r w:rsidR="00133448">
        <w:t>2.2.1</w:t>
      </w:r>
      <w:r>
        <w:fldChar w:fldCharType="end"/>
      </w:r>
      <w:r>
        <w:t xml:space="preserve">, the relative RE offset of each symbol should only depend on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sSub>
          <m:sSubPr>
            <m:ctrlPr>
              <w:rPr>
                <w:rFonts w:ascii="Cambria Math" w:hAnsi="Cambria Math"/>
              </w:rPr>
            </m:ctrlPr>
          </m:sSubPr>
          <m:e>
            <m:r>
              <w:rPr>
                <w:rFonts w:ascii="Cambria Math" w:hAnsi="Cambria Math"/>
              </w:rPr>
              <m:t>K</m:t>
            </m:r>
          </m:e>
          <m:sub>
            <m:r>
              <w:rPr>
                <w:rFonts w:ascii="Cambria Math" w:hAnsi="Cambria Math"/>
              </w:rPr>
              <m:t>TC</m:t>
            </m:r>
          </m:sub>
        </m:sSub>
        <m:r>
          <w:rPr>
            <w:rFonts w:ascii="Cambria Math" w:hAnsi="Cambria Math"/>
          </w:rPr>
          <m:t>,</m:t>
        </m:r>
      </m:oMath>
      <w:r>
        <w:t xml:space="preserve"> </w:t>
      </w:r>
      <m:oMath>
        <m:sSup>
          <m:sSupPr>
            <m:ctrlPr>
              <w:rPr>
                <w:rFonts w:ascii="Cambria Math" w:hAnsi="Cambria Math"/>
                <w:i/>
                <w:lang w:eastAsia="x-none"/>
              </w:rPr>
            </m:ctrlPr>
          </m:sSupPr>
          <m:e>
            <m:r>
              <w:rPr>
                <w:rFonts w:ascii="Cambria Math" w:hAnsi="Cambria Math"/>
                <w:lang w:eastAsia="x-none"/>
              </w:rPr>
              <m:t>l</m:t>
            </m:r>
          </m:e>
          <m:sup>
            <m:r>
              <w:rPr>
                <w:rFonts w:ascii="Cambria Math" w:hAnsi="Cambria Math"/>
                <w:lang w:eastAsia="x-none"/>
              </w:rPr>
              <m:t>'</m:t>
            </m:r>
          </m:sup>
        </m:sSup>
      </m:oMath>
      <w:r>
        <w:rPr>
          <w:lang w:eastAsia="x-none"/>
        </w:rPr>
        <w:t xml:space="preserve">, and </w:t>
      </w:r>
      <m:oMath>
        <m:r>
          <w:rPr>
            <w:rFonts w:ascii="Cambria Math" w:hAnsi="Cambria Math"/>
          </w:rPr>
          <m:t>G</m:t>
        </m:r>
      </m:oMath>
      <w:r>
        <w:t>.</w:t>
      </w:r>
    </w:p>
    <w:p w14:paraId="7E48DA52" w14:textId="77777777" w:rsidR="005D03E3" w:rsidRDefault="005D03E3" w:rsidP="005D03E3">
      <w:pPr>
        <w:pStyle w:val="af"/>
        <w:numPr>
          <w:ilvl w:val="0"/>
          <w:numId w:val="56"/>
        </w:numPr>
        <w:ind w:leftChars="0"/>
      </w:pPr>
      <w:r>
        <w:lastRenderedPageBreak/>
        <w:t xml:space="preserve">The changes to the Rel. 15 SRS resource mapping formula should be minimal. </w:t>
      </w:r>
    </w:p>
    <w:p w14:paraId="03D2EF2D" w14:textId="77777777" w:rsidR="00525CEA" w:rsidRPr="00794BE9" w:rsidRDefault="00525CEA" w:rsidP="00525CEA"/>
    <w:p w14:paraId="4E2E3490" w14:textId="77777777" w:rsidR="00525CEA" w:rsidRDefault="00525CEA" w:rsidP="00525CEA">
      <w:pPr>
        <w:pStyle w:val="a5"/>
        <w:keepNext/>
      </w:pPr>
      <w:bookmarkStart w:id="10" w:name="_Ref20391413"/>
      <w:r>
        <w:t xml:space="preserve">Table </w:t>
      </w:r>
      <w:r>
        <w:rPr>
          <w:noProof/>
        </w:rPr>
        <w:fldChar w:fldCharType="begin"/>
      </w:r>
      <w:r>
        <w:rPr>
          <w:noProof/>
        </w:rPr>
        <w:instrText xml:space="preserve"> SEQ Table \* ARABIC </w:instrText>
      </w:r>
      <w:r>
        <w:rPr>
          <w:noProof/>
        </w:rPr>
        <w:fldChar w:fldCharType="separate"/>
      </w:r>
      <w:r w:rsidR="00133448">
        <w:rPr>
          <w:noProof/>
        </w:rPr>
        <w:t>2</w:t>
      </w:r>
      <w:r>
        <w:rPr>
          <w:noProof/>
        </w:rPr>
        <w:fldChar w:fldCharType="end"/>
      </w:r>
      <w:bookmarkEnd w:id="10"/>
      <w:r>
        <w:t xml:space="preserve">: Snippet of Clause 6.4.1.4.3 of 38.211 on SRS resource mapping </w:t>
      </w:r>
    </w:p>
    <w:tbl>
      <w:tblPr>
        <w:tblStyle w:val="ac"/>
        <w:tblW w:w="0" w:type="auto"/>
        <w:tblLook w:val="04A0" w:firstRow="1" w:lastRow="0" w:firstColumn="1" w:lastColumn="0" w:noHBand="0" w:noVBand="1"/>
      </w:tblPr>
      <w:tblGrid>
        <w:gridCol w:w="9307"/>
      </w:tblGrid>
      <w:tr w:rsidR="00525CEA" w14:paraId="44552CDE" w14:textId="77777777" w:rsidTr="000E34F3">
        <w:tc>
          <w:tcPr>
            <w:tcW w:w="9307" w:type="dxa"/>
          </w:tcPr>
          <w:p w14:paraId="5DA36063" w14:textId="77777777" w:rsidR="00525CEA" w:rsidRPr="007C0176" w:rsidRDefault="00525CEA" w:rsidP="000E34F3">
            <w:pPr>
              <w:pStyle w:val="5"/>
              <w:numPr>
                <w:ilvl w:val="0"/>
                <w:numId w:val="0"/>
              </w:numPr>
              <w:ind w:left="720" w:hanging="720"/>
              <w:outlineLvl w:val="4"/>
              <w:rPr>
                <w:szCs w:val="20"/>
              </w:rPr>
            </w:pPr>
            <w:r w:rsidRPr="007C0176">
              <w:rPr>
                <w:szCs w:val="20"/>
              </w:rPr>
              <w:t>6.4.1.4.3</w:t>
            </w:r>
            <w:r w:rsidRPr="007C0176">
              <w:rPr>
                <w:szCs w:val="20"/>
              </w:rPr>
              <w:tab/>
              <w:t>Mapping to physical resources</w:t>
            </w:r>
          </w:p>
          <w:p w14:paraId="5FB59B44" w14:textId="77777777" w:rsidR="00525CEA" w:rsidRPr="007C0176" w:rsidRDefault="00525CEA" w:rsidP="000E34F3">
            <w:r w:rsidRPr="007C0176">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hint="eastAsia"/>
                </w:rPr>
                <m:t>(n,</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hint="eastAsia"/>
                </w:rPr>
                <m:t>)</m:t>
              </m:r>
            </m:oMath>
            <w:r w:rsidRPr="007C0176">
              <w:t xml:space="preserve"> for each OFDM symbol </w:t>
            </w:r>
            <w:r w:rsidRPr="007C0176">
              <w:rPr>
                <w:rFonts w:asciiTheme="minorHAnsi" w:eastAsiaTheme="minorEastAsia" w:hAnsiTheme="minorHAnsi" w:cstheme="minorBidi"/>
                <w:position w:val="-6"/>
                <w:lang w:eastAsia="zh-CN"/>
              </w:rPr>
              <w:object w:dxaOrig="180" w:dyaOrig="260" w14:anchorId="0CCD6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5pt;height:12.05pt" o:ole="">
                  <v:imagedata r:id="rId11" o:title=""/>
                </v:shape>
                <o:OLEObject Type="Embed" ProgID="Equation.3" ShapeID="_x0000_i1025" DrawAspect="Content" ObjectID="_1631716482" r:id="rId12"/>
              </w:object>
            </w:r>
            <w:r w:rsidRPr="007C0176">
              <w:t xml:space="preserve"> and for each of the antenna ports of the SRS resource shall be multiplied with the amplitude scaling factor </w:t>
            </w:r>
            <w:r w:rsidRPr="007C0176">
              <w:rPr>
                <w:rFonts w:asciiTheme="minorHAnsi" w:eastAsiaTheme="minorEastAsia" w:hAnsiTheme="minorHAnsi" w:cstheme="minorBidi"/>
                <w:position w:val="-10"/>
                <w:lang w:eastAsia="zh-CN"/>
              </w:rPr>
              <w:object w:dxaOrig="460" w:dyaOrig="300" w14:anchorId="3DE9B320">
                <v:shape id="_x0000_i1026" type="#_x0000_t75" style="width:23.35pt;height:12.05pt" o:ole="">
                  <v:imagedata r:id="rId13" o:title=""/>
                </v:shape>
                <o:OLEObject Type="Embed" ProgID="Equation.3" ShapeID="_x0000_i1026" DrawAspect="Content" ObjectID="_1631716483" r:id="rId14"/>
              </w:object>
            </w:r>
            <w:r w:rsidRPr="007C0176">
              <w:t xml:space="preserve"> in order to conform to the transmit power specified in [5, 38.213] and mapped in sequence starting with </w:t>
            </w:r>
            <w:r w:rsidRPr="007C0176">
              <w:rPr>
                <w:rFonts w:asciiTheme="minorHAnsi" w:eastAsiaTheme="minorEastAsia" w:hAnsiTheme="minorHAnsi" w:cstheme="minorBidi"/>
                <w:position w:val="-16"/>
                <w:lang w:eastAsia="zh-CN"/>
              </w:rPr>
              <w:object w:dxaOrig="859" w:dyaOrig="420" w14:anchorId="4989B083">
                <v:shape id="_x0000_i1027" type="#_x0000_t75" style="width:42.25pt;height:23.35pt" o:ole="">
                  <v:imagedata r:id="rId15" o:title=""/>
                </v:shape>
                <o:OLEObject Type="Embed" ProgID="Equation.3" ShapeID="_x0000_i1027" DrawAspect="Content" ObjectID="_1631716484" r:id="rId16"/>
              </w:object>
            </w:r>
            <w:r w:rsidRPr="007C0176">
              <w:t xml:space="preserve"> to resource elements </w:t>
            </w:r>
            <w:r w:rsidRPr="007C0176">
              <w:rPr>
                <w:rFonts w:asciiTheme="minorHAnsi" w:eastAsiaTheme="minorEastAsia" w:hAnsiTheme="minorHAnsi" w:cstheme="minorBidi"/>
                <w:position w:val="-10"/>
                <w:lang w:eastAsia="zh-CN"/>
              </w:rPr>
              <w:object w:dxaOrig="460" w:dyaOrig="300" w14:anchorId="42455BEB">
                <v:shape id="_x0000_i1028" type="#_x0000_t75" style="width:23.35pt;height:12.05pt" o:ole="">
                  <v:imagedata r:id="rId17" o:title=""/>
                </v:shape>
                <o:OLEObject Type="Embed" ProgID="Equation.3" ShapeID="_x0000_i1028" DrawAspect="Content" ObjectID="_1631716485" r:id="rId18"/>
              </w:object>
            </w:r>
            <w:r w:rsidRPr="007C0176">
              <w:t xml:space="preserve"> in a slot for each of the antenna ports </w:t>
            </w:r>
            <w:r w:rsidRPr="007C0176">
              <w:rPr>
                <w:rFonts w:asciiTheme="minorHAnsi" w:eastAsiaTheme="minorEastAsia" w:hAnsiTheme="minorHAnsi" w:cstheme="minorBidi"/>
                <w:position w:val="-10"/>
                <w:lang w:eastAsia="zh-CN"/>
              </w:rPr>
              <w:object w:dxaOrig="260" w:dyaOrig="300" w14:anchorId="79E42766">
                <v:shape id="_x0000_i1029" type="#_x0000_t75" style="width:12.05pt;height:12.05pt" o:ole="">
                  <v:imagedata r:id="rId19" o:title=""/>
                </v:shape>
                <o:OLEObject Type="Embed" ProgID="Equation.3" ShapeID="_x0000_i1029" DrawAspect="Content" ObjectID="_1631716486" r:id="rId20"/>
              </w:object>
            </w:r>
            <w:r w:rsidRPr="007C0176">
              <w:t xml:space="preserve"> according to</w:t>
            </w:r>
          </w:p>
          <w:p w14:paraId="55126FB8" w14:textId="77777777" w:rsidR="00525CEA" w:rsidRPr="00040384" w:rsidRDefault="00525CEA" w:rsidP="000E34F3">
            <w:pPr>
              <w:pStyle w:val="EQ"/>
              <w:jc w:val="center"/>
            </w:pPr>
            <w:r w:rsidRPr="007C0176">
              <w:rPr>
                <w:position w:val="-44"/>
              </w:rPr>
              <w:object w:dxaOrig="6520" w:dyaOrig="980" w14:anchorId="40C87CE0">
                <v:shape id="_x0000_i1030" type="#_x0000_t75" style="width:324.2pt;height:48.65pt" o:ole="">
                  <v:imagedata r:id="rId21" o:title=""/>
                </v:shape>
                <o:OLEObject Type="Embed" ProgID="Equation.DSMT4" ShapeID="_x0000_i1030" DrawAspect="Content" ObjectID="_1631716487" r:id="rId22"/>
              </w:object>
            </w:r>
          </w:p>
          <w:p w14:paraId="3F54D4E3" w14:textId="77777777" w:rsidR="00525CEA" w:rsidRPr="007C0176" w:rsidRDefault="00525CEA" w:rsidP="000E34F3">
            <w:pPr>
              <w:rPr>
                <w:rFonts w:eastAsia="MS Mincho"/>
                <w:lang w:eastAsia="ja-JP"/>
              </w:rPr>
            </w:pPr>
            <w:r w:rsidRPr="007C0176">
              <w:t>The length of the sounding reference signal sequence is given by</w:t>
            </w:r>
          </w:p>
          <w:p w14:paraId="3477E9A6" w14:textId="77777777" w:rsidR="00525CEA" w:rsidRPr="00B95709" w:rsidRDefault="008D7632" w:rsidP="000E34F3">
            <w:pPr>
              <w:pStyle w:val="EQ"/>
              <w:jc w:val="center"/>
              <w:rPr>
                <w:rFonts w:eastAsia="MS Mincho"/>
                <w:lang w:eastAsia="ja-JP"/>
              </w:rPr>
            </w:pPr>
            <m:oMathPara>
              <m:oMath>
                <m:sSubSup>
                  <m:sSubSupPr>
                    <m:ctrlPr>
                      <w:rPr>
                        <w:rFonts w:ascii="Cambria Math" w:eastAsiaTheme="minorHAnsi" w:hAnsi="Cambria Math" w:cstheme="minorBidi"/>
                        <w:i/>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lang w:val="sv-SE"/>
                      </w:rPr>
                    </m:ctrlPr>
                  </m:fPr>
                  <m:num>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lang w:val="sv-SE"/>
                          </w:rPr>
                        </m:ctrlPr>
                      </m:sSubPr>
                      <m:e>
                        <m:r>
                          <w:rPr>
                            <w:rFonts w:ascii="Cambria Math" w:hAnsi="Cambria Math"/>
                          </w:rPr>
                          <m:t>K</m:t>
                        </m:r>
                      </m:e>
                      <m:sub>
                        <m:r>
                          <m:rPr>
                            <m:nor/>
                          </m:rPr>
                          <w:rPr>
                            <w:rFonts w:ascii="Cambria Math" w:hAnsi="Cambria Math"/>
                            <w:lang w:val="en-US"/>
                          </w:rPr>
                          <m:t>TC</m:t>
                        </m:r>
                      </m:sub>
                    </m:sSub>
                  </m:den>
                </m:f>
              </m:oMath>
            </m:oMathPara>
          </w:p>
          <w:p w14:paraId="774B4F55" w14:textId="77777777" w:rsidR="00525CEA" w:rsidRPr="007C0176" w:rsidRDefault="00525CEA" w:rsidP="000E34F3">
            <w:pPr>
              <w:rPr>
                <w:rFonts w:eastAsia="MS Mincho"/>
                <w:lang w:eastAsia="ja-JP"/>
              </w:rPr>
            </w:pPr>
            <w:r w:rsidRPr="007C0176">
              <w:rPr>
                <w:rFonts w:eastAsia="MS Mincho"/>
                <w:lang w:eastAsia="ja-JP"/>
              </w:rPr>
              <w:t>where</w:t>
            </w:r>
            <w:r w:rsidRPr="007C0176">
              <w:t xml:space="preserve"> </w:t>
            </w:r>
            <w:r w:rsidRPr="007C0176">
              <w:rPr>
                <w:rFonts w:asciiTheme="minorHAnsi" w:eastAsiaTheme="minorEastAsia" w:hAnsiTheme="minorHAnsi" w:cstheme="minorBidi"/>
                <w:position w:val="-12"/>
                <w:lang w:eastAsia="zh-CN"/>
              </w:rPr>
              <w:object w:dxaOrig="580" w:dyaOrig="320" w14:anchorId="666B6AEC">
                <v:shape id="_x0000_i1031" type="#_x0000_t75" style="width:29.75pt;height:12.05pt" o:ole="">
                  <v:imagedata r:id="rId23" o:title=""/>
                </v:shape>
                <o:OLEObject Type="Embed" ProgID="Equation.3" ShapeID="_x0000_i1031" DrawAspect="Content" ObjectID="_1631716488" r:id="rId24"/>
              </w:object>
            </w:r>
            <w:r w:rsidRPr="007C0176">
              <w:rPr>
                <w:rFonts w:eastAsia="MS Mincho"/>
                <w:lang w:eastAsia="ja-JP"/>
              </w:rPr>
              <w:t xml:space="preserve">is given by a selected row of Table 6.4.1.4.3-1 with </w:t>
            </w:r>
            <w:r w:rsidRPr="007C0176">
              <w:rPr>
                <w:rFonts w:asciiTheme="minorHAnsi" w:eastAsiaTheme="minorEastAsia" w:hAnsiTheme="minorHAnsi" w:cstheme="minorBidi"/>
                <w:position w:val="-10"/>
                <w:lang w:eastAsia="zh-CN"/>
              </w:rPr>
              <w:object w:dxaOrig="760" w:dyaOrig="300" w14:anchorId="41F1DFDD">
                <v:shape id="_x0000_i1032" type="#_x0000_t75" style="width:35.4pt;height:12.05pt" o:ole="">
                  <v:imagedata r:id="rId25" o:title=""/>
                </v:shape>
                <o:OLEObject Type="Embed" ProgID="Equation.3" ShapeID="_x0000_i1032" DrawAspect="Content" ObjectID="_1631716489" r:id="rId26"/>
              </w:object>
            </w:r>
            <w:r w:rsidRPr="007C0176">
              <w:rPr>
                <w:lang w:eastAsia="zh-CN"/>
              </w:rPr>
              <w:t xml:space="preserve"> where </w:t>
            </w:r>
            <w:r w:rsidRPr="007C0176">
              <w:rPr>
                <w:rFonts w:asciiTheme="minorHAnsi" w:eastAsiaTheme="minorEastAsia" w:hAnsiTheme="minorHAnsi" w:cstheme="minorBidi"/>
                <w:position w:val="-10"/>
                <w:lang w:eastAsia="zh-CN"/>
              </w:rPr>
              <w:object w:dxaOrig="1280" w:dyaOrig="300" w14:anchorId="7725EBFC">
                <v:shape id="_x0000_i1033" type="#_x0000_t75" style="width:65.95pt;height:12.05pt" o:ole="">
                  <v:imagedata r:id="rId27" o:title=""/>
                </v:shape>
                <o:OLEObject Type="Embed" ProgID="Equation.3" ShapeID="_x0000_i1033" DrawAspect="Content" ObjectID="_1631716490" r:id="rId28"/>
              </w:object>
            </w:r>
            <w:r w:rsidRPr="007C0176">
              <w:rPr>
                <w:lang w:eastAsia="zh-CN"/>
              </w:rPr>
              <w:t xml:space="preserve"> is given by the field </w:t>
            </w:r>
            <w:r w:rsidRPr="007C0176">
              <w:rPr>
                <w:i/>
                <w:lang w:eastAsia="zh-CN"/>
              </w:rPr>
              <w:t>b-SRS</w:t>
            </w:r>
            <w:r w:rsidRPr="007C0176">
              <w:rPr>
                <w:lang w:eastAsia="zh-CN"/>
              </w:rPr>
              <w:t xml:space="preserve"> contained in the higher-layer parameter </w:t>
            </w:r>
            <w:r w:rsidRPr="007C0176">
              <w:rPr>
                <w:i/>
                <w:lang w:eastAsia="zh-CN"/>
              </w:rPr>
              <w:t>freqHopping.</w:t>
            </w:r>
            <w:r w:rsidRPr="007C0176">
              <w:rPr>
                <w:lang w:eastAsia="zh-CN"/>
              </w:rPr>
              <w:t xml:space="preserve"> The row of the table is selected according to the index </w:t>
            </w:r>
            <w:r w:rsidRPr="007C0176">
              <w:rPr>
                <w:rFonts w:asciiTheme="minorHAnsi" w:eastAsiaTheme="minorEastAsia" w:hAnsiTheme="minorHAnsi" w:cstheme="minorBidi"/>
                <w:position w:val="-10"/>
                <w:lang w:eastAsia="zh-CN"/>
              </w:rPr>
              <w:object w:dxaOrig="1440" w:dyaOrig="300" w14:anchorId="04DB266D">
                <v:shape id="_x0000_i1034" type="#_x0000_t75" style="width:1in;height:12.05pt" o:ole="">
                  <v:imagedata r:id="rId29" o:title=""/>
                </v:shape>
                <o:OLEObject Type="Embed" ProgID="Equation.3" ShapeID="_x0000_i1034" DrawAspect="Content" ObjectID="_1631716491" r:id="rId30"/>
              </w:object>
            </w:r>
            <w:r w:rsidRPr="007C0176">
              <w:rPr>
                <w:lang w:eastAsia="zh-CN"/>
              </w:rPr>
              <w:t xml:space="preserve"> given by the field </w:t>
            </w:r>
            <w:r w:rsidRPr="007C0176">
              <w:rPr>
                <w:i/>
                <w:lang w:eastAsia="zh-CN"/>
              </w:rPr>
              <w:t>c-</w:t>
            </w:r>
            <w:r w:rsidRPr="007C0176">
              <w:rPr>
                <w:lang w:eastAsia="zh-CN"/>
              </w:rPr>
              <w:t xml:space="preserve">SRS contained in the higher-layer parameter </w:t>
            </w:r>
            <w:r w:rsidRPr="007C0176">
              <w:rPr>
                <w:i/>
                <w:lang w:eastAsia="zh-CN"/>
              </w:rPr>
              <w:t>freqHopping</w:t>
            </w:r>
            <w:r w:rsidRPr="007C0176">
              <w:rPr>
                <w:rFonts w:eastAsia="MS Mincho"/>
                <w:lang w:eastAsia="ja-JP"/>
              </w:rPr>
              <w:t xml:space="preserve">. </w:t>
            </w:r>
          </w:p>
          <w:p w14:paraId="1F2F5B67" w14:textId="77777777" w:rsidR="00525CEA" w:rsidRPr="007C0176" w:rsidRDefault="00525CEA" w:rsidP="000E34F3">
            <w:r w:rsidRPr="007C0176">
              <w:rPr>
                <w:lang w:val="en-AU"/>
              </w:rPr>
              <w:t>T</w:t>
            </w:r>
            <w:r w:rsidRPr="007C0176">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7C0176">
              <w:t xml:space="preserve"> is defined by</w:t>
            </w:r>
          </w:p>
          <w:p w14:paraId="76D24B11" w14:textId="77777777" w:rsidR="00525CEA" w:rsidRPr="00040384" w:rsidRDefault="00525CEA" w:rsidP="000E34F3">
            <w:pPr>
              <w:pStyle w:val="EQ"/>
              <w:jc w:val="center"/>
            </w:pPr>
            <w:r w:rsidRPr="007C0176">
              <w:rPr>
                <w:position w:val="-24"/>
              </w:rPr>
              <w:object w:dxaOrig="2320" w:dyaOrig="600" w14:anchorId="665DCB15">
                <v:shape id="_x0000_i1035" type="#_x0000_t75" style="width:114.25pt;height:29.75pt" o:ole="">
                  <v:imagedata r:id="rId31" o:title=""/>
                </v:shape>
                <o:OLEObject Type="Embed" ProgID="Equation.DSMT4" ShapeID="_x0000_i1035" DrawAspect="Content" ObjectID="_1631716492" r:id="rId32"/>
              </w:object>
            </w:r>
          </w:p>
          <w:p w14:paraId="7C96C468" w14:textId="77777777" w:rsidR="00525CEA" w:rsidRPr="007C0176" w:rsidRDefault="00525CEA" w:rsidP="000E34F3">
            <w:pPr>
              <w:rPr>
                <w:rFonts w:eastAsia="MS Mincho"/>
                <w:lang w:eastAsia="ja-JP"/>
              </w:rPr>
            </w:pPr>
            <w:r w:rsidRPr="007C0176">
              <w:rPr>
                <w:color w:val="000000"/>
              </w:rPr>
              <w:t xml:space="preserve">where </w:t>
            </w:r>
          </w:p>
          <w:p w14:paraId="3EF9C616" w14:textId="77777777" w:rsidR="00525CEA" w:rsidRPr="00040384" w:rsidRDefault="00525CEA" w:rsidP="000E34F3">
            <w:pPr>
              <w:pStyle w:val="EQ"/>
              <w:jc w:val="center"/>
            </w:pPr>
            <w:r w:rsidRPr="007C0176">
              <w:rPr>
                <w:position w:val="-48"/>
              </w:rPr>
              <w:object w:dxaOrig="8120" w:dyaOrig="1060" w14:anchorId="3744DA44">
                <v:shape id="_x0000_i1036" type="#_x0000_t75" style="width:401.85pt;height:48.65pt" o:ole="">
                  <v:imagedata r:id="rId33" o:title=""/>
                </v:shape>
                <o:OLEObject Type="Embed" ProgID="Equation.DSMT4" ShapeID="_x0000_i1036" DrawAspect="Content" ObjectID="_1631716493" r:id="rId34"/>
              </w:object>
            </w:r>
          </w:p>
          <w:p w14:paraId="0F312106" w14:textId="77777777" w:rsidR="00525CEA" w:rsidRDefault="00525CEA" w:rsidP="000E34F3">
            <w:pPr>
              <w:rPr>
                <w:rFonts w:eastAsia="MS Mincho"/>
                <w:lang w:eastAsia="ja-JP"/>
              </w:rPr>
            </w:pPr>
            <w:r w:rsidRPr="007C0176">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hint="eastAsia"/>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7C0176">
              <w:rPr>
                <w:rFonts w:eastAsia="MS Mincho"/>
                <w:lang w:eastAsia="ja-JP"/>
              </w:rPr>
              <w:t xml:space="preserve"> 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7C0176">
              <w:rPr>
                <w:rFonts w:eastAsia="MS Mincho"/>
                <w:lang w:eastAsia="ja-JP"/>
              </w:rPr>
              <w:t xml:space="preserve"> is subcarrier 0 in common resource block 0, otherwise the reference point</w:t>
            </w:r>
            <w:r w:rsidRPr="007C0176">
              <w:t xml:space="preserve"> is the lowest subcarrier of the BWP</w:t>
            </w:r>
            <w:r w:rsidRPr="007C0176">
              <w:rPr>
                <w:rFonts w:eastAsia="MS Mincho"/>
                <w:lang w:eastAsia="ja-JP"/>
              </w:rPr>
              <w:t>.</w:t>
            </w:r>
          </w:p>
          <w:p w14:paraId="6ACC8D49" w14:textId="77777777" w:rsidR="00525CEA" w:rsidRPr="007C0176" w:rsidRDefault="00525CEA" w:rsidP="000E34F3">
            <w:r w:rsidRPr="007C0176">
              <w:rPr>
                <w:rFonts w:eastAsia="MS Mincho"/>
                <w:lang w:eastAsia="ja-JP"/>
              </w:rPr>
              <w:t xml:space="preserve">The frequency domain shift value </w:t>
            </w:r>
            <w:r w:rsidRPr="007C0176">
              <w:rPr>
                <w:rFonts w:asciiTheme="minorHAnsi" w:eastAsiaTheme="minorEastAsia" w:hAnsiTheme="minorHAnsi" w:cstheme="minorBidi"/>
                <w:position w:val="-10"/>
                <w:lang w:eastAsia="zh-CN"/>
              </w:rPr>
              <w:object w:dxaOrig="440" w:dyaOrig="300" w14:anchorId="67764349">
                <v:shape id="_x0000_i1037" type="#_x0000_t75" style="width:23.35pt;height:12.05pt" o:ole="">
                  <v:imagedata r:id="rId35" o:title=""/>
                </v:shape>
                <o:OLEObject Type="Embed" ProgID="Equation.3" ShapeID="_x0000_i1037" DrawAspect="Content" ObjectID="_1631716494" r:id="rId36"/>
              </w:object>
            </w:r>
            <w:r w:rsidRPr="007C0176">
              <w:t xml:space="preserve"> </w:t>
            </w:r>
            <w:r w:rsidRPr="007C0176">
              <w:rPr>
                <w:rFonts w:eastAsia="MS Mincho"/>
                <w:lang w:eastAsia="ja-JP"/>
              </w:rPr>
              <w:t xml:space="preserve">adjusts the SRS allocation with respect to the reference point grid and is contained in the higher-layer parameter </w:t>
            </w:r>
            <w:r w:rsidRPr="007C0176">
              <w:rPr>
                <w:rFonts w:eastAsia="MS Mincho"/>
                <w:i/>
                <w:lang w:eastAsia="ja-JP"/>
              </w:rPr>
              <w:t>freqDomainShift</w:t>
            </w:r>
            <w:r w:rsidRPr="007C0176">
              <w:rPr>
                <w:rFonts w:eastAsia="MS Mincho"/>
                <w:lang w:eastAsia="ja-JP"/>
              </w:rPr>
              <w:t xml:space="preserve"> in the </w:t>
            </w:r>
            <w:r w:rsidRPr="007C0176">
              <w:rPr>
                <w:rFonts w:eastAsia="MS Mincho"/>
                <w:i/>
                <w:lang w:eastAsia="ja-JP"/>
              </w:rPr>
              <w:t>SRS-Config</w:t>
            </w:r>
            <w:r w:rsidRPr="007C0176">
              <w:rPr>
                <w:rFonts w:eastAsia="MS Mincho"/>
                <w:lang w:eastAsia="ja-JP"/>
              </w:rPr>
              <w:t xml:space="preserve"> IE. </w:t>
            </w:r>
            <w:r w:rsidRPr="007C0176">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hint="eastAsia"/>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rsidRPr="007C0176">
              <w:t xml:space="preserve"> </w:t>
            </w:r>
            <w:r w:rsidRPr="007C0176">
              <w:rPr>
                <w:color w:val="000000"/>
              </w:rPr>
              <w:t xml:space="preserve">is contained in the higher-layer parameter </w:t>
            </w:r>
            <w:r w:rsidRPr="007C0176">
              <w:rPr>
                <w:i/>
                <w:color w:val="000000"/>
              </w:rPr>
              <w:t xml:space="preserve">transmissionComb </w:t>
            </w:r>
            <w:r w:rsidRPr="007C0176">
              <w:rPr>
                <w:color w:val="000000"/>
              </w:rPr>
              <w:t xml:space="preserve">in the </w:t>
            </w:r>
            <w:r w:rsidRPr="007C0176">
              <w:rPr>
                <w:i/>
                <w:color w:val="000000"/>
              </w:rPr>
              <w:t>SRS-Config</w:t>
            </w:r>
            <w:r w:rsidRPr="007C0176">
              <w:rPr>
                <w:color w:val="000000"/>
              </w:rPr>
              <w:t xml:space="preserve"> IE and </w:t>
            </w:r>
            <w:r w:rsidRPr="007C0176">
              <w:rPr>
                <w:rFonts w:asciiTheme="minorHAnsi" w:eastAsiaTheme="minorEastAsia" w:hAnsiTheme="minorHAnsi" w:cstheme="minorBidi"/>
                <w:position w:val="-10"/>
                <w:lang w:eastAsia="zh-CN"/>
              </w:rPr>
              <w:object w:dxaOrig="260" w:dyaOrig="300" w14:anchorId="3F002687">
                <v:shape id="_x0000_i1038" type="#_x0000_t75" style="width:12.05pt;height:12.05pt" o:ole="">
                  <v:imagedata r:id="rId37" o:title=""/>
                </v:shape>
                <o:OLEObject Type="Embed" ProgID="Equation.3" ShapeID="_x0000_i1038" DrawAspect="Content" ObjectID="_1631716495" r:id="rId38"/>
              </w:object>
            </w:r>
            <w:r w:rsidRPr="007C0176">
              <w:t xml:space="preserve"> is a frequency position index.</w:t>
            </w:r>
          </w:p>
        </w:tc>
      </w:tr>
    </w:tbl>
    <w:p w14:paraId="12A72A86" w14:textId="77777777" w:rsidR="00525CEA" w:rsidRPr="00E325FC" w:rsidRDefault="00525CEA" w:rsidP="00525CEA"/>
    <w:p w14:paraId="47EDCD29" w14:textId="22DC1B13" w:rsidR="005D03E3" w:rsidRDefault="00842295" w:rsidP="005D03E3">
      <w:pPr>
        <w:rPr>
          <w:iCs/>
        </w:rPr>
      </w:pPr>
      <w:r>
        <w:rPr>
          <w:lang w:val="en-GB"/>
        </w:rPr>
        <w:fldChar w:fldCharType="begin"/>
      </w:r>
      <w:r>
        <w:rPr>
          <w:lang w:val="en-GB"/>
        </w:rPr>
        <w:instrText xml:space="preserve"> REF _Ref20391413 \h </w:instrText>
      </w:r>
      <w:r>
        <w:rPr>
          <w:lang w:val="en-GB"/>
        </w:rPr>
      </w:r>
      <w:r>
        <w:rPr>
          <w:lang w:val="en-GB"/>
        </w:rPr>
        <w:fldChar w:fldCharType="separate"/>
      </w:r>
      <w:r>
        <w:t xml:space="preserve">Table </w:t>
      </w:r>
      <w:r>
        <w:rPr>
          <w:noProof/>
        </w:rPr>
        <w:t>2</w:t>
      </w:r>
      <w:r>
        <w:rPr>
          <w:lang w:val="en-GB"/>
        </w:rPr>
        <w:fldChar w:fldCharType="end"/>
      </w:r>
      <w:r w:rsidR="005D03E3">
        <w:rPr>
          <w:lang w:val="en-GB"/>
        </w:rPr>
        <w:fldChar w:fldCharType="begin"/>
      </w:r>
      <w:r w:rsidR="005D03E3">
        <w:rPr>
          <w:lang w:val="en-GB"/>
        </w:rPr>
        <w:instrText xml:space="preserve"> REF _Ref16356330 \h </w:instrText>
      </w:r>
      <w:r w:rsidR="005D03E3">
        <w:rPr>
          <w:lang w:val="en-GB"/>
        </w:rPr>
      </w:r>
      <w:r w:rsidR="005D03E3">
        <w:rPr>
          <w:lang w:val="en-GB"/>
        </w:rPr>
        <w:fldChar w:fldCharType="end"/>
      </w:r>
      <w:r w:rsidR="005D03E3">
        <w:rPr>
          <w:lang w:val="en-GB"/>
        </w:rPr>
        <w:t xml:space="preserve"> is a snippet of </w:t>
      </w:r>
      <w:r w:rsidR="005D03E3">
        <w:t xml:space="preserve">Clause 6.4.1.4.3 of 38.211 on SRS resource mapping in which the detailed formulas related to the frequency hopping are removed. For the purpose of our discussion, we only need to consider the case that the frequency hopping is disabled and, hence, </w:t>
      </w:r>
      <m:oMath>
        <m:sSub>
          <m:sSubPr>
            <m:ctrlPr>
              <w:rPr>
                <w:rFonts w:ascii="Cambria Math" w:hAnsi="Cambria Math"/>
                <w:bCs/>
                <w:i/>
                <w:iCs/>
              </w:rPr>
            </m:ctrlPr>
          </m:sSubPr>
          <m:e>
            <m:r>
              <w:rPr>
                <w:rFonts w:ascii="Cambria Math" w:hAnsi="Cambria Math"/>
              </w:rPr>
              <m:t>n</m:t>
            </m:r>
          </m:e>
          <m:sub>
            <m:r>
              <w:rPr>
                <w:rFonts w:ascii="Cambria Math" w:hAnsi="Cambria Math"/>
              </w:rPr>
              <m:t>b</m:t>
            </m:r>
          </m:sub>
        </m:sSub>
      </m:oMath>
      <w:r w:rsidR="005D03E3" w:rsidRPr="00CA4ED7">
        <w:rPr>
          <w:lang w:val="en-AU"/>
        </w:rPr>
        <w:t xml:space="preserve"> </w:t>
      </w:r>
      <w:r w:rsidR="005D03E3">
        <w:rPr>
          <w:lang w:val="en-AU"/>
        </w:rPr>
        <w:t>is constant</w:t>
      </w:r>
      <w:r w:rsidR="005D03E3">
        <w:rPr>
          <w:lang w:val="en-GB"/>
        </w:rPr>
        <w:fldChar w:fldCharType="begin"/>
      </w:r>
      <w:r w:rsidR="005D03E3">
        <w:rPr>
          <w:lang w:val="en-AU"/>
        </w:rPr>
        <w:instrText xml:space="preserve"> REF _Ref16356330 \h </w:instrText>
      </w:r>
      <w:r w:rsidR="005D03E3">
        <w:rPr>
          <w:lang w:val="en-GB"/>
        </w:rPr>
      </w:r>
      <w:r w:rsidR="005D03E3">
        <w:rPr>
          <w:lang w:val="en-GB"/>
        </w:rPr>
        <w:fldChar w:fldCharType="end"/>
      </w:r>
      <w:r w:rsidR="005D03E3">
        <w:rPr>
          <w:lang w:val="en-AU"/>
        </w:rPr>
        <w:t>. The case that the frequency hopping is enabled</w:t>
      </w:r>
      <w:r>
        <w:rPr>
          <w:lang w:val="en-AU"/>
        </w:rPr>
        <w:t xml:space="preserve"> (if SRS frequency hopping is agreed for positioning purposes)</w:t>
      </w:r>
      <w:r w:rsidR="005D03E3">
        <w:rPr>
          <w:lang w:val="en-AU"/>
        </w:rPr>
        <w:t xml:space="preserve"> follows exactly the same logic. As shown in </w:t>
      </w:r>
      <w:r w:rsidR="004E278B">
        <w:rPr>
          <w:lang w:val="en-AU"/>
        </w:rPr>
        <w:fldChar w:fldCharType="begin"/>
      </w:r>
      <w:r w:rsidR="004E278B">
        <w:rPr>
          <w:lang w:val="en-AU"/>
        </w:rPr>
        <w:instrText xml:space="preserve"> REF _Ref20391413 \h </w:instrText>
      </w:r>
      <w:r w:rsidR="004E278B">
        <w:rPr>
          <w:lang w:val="en-AU"/>
        </w:rPr>
      </w:r>
      <w:r w:rsidR="004E278B">
        <w:rPr>
          <w:lang w:val="en-AU"/>
        </w:rPr>
        <w:fldChar w:fldCharType="separate"/>
      </w:r>
      <w:r w:rsidR="00133448">
        <w:t xml:space="preserve">Table </w:t>
      </w:r>
      <w:r w:rsidR="00133448">
        <w:rPr>
          <w:noProof/>
        </w:rPr>
        <w:t>2</w:t>
      </w:r>
      <w:r w:rsidR="004E278B">
        <w:rPr>
          <w:lang w:val="en-AU"/>
        </w:rPr>
        <w:fldChar w:fldCharType="end"/>
      </w:r>
      <w:r w:rsidR="005D03E3">
        <w:rPr>
          <w:lang w:val="en-GB"/>
        </w:rPr>
        <w:fldChar w:fldCharType="begin"/>
      </w:r>
      <w:r w:rsidR="005D03E3">
        <w:rPr>
          <w:lang w:val="en-AU"/>
        </w:rPr>
        <w:instrText xml:space="preserve"> REF _Ref16356330 \h </w:instrText>
      </w:r>
      <w:r w:rsidR="005D03E3">
        <w:rPr>
          <w:lang w:val="en-GB"/>
        </w:rPr>
      </w:r>
      <w:r w:rsidR="005D03E3">
        <w:rPr>
          <w:lang w:val="en-GB"/>
        </w:rPr>
        <w:fldChar w:fldCharType="end"/>
      </w:r>
      <w:r w:rsidR="005D03E3" w:rsidRPr="00DB13CB">
        <w:rPr>
          <w:lang w:val="en-GB"/>
        </w:rPr>
        <w:t>, t</w:t>
      </w:r>
      <w:r w:rsidR="005D03E3" w:rsidRPr="00DB13CB">
        <w:t xml:space="preserve">he Rel. 15 frequency-domain starting position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0</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sidR="005D03E3" w:rsidRPr="00261127">
        <w:rPr>
          <w:bCs/>
          <w:iCs/>
        </w:rPr>
        <w:t xml:space="preserve"> </w:t>
      </w:r>
      <w:r w:rsidR="005D03E3">
        <w:rPr>
          <w:bCs/>
          <w:iCs/>
        </w:rPr>
        <w:t xml:space="preserve">for the antenna port </w:t>
      </w:r>
      <m:oMath>
        <m:sSub>
          <m:sSubPr>
            <m:ctrlPr>
              <w:rPr>
                <w:rFonts w:ascii="Cambria Math" w:hAnsi="Cambria Math"/>
                <w:bCs/>
                <w:i/>
                <w:iCs/>
              </w:rPr>
            </m:ctrlPr>
          </m:sSubPr>
          <m:e>
            <m:r>
              <w:rPr>
                <w:rFonts w:ascii="Cambria Math" w:hAnsi="Cambria Math"/>
              </w:rPr>
              <m:t>p</m:t>
            </m:r>
          </m:e>
          <m:sub>
            <m:r>
              <w:rPr>
                <w:rFonts w:ascii="Cambria Math" w:hAnsi="Cambria Math"/>
              </w:rPr>
              <m:t>i</m:t>
            </m:r>
          </m:sub>
        </m:sSub>
        <m:r>
          <w:rPr>
            <w:rFonts w:ascii="Cambria Math" w:hAnsi="Cambria Math"/>
          </w:rPr>
          <m:t xml:space="preserve"> </m:t>
        </m:r>
      </m:oMath>
      <w:r w:rsidR="005D03E3" w:rsidRPr="00261127">
        <w:rPr>
          <w:bCs/>
          <w:iCs/>
        </w:rPr>
        <w:t>is gi</w:t>
      </w:r>
      <w:r w:rsidR="005D03E3">
        <w:rPr>
          <w:bCs/>
          <w:iCs/>
        </w:rPr>
        <w:t>ven by</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8010"/>
        <w:gridCol w:w="672"/>
      </w:tblGrid>
      <w:tr w:rsidR="005D03E3" w14:paraId="49D5286C" w14:textId="77777777" w:rsidTr="000E34F3">
        <w:tc>
          <w:tcPr>
            <w:tcW w:w="625" w:type="dxa"/>
          </w:tcPr>
          <w:p w14:paraId="08E46AC6" w14:textId="77777777" w:rsidR="005D03E3" w:rsidRDefault="005D03E3" w:rsidP="000E34F3">
            <w:pPr>
              <w:rPr>
                <w:bCs/>
                <w:iCs/>
              </w:rPr>
            </w:pPr>
          </w:p>
        </w:tc>
        <w:tc>
          <w:tcPr>
            <w:tcW w:w="8010" w:type="dxa"/>
          </w:tcPr>
          <w:p w14:paraId="3DE0EF58" w14:textId="77777777" w:rsidR="005D03E3" w:rsidRDefault="008D7632" w:rsidP="000E34F3">
            <w:pPr>
              <w:rPr>
                <w:bCs/>
                <w:iCs/>
              </w:rPr>
            </w:pPr>
            <m:oMathPara>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0</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sSubSup>
                  <m:sSubSupPr>
                    <m:ctrlPr>
                      <w:rPr>
                        <w:rFonts w:ascii="Cambria Math" w:hAnsi="Cambria Math"/>
                        <w:bCs/>
                        <w:i/>
                        <w:iCs/>
                      </w:rPr>
                    </m:ctrlPr>
                  </m:sSubSupPr>
                  <m:e>
                    <m:acc>
                      <m:accPr>
                        <m:chr m:val="̅"/>
                        <m:ctrlPr>
                          <w:rPr>
                            <w:rFonts w:ascii="Cambria Math" w:hAnsi="Cambria Math"/>
                            <w:bCs/>
                            <w:i/>
                            <w:iCs/>
                          </w:rPr>
                        </m:ctrlPr>
                      </m:accPr>
                      <m:e>
                        <m:r>
                          <w:rPr>
                            <w:rFonts w:ascii="Cambria Math" w:hAnsi="Cambria Math"/>
                          </w:rPr>
                          <m:t>k</m:t>
                        </m:r>
                      </m:e>
                    </m:acc>
                  </m:e>
                  <m:sub>
                    <m:r>
                      <m:rPr>
                        <m:sty m:val="p"/>
                      </m:rPr>
                      <w:rPr>
                        <w:rFonts w:ascii="Cambria Math" w:hAnsi="Cambria Math"/>
                      </w:rPr>
                      <m:t>0</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nary>
                  <m:naryPr>
                    <m:chr m:val="∑"/>
                    <m:ctrlPr>
                      <w:rPr>
                        <w:rFonts w:ascii="Cambria Math" w:hAnsi="Cambria Math"/>
                        <w:bCs/>
                        <w:i/>
                        <w:iCs/>
                      </w:rPr>
                    </m:ctrlPr>
                  </m:naryPr>
                  <m:sub>
                    <m:r>
                      <w:rPr>
                        <w:rFonts w:ascii="Cambria Math" w:hAnsi="Cambria Math"/>
                      </w:rPr>
                      <m:t>b</m:t>
                    </m:r>
                    <m:r>
                      <m:rPr>
                        <m:sty m:val="p"/>
                      </m:rPr>
                      <w:rPr>
                        <w:rFonts w:ascii="Cambria Math" w:hAnsi="Cambria Math"/>
                      </w:rPr>
                      <m:t>=0</m:t>
                    </m:r>
                  </m:sub>
                  <m:sup>
                    <m:sSub>
                      <m:sSubPr>
                        <m:ctrlPr>
                          <w:rPr>
                            <w:rFonts w:ascii="Cambria Math" w:hAnsi="Cambria Math"/>
                            <w:bCs/>
                            <w:i/>
                            <w:iCs/>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bCs/>
                            <w:i/>
                            <w:iCs/>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sSub>
                      <m:sSubPr>
                        <m:ctrlPr>
                          <w:rPr>
                            <w:rFonts w:ascii="Cambria Math" w:hAnsi="Cambria Math"/>
                            <w:bCs/>
                            <w:i/>
                            <w:iCs/>
                          </w:rPr>
                        </m:ctrlPr>
                      </m:sSubPr>
                      <m:e>
                        <m:r>
                          <w:rPr>
                            <w:rFonts w:ascii="Cambria Math" w:hAnsi="Cambria Math"/>
                          </w:rPr>
                          <m:t>n</m:t>
                        </m:r>
                      </m:e>
                      <m:sub>
                        <m:r>
                          <w:rPr>
                            <w:rFonts w:ascii="Cambria Math" w:hAnsi="Cambria Math"/>
                          </w:rPr>
                          <m:t>b</m:t>
                        </m:r>
                      </m:sub>
                    </m:sSub>
                  </m:e>
                </m:nary>
              </m:oMath>
            </m:oMathPara>
          </w:p>
        </w:tc>
        <w:tc>
          <w:tcPr>
            <w:tcW w:w="672" w:type="dxa"/>
          </w:tcPr>
          <w:p w14:paraId="794ACC65" w14:textId="77777777" w:rsidR="005D03E3" w:rsidRDefault="005D03E3" w:rsidP="000E34F3">
            <w:pPr>
              <w:rPr>
                <w:bCs/>
                <w:iCs/>
              </w:rPr>
            </w:pPr>
          </w:p>
          <w:p w14:paraId="45903F32" w14:textId="77777777" w:rsidR="005D03E3" w:rsidRDefault="005D03E3" w:rsidP="000E34F3">
            <w:pPr>
              <w:jc w:val="right"/>
              <w:rPr>
                <w:bCs/>
                <w:iCs/>
              </w:rPr>
            </w:pPr>
            <w:r>
              <w:rPr>
                <w:bCs/>
                <w:iCs/>
              </w:rPr>
              <w:t>(1)</w:t>
            </w:r>
          </w:p>
        </w:tc>
      </w:tr>
    </w:tbl>
    <w:p w14:paraId="117C871C" w14:textId="77777777" w:rsidR="005D03E3" w:rsidRDefault="005D03E3" w:rsidP="005D03E3">
      <w:pPr>
        <w:rPr>
          <w:bCs/>
          <w:iCs/>
        </w:rPr>
      </w:pPr>
      <w:r>
        <w:rPr>
          <w:bCs/>
          <w:iCs/>
        </w:rPr>
        <w:lastRenderedPageBreak/>
        <w:t xml:space="preserve">where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25"/>
        <w:gridCol w:w="582"/>
      </w:tblGrid>
      <w:tr w:rsidR="005D03E3" w14:paraId="3EF63E01" w14:textId="77777777" w:rsidTr="000E34F3">
        <w:tc>
          <w:tcPr>
            <w:tcW w:w="8725" w:type="dxa"/>
          </w:tcPr>
          <w:p w14:paraId="715808C6" w14:textId="77777777" w:rsidR="005D03E3" w:rsidRPr="00B87B58" w:rsidRDefault="008D7632" w:rsidP="000E34F3">
            <w:pPr>
              <w:rPr>
                <w:bCs/>
                <w:iCs/>
              </w:rPr>
            </w:pPr>
            <m:oMathPara>
              <m:oMath>
                <m:sSubSup>
                  <m:sSubSupPr>
                    <m:ctrlPr>
                      <w:rPr>
                        <w:rFonts w:ascii="Cambria Math" w:hAnsi="Cambria Math"/>
                        <w:bCs/>
                        <w:i/>
                        <w:iCs/>
                      </w:rPr>
                    </m:ctrlPr>
                  </m:sSubSupPr>
                  <m:e>
                    <m:sSubSup>
                      <m:sSubSupPr>
                        <m:ctrlPr>
                          <w:rPr>
                            <w:rFonts w:ascii="Cambria Math" w:hAnsi="Cambria Math"/>
                            <w:bCs/>
                            <w:i/>
                            <w:iCs/>
                          </w:rPr>
                        </m:ctrlPr>
                      </m:sSubSupPr>
                      <m:e>
                        <m:acc>
                          <m:accPr>
                            <m:chr m:val="̅"/>
                            <m:ctrlPr>
                              <w:rPr>
                                <w:rFonts w:ascii="Cambria Math" w:hAnsi="Cambria Math"/>
                                <w:bCs/>
                                <w:i/>
                                <w:iCs/>
                              </w:rPr>
                            </m:ctrlPr>
                          </m:accPr>
                          <m:e>
                            <m:r>
                              <w:rPr>
                                <w:rFonts w:ascii="Cambria Math" w:hAnsi="Cambria Math"/>
                              </w:rPr>
                              <m:t>k</m:t>
                            </m:r>
                          </m:e>
                        </m:acc>
                      </m:e>
                      <m:sub>
                        <m:r>
                          <m:rPr>
                            <m:sty m:val="p"/>
                          </m:rPr>
                          <w:rPr>
                            <w:rFonts w:ascii="Cambria Math" w:hAnsi="Cambria Math"/>
                          </w:rPr>
                          <m:t>0</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sSub>
                  <m:sSubPr>
                    <m:ctrlPr>
                      <w:rPr>
                        <w:rFonts w:ascii="Cambria Math" w:hAnsi="Cambria Math"/>
                        <w:bCs/>
                        <w:i/>
                        <w:iCs/>
                      </w:rPr>
                    </m:ctrlPr>
                  </m:sSubPr>
                  <m:e>
                    <m:r>
                      <w:rPr>
                        <w:rFonts w:ascii="Cambria Math" w:hAnsi="Cambria Math"/>
                      </w:rPr>
                      <m:t>n</m:t>
                    </m:r>
                  </m:e>
                  <m:sub>
                    <m:r>
                      <m:rPr>
                        <m:sty m:val="p"/>
                      </m:rPr>
                      <w:rPr>
                        <w:rFonts w:ascii="Cambria Math" w:hAnsi="Cambria Math"/>
                      </w:rPr>
                      <m:t>shift</m:t>
                    </m:r>
                  </m:sub>
                </m:sSub>
                <m:sSubSup>
                  <m:sSubSupPr>
                    <m:ctrlPr>
                      <w:rPr>
                        <w:rFonts w:ascii="Cambria Math" w:hAnsi="Cambria Math"/>
                        <w:bCs/>
                        <w:i/>
                        <w:iCs/>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oMath>
            </m:oMathPara>
          </w:p>
        </w:tc>
        <w:tc>
          <w:tcPr>
            <w:tcW w:w="582" w:type="dxa"/>
          </w:tcPr>
          <w:p w14:paraId="59557855" w14:textId="77777777" w:rsidR="005D03E3" w:rsidRDefault="005D03E3" w:rsidP="000E34F3">
            <w:pPr>
              <w:jc w:val="right"/>
              <w:rPr>
                <w:bCs/>
                <w:iCs/>
              </w:rPr>
            </w:pPr>
            <w:r>
              <w:rPr>
                <w:bCs/>
                <w:iCs/>
              </w:rPr>
              <w:t>(2)</w:t>
            </w:r>
          </w:p>
        </w:tc>
      </w:tr>
    </w:tbl>
    <w:p w14:paraId="07B58023" w14:textId="77777777" w:rsidR="005D03E3" w:rsidRDefault="005D03E3" w:rsidP="005D03E3">
      <w:pPr>
        <w:rPr>
          <w:bCs/>
          <w:iCs/>
        </w:rPr>
      </w:pPr>
      <w:r>
        <w:rPr>
          <w:bCs/>
          <w:iCs/>
        </w:rPr>
        <w:t>Putting Eqs. (1) and (2) together, we obtain</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5"/>
        <w:gridCol w:w="492"/>
      </w:tblGrid>
      <w:tr w:rsidR="005D03E3" w14:paraId="1C21A644" w14:textId="77777777" w:rsidTr="000E34F3">
        <w:tc>
          <w:tcPr>
            <w:tcW w:w="8815" w:type="dxa"/>
          </w:tcPr>
          <w:p w14:paraId="59017509" w14:textId="77777777" w:rsidR="005D03E3" w:rsidRDefault="008D7632" w:rsidP="000E34F3">
            <w:pPr>
              <w:jc w:val="right"/>
              <w:rPr>
                <w:bCs/>
                <w:iCs/>
              </w:rPr>
            </w:pPr>
            <m:oMathPara>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0</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w:rPr>
                    <w:rFonts w:ascii="Cambria Math" w:hAnsi="Cambria Math"/>
                  </w:rPr>
                  <m:t>=</m:t>
                </m:r>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sSub>
                  <m:sSubPr>
                    <m:ctrlPr>
                      <w:rPr>
                        <w:rFonts w:ascii="Cambria Math" w:hAnsi="Cambria Math"/>
                        <w:bCs/>
                        <w:i/>
                        <w:iCs/>
                      </w:rPr>
                    </m:ctrlPr>
                  </m:sSubPr>
                  <m:e>
                    <m:r>
                      <w:rPr>
                        <w:rFonts w:ascii="Cambria Math" w:hAnsi="Cambria Math"/>
                      </w:rPr>
                      <m:t>n</m:t>
                    </m:r>
                  </m:e>
                  <m:sub>
                    <m:r>
                      <m:rPr>
                        <m:sty m:val="p"/>
                      </m:rPr>
                      <w:rPr>
                        <w:rFonts w:ascii="Cambria Math" w:hAnsi="Cambria Math"/>
                      </w:rPr>
                      <m:t>shift</m:t>
                    </m:r>
                  </m:sub>
                </m:sSub>
                <m:sSubSup>
                  <m:sSubSupPr>
                    <m:ctrlPr>
                      <w:rPr>
                        <w:rFonts w:ascii="Cambria Math" w:hAnsi="Cambria Math"/>
                        <w:bCs/>
                        <w:i/>
                        <w:iCs/>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r>
                  <w:rPr>
                    <w:rFonts w:ascii="Cambria Math" w:hAnsi="Cambria Math"/>
                  </w:rPr>
                  <m:t>+</m:t>
                </m:r>
                <m:nary>
                  <m:naryPr>
                    <m:chr m:val="∑"/>
                    <m:ctrlPr>
                      <w:rPr>
                        <w:rFonts w:ascii="Cambria Math" w:hAnsi="Cambria Math"/>
                        <w:bCs/>
                        <w:i/>
                        <w:iCs/>
                      </w:rPr>
                    </m:ctrlPr>
                  </m:naryPr>
                  <m:sub>
                    <m:r>
                      <w:rPr>
                        <w:rFonts w:ascii="Cambria Math" w:hAnsi="Cambria Math"/>
                      </w:rPr>
                      <m:t>b</m:t>
                    </m:r>
                    <m:r>
                      <m:rPr>
                        <m:sty m:val="p"/>
                      </m:rPr>
                      <w:rPr>
                        <w:rFonts w:ascii="Cambria Math" w:hAnsi="Cambria Math"/>
                      </w:rPr>
                      <m:t>=0</m:t>
                    </m:r>
                  </m:sub>
                  <m:sup>
                    <m:sSub>
                      <m:sSubPr>
                        <m:ctrlPr>
                          <w:rPr>
                            <w:rFonts w:ascii="Cambria Math" w:hAnsi="Cambria Math"/>
                            <w:bCs/>
                            <w:i/>
                            <w:iCs/>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bCs/>
                            <w:i/>
                            <w:iCs/>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sSub>
                      <m:sSubPr>
                        <m:ctrlPr>
                          <w:rPr>
                            <w:rFonts w:ascii="Cambria Math" w:hAnsi="Cambria Math"/>
                            <w:bCs/>
                            <w:i/>
                            <w:iCs/>
                          </w:rPr>
                        </m:ctrlPr>
                      </m:sSubPr>
                      <m:e>
                        <m:r>
                          <w:rPr>
                            <w:rFonts w:ascii="Cambria Math" w:hAnsi="Cambria Math"/>
                          </w:rPr>
                          <m:t>n</m:t>
                        </m:r>
                      </m:e>
                      <m:sub>
                        <m:r>
                          <w:rPr>
                            <w:rFonts w:ascii="Cambria Math" w:hAnsi="Cambria Math"/>
                          </w:rPr>
                          <m:t>b</m:t>
                        </m:r>
                      </m:sub>
                    </m:sSub>
                  </m:e>
                </m:nary>
              </m:oMath>
            </m:oMathPara>
          </w:p>
        </w:tc>
        <w:tc>
          <w:tcPr>
            <w:tcW w:w="492" w:type="dxa"/>
          </w:tcPr>
          <w:p w14:paraId="27F3CE8F" w14:textId="77777777" w:rsidR="005D03E3" w:rsidRDefault="005D03E3" w:rsidP="000E34F3">
            <w:pPr>
              <w:jc w:val="right"/>
              <w:rPr>
                <w:bCs/>
                <w:iCs/>
              </w:rPr>
            </w:pPr>
          </w:p>
          <w:p w14:paraId="4F481A31" w14:textId="77777777" w:rsidR="005D03E3" w:rsidRDefault="005D03E3" w:rsidP="000E34F3">
            <w:pPr>
              <w:jc w:val="right"/>
              <w:rPr>
                <w:bCs/>
                <w:iCs/>
              </w:rPr>
            </w:pPr>
            <w:r>
              <w:rPr>
                <w:bCs/>
                <w:iCs/>
              </w:rPr>
              <w:t>(3)</w:t>
            </w:r>
          </w:p>
        </w:tc>
      </w:tr>
    </w:tbl>
    <w:p w14:paraId="51F437B9" w14:textId="1C872536" w:rsidR="005D03E3" w:rsidRDefault="005D03E3" w:rsidP="005D03E3">
      <w:pPr>
        <w:rPr>
          <w:b/>
          <w:iCs/>
        </w:rPr>
      </w:pPr>
      <w:r>
        <w:rPr>
          <w:bCs/>
          <w:iCs/>
        </w:rPr>
        <w:t xml:space="preserve">For the sake of consistency with Rel. 15 resource mapping equations in 38.211, we keep the SRS antenna port indictor </w:t>
      </w:r>
      <m:oMath>
        <m:sSub>
          <m:sSubPr>
            <m:ctrlPr>
              <w:rPr>
                <w:rFonts w:ascii="Cambria Math" w:hAnsi="Cambria Math"/>
                <w:bCs/>
                <w:i/>
                <w:iCs/>
              </w:rPr>
            </m:ctrlPr>
          </m:sSubPr>
          <m:e>
            <m:r>
              <w:rPr>
                <w:rFonts w:ascii="Cambria Math" w:hAnsi="Cambria Math"/>
              </w:rPr>
              <m:t>p</m:t>
            </m:r>
          </m:e>
          <m:sub>
            <m:r>
              <w:rPr>
                <w:rFonts w:ascii="Cambria Math" w:hAnsi="Cambria Math"/>
              </w:rPr>
              <m:t>i</m:t>
            </m:r>
          </m:sub>
        </m:sSub>
      </m:oMath>
      <w:r>
        <w:rPr>
          <w:bCs/>
          <w:iCs/>
        </w:rPr>
        <w:t xml:space="preserve"> in the following equations while we acknowledge that the number of antenna ports in Rel. 16 SRS for positioning may be smaller than the number of supported antenna ports in Rel. 15 SRS.  </w:t>
      </w:r>
      <w:r w:rsidRPr="00261127">
        <w:rPr>
          <w:bCs/>
          <w:iCs/>
        </w:rPr>
        <w:t>From Eq. (</w:t>
      </w:r>
      <w:r>
        <w:rPr>
          <w:bCs/>
          <w:iCs/>
        </w:rPr>
        <w:t>3</w:t>
      </w:r>
      <w:r w:rsidRPr="00261127">
        <w:rPr>
          <w:bCs/>
          <w:iCs/>
        </w:rPr>
        <w:t xml:space="preserve">),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0</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sidRPr="00261127">
        <w:rPr>
          <w:bCs/>
          <w:iCs/>
        </w:rPr>
        <w:t xml:space="preserve"> </w:t>
      </w:r>
      <w:r>
        <w:rPr>
          <w:bCs/>
          <w:iCs/>
        </w:rPr>
        <w:t>has</w:t>
      </w:r>
      <w:r w:rsidRPr="00261127">
        <w:rPr>
          <w:bCs/>
          <w:iCs/>
        </w:rPr>
        <w:t xml:space="preserve"> </w:t>
      </w:r>
      <w:r>
        <w:rPr>
          <w:bCs/>
          <w:iCs/>
        </w:rPr>
        <w:t xml:space="preserve">two </w:t>
      </w:r>
      <w:r w:rsidRPr="00261127">
        <w:rPr>
          <w:bCs/>
          <w:iCs/>
        </w:rPr>
        <w:t>terms</w:t>
      </w:r>
      <w:r>
        <w:rPr>
          <w:bCs/>
          <w:iCs/>
        </w:rPr>
        <w:t>:</w:t>
      </w:r>
      <w:r w:rsidRPr="00261127">
        <w:rPr>
          <w:bCs/>
          <w:iCs/>
        </w:rPr>
        <w:t xml:space="preserve">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sidRPr="00261127">
        <w:rPr>
          <w:bCs/>
          <w:iCs/>
        </w:rPr>
        <w:t xml:space="preserve"> and </w:t>
      </w:r>
      <m:oMath>
        <m:sSub>
          <m:sSubPr>
            <m:ctrlPr>
              <w:rPr>
                <w:rFonts w:ascii="Cambria Math" w:hAnsi="Cambria Math"/>
                <w:bCs/>
                <w:i/>
                <w:iCs/>
              </w:rPr>
            </m:ctrlPr>
          </m:sSubPr>
          <m:e>
            <m:r>
              <w:rPr>
                <w:rFonts w:ascii="Cambria Math" w:hAnsi="Cambria Math"/>
              </w:rPr>
              <m:t>n</m:t>
            </m:r>
          </m:e>
          <m:sub>
            <m:r>
              <m:rPr>
                <m:sty m:val="p"/>
              </m:rPr>
              <w:rPr>
                <w:rFonts w:ascii="Cambria Math" w:hAnsi="Cambria Math"/>
              </w:rPr>
              <m:t>shift</m:t>
            </m:r>
          </m:sub>
        </m:sSub>
        <m:sSubSup>
          <m:sSubSupPr>
            <m:ctrlPr>
              <w:rPr>
                <w:rFonts w:ascii="Cambria Math" w:hAnsi="Cambria Math"/>
                <w:bCs/>
                <w:i/>
                <w:iCs/>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r>
          <w:rPr>
            <w:rFonts w:ascii="Cambria Math" w:hAnsi="Cambria Math"/>
          </w:rPr>
          <m:t>+</m:t>
        </m:r>
        <m:nary>
          <m:naryPr>
            <m:chr m:val="∑"/>
            <m:ctrlPr>
              <w:rPr>
                <w:rFonts w:ascii="Cambria Math" w:hAnsi="Cambria Math"/>
                <w:bCs/>
                <w:i/>
                <w:iCs/>
              </w:rPr>
            </m:ctrlPr>
          </m:naryPr>
          <m:sub>
            <m:r>
              <w:rPr>
                <w:rFonts w:ascii="Cambria Math" w:hAnsi="Cambria Math"/>
              </w:rPr>
              <m:t>b</m:t>
            </m:r>
            <m:r>
              <m:rPr>
                <m:sty m:val="p"/>
              </m:rPr>
              <w:rPr>
                <w:rFonts w:ascii="Cambria Math" w:hAnsi="Cambria Math"/>
              </w:rPr>
              <m:t>=0</m:t>
            </m:r>
          </m:sub>
          <m:sup>
            <m:sSub>
              <m:sSubPr>
                <m:ctrlPr>
                  <w:rPr>
                    <w:rFonts w:ascii="Cambria Math" w:hAnsi="Cambria Math"/>
                    <w:bCs/>
                    <w:i/>
                    <w:iCs/>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bCs/>
                    <w:i/>
                    <w:iCs/>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sSub>
              <m:sSubPr>
                <m:ctrlPr>
                  <w:rPr>
                    <w:rFonts w:ascii="Cambria Math" w:hAnsi="Cambria Math"/>
                    <w:bCs/>
                    <w:i/>
                    <w:iCs/>
                  </w:rPr>
                </m:ctrlPr>
              </m:sSubPr>
              <m:e>
                <m:r>
                  <w:rPr>
                    <w:rFonts w:ascii="Cambria Math" w:hAnsi="Cambria Math"/>
                  </w:rPr>
                  <m:t>n</m:t>
                </m:r>
              </m:e>
              <m:sub>
                <m:r>
                  <w:rPr>
                    <w:rFonts w:ascii="Cambria Math" w:hAnsi="Cambria Math"/>
                  </w:rPr>
                  <m:t>b</m:t>
                </m:r>
              </m:sub>
            </m:sSub>
          </m:e>
        </m:nary>
      </m:oMath>
      <w:r>
        <w:rPr>
          <w:bCs/>
          <w:iCs/>
        </w:rPr>
        <w:t>.</w:t>
      </w:r>
      <w:r w:rsidRPr="00261127">
        <w:rPr>
          <w:bCs/>
          <w:iCs/>
        </w:rPr>
        <w:t xml:space="preserve"> </w:t>
      </w:r>
      <w:r>
        <w:rPr>
          <w:bCs/>
          <w:iCs/>
        </w:rPr>
        <w:t xml:space="preserve">The term </w:t>
      </w:r>
      <m:oMath>
        <m:sSub>
          <m:sSubPr>
            <m:ctrlPr>
              <w:rPr>
                <w:rFonts w:ascii="Cambria Math" w:hAnsi="Cambria Math"/>
                <w:bCs/>
                <w:i/>
                <w:iCs/>
              </w:rPr>
            </m:ctrlPr>
          </m:sSubPr>
          <m:e>
            <m:r>
              <w:rPr>
                <w:rFonts w:ascii="Cambria Math" w:hAnsi="Cambria Math"/>
              </w:rPr>
              <m:t>n</m:t>
            </m:r>
          </m:e>
          <m:sub>
            <m:r>
              <m:rPr>
                <m:sty m:val="p"/>
              </m:rPr>
              <w:rPr>
                <w:rFonts w:ascii="Cambria Math" w:hAnsi="Cambria Math"/>
              </w:rPr>
              <m:t>shift</m:t>
            </m:r>
          </m:sub>
        </m:sSub>
        <m:sSubSup>
          <m:sSubSupPr>
            <m:ctrlPr>
              <w:rPr>
                <w:rFonts w:ascii="Cambria Math" w:hAnsi="Cambria Math"/>
                <w:bCs/>
                <w:i/>
                <w:iCs/>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r>
          <w:rPr>
            <w:rFonts w:ascii="Cambria Math" w:hAnsi="Cambria Math"/>
          </w:rPr>
          <m:t>+</m:t>
        </m:r>
        <m:nary>
          <m:naryPr>
            <m:chr m:val="∑"/>
            <m:ctrlPr>
              <w:rPr>
                <w:rFonts w:ascii="Cambria Math" w:hAnsi="Cambria Math"/>
                <w:bCs/>
                <w:i/>
                <w:iCs/>
              </w:rPr>
            </m:ctrlPr>
          </m:naryPr>
          <m:sub>
            <m:r>
              <w:rPr>
                <w:rFonts w:ascii="Cambria Math" w:hAnsi="Cambria Math"/>
              </w:rPr>
              <m:t>b</m:t>
            </m:r>
            <m:r>
              <m:rPr>
                <m:sty m:val="p"/>
              </m:rPr>
              <w:rPr>
                <w:rFonts w:ascii="Cambria Math" w:hAnsi="Cambria Math"/>
              </w:rPr>
              <m:t>=0</m:t>
            </m:r>
          </m:sub>
          <m:sup>
            <m:sSub>
              <m:sSubPr>
                <m:ctrlPr>
                  <w:rPr>
                    <w:rFonts w:ascii="Cambria Math" w:hAnsi="Cambria Math"/>
                    <w:bCs/>
                    <w:i/>
                    <w:iCs/>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bCs/>
                    <w:i/>
                    <w:iCs/>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sSub>
              <m:sSubPr>
                <m:ctrlPr>
                  <w:rPr>
                    <w:rFonts w:ascii="Cambria Math" w:hAnsi="Cambria Math"/>
                    <w:bCs/>
                    <w:i/>
                    <w:iCs/>
                  </w:rPr>
                </m:ctrlPr>
              </m:sSubPr>
              <m:e>
                <m:r>
                  <w:rPr>
                    <w:rFonts w:ascii="Cambria Math" w:hAnsi="Cambria Math"/>
                  </w:rPr>
                  <m:t>n</m:t>
                </m:r>
              </m:e>
              <m:sub>
                <m:r>
                  <w:rPr>
                    <w:rFonts w:ascii="Cambria Math" w:hAnsi="Cambria Math"/>
                  </w:rPr>
                  <m:t>b</m:t>
                </m:r>
              </m:sub>
            </m:sSub>
          </m:e>
        </m:nary>
      </m:oMath>
      <w:r>
        <w:rPr>
          <w:bCs/>
          <w:iCs/>
        </w:rPr>
        <w:t xml:space="preserve"> </w:t>
      </w:r>
      <w:r w:rsidRPr="00261127">
        <w:rPr>
          <w:bCs/>
          <w:iCs/>
        </w:rPr>
        <w:t xml:space="preserve"> </w:t>
      </w:r>
      <w:r>
        <w:rPr>
          <w:bCs/>
          <w:iCs/>
        </w:rPr>
        <w:t>is the number of REs from the reference RE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0</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w:rPr>
            <w:rFonts w:ascii="Cambria Math" w:hAnsi="Cambria Math"/>
          </w:rPr>
          <m:t xml:space="preserve">=0) </m:t>
        </m:r>
      </m:oMath>
      <w:r>
        <w:rPr>
          <w:bCs/>
          <w:iCs/>
        </w:rPr>
        <w:t>to the lowest RE of the</w:t>
      </w:r>
      <w:r w:rsidR="00525CEA">
        <w:rPr>
          <w:bCs/>
          <w:iCs/>
        </w:rPr>
        <w:t xml:space="preserve"> lowest </w:t>
      </w:r>
      <w:r>
        <w:rPr>
          <w:bCs/>
          <w:iCs/>
        </w:rPr>
        <w:t xml:space="preserve">RB </w:t>
      </w:r>
      <w:r w:rsidR="00CC6832">
        <w:rPr>
          <w:bCs/>
          <w:iCs/>
        </w:rPr>
        <w:t>of</w:t>
      </w:r>
      <w:r>
        <w:rPr>
          <w:bCs/>
          <w:iCs/>
        </w:rPr>
        <w:t xml:space="preserve"> SRS. This term is </w:t>
      </w:r>
      <w:r w:rsidR="004E278B">
        <w:rPr>
          <w:bCs/>
          <w:iCs/>
        </w:rPr>
        <w:t xml:space="preserve">divisible by </w:t>
      </w:r>
      <w:r>
        <w:rPr>
          <w:bCs/>
          <w:iCs/>
        </w:rPr>
        <w:t xml:space="preserve">the number of REs per RB </w:t>
      </w:r>
      <m:oMath>
        <m:sSubSup>
          <m:sSubSupPr>
            <m:ctrlPr>
              <w:rPr>
                <w:rFonts w:ascii="Cambria Math" w:hAnsi="Cambria Math"/>
                <w:bCs/>
                <w:i/>
                <w:iCs/>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r>
          <w:rPr>
            <w:rFonts w:ascii="Cambria Math" w:hAnsi="Cambria Math"/>
          </w:rPr>
          <m:t xml:space="preserve">=12 </m:t>
        </m:r>
      </m:oMath>
      <w:r>
        <w:rPr>
          <w:bCs/>
          <w:iCs/>
        </w:rPr>
        <w:t xml:space="preserve">and </w:t>
      </w:r>
      <m:oMath>
        <m:d>
          <m:dPr>
            <m:ctrlPr>
              <w:rPr>
                <w:rFonts w:ascii="Cambria Math" w:hAnsi="Cambria Math"/>
                <w:bCs/>
                <w:i/>
                <w:iCs/>
              </w:rPr>
            </m:ctrlPr>
          </m:dPr>
          <m:e>
            <m:sSub>
              <m:sSubPr>
                <m:ctrlPr>
                  <w:rPr>
                    <w:rFonts w:ascii="Cambria Math" w:hAnsi="Cambria Math"/>
                    <w:bCs/>
                    <w:i/>
                    <w:iCs/>
                  </w:rPr>
                </m:ctrlPr>
              </m:sSubPr>
              <m:e>
                <m:r>
                  <w:rPr>
                    <w:rFonts w:ascii="Cambria Math" w:hAnsi="Cambria Math"/>
                  </w:rPr>
                  <m:t>n</m:t>
                </m:r>
              </m:e>
              <m:sub>
                <m:r>
                  <m:rPr>
                    <m:sty m:val="p"/>
                  </m:rPr>
                  <w:rPr>
                    <w:rFonts w:ascii="Cambria Math" w:hAnsi="Cambria Math"/>
                  </w:rPr>
                  <m:t>shift</m:t>
                </m:r>
              </m:sub>
            </m:sSub>
            <m:sSubSup>
              <m:sSubSupPr>
                <m:ctrlPr>
                  <w:rPr>
                    <w:rFonts w:ascii="Cambria Math" w:hAnsi="Cambria Math"/>
                    <w:bCs/>
                    <w:i/>
                    <w:iCs/>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r>
              <w:rPr>
                <w:rFonts w:ascii="Cambria Math" w:hAnsi="Cambria Math"/>
              </w:rPr>
              <m:t>+</m:t>
            </m:r>
            <m:nary>
              <m:naryPr>
                <m:chr m:val="∑"/>
                <m:ctrlPr>
                  <w:rPr>
                    <w:rFonts w:ascii="Cambria Math" w:hAnsi="Cambria Math"/>
                    <w:bCs/>
                    <w:i/>
                    <w:iCs/>
                  </w:rPr>
                </m:ctrlPr>
              </m:naryPr>
              <m:sub>
                <m:r>
                  <w:rPr>
                    <w:rFonts w:ascii="Cambria Math" w:hAnsi="Cambria Math"/>
                  </w:rPr>
                  <m:t>b</m:t>
                </m:r>
                <m:r>
                  <m:rPr>
                    <m:sty m:val="p"/>
                  </m:rPr>
                  <w:rPr>
                    <w:rFonts w:ascii="Cambria Math" w:hAnsi="Cambria Math"/>
                  </w:rPr>
                  <m:t>=0</m:t>
                </m:r>
              </m:sub>
              <m:sup>
                <m:sSub>
                  <m:sSubPr>
                    <m:ctrlPr>
                      <w:rPr>
                        <w:rFonts w:ascii="Cambria Math" w:hAnsi="Cambria Math"/>
                        <w:bCs/>
                        <w:i/>
                        <w:iCs/>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bCs/>
                        <w:i/>
                        <w:iCs/>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sSub>
                  <m:sSubPr>
                    <m:ctrlPr>
                      <w:rPr>
                        <w:rFonts w:ascii="Cambria Math" w:hAnsi="Cambria Math"/>
                        <w:bCs/>
                        <w:i/>
                        <w:iCs/>
                      </w:rPr>
                    </m:ctrlPr>
                  </m:sSubPr>
                  <m:e>
                    <m:r>
                      <w:rPr>
                        <w:rFonts w:ascii="Cambria Math" w:hAnsi="Cambria Math"/>
                      </w:rPr>
                      <m:t>n</m:t>
                    </m:r>
                  </m:e>
                  <m:sub>
                    <m:r>
                      <w:rPr>
                        <w:rFonts w:ascii="Cambria Math" w:hAnsi="Cambria Math"/>
                      </w:rPr>
                      <m:t>b</m:t>
                    </m:r>
                  </m:sub>
                </m:sSub>
              </m:e>
            </m:nary>
          </m:e>
        </m:d>
        <m:r>
          <w:rPr>
            <w:rFonts w:ascii="Cambria Math" w:hAnsi="Cambria Math"/>
          </w:rPr>
          <m:t>/</m:t>
        </m:r>
        <m:sSubSup>
          <m:sSubSupPr>
            <m:ctrlPr>
              <w:rPr>
                <w:rFonts w:ascii="Cambria Math" w:hAnsi="Cambria Math"/>
                <w:bCs/>
                <w:i/>
                <w:iCs/>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r>
          <w:rPr>
            <w:rFonts w:ascii="Cambria Math" w:hAnsi="Cambria Math"/>
          </w:rPr>
          <m:t xml:space="preserve"> </m:t>
        </m:r>
      </m:oMath>
      <w:r>
        <w:rPr>
          <w:bCs/>
          <w:iCs/>
        </w:rPr>
        <w:t xml:space="preserve">determines the RB index of the lowest RB of SRS w.r.t. the reference RB which is either the common resource block 0 or the lowest RB of the BWP depending on the value of  </w:t>
      </w:r>
      <m:oMath>
        <m:sSub>
          <m:sSubPr>
            <m:ctrlPr>
              <w:rPr>
                <w:rFonts w:ascii="Cambria Math" w:hAnsi="Cambria Math"/>
                <w:bCs/>
                <w:i/>
                <w:iCs/>
              </w:rPr>
            </m:ctrlPr>
          </m:sSubPr>
          <m:e>
            <m:r>
              <w:rPr>
                <w:rFonts w:ascii="Cambria Math" w:hAnsi="Cambria Math"/>
              </w:rPr>
              <m:t>n</m:t>
            </m:r>
          </m:e>
          <m:sub>
            <m:r>
              <m:rPr>
                <m:sty m:val="p"/>
              </m:rPr>
              <w:rPr>
                <w:rFonts w:ascii="Cambria Math" w:hAnsi="Cambria Math"/>
              </w:rPr>
              <m:t>shift</m:t>
            </m:r>
          </m:sub>
        </m:sSub>
      </m:oMath>
      <w:r>
        <w:rPr>
          <w:bCs/>
          <w:iCs/>
        </w:rPr>
        <w:t>.  Through the value of</w:t>
      </w:r>
      <m:oMath>
        <m:r>
          <w:rPr>
            <w:rFonts w:ascii="Cambria Math" w:hAnsi="Cambria Math"/>
          </w:rPr>
          <m:t xml:space="preserve"> </m:t>
        </m:r>
        <m:sSub>
          <m:sSubPr>
            <m:ctrlPr>
              <w:rPr>
                <w:rFonts w:ascii="Cambria Math" w:hAnsi="Cambria Math"/>
                <w:bCs/>
                <w:i/>
                <w:iCs/>
              </w:rPr>
            </m:ctrlPr>
          </m:sSubPr>
          <m:e>
            <m:r>
              <w:rPr>
                <w:rFonts w:ascii="Cambria Math" w:hAnsi="Cambria Math"/>
              </w:rPr>
              <m:t>n</m:t>
            </m:r>
          </m:e>
          <m:sub>
            <m:r>
              <w:rPr>
                <w:rFonts w:ascii="Cambria Math" w:hAnsi="Cambria Math"/>
              </w:rPr>
              <m:t>b</m:t>
            </m:r>
          </m:sub>
        </m:sSub>
      </m:oMath>
      <w:r>
        <w:rPr>
          <w:bCs/>
          <w:iCs/>
        </w:rPr>
        <w:t xml:space="preserve">, the term </w:t>
      </w:r>
      <m:oMath>
        <m:sSub>
          <m:sSubPr>
            <m:ctrlPr>
              <w:rPr>
                <w:rFonts w:ascii="Cambria Math" w:hAnsi="Cambria Math"/>
                <w:bCs/>
                <w:i/>
                <w:iCs/>
              </w:rPr>
            </m:ctrlPr>
          </m:sSubPr>
          <m:e>
            <m:r>
              <w:rPr>
                <w:rFonts w:ascii="Cambria Math" w:hAnsi="Cambria Math"/>
              </w:rPr>
              <m:t>n</m:t>
            </m:r>
          </m:e>
          <m:sub>
            <m:r>
              <m:rPr>
                <m:sty m:val="p"/>
              </m:rPr>
              <w:rPr>
                <w:rFonts w:ascii="Cambria Math" w:hAnsi="Cambria Math"/>
              </w:rPr>
              <m:t>shift</m:t>
            </m:r>
          </m:sub>
        </m:sSub>
        <m:sSubSup>
          <m:sSubSupPr>
            <m:ctrlPr>
              <w:rPr>
                <w:rFonts w:ascii="Cambria Math" w:hAnsi="Cambria Math"/>
                <w:bCs/>
                <w:i/>
                <w:iCs/>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r>
          <w:rPr>
            <w:rFonts w:ascii="Cambria Math" w:hAnsi="Cambria Math"/>
          </w:rPr>
          <m:t>+</m:t>
        </m:r>
        <m:nary>
          <m:naryPr>
            <m:chr m:val="∑"/>
            <m:ctrlPr>
              <w:rPr>
                <w:rFonts w:ascii="Cambria Math" w:hAnsi="Cambria Math"/>
                <w:bCs/>
                <w:i/>
                <w:iCs/>
              </w:rPr>
            </m:ctrlPr>
          </m:naryPr>
          <m:sub>
            <m:r>
              <w:rPr>
                <w:rFonts w:ascii="Cambria Math" w:hAnsi="Cambria Math"/>
              </w:rPr>
              <m:t>b</m:t>
            </m:r>
            <m:r>
              <m:rPr>
                <m:sty m:val="p"/>
              </m:rPr>
              <w:rPr>
                <w:rFonts w:ascii="Cambria Math" w:hAnsi="Cambria Math"/>
              </w:rPr>
              <m:t>=0</m:t>
            </m:r>
          </m:sub>
          <m:sup>
            <m:sSub>
              <m:sSubPr>
                <m:ctrlPr>
                  <w:rPr>
                    <w:rFonts w:ascii="Cambria Math" w:hAnsi="Cambria Math"/>
                    <w:bCs/>
                    <w:i/>
                    <w:iCs/>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bCs/>
                    <w:i/>
                    <w:iCs/>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sSub>
              <m:sSubPr>
                <m:ctrlPr>
                  <w:rPr>
                    <w:rFonts w:ascii="Cambria Math" w:hAnsi="Cambria Math"/>
                    <w:bCs/>
                    <w:i/>
                    <w:iCs/>
                  </w:rPr>
                </m:ctrlPr>
              </m:sSubPr>
              <m:e>
                <m:r>
                  <w:rPr>
                    <w:rFonts w:ascii="Cambria Math" w:hAnsi="Cambria Math"/>
                  </w:rPr>
                  <m:t>n</m:t>
                </m:r>
              </m:e>
              <m:sub>
                <m:r>
                  <w:rPr>
                    <w:rFonts w:ascii="Cambria Math" w:hAnsi="Cambria Math"/>
                  </w:rPr>
                  <m:t>b</m:t>
                </m:r>
              </m:sub>
            </m:sSub>
          </m:e>
        </m:nary>
      </m:oMath>
      <w:r>
        <w:rPr>
          <w:bCs/>
          <w:iCs/>
        </w:rPr>
        <w:t xml:space="preserve">also </w:t>
      </w:r>
      <w:r w:rsidRPr="00DB13CB">
        <w:rPr>
          <w:bCs/>
          <w:iCs/>
        </w:rPr>
        <w:t>provides inter-slot and intra-slot frequency hopping when the frequency-hopping is not disabled</w:t>
      </w:r>
      <w:r>
        <w:rPr>
          <w:bCs/>
          <w:iCs/>
        </w:rPr>
        <w:t xml:space="preserve">. In turn,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w:rPr>
            <w:rFonts w:ascii="Cambria Math" w:hAnsi="Cambria Math"/>
          </w:rPr>
          <m:t>∈</m:t>
        </m:r>
        <m:d>
          <m:dPr>
            <m:begChr m:val="{"/>
            <m:endChr m:val="}"/>
            <m:ctrlPr>
              <w:rPr>
                <w:rFonts w:ascii="Cambria Math" w:hAnsi="Cambria Math"/>
                <w:bCs/>
                <w:i/>
                <w:iCs/>
              </w:rPr>
            </m:ctrlPr>
          </m:dPr>
          <m:e>
            <m:r>
              <w:rPr>
                <w:rFonts w:ascii="Cambria Math" w:hAnsi="Cambria Math"/>
              </w:rPr>
              <m:t>0,1,…,</m:t>
            </m:r>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r>
              <w:rPr>
                <w:rFonts w:ascii="Cambria Math" w:hAnsi="Cambria Math"/>
              </w:rPr>
              <m:t>-1</m:t>
            </m:r>
          </m:e>
        </m:d>
      </m:oMath>
      <w:r>
        <w:rPr>
          <w:bCs/>
          <w:iCs/>
        </w:rPr>
        <w:t xml:space="preserve">is the index of the lowest RE that contains SRS </w:t>
      </w:r>
      <w:r w:rsidR="00D91075">
        <w:rPr>
          <w:bCs/>
          <w:iCs/>
        </w:rPr>
        <w:t>with</w:t>
      </w:r>
      <w:r>
        <w:rPr>
          <w:bCs/>
          <w:iCs/>
        </w:rPr>
        <w:t xml:space="preserve">in the </w:t>
      </w:r>
      <w:r w:rsidR="001E3914">
        <w:rPr>
          <w:bCs/>
          <w:iCs/>
        </w:rPr>
        <w:t>RB</w:t>
      </w:r>
      <w:r w:rsidR="00A15AB3">
        <w:rPr>
          <w:bCs/>
          <w:iCs/>
        </w:rPr>
        <w:t xml:space="preserve"> and is determined from the </w:t>
      </w:r>
      <w:r w:rsidR="0058381B">
        <w:rPr>
          <w:bCs/>
          <w:iCs/>
        </w:rPr>
        <w:t>RRC</w:t>
      </w:r>
      <w:r w:rsidR="00A15AB3">
        <w:rPr>
          <w:bCs/>
          <w:iCs/>
        </w:rPr>
        <w:t xml:space="preserve"> parameter transmission comb offset </w:t>
      </w:r>
      <m:oMath>
        <m:sSub>
          <m:sSubPr>
            <m:ctrlPr>
              <w:rPr>
                <w:rFonts w:ascii="Cambria Math" w:hAnsi="Cambria Math"/>
                <w:bCs/>
                <w:i/>
                <w:iCs/>
              </w:rPr>
            </m:ctrlPr>
          </m:sSubPr>
          <m:e>
            <m:acc>
              <m:accPr>
                <m:chr m:val="̅"/>
                <m:ctrlPr>
                  <w:rPr>
                    <w:rFonts w:ascii="Cambria Math" w:hAnsi="Cambria Math"/>
                    <w:bCs/>
                    <w:i/>
                    <w:iCs/>
                  </w:rPr>
                </m:ctrlPr>
              </m:accPr>
              <m:e>
                <m:r>
                  <w:rPr>
                    <w:rFonts w:ascii="Cambria Math" w:hAnsi="Cambria Math"/>
                  </w:rPr>
                  <m:t>k</m:t>
                </m:r>
              </m:e>
            </m:acc>
          </m:e>
          <m:sub>
            <m:r>
              <m:rPr>
                <m:sty m:val="p"/>
              </m:rPr>
              <w:rPr>
                <w:rFonts w:ascii="Cambria Math" w:hAnsi="Cambria Math"/>
              </w:rPr>
              <m:t>TC</m:t>
            </m:r>
          </m:sub>
        </m:sSub>
        <m:r>
          <w:rPr>
            <w:rFonts w:ascii="Cambria Math" w:hAnsi="Cambria Math"/>
          </w:rPr>
          <m:t>∈</m:t>
        </m:r>
        <m:d>
          <m:dPr>
            <m:begChr m:val="{"/>
            <m:endChr m:val="}"/>
            <m:ctrlPr>
              <w:rPr>
                <w:rFonts w:ascii="Cambria Math" w:hAnsi="Cambria Math"/>
                <w:bCs/>
                <w:i/>
                <w:iCs/>
              </w:rPr>
            </m:ctrlPr>
          </m:dPr>
          <m:e>
            <m:r>
              <w:rPr>
                <w:rFonts w:ascii="Cambria Math" w:hAnsi="Cambria Math"/>
              </w:rPr>
              <m:t>0,1,…,</m:t>
            </m:r>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r>
              <w:rPr>
                <w:rFonts w:ascii="Cambria Math" w:hAnsi="Cambria Math"/>
              </w:rPr>
              <m:t>-1</m:t>
            </m:r>
          </m:e>
        </m:d>
      </m:oMath>
      <w:r w:rsidR="005942FA">
        <w:rPr>
          <w:bCs/>
          <w:iCs/>
        </w:rPr>
        <w:t xml:space="preserve"> (see </w:t>
      </w:r>
      <w:r w:rsidR="0058381B">
        <w:rPr>
          <w:bCs/>
          <w:iCs/>
        </w:rPr>
        <w:fldChar w:fldCharType="begin"/>
      </w:r>
      <w:r w:rsidR="0058381B">
        <w:rPr>
          <w:bCs/>
          <w:iCs/>
        </w:rPr>
        <w:instrText xml:space="preserve"> REF _Ref20391413 \h </w:instrText>
      </w:r>
      <w:r w:rsidR="0058381B">
        <w:rPr>
          <w:bCs/>
          <w:iCs/>
        </w:rPr>
      </w:r>
      <w:r w:rsidR="0058381B">
        <w:rPr>
          <w:bCs/>
          <w:iCs/>
        </w:rPr>
        <w:fldChar w:fldCharType="separate"/>
      </w:r>
      <w:r w:rsidR="00133448">
        <w:t xml:space="preserve">Table </w:t>
      </w:r>
      <w:r w:rsidR="00133448">
        <w:rPr>
          <w:noProof/>
        </w:rPr>
        <w:t>2</w:t>
      </w:r>
      <w:r w:rsidR="0058381B">
        <w:rPr>
          <w:bCs/>
          <w:iCs/>
        </w:rPr>
        <w:fldChar w:fldCharType="end"/>
      </w:r>
      <w:r w:rsidR="0058381B">
        <w:rPr>
          <w:bCs/>
          <w:iCs/>
        </w:rPr>
        <w:t xml:space="preserve"> for</w:t>
      </w:r>
      <w:r w:rsidR="009504A0">
        <w:rPr>
          <w:bCs/>
          <w:iCs/>
        </w:rPr>
        <w:t xml:space="preserve"> the</w:t>
      </w:r>
      <w:r w:rsidR="0058381B">
        <w:rPr>
          <w:bCs/>
          <w:iCs/>
        </w:rPr>
        <w:t xml:space="preserve"> relation between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sidR="0058381B">
        <w:rPr>
          <w:bCs/>
          <w:iCs/>
        </w:rPr>
        <w:t xml:space="preserve"> and </w:t>
      </w:r>
      <m:oMath>
        <m:sSub>
          <m:sSubPr>
            <m:ctrlPr>
              <w:rPr>
                <w:rFonts w:ascii="Cambria Math" w:hAnsi="Cambria Math"/>
                <w:bCs/>
                <w:i/>
                <w:iCs/>
              </w:rPr>
            </m:ctrlPr>
          </m:sSubPr>
          <m:e>
            <m:acc>
              <m:accPr>
                <m:chr m:val="̅"/>
                <m:ctrlPr>
                  <w:rPr>
                    <w:rFonts w:ascii="Cambria Math" w:hAnsi="Cambria Math"/>
                    <w:bCs/>
                    <w:i/>
                    <w:iCs/>
                  </w:rPr>
                </m:ctrlPr>
              </m:accPr>
              <m:e>
                <m:r>
                  <w:rPr>
                    <w:rFonts w:ascii="Cambria Math" w:hAnsi="Cambria Math"/>
                  </w:rPr>
                  <m:t>k</m:t>
                </m:r>
              </m:e>
            </m:acc>
          </m:e>
          <m:sub>
            <m:r>
              <m:rPr>
                <m:sty m:val="p"/>
              </m:rPr>
              <w:rPr>
                <w:rFonts w:ascii="Cambria Math" w:hAnsi="Cambria Math"/>
              </w:rPr>
              <m:t>TC</m:t>
            </m:r>
          </m:sub>
        </m:sSub>
      </m:oMath>
      <w:r w:rsidR="0058381B">
        <w:rPr>
          <w:bCs/>
          <w:iCs/>
        </w:rPr>
        <w:t>).</w:t>
      </w:r>
      <w:r w:rsidR="00FA57A8">
        <w:rPr>
          <w:bCs/>
          <w:iCs/>
        </w:rPr>
        <w:t xml:space="preserve"> In other words,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sidR="00FA57A8">
        <w:rPr>
          <w:bCs/>
          <w:iCs/>
        </w:rPr>
        <w:t xml:space="preserve"> is </w:t>
      </w:r>
      <w:r w:rsidR="00927AC8">
        <w:rPr>
          <w:bCs/>
          <w:iCs/>
        </w:rPr>
        <w:t>the common</w:t>
      </w:r>
      <w:r w:rsidR="00FA57A8">
        <w:rPr>
          <w:bCs/>
          <w:iCs/>
        </w:rPr>
        <w:t xml:space="preserve"> RE offset of </w:t>
      </w:r>
      <w:r w:rsidR="00FA57A8" w:rsidRPr="00D96EA3">
        <w:rPr>
          <w:bCs/>
          <w:i/>
          <w:iCs/>
        </w:rPr>
        <w:t>all</w:t>
      </w:r>
      <w:r w:rsidR="00FA57A8">
        <w:rPr>
          <w:bCs/>
          <w:iCs/>
        </w:rPr>
        <w:t xml:space="preserve"> SRS symbols.</w:t>
      </w:r>
      <w:r w:rsidR="0058381B">
        <w:rPr>
          <w:bCs/>
          <w:iCs/>
        </w:rPr>
        <w:t xml:space="preserve"> </w:t>
      </w:r>
      <w:r w:rsidR="0058381B">
        <w:rPr>
          <w:bCs/>
          <w:iCs/>
        </w:rPr>
        <w:fldChar w:fldCharType="begin"/>
      </w:r>
      <w:r w:rsidR="0058381B">
        <w:rPr>
          <w:bCs/>
          <w:iCs/>
        </w:rPr>
        <w:instrText xml:space="preserve"> REF _Ref20391474 \h </w:instrText>
      </w:r>
      <w:r w:rsidR="0058381B">
        <w:rPr>
          <w:bCs/>
          <w:iCs/>
        </w:rPr>
      </w:r>
      <w:r w:rsidR="0058381B">
        <w:rPr>
          <w:bCs/>
          <w:iCs/>
        </w:rPr>
        <w:fldChar w:fldCharType="separate"/>
      </w:r>
      <w:r w:rsidR="00133448">
        <w:t xml:space="preserve">Figure </w:t>
      </w:r>
      <w:r w:rsidR="00133448">
        <w:rPr>
          <w:noProof/>
        </w:rPr>
        <w:t>4</w:t>
      </w:r>
      <w:r w:rsidR="0058381B">
        <w:rPr>
          <w:bCs/>
          <w:iCs/>
        </w:rPr>
        <w:fldChar w:fldCharType="end"/>
      </w:r>
      <w:r w:rsidR="0058381B">
        <w:rPr>
          <w:bCs/>
          <w:iCs/>
        </w:rPr>
        <w:t xml:space="preserve"> shows a</w:t>
      </w:r>
      <w:r w:rsidR="0058381B">
        <w:t xml:space="preserve">n example of Rel. 15 SRS resource mapping w.r.t to the reference RE </w:t>
      </w:r>
      <w:r w:rsidR="0058381B">
        <w:rPr>
          <w:bCs/>
          <w:iCs/>
        </w:rPr>
        <w:t>(</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0</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w:rPr>
            <w:rFonts w:ascii="Cambria Math" w:hAnsi="Cambria Math"/>
          </w:rPr>
          <m:t xml:space="preserve">=0) </m:t>
        </m:r>
      </m:oMath>
      <w:r w:rsidR="0058381B">
        <w:t xml:space="preserve">with </w:t>
      </w:r>
      <m:oMath>
        <m:sSubSup>
          <m:sSubSupPr>
            <m:ctrlPr>
              <w:rPr>
                <w:rFonts w:ascii="Cambria Math" w:hAnsi="Cambria Math"/>
                <w:bCs/>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m:t>
        </m:r>
        <m:r>
          <m:rPr>
            <m:sty m:val="bi"/>
          </m:rPr>
          <w:rPr>
            <w:rFonts w:ascii="Cambria Math" w:hAnsi="Cambria Math"/>
          </w:rPr>
          <m:t>4</m:t>
        </m:r>
      </m:oMath>
      <w:r w:rsidR="0058381B">
        <w:rPr>
          <w:bCs/>
          <w:iCs/>
        </w:rPr>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r>
          <w:rPr>
            <w:rFonts w:ascii="Cambria Math" w:hAnsi="Cambria Math"/>
          </w:rPr>
          <m:t>=</m:t>
        </m:r>
        <m:r>
          <m:rPr>
            <m:sty m:val="b"/>
          </m:rPr>
          <w:rPr>
            <w:rFonts w:ascii="Cambria Math" w:hAnsi="Cambria Math"/>
          </w:rPr>
          <m:t>4</m:t>
        </m:r>
      </m:oMath>
      <w:r w:rsidR="0058381B">
        <w:rPr>
          <w:bCs/>
          <w:iCs/>
        </w:rPr>
        <w:t xml:space="preserve">, and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m:rPr>
            <m:sty m:val="bi"/>
          </m:rPr>
          <w:rPr>
            <w:rFonts w:ascii="Cambria Math" w:hAnsi="Cambria Math"/>
          </w:rPr>
          <m:t>=2</m:t>
        </m:r>
      </m:oMath>
      <w:r w:rsidR="0058381B">
        <w:rPr>
          <w:b/>
          <w:iCs/>
        </w:rPr>
        <w:t>.</w:t>
      </w:r>
    </w:p>
    <w:p w14:paraId="30EAEE79" w14:textId="07AB4803" w:rsidR="00B54018" w:rsidRDefault="00B54018" w:rsidP="00B54018">
      <w:pPr>
        <w:rPr>
          <w:iCs/>
        </w:rPr>
      </w:pPr>
      <w:r w:rsidRPr="00DB13CB">
        <w:rPr>
          <w:bCs/>
          <w:iCs/>
        </w:rPr>
        <w:t>Note that, both</w:t>
      </w:r>
      <w:r>
        <w:rPr>
          <w:bCs/>
          <w:iCs/>
        </w:rPr>
        <w:t xml:space="preserve">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Pr>
          <w:bCs/>
          <w:iCs/>
        </w:rPr>
        <w:t xml:space="preserve"> and </w:t>
      </w:r>
      <m:oMath>
        <m:sSub>
          <m:sSubPr>
            <m:ctrlPr>
              <w:rPr>
                <w:rFonts w:ascii="Cambria Math" w:hAnsi="Cambria Math"/>
                <w:bCs/>
                <w:i/>
                <w:iCs/>
              </w:rPr>
            </m:ctrlPr>
          </m:sSubPr>
          <m:e>
            <m:r>
              <w:rPr>
                <w:rFonts w:ascii="Cambria Math" w:hAnsi="Cambria Math"/>
              </w:rPr>
              <m:t>n</m:t>
            </m:r>
          </m:e>
          <m:sub>
            <m:r>
              <m:rPr>
                <m:sty m:val="p"/>
              </m:rPr>
              <w:rPr>
                <w:rFonts w:ascii="Cambria Math" w:hAnsi="Cambria Math"/>
              </w:rPr>
              <m:t>shift</m:t>
            </m:r>
          </m:sub>
        </m:sSub>
        <m:sSubSup>
          <m:sSubSupPr>
            <m:ctrlPr>
              <w:rPr>
                <w:rFonts w:ascii="Cambria Math" w:hAnsi="Cambria Math"/>
                <w:bCs/>
                <w:i/>
                <w:iCs/>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r>
          <w:rPr>
            <w:rFonts w:ascii="Cambria Math" w:hAnsi="Cambria Math"/>
          </w:rPr>
          <m:t>+</m:t>
        </m:r>
        <m:nary>
          <m:naryPr>
            <m:chr m:val="∑"/>
            <m:ctrlPr>
              <w:rPr>
                <w:rFonts w:ascii="Cambria Math" w:hAnsi="Cambria Math"/>
                <w:bCs/>
                <w:i/>
                <w:iCs/>
              </w:rPr>
            </m:ctrlPr>
          </m:naryPr>
          <m:sub>
            <m:r>
              <w:rPr>
                <w:rFonts w:ascii="Cambria Math" w:hAnsi="Cambria Math"/>
              </w:rPr>
              <m:t>b</m:t>
            </m:r>
            <m:r>
              <m:rPr>
                <m:sty m:val="p"/>
              </m:rPr>
              <w:rPr>
                <w:rFonts w:ascii="Cambria Math" w:hAnsi="Cambria Math"/>
              </w:rPr>
              <m:t>=0</m:t>
            </m:r>
          </m:sub>
          <m:sup>
            <m:sSub>
              <m:sSubPr>
                <m:ctrlPr>
                  <w:rPr>
                    <w:rFonts w:ascii="Cambria Math" w:hAnsi="Cambria Math"/>
                    <w:bCs/>
                    <w:i/>
                    <w:iCs/>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sSubSup>
              <m:sSubSupPr>
                <m:ctrlPr>
                  <w:rPr>
                    <w:rFonts w:ascii="Cambria Math" w:hAnsi="Cambria Math"/>
                    <w:bCs/>
                    <w:i/>
                    <w:iCs/>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sSub>
              <m:sSubPr>
                <m:ctrlPr>
                  <w:rPr>
                    <w:rFonts w:ascii="Cambria Math" w:hAnsi="Cambria Math"/>
                    <w:bCs/>
                    <w:i/>
                    <w:iCs/>
                  </w:rPr>
                </m:ctrlPr>
              </m:sSubPr>
              <m:e>
                <m:r>
                  <w:rPr>
                    <w:rFonts w:ascii="Cambria Math" w:hAnsi="Cambria Math"/>
                  </w:rPr>
                  <m:t>n</m:t>
                </m:r>
              </m:e>
              <m:sub>
                <m:r>
                  <w:rPr>
                    <w:rFonts w:ascii="Cambria Math" w:hAnsi="Cambria Math"/>
                  </w:rPr>
                  <m:t>b</m:t>
                </m:r>
              </m:sub>
            </m:sSub>
          </m:e>
        </m:nary>
      </m:oMath>
      <w:r>
        <w:rPr>
          <w:bCs/>
          <w:iCs/>
        </w:rPr>
        <w:t xml:space="preserve"> are independent </w:t>
      </w:r>
      <w:r w:rsidR="00855B45">
        <w:rPr>
          <w:bCs/>
          <w:iCs/>
        </w:rPr>
        <w:t>of</w:t>
      </w:r>
      <w:r>
        <w:rPr>
          <w:bCs/>
          <w:iCs/>
        </w:rPr>
        <w:t xml:space="preserve"> </w:t>
      </w:r>
      <w:r w:rsidR="00855B45">
        <w:rPr>
          <w:bCs/>
          <w:iCs/>
        </w:rPr>
        <w:t>the OFDM symbol number within the SRS resource</w:t>
      </w:r>
      <m:oMath>
        <m:sSup>
          <m:sSupPr>
            <m:ctrlPr>
              <w:rPr>
                <w:rFonts w:ascii="Cambria Math" w:hAnsi="Cambria Math"/>
                <w:bCs/>
                <w:i/>
                <w:iCs/>
              </w:rPr>
            </m:ctrlPr>
          </m:sSupPr>
          <m:e>
            <m:r>
              <w:rPr>
                <w:rFonts w:ascii="Cambria Math" w:hAnsi="Cambria Math"/>
              </w:rPr>
              <m:t xml:space="preserve"> l</m:t>
            </m:r>
          </m:e>
          <m:sup>
            <m:r>
              <w:rPr>
                <w:rFonts w:ascii="Cambria Math" w:hAnsi="Cambria Math"/>
              </w:rPr>
              <m:t>'</m:t>
            </m:r>
          </m:sup>
        </m:sSup>
        <m:r>
          <w:rPr>
            <w:rFonts w:ascii="Cambria Math" w:hAnsi="Cambria Math"/>
          </w:rPr>
          <m:t>∈</m:t>
        </m:r>
        <m:d>
          <m:dPr>
            <m:begChr m:val="{"/>
            <m:endChr m:val="}"/>
            <m:ctrlPr>
              <w:rPr>
                <w:rFonts w:ascii="Cambria Math" w:hAnsi="Cambria Math"/>
                <w:bCs/>
                <w:i/>
                <w:iCs/>
              </w:rPr>
            </m:ctrlPr>
          </m:dPr>
          <m:e>
            <m:r>
              <w:rPr>
                <w:rFonts w:ascii="Cambria Math" w:hAnsi="Cambria Math"/>
              </w:rPr>
              <m:t>0,…,</m:t>
            </m:r>
            <m:sSubSup>
              <m:sSubSupPr>
                <m:ctrlPr>
                  <w:rPr>
                    <w:rFonts w:ascii="Cambria Math" w:hAnsi="Cambria Math"/>
                    <w:bCs/>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-1 </m:t>
            </m:r>
          </m:e>
        </m:d>
      </m:oMath>
      <w:r w:rsidR="00855B45">
        <w:rPr>
          <w:bCs/>
          <w:iCs/>
        </w:rPr>
        <w:t xml:space="preserve"> </w:t>
      </w:r>
      <w:r>
        <w:rPr>
          <w:bCs/>
          <w:iCs/>
        </w:rPr>
        <w:t>(remember that, for the sake of our discussion</w:t>
      </w:r>
      <w:r w:rsidR="009504A0">
        <w:rPr>
          <w:bCs/>
          <w:iCs/>
        </w:rPr>
        <w:t>,</w:t>
      </w:r>
      <w:r>
        <w:rPr>
          <w:bCs/>
          <w:iCs/>
        </w:rPr>
        <w:t xml:space="preserve"> frequency-hopping is disabled and, therefore, </w:t>
      </w:r>
      <m:oMath>
        <m:sSub>
          <m:sSubPr>
            <m:ctrlPr>
              <w:rPr>
                <w:rFonts w:ascii="Cambria Math" w:hAnsi="Cambria Math"/>
                <w:bCs/>
                <w:i/>
                <w:iCs/>
              </w:rPr>
            </m:ctrlPr>
          </m:sSubPr>
          <m:e>
            <m:r>
              <w:rPr>
                <w:rFonts w:ascii="Cambria Math" w:hAnsi="Cambria Math"/>
              </w:rPr>
              <m:t>n</m:t>
            </m:r>
          </m:e>
          <m:sub>
            <m:r>
              <w:rPr>
                <w:rFonts w:ascii="Cambria Math" w:hAnsi="Cambria Math"/>
              </w:rPr>
              <m:t>b</m:t>
            </m:r>
          </m:sub>
        </m:sSub>
      </m:oMath>
      <w:r>
        <w:rPr>
          <w:bCs/>
          <w:iCs/>
        </w:rPr>
        <w:t xml:space="preserve"> is fix</w:t>
      </w:r>
      <w:r w:rsidR="001E3914">
        <w:rPr>
          <w:bCs/>
          <w:iCs/>
        </w:rPr>
        <w:t>ed</w:t>
      </w:r>
      <w:r>
        <w:rPr>
          <w:bCs/>
          <w:iCs/>
        </w:rPr>
        <w:t>). Hence,</w:t>
      </w:r>
      <w:r w:rsidRPr="00DB13CB">
        <w:rPr>
          <w:bCs/>
          <w:iCs/>
        </w:rPr>
        <w:t xml:space="preserve">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0</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Pr>
          <w:bCs/>
          <w:iCs/>
        </w:rPr>
        <w:t>is</w:t>
      </w:r>
      <w:r w:rsidRPr="00261127">
        <w:rPr>
          <w:bCs/>
          <w:iCs/>
        </w:rPr>
        <w:t xml:space="preserve"> independent </w:t>
      </w:r>
      <w:r w:rsidR="004E59AF">
        <w:rPr>
          <w:bCs/>
          <w:iCs/>
        </w:rPr>
        <w:t>of</w:t>
      </w:r>
      <w:r w:rsidRPr="00261127">
        <w:rPr>
          <w:bCs/>
          <w:iCs/>
        </w:rPr>
        <w:t xml:space="preserve"> </w:t>
      </w:r>
      <w:r w:rsidR="001E3914">
        <w:rPr>
          <w:bCs/>
          <w:iCs/>
        </w:rPr>
        <w:t>the OFDM symbol number within the SRS resource</w:t>
      </w:r>
      <m:oMath>
        <m:sSup>
          <m:sSupPr>
            <m:ctrlPr>
              <w:rPr>
                <w:rFonts w:ascii="Cambria Math" w:hAnsi="Cambria Math"/>
                <w:bCs/>
                <w:i/>
                <w:iCs/>
              </w:rPr>
            </m:ctrlPr>
          </m:sSupPr>
          <m:e>
            <m:r>
              <w:rPr>
                <w:rFonts w:ascii="Cambria Math" w:hAnsi="Cambria Math"/>
              </w:rPr>
              <m:t xml:space="preserve"> l</m:t>
            </m:r>
          </m:e>
          <m:sup>
            <m:r>
              <w:rPr>
                <w:rFonts w:ascii="Cambria Math" w:hAnsi="Cambria Math"/>
              </w:rPr>
              <m:t>'</m:t>
            </m:r>
          </m:sup>
        </m:sSup>
        <m:r>
          <w:rPr>
            <w:rFonts w:ascii="Cambria Math" w:hAnsi="Cambria Math"/>
          </w:rPr>
          <m:t>∈</m:t>
        </m:r>
        <m:d>
          <m:dPr>
            <m:begChr m:val="{"/>
            <m:endChr m:val="}"/>
            <m:ctrlPr>
              <w:rPr>
                <w:rFonts w:ascii="Cambria Math" w:hAnsi="Cambria Math"/>
                <w:bCs/>
                <w:i/>
                <w:iCs/>
              </w:rPr>
            </m:ctrlPr>
          </m:dPr>
          <m:e>
            <m:r>
              <w:rPr>
                <w:rFonts w:ascii="Cambria Math" w:hAnsi="Cambria Math"/>
              </w:rPr>
              <m:t>0,…,</m:t>
            </m:r>
            <m:sSubSup>
              <m:sSubSupPr>
                <m:ctrlPr>
                  <w:rPr>
                    <w:rFonts w:ascii="Cambria Math" w:hAnsi="Cambria Math"/>
                    <w:bCs/>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-1 </m:t>
            </m:r>
          </m:e>
        </m:d>
      </m:oMath>
      <w:r w:rsidRPr="00261127">
        <w:rPr>
          <w:bCs/>
          <w:iCs/>
        </w:rPr>
        <w:t xml:space="preserve">. As such, the </w:t>
      </w:r>
      <w:r w:rsidRPr="00261127">
        <w:t>frequency</w:t>
      </w:r>
      <w:r w:rsidRPr="00DB13CB">
        <w:t xml:space="preserve">-domain starting position of SRS over all OFDM symbols within the SRS resource is the same or, equivalently, </w:t>
      </w:r>
      <w:r>
        <w:t xml:space="preserve">the RE offset of all SRS symbols are equal and </w:t>
      </w:r>
      <w:r w:rsidRPr="00DB13CB">
        <w:t>the SRS resource is non-staggered. To support staggered mapping,</w:t>
      </w:r>
      <w:r>
        <w:t xml:space="preserve"> it is sufficient </w:t>
      </w:r>
      <w:r w:rsidR="004E59AF">
        <w:t>that</w:t>
      </w:r>
      <w:r>
        <w:t xml:space="preserve">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sidRPr="00261127">
        <w:rPr>
          <w:bCs/>
          <w:iCs/>
        </w:rPr>
        <w:t xml:space="preserve"> depend</w:t>
      </w:r>
      <w:r w:rsidR="00A01048">
        <w:rPr>
          <w:bCs/>
          <w:iCs/>
        </w:rPr>
        <w:t>s</w:t>
      </w:r>
      <w:r w:rsidRPr="00261127">
        <w:rPr>
          <w:bCs/>
          <w:iCs/>
        </w:rPr>
        <w:t xml:space="preserve"> on </w:t>
      </w:r>
      <w:r w:rsidR="00087DE9">
        <w:rPr>
          <w:bCs/>
          <w:iCs/>
        </w:rPr>
        <w:t>the OFDM symbol number within the SRS resource</w:t>
      </w:r>
      <m:oMath>
        <m:sSup>
          <m:sSupPr>
            <m:ctrlPr>
              <w:rPr>
                <w:rFonts w:ascii="Cambria Math" w:hAnsi="Cambria Math"/>
                <w:bCs/>
                <w:i/>
                <w:iCs/>
              </w:rPr>
            </m:ctrlPr>
          </m:sSupPr>
          <m:e>
            <m:r>
              <w:rPr>
                <w:rFonts w:ascii="Cambria Math" w:hAnsi="Cambria Math"/>
              </w:rPr>
              <m:t xml:space="preserve"> l</m:t>
            </m:r>
          </m:e>
          <m:sup>
            <m:r>
              <w:rPr>
                <w:rFonts w:ascii="Cambria Math" w:hAnsi="Cambria Math"/>
              </w:rPr>
              <m:t>'</m:t>
            </m:r>
          </m:sup>
        </m:sSup>
      </m:oMath>
      <w:r w:rsidRPr="00261127">
        <w:rPr>
          <w:bCs/>
          <w:iCs/>
        </w:rPr>
        <w:t xml:space="preserve">. However, to </w:t>
      </w:r>
      <w:r>
        <w:rPr>
          <w:bCs/>
          <w:iCs/>
        </w:rPr>
        <w:t xml:space="preserve">support the required flexibilities discussed in Section </w:t>
      </w:r>
      <w:r>
        <w:rPr>
          <w:bCs/>
          <w:iCs/>
        </w:rPr>
        <w:fldChar w:fldCharType="begin"/>
      </w:r>
      <w:r>
        <w:rPr>
          <w:bCs/>
          <w:iCs/>
        </w:rPr>
        <w:instrText xml:space="preserve"> REF _Ref20242811 \r \h </w:instrText>
      </w:r>
      <w:r>
        <w:rPr>
          <w:bCs/>
          <w:iCs/>
        </w:rPr>
      </w:r>
      <w:r>
        <w:rPr>
          <w:bCs/>
          <w:iCs/>
        </w:rPr>
        <w:fldChar w:fldCharType="separate"/>
      </w:r>
      <w:r w:rsidR="00133448">
        <w:rPr>
          <w:bCs/>
          <w:iCs/>
        </w:rPr>
        <w:t>2.2.1</w:t>
      </w:r>
      <w:r>
        <w:rPr>
          <w:bCs/>
          <w:iCs/>
        </w:rPr>
        <w:fldChar w:fldCharType="end"/>
      </w:r>
      <w:r>
        <w:rPr>
          <w:bCs/>
          <w:iCs/>
        </w:rPr>
        <w:t xml:space="preserve">,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Pr>
          <w:bCs/>
          <w:iCs/>
        </w:rPr>
        <w:t xml:space="preserve"> should also </w:t>
      </w:r>
      <w:r w:rsidRPr="00261127">
        <w:rPr>
          <w:bCs/>
          <w:iCs/>
        </w:rPr>
        <w:t xml:space="preserve">depend on </w:t>
      </w:r>
      <m:oMath>
        <m:sSubSup>
          <m:sSubSupPr>
            <m:ctrlPr>
              <w:rPr>
                <w:rFonts w:ascii="Cambria Math" w:eastAsia="Batang" w:hAnsi="Cambria Math"/>
                <w:bCs/>
                <w:i/>
                <w:szCs w:val="24"/>
                <w:lang w:val="en-GB"/>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rsidRPr="00261127">
        <w:rPr>
          <w:bCs/>
          <w:szCs w:val="24"/>
          <w:lang w:val="en-GB"/>
        </w:rPr>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oMath>
      <w:r w:rsidRPr="00261127">
        <w:rPr>
          <w:bCs/>
          <w:iCs/>
        </w:rPr>
        <w:t xml:space="preserve">, and </w:t>
      </w:r>
      <m:oMath>
        <m:r>
          <w:rPr>
            <w:rFonts w:ascii="Cambria Math" w:hAnsi="Cambria Math"/>
          </w:rPr>
          <m:t>G</m:t>
        </m:r>
      </m:oMath>
      <w:r>
        <w:t xml:space="preserve">.  A simple approach to support both Rel. 16 staggered and Rel. 15 non-staggered resource mapping using a single equation is to </w:t>
      </w:r>
      <w:r w:rsidR="001D6FAB">
        <w:t xml:space="preserve">express </w:t>
      </w:r>
      <w:r w:rsidR="00FA57A8">
        <w:rPr>
          <w:bCs/>
          <w:iCs/>
        </w:rPr>
        <w:t xml:space="preserve">the index of the lowest RE </w:t>
      </w:r>
      <w:r w:rsidR="005C75D3">
        <w:rPr>
          <w:bCs/>
          <w:iCs/>
        </w:rPr>
        <w:t xml:space="preserve">that contains SRS </w:t>
      </w:r>
      <w:r w:rsidR="0050213C">
        <w:rPr>
          <w:bCs/>
          <w:iCs/>
        </w:rPr>
        <w:t>within the RB</w:t>
      </w:r>
      <w:r w:rsidR="00FA57A8">
        <w:rPr>
          <w:bCs/>
          <w:iCs/>
        </w:rPr>
        <w:t xml:space="preserve"> </w:t>
      </w:r>
      <w:r w:rsidR="00927AC8">
        <w:rPr>
          <w:bCs/>
          <w:iCs/>
        </w:rPr>
        <w:t xml:space="preserve">as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8010"/>
        <w:gridCol w:w="672"/>
      </w:tblGrid>
      <w:tr w:rsidR="00B54018" w14:paraId="3BA9F28A" w14:textId="77777777" w:rsidTr="000E34F3">
        <w:tc>
          <w:tcPr>
            <w:tcW w:w="625" w:type="dxa"/>
          </w:tcPr>
          <w:p w14:paraId="3FCB6B21" w14:textId="77777777" w:rsidR="00B54018" w:rsidRDefault="00B54018" w:rsidP="000E34F3">
            <w:pPr>
              <w:rPr>
                <w:bCs/>
                <w:iCs/>
              </w:rPr>
            </w:pPr>
          </w:p>
        </w:tc>
        <w:tc>
          <w:tcPr>
            <w:tcW w:w="8010" w:type="dxa"/>
          </w:tcPr>
          <w:p w14:paraId="79D99C4A" w14:textId="7CC3F738" w:rsidR="00B54018" w:rsidRDefault="008D7632" w:rsidP="000E34F3">
            <w:pPr>
              <w:rPr>
                <w:bCs/>
                <w:iCs/>
              </w:rPr>
            </w:pPr>
            <m:oMathPara>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r>
                          <w:rPr>
                            <w:rFonts w:ascii="Cambria Math" w:hAnsi="Cambria Math"/>
                          </w:rPr>
                          <m:t>,</m:t>
                        </m:r>
                        <m:sSup>
                          <m:sSupPr>
                            <m:ctrlPr>
                              <w:rPr>
                                <w:rFonts w:ascii="Cambria Math" w:hAnsi="Cambria Math"/>
                                <w:bCs/>
                                <w:i/>
                                <w:iCs/>
                              </w:rPr>
                            </m:ctrlPr>
                          </m:sSupPr>
                          <m:e>
                            <m:r>
                              <w:rPr>
                                <w:rFonts w:ascii="Cambria Math" w:hAnsi="Cambria Math"/>
                              </w:rPr>
                              <m:t>l</m:t>
                            </m:r>
                          </m:e>
                          <m:sup>
                            <m:r>
                              <w:rPr>
                                <w:rFonts w:ascii="Cambria Math" w:hAnsi="Cambria Math"/>
                              </w:rPr>
                              <m:t>'</m:t>
                            </m:r>
                          </m:sup>
                        </m:sSup>
                      </m:e>
                    </m:d>
                  </m:sup>
                </m:sSubSup>
                <m:r>
                  <m:rPr>
                    <m:sty m:val="p"/>
                  </m:rPr>
                  <w:rPr>
                    <w:rFonts w:ascii="Cambria Math" w:hAnsi="Cambria Math"/>
                  </w:rPr>
                  <m:t>=</m:t>
                </m:r>
                <m:d>
                  <m:dPr>
                    <m:ctrlPr>
                      <w:rPr>
                        <w:rFonts w:ascii="Cambria Math" w:hAnsi="Cambria Math"/>
                        <w:bCs/>
                        <w:i/>
                        <w:iCs/>
                      </w:rPr>
                    </m:ctrlPr>
                  </m:dPr>
                  <m:e>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w:rPr>
                        <w:rFonts w:ascii="Cambria Math" w:hAnsi="Cambria Math"/>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w:rPr>
                                    <w:rFonts w:ascii="Cambria Math" w:hAnsi="Cambria Math"/>
                                  </w:rPr>
                                  <m:t>K</m:t>
                                </m:r>
                              </m:e>
                              <m:sub>
                                <m:r>
                                  <w:rPr>
                                    <w:rFonts w:ascii="Cambria Math" w:hAnsi="Cambria Math"/>
                                  </w:rPr>
                                  <m:t>TC</m:t>
                                </m:r>
                              </m:sub>
                            </m:sSub>
                            <m:r>
                              <w:rPr>
                                <w:rFonts w:ascii="Cambria Math" w:hAnsi="Cambria Math"/>
                              </w:rPr>
                              <m:t>×G</m:t>
                            </m:r>
                          </m:num>
                          <m:den>
                            <m:sSubSup>
                              <m:sSubSupPr>
                                <m:ctrlPr>
                                  <w:rPr>
                                    <w:rFonts w:ascii="Cambria Math" w:hAnsi="Cambria Math"/>
                                    <w:bCs/>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den>
                        </m:f>
                      </m:e>
                    </m:d>
                    <m:d>
                      <m:dPr>
                        <m:begChr m:val="⌊"/>
                        <m:endChr m:val="⌋"/>
                        <m:ctrlPr>
                          <w:rPr>
                            <w:rFonts w:ascii="Cambria Math" w:hAnsi="Cambria Math"/>
                            <w:bCs/>
                            <w:i/>
                            <w:iCs/>
                          </w:rPr>
                        </m:ctrlPr>
                      </m:dPr>
                      <m:e>
                        <m:f>
                          <m:fPr>
                            <m:ctrlPr>
                              <w:rPr>
                                <w:rFonts w:ascii="Cambria Math" w:hAnsi="Cambria Math"/>
                                <w:bCs/>
                                <w:i/>
                                <w:iCs/>
                              </w:rPr>
                            </m:ctrlPr>
                          </m:fPr>
                          <m:num>
                            <m:sSup>
                              <m:sSupPr>
                                <m:ctrlPr>
                                  <w:rPr>
                                    <w:rFonts w:ascii="Cambria Math" w:hAnsi="Cambria Math"/>
                                    <w:bCs/>
                                    <w:i/>
                                    <w:iCs/>
                                  </w:rPr>
                                </m:ctrlPr>
                              </m:sSupPr>
                              <m:e>
                                <m:r>
                                  <w:rPr>
                                    <w:rFonts w:ascii="Cambria Math" w:hAnsi="Cambria Math"/>
                                  </w:rPr>
                                  <m:t>l</m:t>
                                </m:r>
                              </m:e>
                              <m:sup>
                                <m:r>
                                  <w:rPr>
                                    <w:rFonts w:ascii="Cambria Math" w:hAnsi="Cambria Math"/>
                                  </w:rPr>
                                  <m:t>'</m:t>
                                </m:r>
                              </m:sup>
                            </m:sSup>
                          </m:num>
                          <m:den>
                            <m:r>
                              <w:rPr>
                                <w:rFonts w:ascii="Cambria Math" w:hAnsi="Cambria Math"/>
                              </w:rPr>
                              <m:t>G</m:t>
                            </m:r>
                          </m:den>
                        </m:f>
                      </m:e>
                    </m:d>
                  </m:e>
                </m:d>
                <m:r>
                  <m:rPr>
                    <m:sty m:val="p"/>
                  </m:rPr>
                  <w:rPr>
                    <w:rFonts w:ascii="Cambria Math" w:hAnsi="Cambria Math"/>
                  </w:rPr>
                  <m:t xml:space="preserve">mod </m:t>
                </m:r>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oMath>
            </m:oMathPara>
          </w:p>
        </w:tc>
        <w:tc>
          <w:tcPr>
            <w:tcW w:w="672" w:type="dxa"/>
          </w:tcPr>
          <w:p w14:paraId="5DE1F1F3" w14:textId="77777777" w:rsidR="00C32BD6" w:rsidRDefault="00C32BD6" w:rsidP="002B2F26">
            <w:pPr>
              <w:rPr>
                <w:bCs/>
                <w:iCs/>
              </w:rPr>
            </w:pPr>
          </w:p>
          <w:p w14:paraId="2C4DB1C7" w14:textId="5887A7F6" w:rsidR="00B54018" w:rsidRDefault="00B54018" w:rsidP="00D96EA3">
            <w:pPr>
              <w:rPr>
                <w:bCs/>
                <w:iCs/>
              </w:rPr>
            </w:pPr>
            <w:r>
              <w:rPr>
                <w:bCs/>
                <w:iCs/>
              </w:rPr>
              <w:t>(</w:t>
            </w:r>
            <w:r w:rsidR="00236993">
              <w:rPr>
                <w:bCs/>
                <w:iCs/>
              </w:rPr>
              <w:t>4</w:t>
            </w:r>
            <w:r>
              <w:rPr>
                <w:bCs/>
                <w:iCs/>
              </w:rPr>
              <w:t>)</w:t>
            </w:r>
          </w:p>
        </w:tc>
      </w:tr>
    </w:tbl>
    <w:p w14:paraId="353AC08C" w14:textId="49784047" w:rsidR="00E754B4" w:rsidRDefault="005C75D3" w:rsidP="00B54018">
      <w:pPr>
        <w:rPr>
          <w:bCs/>
          <w:iCs/>
        </w:rPr>
      </w:pPr>
      <w:r>
        <w:rPr>
          <w:bCs/>
          <w:iCs/>
        </w:rPr>
        <w:t xml:space="preserve">for the </w:t>
      </w:r>
      <m:oMath>
        <m:sSup>
          <m:sSupPr>
            <m:ctrlPr>
              <w:rPr>
                <w:rFonts w:ascii="Cambria Math" w:hAnsi="Cambria Math"/>
                <w:bCs/>
                <w:i/>
                <w:iCs/>
              </w:rPr>
            </m:ctrlPr>
          </m:sSupPr>
          <m:e>
            <m:r>
              <w:rPr>
                <w:rFonts w:ascii="Cambria Math" w:hAnsi="Cambria Math"/>
              </w:rPr>
              <m:t>l</m:t>
            </m:r>
          </m:e>
          <m:sup>
            <m:r>
              <w:rPr>
                <w:rFonts w:ascii="Cambria Math" w:hAnsi="Cambria Math"/>
              </w:rPr>
              <m:t>'</m:t>
            </m:r>
          </m:sup>
        </m:sSup>
      </m:oMath>
      <w:r>
        <w:rPr>
          <w:bCs/>
          <w:iCs/>
        </w:rPr>
        <w:t xml:space="preserve">-th SRS symbol </w:t>
      </w:r>
      <w:r>
        <w:rPr>
          <w:lang w:val="en-GB"/>
        </w:rPr>
        <w:t>w</w:t>
      </w:r>
      <w:r w:rsidR="00B54018">
        <w:rPr>
          <w:lang w:val="en-GB"/>
        </w:rPr>
        <w:t>here</w:t>
      </w:r>
      <w:r w:rsidR="00927AC8">
        <w:rPr>
          <w:lang w:val="en-GB"/>
        </w:rPr>
        <w:t xml:space="preserve">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sidR="00B54018">
        <w:rPr>
          <w:bCs/>
          <w:iCs/>
        </w:rPr>
        <w:t xml:space="preserve"> </w:t>
      </w:r>
      <w:r w:rsidR="000E34F3">
        <w:rPr>
          <w:bCs/>
          <w:iCs/>
        </w:rPr>
        <w:t xml:space="preserve">is </w:t>
      </w:r>
      <w:r w:rsidR="00927AC8">
        <w:rPr>
          <w:bCs/>
          <w:iCs/>
        </w:rPr>
        <w:t xml:space="preserve">the common RE offset of </w:t>
      </w:r>
      <w:r w:rsidR="00927AC8" w:rsidRPr="00B87B58">
        <w:rPr>
          <w:bCs/>
          <w:i/>
          <w:iCs/>
        </w:rPr>
        <w:t>all</w:t>
      </w:r>
      <w:r w:rsidR="00927AC8">
        <w:rPr>
          <w:bCs/>
          <w:iCs/>
        </w:rPr>
        <w:t xml:space="preserve"> SRS symbols</w:t>
      </w:r>
      <w:r w:rsidR="00927AC8">
        <w:rPr>
          <w:lang w:val="en-GB"/>
        </w:rPr>
        <w:t xml:space="preserve"> </w:t>
      </w:r>
      <w:r w:rsidR="001D6FAB">
        <w:rPr>
          <w:bCs/>
          <w:iCs/>
        </w:rPr>
        <w:t xml:space="preserve">specified in Rel. 15 of 38.211 (see </w:t>
      </w:r>
      <w:r w:rsidR="001D6FAB">
        <w:rPr>
          <w:bCs/>
          <w:iCs/>
        </w:rPr>
        <w:fldChar w:fldCharType="begin"/>
      </w:r>
      <w:r w:rsidR="001D6FAB">
        <w:rPr>
          <w:bCs/>
          <w:iCs/>
        </w:rPr>
        <w:instrText xml:space="preserve"> REF _Ref20391413 \h </w:instrText>
      </w:r>
      <w:r w:rsidR="001D6FAB">
        <w:rPr>
          <w:bCs/>
          <w:iCs/>
        </w:rPr>
      </w:r>
      <w:r w:rsidR="001D6FAB">
        <w:rPr>
          <w:bCs/>
          <w:iCs/>
        </w:rPr>
        <w:fldChar w:fldCharType="separate"/>
      </w:r>
      <w:r w:rsidR="00133448">
        <w:t xml:space="preserve">Table </w:t>
      </w:r>
      <w:r w:rsidR="00133448">
        <w:rPr>
          <w:noProof/>
        </w:rPr>
        <w:t>2</w:t>
      </w:r>
      <w:r w:rsidR="001D6FAB">
        <w:rPr>
          <w:bCs/>
          <w:iCs/>
        </w:rPr>
        <w:fldChar w:fldCharType="end"/>
      </w:r>
      <w:r w:rsidR="001D6FAB">
        <w:rPr>
          <w:bCs/>
          <w:iCs/>
        </w:rPr>
        <w:t>)</w:t>
      </w:r>
      <w:r w:rsidR="00B54018">
        <w:rPr>
          <w:bCs/>
          <w:iCs/>
        </w:rPr>
        <w:t xml:space="preserve">, </w:t>
      </w:r>
      <m:oMath>
        <m:r>
          <w:rPr>
            <w:rFonts w:ascii="Cambria Math" w:hAnsi="Cambria Math" w:hint="eastAsia"/>
          </w:rPr>
          <m:t>G</m:t>
        </m:r>
        <m:r>
          <w:rPr>
            <w:rFonts w:ascii="Cambria Math" w:hAnsi="Cambria Math" w:hint="eastAsia"/>
          </w:rPr>
          <m:t>∈</m:t>
        </m:r>
        <m:d>
          <m:dPr>
            <m:begChr m:val="{"/>
            <m:endChr m:val="}"/>
            <m:ctrlPr>
              <w:rPr>
                <w:rFonts w:ascii="Cambria Math" w:hAnsi="Cambria Math"/>
                <w:bCs/>
                <w:i/>
                <w:iCs/>
              </w:rPr>
            </m:ctrlPr>
          </m:dPr>
          <m:e>
            <m:r>
              <w:rPr>
                <w:rFonts w:ascii="Cambria Math" w:hAnsi="Cambria Math"/>
              </w:rPr>
              <m:t>1,…,</m:t>
            </m:r>
            <m:sSubSup>
              <m:sSubSupPr>
                <m:ctrlPr>
                  <w:rPr>
                    <w:rFonts w:ascii="Cambria Math" w:hAnsi="Cambria Math"/>
                    <w:bCs/>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e>
        </m:d>
      </m:oMath>
      <w:r w:rsidR="00B54018">
        <w:rPr>
          <w:bCs/>
          <w:iCs/>
        </w:rPr>
        <w:t xml:space="preserve"> is the configurable number of bundled consecutive SRS symbols with the same RE offset, and </w:t>
      </w:r>
      <m:oMath>
        <m:d>
          <m:dPr>
            <m:begChr m:val="⌈"/>
            <m:endChr m:val="⌉"/>
            <m:ctrlPr>
              <w:rPr>
                <w:rFonts w:ascii="Cambria Math" w:hAnsi="Cambria Math"/>
                <w:i/>
                <w:lang w:val="en-GB"/>
              </w:rPr>
            </m:ctrlPr>
          </m:dPr>
          <m:e>
            <m:r>
              <w:rPr>
                <w:rFonts w:ascii="Cambria Math" w:hAnsi="Cambria Math"/>
                <w:lang w:val="en-GB"/>
              </w:rPr>
              <m:t>x</m:t>
            </m:r>
          </m:e>
        </m:d>
      </m:oMath>
      <w:r w:rsidR="00B54018">
        <w:rPr>
          <w:lang w:val="en-GB"/>
        </w:rPr>
        <w:t xml:space="preserve">and </w:t>
      </w:r>
      <m:oMath>
        <m:d>
          <m:dPr>
            <m:begChr m:val="⌊"/>
            <m:endChr m:val="⌋"/>
            <m:ctrlPr>
              <w:rPr>
                <w:rFonts w:ascii="Cambria Math" w:hAnsi="Cambria Math"/>
                <w:i/>
                <w:lang w:val="en-GB"/>
              </w:rPr>
            </m:ctrlPr>
          </m:dPr>
          <m:e>
            <m:r>
              <w:rPr>
                <w:rFonts w:ascii="Cambria Math" w:hAnsi="Cambria Math"/>
                <w:lang w:val="en-GB"/>
              </w:rPr>
              <m:t>x</m:t>
            </m:r>
          </m:e>
        </m:d>
      </m:oMath>
      <w:r w:rsidR="00B54018">
        <w:rPr>
          <w:lang w:val="en-GB"/>
        </w:rPr>
        <w:t xml:space="preserve"> denote the smallest integer larger than or equal to </w:t>
      </w:r>
      <m:oMath>
        <m:r>
          <w:rPr>
            <w:rFonts w:ascii="Cambria Math" w:hAnsi="Cambria Math"/>
            <w:lang w:val="en-GB"/>
          </w:rPr>
          <m:t>a</m:t>
        </m:r>
      </m:oMath>
      <w:r w:rsidR="00B54018">
        <w:rPr>
          <w:lang w:val="en-GB"/>
        </w:rPr>
        <w:t xml:space="preserve"> and the largest integer smaller than or equal to </w:t>
      </w:r>
      <m:oMath>
        <m:r>
          <w:rPr>
            <w:rFonts w:ascii="Cambria Math" w:hAnsi="Cambria Math"/>
            <w:lang w:val="en-GB"/>
          </w:rPr>
          <m:t>a</m:t>
        </m:r>
      </m:oMath>
      <w:r w:rsidR="00B54018">
        <w:rPr>
          <w:lang w:val="en-GB"/>
        </w:rPr>
        <w:t>, respectively</w:t>
      </w:r>
      <w:r w:rsidR="00B54018">
        <w:rPr>
          <w:bCs/>
          <w:iCs/>
        </w:rPr>
        <w:t xml:space="preserve">. Depending on the configured value of </w:t>
      </w:r>
      <m:oMath>
        <m:r>
          <w:rPr>
            <w:rFonts w:ascii="Cambria Math" w:hAnsi="Cambria Math"/>
          </w:rPr>
          <m:t>G</m:t>
        </m:r>
      </m:oMath>
      <w:r w:rsidR="00B54018">
        <w:rPr>
          <w:bCs/>
          <w:iCs/>
        </w:rPr>
        <w:t>, Equation  (</w:t>
      </w:r>
      <w:r w:rsidR="00927AC8">
        <w:rPr>
          <w:bCs/>
          <w:iCs/>
        </w:rPr>
        <w:t>4</w:t>
      </w:r>
      <w:r w:rsidR="00B54018">
        <w:rPr>
          <w:bCs/>
          <w:iCs/>
        </w:rPr>
        <w:t xml:space="preserve">) supports various staggered resource mappings for all agreed values of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TC</m:t>
            </m:r>
          </m:sub>
        </m:sSub>
      </m:oMath>
      <w:r w:rsidR="00B54018">
        <w:rPr>
          <w:bCs/>
          <w:iCs/>
        </w:rPr>
        <w:t xml:space="preserve"> and  </w:t>
      </w:r>
      <m:oMath>
        <m:sSubSup>
          <m:sSubSupPr>
            <m:ctrlPr>
              <w:rPr>
                <w:rFonts w:ascii="Cambria Math" w:hAnsi="Cambria Math"/>
                <w:bCs/>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rsidR="00B54018">
        <w:rPr>
          <w:bCs/>
          <w:iCs/>
        </w:rPr>
        <w:t xml:space="preserve">. </w:t>
      </w:r>
    </w:p>
    <w:p w14:paraId="01CA6A68" w14:textId="004937E8" w:rsidR="00B54018" w:rsidRDefault="00E754B4" w:rsidP="00B54018">
      <w:pPr>
        <w:rPr>
          <w:bCs/>
          <w:iCs/>
        </w:rPr>
      </w:pPr>
      <w:r>
        <w:rPr>
          <w:bCs/>
          <w:iCs/>
        </w:rPr>
        <w:t>Interestingly</w:t>
      </w:r>
      <w:r w:rsidR="00B54018">
        <w:rPr>
          <w:bCs/>
          <w:iCs/>
        </w:rPr>
        <w:t>, if</w:t>
      </w:r>
      <m:oMath>
        <m:r>
          <w:rPr>
            <w:rFonts w:ascii="Cambria Math" w:hAnsi="Cambria Math"/>
          </w:rPr>
          <m:t xml:space="preserve"> G</m:t>
        </m:r>
      </m:oMath>
      <w:r w:rsidR="00B54018">
        <w:t xml:space="preserve"> is set to </w:t>
      </w:r>
      <m:oMath>
        <m:sSubSup>
          <m:sSubSupPr>
            <m:ctrlPr>
              <w:rPr>
                <w:rFonts w:ascii="Cambria Math" w:hAnsi="Cambria Math"/>
                <w:bCs/>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rsidR="00D41436">
        <w:rPr>
          <w:bCs/>
          <w:iCs/>
        </w:rPr>
        <w:t xml:space="preserve"> in Eq. (4)</w:t>
      </w:r>
      <w:r w:rsidR="00B54018">
        <w:t>,</w:t>
      </w:r>
      <w:r>
        <w:t xml:space="preserve"> </w:t>
      </w:r>
      <m:oMath>
        <m:d>
          <m:dPr>
            <m:begChr m:val="⌊"/>
            <m:endChr m:val="⌋"/>
            <m:ctrlPr>
              <w:rPr>
                <w:rFonts w:ascii="Cambria Math" w:hAnsi="Cambria Math"/>
                <w:i/>
              </w:rPr>
            </m:ctrlPr>
          </m:dPr>
          <m:e>
            <m:f>
              <m:fPr>
                <m:type m:val="skw"/>
                <m:ctrlPr>
                  <w:rPr>
                    <w:rFonts w:ascii="Cambria Math" w:hAnsi="Cambria Math"/>
                    <w:i/>
                  </w:rPr>
                </m:ctrlPr>
              </m:fPr>
              <m:num>
                <m:sSup>
                  <m:sSupPr>
                    <m:ctrlPr>
                      <w:rPr>
                        <w:rFonts w:ascii="Cambria Math" w:hAnsi="Cambria Math"/>
                        <w:bCs/>
                        <w:i/>
                        <w:iCs/>
                      </w:rPr>
                    </m:ctrlPr>
                  </m:sSupPr>
                  <m:e>
                    <m:r>
                      <w:rPr>
                        <w:rFonts w:ascii="Cambria Math" w:hAnsi="Cambria Math"/>
                      </w:rPr>
                      <m:t>l</m:t>
                    </m:r>
                  </m:e>
                  <m:sup>
                    <m:r>
                      <w:rPr>
                        <w:rFonts w:ascii="Cambria Math" w:hAnsi="Cambria Math"/>
                      </w:rPr>
                      <m:t>'</m:t>
                    </m:r>
                  </m:sup>
                </m:sSup>
              </m:num>
              <m:den>
                <m:r>
                  <w:rPr>
                    <w:rFonts w:ascii="Cambria Math" w:hAnsi="Cambria Math"/>
                  </w:rPr>
                  <m:t>G</m:t>
                </m:r>
              </m:den>
            </m:f>
          </m:e>
        </m:d>
        <m:r>
          <w:rPr>
            <w:rFonts w:ascii="Cambria Math" w:hAnsi="Cambria Math"/>
          </w:rPr>
          <m:t>=0</m:t>
        </m:r>
      </m:oMath>
      <w:r w:rsidR="00B54018">
        <w:t xml:space="preserve"> </w:t>
      </w:r>
      <w:r>
        <w:t xml:space="preserve"> for all </w:t>
      </w:r>
      <m:oMath>
        <m:sSup>
          <m:sSupPr>
            <m:ctrlPr>
              <w:rPr>
                <w:rFonts w:ascii="Cambria Math" w:hAnsi="Cambria Math"/>
                <w:bCs/>
                <w:i/>
                <w:iCs/>
              </w:rPr>
            </m:ctrlPr>
          </m:sSupPr>
          <m:e>
            <m:r>
              <w:rPr>
                <w:rFonts w:ascii="Cambria Math" w:hAnsi="Cambria Math"/>
              </w:rPr>
              <m:t xml:space="preserve"> l</m:t>
            </m:r>
          </m:e>
          <m:sup>
            <m:r>
              <w:rPr>
                <w:rFonts w:ascii="Cambria Math" w:hAnsi="Cambria Math"/>
              </w:rPr>
              <m:t>'</m:t>
            </m:r>
          </m:sup>
        </m:sSup>
        <m:r>
          <w:rPr>
            <w:rFonts w:ascii="Cambria Math" w:hAnsi="Cambria Math"/>
          </w:rPr>
          <m:t>∈</m:t>
        </m:r>
        <m:d>
          <m:dPr>
            <m:begChr m:val="{"/>
            <m:endChr m:val="}"/>
            <m:ctrlPr>
              <w:rPr>
                <w:rFonts w:ascii="Cambria Math" w:hAnsi="Cambria Math"/>
                <w:bCs/>
                <w:i/>
                <w:iCs/>
              </w:rPr>
            </m:ctrlPr>
          </m:dPr>
          <m:e>
            <m:r>
              <w:rPr>
                <w:rFonts w:ascii="Cambria Math" w:hAnsi="Cambria Math"/>
              </w:rPr>
              <m:t>0,…,</m:t>
            </m:r>
            <m:sSubSup>
              <m:sSubSupPr>
                <m:ctrlPr>
                  <w:rPr>
                    <w:rFonts w:ascii="Cambria Math" w:hAnsi="Cambria Math"/>
                    <w:bCs/>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-1 </m:t>
            </m:r>
          </m:e>
        </m:d>
      </m:oMath>
      <w:r>
        <w:rPr>
          <w:bCs/>
          <w:iCs/>
        </w:rPr>
        <w:t xml:space="preserve"> and, therefore,</w:t>
      </w:r>
      <w:r>
        <w:t xml:space="preserve">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r>
                  <w:rPr>
                    <w:rFonts w:ascii="Cambria Math" w:hAnsi="Cambria Math"/>
                  </w:rPr>
                  <m:t>,l</m:t>
                </m:r>
              </m:e>
            </m:d>
          </m:sup>
        </m:sSubSup>
        <m:r>
          <w:rPr>
            <w:rFonts w:ascii="Cambria Math" w:hAnsi="Cambria Math"/>
          </w:rPr>
          <m:t>=</m:t>
        </m:r>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w:rPr>
            <w:rFonts w:ascii="Cambria Math" w:hAnsi="Cambria Math"/>
          </w:rPr>
          <m:t xml:space="preserve"> </m:t>
        </m:r>
      </m:oMath>
      <w:r>
        <w:t xml:space="preserve">for </w:t>
      </w:r>
      <w:r w:rsidR="00B54018">
        <w:rPr>
          <w:bCs/>
          <w:iCs/>
        </w:rPr>
        <w:t xml:space="preserve">all </w:t>
      </w:r>
      <m:oMath>
        <m:sSup>
          <m:sSupPr>
            <m:ctrlPr>
              <w:rPr>
                <w:rFonts w:ascii="Cambria Math" w:hAnsi="Cambria Math"/>
                <w:bCs/>
                <w:i/>
                <w:iCs/>
              </w:rPr>
            </m:ctrlPr>
          </m:sSupPr>
          <m:e>
            <m:r>
              <w:rPr>
                <w:rFonts w:ascii="Cambria Math" w:hAnsi="Cambria Math"/>
              </w:rPr>
              <m:t xml:space="preserve"> l</m:t>
            </m:r>
          </m:e>
          <m:sup>
            <m:r>
              <w:rPr>
                <w:rFonts w:ascii="Cambria Math" w:hAnsi="Cambria Math"/>
              </w:rPr>
              <m:t>'</m:t>
            </m:r>
          </m:sup>
        </m:sSup>
        <m:r>
          <w:rPr>
            <w:rFonts w:ascii="Cambria Math" w:hAnsi="Cambria Math"/>
          </w:rPr>
          <m:t>∈</m:t>
        </m:r>
        <m:d>
          <m:dPr>
            <m:begChr m:val="{"/>
            <m:endChr m:val="}"/>
            <m:ctrlPr>
              <w:rPr>
                <w:rFonts w:ascii="Cambria Math" w:hAnsi="Cambria Math"/>
                <w:bCs/>
                <w:i/>
                <w:iCs/>
              </w:rPr>
            </m:ctrlPr>
          </m:dPr>
          <m:e>
            <m:r>
              <w:rPr>
                <w:rFonts w:ascii="Cambria Math" w:hAnsi="Cambria Math"/>
              </w:rPr>
              <m:t>0,…,</m:t>
            </m:r>
            <m:sSubSup>
              <m:sSubSupPr>
                <m:ctrlPr>
                  <w:rPr>
                    <w:rFonts w:ascii="Cambria Math" w:hAnsi="Cambria Math"/>
                    <w:bCs/>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-1 </m:t>
            </m:r>
          </m:e>
        </m:d>
      </m:oMath>
      <w:r w:rsidR="00B54018">
        <w:rPr>
          <w:bCs/>
          <w:iCs/>
        </w:rPr>
        <w:t>.  This means that Rel. 15 non-staggered resource mapping is also supported by Equation (</w:t>
      </w:r>
      <w:r w:rsidR="00B72072">
        <w:rPr>
          <w:bCs/>
          <w:iCs/>
        </w:rPr>
        <w:t>4</w:t>
      </w:r>
      <w:r w:rsidR="00B54018">
        <w:rPr>
          <w:bCs/>
          <w:iCs/>
        </w:rPr>
        <w:t xml:space="preserve">) as a special case. No other changes with respect to Rel. 15 SRS resource mapping formulas are required to support flexible variations of staggered resource mappings as well as the Rel. 15 non-staggered resource mapping. </w:t>
      </w:r>
    </w:p>
    <w:p w14:paraId="0D026BB6" w14:textId="77777777" w:rsidR="00B54018" w:rsidRDefault="00B54018" w:rsidP="005D03E3">
      <w:pPr>
        <w:rPr>
          <w:bCs/>
          <w:iCs/>
        </w:rPr>
      </w:pPr>
    </w:p>
    <w:p w14:paraId="210A96D1" w14:textId="188AC0B8" w:rsidR="005D03E3" w:rsidRDefault="00152B9E" w:rsidP="00D96EA3">
      <w:pPr>
        <w:keepNext/>
        <w:jc w:val="center"/>
      </w:pPr>
      <w:r>
        <w:rPr>
          <w:noProof/>
          <w:lang w:eastAsia="zh-CN"/>
        </w:rPr>
        <w:drawing>
          <wp:inline distT="0" distB="0" distL="0" distR="0" wp14:anchorId="54B93D83" wp14:editId="28252851">
            <wp:extent cx="3054096" cy="4416552"/>
            <wp:effectExtent l="0" t="0" r="0" b="3175"/>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54096" cy="4416552"/>
                    </a:xfrm>
                    <a:prstGeom prst="rect">
                      <a:avLst/>
                    </a:prstGeom>
                    <a:noFill/>
                  </pic:spPr>
                </pic:pic>
              </a:graphicData>
            </a:graphic>
          </wp:inline>
        </w:drawing>
      </w:r>
    </w:p>
    <w:p w14:paraId="2E4884E7" w14:textId="691AFD89" w:rsidR="005D03E3" w:rsidRDefault="005D03E3" w:rsidP="00D96EA3">
      <w:pPr>
        <w:pStyle w:val="a5"/>
        <w:rPr>
          <w:bCs w:val="0"/>
          <w:iCs/>
        </w:rPr>
      </w:pPr>
      <w:bookmarkStart w:id="11" w:name="_Ref20391474"/>
      <w:r>
        <w:t xml:space="preserve">Figure </w:t>
      </w:r>
      <w:r w:rsidR="00157362">
        <w:rPr>
          <w:noProof/>
        </w:rPr>
        <w:fldChar w:fldCharType="begin"/>
      </w:r>
      <w:r w:rsidR="00157362">
        <w:rPr>
          <w:noProof/>
        </w:rPr>
        <w:instrText xml:space="preserve"> SEQ Figure \* ARABIC </w:instrText>
      </w:r>
      <w:r w:rsidR="00157362">
        <w:rPr>
          <w:noProof/>
        </w:rPr>
        <w:fldChar w:fldCharType="separate"/>
      </w:r>
      <w:r w:rsidR="00133448">
        <w:rPr>
          <w:noProof/>
        </w:rPr>
        <w:t>4</w:t>
      </w:r>
      <w:r w:rsidR="00157362">
        <w:rPr>
          <w:noProof/>
        </w:rPr>
        <w:fldChar w:fldCharType="end"/>
      </w:r>
      <w:bookmarkEnd w:id="11"/>
      <w:r>
        <w:t xml:space="preserve">: An example of Rel. 15 SRS resource mapping </w:t>
      </w:r>
      <w:r w:rsidR="00152B9E">
        <w:t xml:space="preserve">w.r.t to the reference RE </w:t>
      </w:r>
      <w:r>
        <w:t xml:space="preserve">with </w:t>
      </w:r>
      <m:oMath>
        <m:sSubSup>
          <m:sSubSupPr>
            <m:ctrlPr>
              <w:rPr>
                <w:rFonts w:ascii="Cambria Math" w:hAnsi="Cambria Math"/>
                <w:bCs w:val="0"/>
                <w:i/>
                <w:iCs/>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r>
          <m:rPr>
            <m:sty m:val="bi"/>
          </m:rPr>
          <w:rPr>
            <w:rFonts w:ascii="Cambria Math" w:hAnsi="Cambria Math"/>
          </w:rPr>
          <m:t>=4</m:t>
        </m:r>
      </m:oMath>
      <w:r>
        <w:rPr>
          <w:bCs w:val="0"/>
          <w:iCs/>
        </w:rPr>
        <w:t xml:space="preserve">, </w:t>
      </w:r>
      <m:oMath>
        <m:sSub>
          <m:sSubPr>
            <m:ctrlPr>
              <w:rPr>
                <w:rFonts w:ascii="Cambria Math" w:hAnsi="Cambria Math"/>
                <w:bCs w:val="0"/>
                <w:i/>
                <w:iCs/>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m:t>
        </m:r>
        <m:r>
          <m:rPr>
            <m:sty m:val="b"/>
          </m:rPr>
          <w:rPr>
            <w:rFonts w:ascii="Cambria Math" w:hAnsi="Cambria Math"/>
          </w:rPr>
          <m:t>4</m:t>
        </m:r>
      </m:oMath>
      <w:r>
        <w:rPr>
          <w:bCs w:val="0"/>
          <w:iCs/>
        </w:rPr>
        <w:t xml:space="preserve">, and </w:t>
      </w:r>
      <m:oMath>
        <m:sSubSup>
          <m:sSubSupPr>
            <m:ctrlPr>
              <w:rPr>
                <w:rFonts w:ascii="Cambria Math" w:hAnsi="Cambria Math"/>
                <w:b w:val="0"/>
                <w:i/>
                <w:iCs/>
              </w:rPr>
            </m:ctrlPr>
          </m:sSubSupPr>
          <m:e>
            <m:r>
              <m:rPr>
                <m:sty m:val="bi"/>
              </m:rPr>
              <w:rPr>
                <w:rFonts w:ascii="Cambria Math" w:hAnsi="Cambria Math"/>
              </w:rPr>
              <m:t>k</m:t>
            </m:r>
          </m:e>
          <m:sub>
            <m:r>
              <m:rPr>
                <m:sty m:val="b"/>
              </m:rPr>
              <w:rPr>
                <w:rFonts w:ascii="Cambria Math" w:hAnsi="Cambria Math"/>
              </w:rPr>
              <m:t>TC</m:t>
            </m:r>
          </m:sub>
          <m:sup>
            <m:d>
              <m:dPr>
                <m:ctrlPr>
                  <w:rPr>
                    <w:rFonts w:ascii="Cambria Math" w:hAnsi="Cambria Math"/>
                    <w:b w:val="0"/>
                    <w:i/>
                    <w:iCs/>
                  </w:rPr>
                </m:ctrlPr>
              </m:dPr>
              <m:e>
                <m:sSub>
                  <m:sSubPr>
                    <m:ctrlPr>
                      <w:rPr>
                        <w:rFonts w:ascii="Cambria Math" w:hAnsi="Cambria Math"/>
                        <w:b w:val="0"/>
                        <w:i/>
                        <w:iCs/>
                      </w:rPr>
                    </m:ctrlPr>
                  </m:sSubPr>
                  <m:e>
                    <m:r>
                      <m:rPr>
                        <m:sty m:val="bi"/>
                      </m:rPr>
                      <w:rPr>
                        <w:rFonts w:ascii="Cambria Math" w:hAnsi="Cambria Math"/>
                      </w:rPr>
                      <m:t>p</m:t>
                    </m:r>
                  </m:e>
                  <m:sub>
                    <m:r>
                      <m:rPr>
                        <m:sty m:val="bi"/>
                      </m:rPr>
                      <w:rPr>
                        <w:rFonts w:ascii="Cambria Math" w:hAnsi="Cambria Math"/>
                      </w:rPr>
                      <m:t>i</m:t>
                    </m:r>
                  </m:sub>
                </m:sSub>
              </m:e>
            </m:d>
          </m:sup>
        </m:sSubSup>
        <m:r>
          <m:rPr>
            <m:sty m:val="bi"/>
          </m:rPr>
          <w:rPr>
            <w:rFonts w:ascii="Cambria Math" w:hAnsi="Cambria Math"/>
          </w:rPr>
          <m:t>=2</m:t>
        </m:r>
      </m:oMath>
      <w:r w:rsidR="00152B9E">
        <w:rPr>
          <w:b w:val="0"/>
          <w:iCs/>
        </w:rPr>
        <w:t>.</w:t>
      </w:r>
    </w:p>
    <w:p w14:paraId="16294052" w14:textId="07CD6D25" w:rsidR="005D03E3" w:rsidRDefault="005D03E3" w:rsidP="005D03E3">
      <w:pPr>
        <w:rPr>
          <w:iCs/>
        </w:rPr>
      </w:pPr>
      <w:r>
        <w:rPr>
          <w:bCs/>
          <w:iCs/>
        </w:rPr>
        <w:t xml:space="preserve">It is straightforward to investigate that both staggered resource mappings depicted in </w:t>
      </w:r>
      <w:r>
        <w:rPr>
          <w:bCs/>
          <w:iCs/>
        </w:rPr>
        <w:fldChar w:fldCharType="begin"/>
      </w:r>
      <w:r>
        <w:rPr>
          <w:bCs/>
          <w:iCs/>
        </w:rPr>
        <w:instrText xml:space="preserve"> REF _Ref20213959 \h </w:instrText>
      </w:r>
      <w:r>
        <w:rPr>
          <w:bCs/>
          <w:iCs/>
        </w:rPr>
      </w:r>
      <w:r>
        <w:rPr>
          <w:bCs/>
          <w:iCs/>
        </w:rPr>
        <w:fldChar w:fldCharType="separate"/>
      </w:r>
      <w:r w:rsidR="00133448">
        <w:t xml:space="preserve">Figure </w:t>
      </w:r>
      <w:r w:rsidR="00133448">
        <w:rPr>
          <w:noProof/>
        </w:rPr>
        <w:t>1</w:t>
      </w:r>
      <w:r>
        <w:rPr>
          <w:bCs/>
          <w:iCs/>
        </w:rPr>
        <w:fldChar w:fldCharType="end"/>
      </w:r>
      <w:r>
        <w:rPr>
          <w:bCs/>
          <w:iCs/>
        </w:rPr>
        <w:t xml:space="preserve"> can be obtained from Equation (</w:t>
      </w:r>
      <w:r w:rsidR="0077052A">
        <w:rPr>
          <w:bCs/>
          <w:iCs/>
        </w:rPr>
        <w:t>4</w:t>
      </w:r>
      <w:r>
        <w:rPr>
          <w:bCs/>
          <w:iCs/>
        </w:rPr>
        <w:t xml:space="preserve">) by using </w:t>
      </w:r>
      <m:oMath>
        <m:sSubSup>
          <m:sSubSupPr>
            <m:ctrlPr>
              <w:rPr>
                <w:rFonts w:ascii="Cambria Math" w:hAnsi="Cambria Math"/>
                <w:bCs/>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=8 </m:t>
        </m:r>
      </m:oMath>
      <w:r w:rsidRPr="00F90E40">
        <w:rPr>
          <w:bCs/>
          <w:iCs/>
        </w:rPr>
        <w:t xml:space="preserve">and </w:t>
      </w:r>
      <m:oMath>
        <m:sSub>
          <m:sSubPr>
            <m:ctrlPr>
              <w:rPr>
                <w:rFonts w:ascii="Cambria Math" w:hAnsi="Cambria Math"/>
                <w:bCs/>
                <w:iCs/>
              </w:rPr>
            </m:ctrlPr>
          </m:sSubPr>
          <m:e>
            <m:r>
              <w:rPr>
                <w:rFonts w:ascii="Cambria Math" w:hAnsi="Cambria Math"/>
              </w:rPr>
              <m:t>K</m:t>
            </m:r>
          </m:e>
          <m:sub>
            <m:r>
              <m:rPr>
                <m:sty m:val="p"/>
              </m:rPr>
              <w:rPr>
                <w:rFonts w:ascii="Cambria Math" w:hAnsi="Cambria Math"/>
              </w:rPr>
              <m:t>TC</m:t>
            </m:r>
          </m:sub>
        </m:sSub>
        <m:r>
          <w:rPr>
            <w:rFonts w:ascii="Cambria Math" w:hAnsi="Cambria Math"/>
          </w:rPr>
          <m:t>=4</m:t>
        </m:r>
      </m:oMath>
      <w:r>
        <w:rPr>
          <w:bCs/>
          <w:iCs/>
        </w:rPr>
        <w:t xml:space="preserve"> and  </w:t>
      </w:r>
      <m:oMath>
        <m:r>
          <w:rPr>
            <w:rFonts w:ascii="Cambria Math" w:hAnsi="Cambria Math"/>
          </w:rPr>
          <m:t xml:space="preserve">G=1 </m:t>
        </m:r>
      </m:oMath>
      <w:r>
        <w:rPr>
          <w:bCs/>
          <w:iCs/>
        </w:rPr>
        <w:t xml:space="preserve">for the left sub-figure and </w:t>
      </w:r>
      <m:oMath>
        <m:r>
          <w:rPr>
            <w:rFonts w:ascii="Cambria Math" w:hAnsi="Cambria Math"/>
          </w:rPr>
          <m:t>G=2</m:t>
        </m:r>
      </m:oMath>
      <w:r>
        <w:rPr>
          <w:bCs/>
          <w:iCs/>
        </w:rPr>
        <w:t xml:space="preserve"> for the right sub-figure (for the sake of simplicity and without any loss of generality set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r>
          <w:rPr>
            <w:rFonts w:ascii="Cambria Math" w:hAnsi="Cambria Math"/>
          </w:rPr>
          <m:t>=0</m:t>
        </m:r>
      </m:oMath>
      <w:r w:rsidR="00DB7C6C">
        <w:rPr>
          <w:bCs/>
          <w:iCs/>
        </w:rPr>
        <w:t>).</w:t>
      </w:r>
      <w:r>
        <w:rPr>
          <w:iCs/>
        </w:rPr>
        <w:t xml:space="preserve"> As further examples, </w:t>
      </w:r>
      <w:r w:rsidR="003774C3">
        <w:rPr>
          <w:iCs/>
        </w:rPr>
        <w:fldChar w:fldCharType="begin"/>
      </w:r>
      <w:r w:rsidR="003774C3">
        <w:rPr>
          <w:iCs/>
        </w:rPr>
        <w:instrText xml:space="preserve"> REF _Ref20398629 \h </w:instrText>
      </w:r>
      <w:r w:rsidR="003774C3">
        <w:rPr>
          <w:iCs/>
        </w:rPr>
      </w:r>
      <w:r w:rsidR="003774C3">
        <w:rPr>
          <w:iCs/>
        </w:rPr>
        <w:fldChar w:fldCharType="separate"/>
      </w:r>
      <w:r w:rsidR="00133448">
        <w:t xml:space="preserve">Figure </w:t>
      </w:r>
      <w:r w:rsidR="00133448">
        <w:rPr>
          <w:noProof/>
        </w:rPr>
        <w:t>5</w:t>
      </w:r>
      <w:r w:rsidR="003774C3">
        <w:rPr>
          <w:iCs/>
        </w:rPr>
        <w:fldChar w:fldCharType="end"/>
      </w:r>
      <w:r w:rsidR="003774C3">
        <w:rPr>
          <w:iCs/>
        </w:rPr>
        <w:t xml:space="preserve"> </w:t>
      </w:r>
      <w:r>
        <w:rPr>
          <w:iCs/>
        </w:rPr>
        <w:t>shows d</w:t>
      </w:r>
      <w:r w:rsidRPr="00D67AB6">
        <w:rPr>
          <w:iCs/>
        </w:rPr>
        <w:t>ifferent staggered resource mappings obtained from Equation (</w:t>
      </w:r>
      <w:r w:rsidR="0077052A">
        <w:rPr>
          <w:iCs/>
        </w:rPr>
        <w:t>4</w:t>
      </w:r>
      <w:r w:rsidRPr="00D67AB6">
        <w:rPr>
          <w:iCs/>
        </w:rPr>
        <w:t xml:space="preserve">) for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=12 </m:t>
        </m:r>
      </m:oMath>
      <w:r w:rsidRPr="00D67AB6">
        <w:rPr>
          <w:iCs/>
        </w:rPr>
        <w:t xml:space="preserve">and </w:t>
      </w:r>
      <m:oMath>
        <m:sSub>
          <m:sSubPr>
            <m:ctrlPr>
              <w:rPr>
                <w:rFonts w:ascii="Cambria Math" w:hAnsi="Cambria Math"/>
                <w:iCs/>
              </w:rPr>
            </m:ctrlPr>
          </m:sSubPr>
          <m:e>
            <m:r>
              <w:rPr>
                <w:rFonts w:ascii="Cambria Math" w:hAnsi="Cambria Math"/>
              </w:rPr>
              <m:t>K</m:t>
            </m:r>
          </m:e>
          <m:sub>
            <m:r>
              <m:rPr>
                <m:sty m:val="p"/>
              </m:rPr>
              <w:rPr>
                <w:rFonts w:ascii="Cambria Math" w:hAnsi="Cambria Math"/>
              </w:rPr>
              <m:t>TC</m:t>
            </m:r>
          </m:sub>
        </m:sSub>
        <m:r>
          <w:rPr>
            <w:rFonts w:ascii="Cambria Math" w:hAnsi="Cambria Math"/>
          </w:rPr>
          <m:t xml:space="preserve">=4 </m:t>
        </m:r>
      </m:oMath>
      <w:r w:rsidRPr="00D67AB6">
        <w:rPr>
          <w:bCs/>
          <w:iCs/>
        </w:rPr>
        <w:t xml:space="preserve">using </w:t>
      </w:r>
      <m:oMath>
        <m:r>
          <w:rPr>
            <w:rFonts w:ascii="Cambria Math" w:hAnsi="Cambria Math"/>
          </w:rPr>
          <m:t>G=1</m:t>
        </m:r>
      </m:oMath>
      <w:r>
        <w:t xml:space="preserve">, </w:t>
      </w:r>
      <m:oMath>
        <m:r>
          <w:rPr>
            <w:rFonts w:ascii="Cambria Math" w:hAnsi="Cambria Math"/>
          </w:rPr>
          <m:t>G=2</m:t>
        </m:r>
      </m:oMath>
      <w:r>
        <w:t xml:space="preserve">, and </w:t>
      </w:r>
      <m:oMath>
        <m:r>
          <w:rPr>
            <w:rFonts w:ascii="Cambria Math" w:hAnsi="Cambria Math"/>
          </w:rPr>
          <m:t>G=3</m:t>
        </m:r>
      </m:oMath>
      <w:r w:rsidR="00D41436">
        <w:t xml:space="preserve"> where </w:t>
      </w:r>
      <w:r w:rsidR="0077052A">
        <w:t xml:space="preserve">the Rel. 15 </w:t>
      </w:r>
      <w:r w:rsidR="0050213C">
        <w:t xml:space="preserve">common </w:t>
      </w:r>
      <w:r w:rsidR="0077052A">
        <w:t xml:space="preserve">RE offset </w:t>
      </w:r>
      <m:oMath>
        <m:sSubSup>
          <m:sSubSupPr>
            <m:ctrlPr>
              <w:rPr>
                <w:rFonts w:ascii="Cambria Math" w:hAnsi="Cambria Math"/>
                <w:bCs/>
                <w:i/>
                <w:iCs/>
              </w:rPr>
            </m:ctrlPr>
          </m:sSubSupPr>
          <m:e>
            <m:r>
              <w:rPr>
                <w:rFonts w:ascii="Cambria Math" w:hAnsi="Cambria Math"/>
              </w:rPr>
              <m:t>k</m:t>
            </m:r>
          </m:e>
          <m:sub>
            <m:r>
              <m:rPr>
                <m:sty m:val="p"/>
              </m:rPr>
              <w:rPr>
                <w:rFonts w:ascii="Cambria Math" w:hAnsi="Cambria Math"/>
              </w:rPr>
              <m:t>TC</m:t>
            </m:r>
          </m:sub>
          <m:sup>
            <m:d>
              <m:dPr>
                <m:ctrlPr>
                  <w:rPr>
                    <w:rFonts w:ascii="Cambria Math" w:hAnsi="Cambria Math"/>
                    <w:bCs/>
                    <w:i/>
                    <w:iCs/>
                  </w:rPr>
                </m:ctrlPr>
              </m:dPr>
              <m:e>
                <m:sSub>
                  <m:sSubPr>
                    <m:ctrlPr>
                      <w:rPr>
                        <w:rFonts w:ascii="Cambria Math" w:hAnsi="Cambria Math"/>
                        <w:bCs/>
                        <w:i/>
                        <w:iCs/>
                      </w:rPr>
                    </m:ctrlPr>
                  </m:sSubPr>
                  <m:e>
                    <m:r>
                      <w:rPr>
                        <w:rFonts w:ascii="Cambria Math" w:hAnsi="Cambria Math"/>
                      </w:rPr>
                      <m:t>p</m:t>
                    </m:r>
                  </m:e>
                  <m:sub>
                    <m:r>
                      <w:rPr>
                        <w:rFonts w:ascii="Cambria Math" w:hAnsi="Cambria Math"/>
                      </w:rPr>
                      <m:t>i</m:t>
                    </m:r>
                  </m:sub>
                </m:sSub>
              </m:e>
            </m:d>
          </m:sup>
        </m:sSubSup>
      </m:oMath>
      <w:r w:rsidR="0077052A">
        <w:rPr>
          <w:bCs/>
          <w:iCs/>
        </w:rPr>
        <w:t xml:space="preserve"> is assumed to be zero.</w:t>
      </w:r>
      <w:r w:rsidR="0013038F">
        <w:rPr>
          <w:bCs/>
          <w:iCs/>
        </w:rPr>
        <w:t xml:space="preserve"> </w:t>
      </w:r>
    </w:p>
    <w:p w14:paraId="6346E934" w14:textId="77777777" w:rsidR="005D03E3" w:rsidRDefault="005D03E3" w:rsidP="005D03E3">
      <w:pPr>
        <w:keepNext/>
        <w:jc w:val="center"/>
      </w:pPr>
      <w:r>
        <w:rPr>
          <w:iCs/>
          <w:noProof/>
          <w:lang w:eastAsia="zh-CN"/>
        </w:rPr>
        <w:drawing>
          <wp:inline distT="0" distB="0" distL="0" distR="0" wp14:anchorId="74D4F44A" wp14:editId="28ACB35F">
            <wp:extent cx="4919472" cy="1600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919472" cy="1600200"/>
                    </a:xfrm>
                    <a:prstGeom prst="rect">
                      <a:avLst/>
                    </a:prstGeom>
                    <a:noFill/>
                  </pic:spPr>
                </pic:pic>
              </a:graphicData>
            </a:graphic>
          </wp:inline>
        </w:drawing>
      </w:r>
    </w:p>
    <w:p w14:paraId="326D6095" w14:textId="7B10B808" w:rsidR="005D03E3" w:rsidRPr="007C0176" w:rsidRDefault="005D03E3" w:rsidP="005D03E3">
      <w:pPr>
        <w:pStyle w:val="a5"/>
        <w:rPr>
          <w:iCs/>
        </w:rPr>
      </w:pPr>
      <w:bookmarkStart w:id="12" w:name="_Ref20398629"/>
      <w:r>
        <w:t xml:space="preserve">Figure </w:t>
      </w:r>
      <w:r>
        <w:rPr>
          <w:noProof/>
        </w:rPr>
        <w:fldChar w:fldCharType="begin"/>
      </w:r>
      <w:r>
        <w:rPr>
          <w:noProof/>
        </w:rPr>
        <w:instrText xml:space="preserve"> SEQ Figure \* ARABIC </w:instrText>
      </w:r>
      <w:r>
        <w:rPr>
          <w:noProof/>
        </w:rPr>
        <w:fldChar w:fldCharType="separate"/>
      </w:r>
      <w:r w:rsidR="00133448">
        <w:rPr>
          <w:noProof/>
        </w:rPr>
        <w:t>5</w:t>
      </w:r>
      <w:r>
        <w:rPr>
          <w:noProof/>
        </w:rPr>
        <w:fldChar w:fldCharType="end"/>
      </w:r>
      <w:bookmarkEnd w:id="12"/>
      <w:r>
        <w:t xml:space="preserve">: Different staggered </w:t>
      </w:r>
      <w:r w:rsidRPr="007C0176">
        <w:t>resource mappings obtained from Equation (</w:t>
      </w:r>
      <w:r w:rsidR="00B72072">
        <w:t>4</w:t>
      </w:r>
      <w:r w:rsidRPr="007C0176">
        <w:t xml:space="preserve">) for </w:t>
      </w:r>
      <m:oMath>
        <m:sSubSup>
          <m:sSubSupPr>
            <m:ctrlPr>
              <w:rPr>
                <w:rFonts w:ascii="Cambria Math" w:hAnsi="Cambria Math"/>
                <w:iCs/>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r>
          <m:rPr>
            <m:sty m:val="bi"/>
          </m:rPr>
          <w:rPr>
            <w:rFonts w:ascii="Cambria Math" w:hAnsi="Cambria Math"/>
          </w:rPr>
          <m:t xml:space="preserve">=12 </m:t>
        </m:r>
      </m:oMath>
      <w:r w:rsidRPr="007C0176">
        <w:rPr>
          <w:iCs/>
        </w:rPr>
        <w:t xml:space="preserve">and </w:t>
      </w:r>
      <m:oMath>
        <m:sSub>
          <m:sSubPr>
            <m:ctrlPr>
              <w:rPr>
                <w:rFonts w:ascii="Cambria Math" w:hAnsi="Cambria Math"/>
                <w:iCs/>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 xml:space="preserve">=4 </m:t>
        </m:r>
      </m:oMath>
      <w:r w:rsidRPr="007C0176">
        <w:rPr>
          <w:bCs w:val="0"/>
          <w:iCs/>
        </w:rPr>
        <w:t xml:space="preserve">using different values for the configurable parameter </w:t>
      </w:r>
      <m:oMath>
        <m:r>
          <m:rPr>
            <m:sty m:val="b"/>
          </m:rPr>
          <w:rPr>
            <w:rFonts w:ascii="Cambria Math" w:hAnsi="Cambria Math"/>
          </w:rPr>
          <m:t>G</m:t>
        </m:r>
      </m:oMath>
    </w:p>
    <w:p w14:paraId="291F152A" w14:textId="77777777" w:rsidR="005D03E3" w:rsidRPr="00D464FC" w:rsidRDefault="005D03E3" w:rsidP="005D03E3"/>
    <w:p w14:paraId="287BA85A" w14:textId="77777777" w:rsidR="005D03E3" w:rsidRDefault="005D03E3" w:rsidP="005D03E3">
      <w:pPr>
        <w:rPr>
          <w:iCs/>
        </w:rPr>
      </w:pPr>
      <w:r>
        <w:rPr>
          <w:bCs/>
          <w:iCs/>
        </w:rPr>
        <w:lastRenderedPageBreak/>
        <w:t xml:space="preserve">We summarize our discussions in this section in the following proposal. </w:t>
      </w:r>
    </w:p>
    <w:p w14:paraId="7BC503B7" w14:textId="1C36F486" w:rsidR="00073CE1" w:rsidRPr="00FD43BF" w:rsidRDefault="00C9188F" w:rsidP="00073CE1">
      <w:pPr>
        <w:rPr>
          <w:b/>
          <w:i/>
          <w:lang w:val="en-GB"/>
        </w:rPr>
      </w:pPr>
      <w:r w:rsidRPr="002B2F26">
        <w:rPr>
          <w:b/>
          <w:i/>
        </w:rPr>
        <w:t xml:space="preserve">Proposal </w:t>
      </w:r>
      <w:r w:rsidRPr="005D4033">
        <w:rPr>
          <w:b/>
          <w:i/>
        </w:rPr>
        <w:fldChar w:fldCharType="begin"/>
      </w:r>
      <w:r w:rsidRPr="00FD43BF">
        <w:rPr>
          <w:b/>
          <w:i/>
        </w:rPr>
        <w:instrText xml:space="preserve"> SEQ Proposal \* ARABIC </w:instrText>
      </w:r>
      <w:r w:rsidRPr="005D4033">
        <w:rPr>
          <w:b/>
          <w:i/>
        </w:rPr>
        <w:fldChar w:fldCharType="separate"/>
      </w:r>
      <w:r w:rsidR="00133448">
        <w:rPr>
          <w:b/>
          <w:i/>
          <w:noProof/>
        </w:rPr>
        <w:t>4</w:t>
      </w:r>
      <w:r w:rsidRPr="005D4033">
        <w:rPr>
          <w:b/>
          <w:i/>
        </w:rPr>
        <w:fldChar w:fldCharType="end"/>
      </w:r>
      <w:r w:rsidRPr="005D4033">
        <w:rPr>
          <w:b/>
          <w:i/>
        </w:rPr>
        <w:t xml:space="preserve">: </w:t>
      </w:r>
      <w:r w:rsidR="00073CE1" w:rsidRPr="00FD43BF">
        <w:rPr>
          <w:b/>
          <w:i/>
          <w:lang w:eastAsia="x-none"/>
        </w:rPr>
        <w:t>The RE pattern of Rel. 16 SRS resource is obtained by</w:t>
      </w:r>
      <w:r w:rsidR="00073CE1" w:rsidRPr="00FD43BF">
        <w:rPr>
          <w:b/>
          <w:i/>
          <w:lang w:val="en-GB"/>
        </w:rPr>
        <w:t xml:space="preserve"> calculating </w:t>
      </w:r>
      <w:r w:rsidR="00EC24F6" w:rsidRPr="00FD43BF">
        <w:rPr>
          <w:b/>
          <w:bCs/>
          <w:i/>
          <w:iCs/>
        </w:rPr>
        <w:t xml:space="preserve">the index of the lowest RE </w:t>
      </w:r>
      <w:r w:rsidR="005C75D3" w:rsidRPr="00FD43BF">
        <w:rPr>
          <w:b/>
          <w:bCs/>
          <w:i/>
          <w:iCs/>
        </w:rPr>
        <w:t xml:space="preserve">that contains SRS </w:t>
      </w:r>
      <w:r w:rsidR="00EC24F6" w:rsidRPr="00FD43BF">
        <w:rPr>
          <w:b/>
          <w:bCs/>
          <w:i/>
          <w:iCs/>
        </w:rPr>
        <w:t xml:space="preserve">within </w:t>
      </w:r>
      <w:r w:rsidR="0001407F" w:rsidRPr="00FD43BF">
        <w:rPr>
          <w:b/>
          <w:bCs/>
          <w:i/>
          <w:iCs/>
        </w:rPr>
        <w:t>the RB</w:t>
      </w:r>
      <w:r w:rsidR="00EC24F6" w:rsidRPr="002B2F26">
        <w:rPr>
          <w:b/>
          <w:i/>
          <w:lang w:val="en-GB"/>
        </w:rPr>
        <w:t xml:space="preserve"> </w:t>
      </w:r>
      <w:r w:rsidR="00593C4D" w:rsidRPr="002B2F26">
        <w:rPr>
          <w:b/>
          <w:i/>
          <w:lang w:val="en-GB"/>
        </w:rPr>
        <w:t xml:space="preserve">(symbol-specific RE offset) </w:t>
      </w:r>
      <w:r w:rsidR="005C75D3" w:rsidRPr="00FD43BF">
        <w:rPr>
          <w:b/>
          <w:i/>
          <w:lang w:val="en-GB"/>
        </w:rPr>
        <w:t>from</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8010"/>
        <w:gridCol w:w="672"/>
      </w:tblGrid>
      <w:tr w:rsidR="00073CE1" w:rsidRPr="00FD43BF" w14:paraId="5442F7FB" w14:textId="77777777" w:rsidTr="009A0289">
        <w:tc>
          <w:tcPr>
            <w:tcW w:w="625" w:type="dxa"/>
          </w:tcPr>
          <w:p w14:paraId="502C7AD7" w14:textId="77777777" w:rsidR="00073CE1" w:rsidRPr="00FD43BF" w:rsidRDefault="00073CE1" w:rsidP="009A0289">
            <w:pPr>
              <w:rPr>
                <w:b/>
                <w:bCs/>
                <w:i/>
                <w:iCs/>
              </w:rPr>
            </w:pPr>
          </w:p>
        </w:tc>
        <w:tc>
          <w:tcPr>
            <w:tcW w:w="8010" w:type="dxa"/>
          </w:tcPr>
          <w:p w14:paraId="55717195" w14:textId="107E3F21" w:rsidR="00073CE1" w:rsidRPr="002B2F26" w:rsidRDefault="008D7632" w:rsidP="009A0289">
            <w:pPr>
              <w:rPr>
                <w:b/>
                <w:bCs/>
                <w:i/>
                <w:iCs/>
              </w:rPr>
            </w:pPr>
            <m:oMathPara>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l</m:t>
                            </m:r>
                          </m:e>
                          <m:sup>
                            <m:r>
                              <m:rPr>
                                <m:sty m:val="bi"/>
                              </m:rPr>
                              <w:rPr>
                                <w:rFonts w:ascii="Cambria Math" w:hAnsi="Cambria Math"/>
                              </w:rPr>
                              <m:t>'</m:t>
                            </m:r>
                          </m:sup>
                        </m:sSup>
                      </m:e>
                    </m:d>
                  </m:sup>
                </m:sSubSup>
                <m:r>
                  <m:rPr>
                    <m:sty m:val="bi"/>
                  </m:rPr>
                  <w:rPr>
                    <w:rFonts w:ascii="Cambria Math" w:hAnsi="Cambria Math"/>
                  </w:rPr>
                  <m:t>=</m:t>
                </m:r>
                <m:d>
                  <m:dPr>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e>
                        </m:d>
                      </m:sup>
                    </m:sSubSup>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×G</m:t>
                            </m:r>
                          </m:num>
                          <m:den>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den>
                        </m:f>
                      </m:e>
                    </m:d>
                    <m:d>
                      <m:dPr>
                        <m:begChr m:val="⌊"/>
                        <m:endChr m:val="⌋"/>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l</m:t>
                                </m:r>
                              </m:e>
                              <m:sup>
                                <m:r>
                                  <m:rPr>
                                    <m:sty m:val="bi"/>
                                  </m:rPr>
                                  <w:rPr>
                                    <w:rFonts w:ascii="Cambria Math" w:hAnsi="Cambria Math"/>
                                  </w:rPr>
                                  <m:t>'</m:t>
                                </m:r>
                              </m:sup>
                            </m:sSup>
                          </m:num>
                          <m:den>
                            <m:r>
                              <m:rPr>
                                <m:sty m:val="bi"/>
                              </m:rPr>
                              <w:rPr>
                                <w:rFonts w:ascii="Cambria Math" w:hAnsi="Cambria Math"/>
                              </w:rPr>
                              <m:t>G</m:t>
                            </m:r>
                          </m:den>
                        </m:f>
                      </m:e>
                    </m:d>
                  </m:e>
                </m:d>
                <m:r>
                  <m:rPr>
                    <m:sty m:val="bi"/>
                  </m:rPr>
                  <w:rPr>
                    <w:rFonts w:ascii="Cambria Math" w:hAnsi="Cambria Math"/>
                  </w:rPr>
                  <m:t xml:space="preserve">mod </m:t>
                </m:r>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TC</m:t>
                    </m:r>
                  </m:sub>
                </m:sSub>
              </m:oMath>
            </m:oMathPara>
          </w:p>
        </w:tc>
        <w:tc>
          <w:tcPr>
            <w:tcW w:w="672" w:type="dxa"/>
          </w:tcPr>
          <w:p w14:paraId="7C1F350C" w14:textId="77777777" w:rsidR="00073CE1" w:rsidRPr="00FD43BF" w:rsidRDefault="00073CE1" w:rsidP="009A0289">
            <w:pPr>
              <w:rPr>
                <w:b/>
                <w:bCs/>
                <w:i/>
                <w:iCs/>
              </w:rPr>
            </w:pPr>
          </w:p>
        </w:tc>
      </w:tr>
    </w:tbl>
    <w:p w14:paraId="2830444F" w14:textId="11E0BC6B" w:rsidR="00073CE1" w:rsidRPr="002B2F26" w:rsidRDefault="00EC24F6" w:rsidP="00073CE1">
      <w:pPr>
        <w:rPr>
          <w:b/>
          <w:i/>
          <w:lang w:val="en-GB"/>
        </w:rPr>
      </w:pPr>
      <w:r w:rsidRPr="002B2F26">
        <w:rPr>
          <w:b/>
          <w:bCs/>
          <w:i/>
          <w:iCs/>
        </w:rPr>
        <w:t xml:space="preserve">for </w:t>
      </w:r>
      <m:oMath>
        <m:sSup>
          <m:sSupPr>
            <m:ctrlPr>
              <w:rPr>
                <w:rFonts w:ascii="Cambria Math" w:hAnsi="Cambria Math"/>
                <w:b/>
                <w:bCs/>
                <w:i/>
                <w:iCs/>
              </w:rPr>
            </m:ctrlPr>
          </m:sSupPr>
          <m:e>
            <m:r>
              <m:rPr>
                <m:sty m:val="bi"/>
              </m:rPr>
              <w:rPr>
                <w:rFonts w:ascii="Cambria Math" w:hAnsi="Cambria Math"/>
              </w:rPr>
              <m:t xml:space="preserve"> l</m:t>
            </m:r>
          </m:e>
          <m:sup>
            <m:r>
              <m:rPr>
                <m:sty m:val="bi"/>
              </m:rPr>
              <w:rPr>
                <w:rFonts w:ascii="Cambria Math" w:hAnsi="Cambria Math"/>
              </w:rPr>
              <m:t>'</m:t>
            </m:r>
          </m:sup>
        </m:sSup>
        <m:r>
          <m:rPr>
            <m:sty m:val="bi"/>
          </m:rPr>
          <w:rPr>
            <w:rFonts w:ascii="Cambria Math" w:hAnsi="Cambria Math" w:hint="eastAsia"/>
          </w:rPr>
          <m:t>∈</m:t>
        </m:r>
        <m:d>
          <m:dPr>
            <m:begChr m:val="{"/>
            <m:endChr m:val="}"/>
            <m:ctrlPr>
              <w:rPr>
                <w:rFonts w:ascii="Cambria Math" w:hAnsi="Cambria Math"/>
                <w:b/>
                <w:bCs/>
                <w:i/>
                <w:iCs/>
              </w:rPr>
            </m:ctrlPr>
          </m:dPr>
          <m:e>
            <m:r>
              <m:rPr>
                <m:sty m:val="bi"/>
              </m:rPr>
              <w:rPr>
                <w:rFonts w:ascii="Cambria Math" w:hAnsi="Cambria Math"/>
              </w:rPr>
              <m:t>0,…,</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 xml:space="preserve">-1 </m:t>
            </m:r>
          </m:e>
        </m:d>
        <m:r>
          <m:rPr>
            <m:sty m:val="bi"/>
          </m:rPr>
          <w:rPr>
            <w:rFonts w:ascii="Cambria Math" w:hAnsi="Cambria Math"/>
          </w:rPr>
          <m:t xml:space="preserve"> </m:t>
        </m:r>
      </m:oMath>
      <w:r w:rsidRPr="002B2F26">
        <w:rPr>
          <w:b/>
          <w:bCs/>
          <w:i/>
          <w:iCs/>
        </w:rPr>
        <w:t xml:space="preserve">and antenna port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oMath>
      <w:r w:rsidRPr="002B2F26">
        <w:rPr>
          <w:b/>
          <w:i/>
          <w:lang w:val="en-GB"/>
        </w:rPr>
        <w:t xml:space="preserve"> </w:t>
      </w:r>
      <w:r w:rsidR="00073CE1" w:rsidRPr="002B2F26">
        <w:rPr>
          <w:b/>
          <w:i/>
          <w:lang w:val="en-GB"/>
        </w:rPr>
        <w:t>where</w:t>
      </w:r>
    </w:p>
    <w:p w14:paraId="04312EE9" w14:textId="66AF90D9" w:rsidR="00073CE1" w:rsidRPr="00FD43BF" w:rsidRDefault="008D7632" w:rsidP="000E34F3">
      <w:pPr>
        <w:pStyle w:val="af"/>
        <w:numPr>
          <w:ilvl w:val="0"/>
          <w:numId w:val="55"/>
        </w:numPr>
        <w:ind w:leftChars="0"/>
        <w:rPr>
          <w:b/>
          <w:i/>
        </w:rPr>
      </w:pPr>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e>
            </m:d>
          </m:sup>
        </m:sSubSup>
      </m:oMath>
      <w:r w:rsidR="00073CE1" w:rsidRPr="00FD43BF">
        <w:rPr>
          <w:b/>
          <w:bCs/>
          <w:i/>
          <w:iCs/>
        </w:rPr>
        <w:t xml:space="preserve"> is </w:t>
      </w:r>
      <w:r w:rsidR="00593C4D" w:rsidRPr="00FD43BF">
        <w:rPr>
          <w:b/>
          <w:bCs/>
          <w:i/>
          <w:iCs/>
        </w:rPr>
        <w:t xml:space="preserve">the Rel. 15 common RE offset of all SRS resource symbols given in </w:t>
      </w:r>
      <w:r w:rsidR="00073CE1" w:rsidRPr="00FD43BF">
        <w:rPr>
          <w:b/>
          <w:i/>
        </w:rPr>
        <w:t xml:space="preserve"> </w:t>
      </w:r>
      <w:r w:rsidR="009D409F" w:rsidRPr="00FD43BF">
        <w:rPr>
          <w:b/>
          <w:i/>
        </w:rPr>
        <w:t>Clause 6.4.1.4.3 of 38.211</w:t>
      </w:r>
      <w:r w:rsidR="00073CE1" w:rsidRPr="00FD43BF">
        <w:rPr>
          <w:b/>
          <w:i/>
        </w:rPr>
        <w:t xml:space="preserve"> </w:t>
      </w:r>
    </w:p>
    <w:p w14:paraId="6DE15731" w14:textId="75BC6DC4" w:rsidR="00073CE1" w:rsidRPr="00FD43BF" w:rsidRDefault="008D7632" w:rsidP="00073CE1">
      <w:pPr>
        <w:pStyle w:val="af"/>
        <w:numPr>
          <w:ilvl w:val="0"/>
          <w:numId w:val="55"/>
        </w:numPr>
        <w:ind w:leftChars="0"/>
        <w:rPr>
          <w:b/>
          <w:i/>
        </w:rPr>
      </w:pPr>
      <m:oMath>
        <m:d>
          <m:dPr>
            <m:begChr m:val="⌈"/>
            <m:endChr m:val="⌉"/>
            <m:ctrlPr>
              <w:rPr>
                <w:rFonts w:ascii="Cambria Math" w:hAnsi="Cambria Math"/>
                <w:b/>
                <w:i/>
              </w:rPr>
            </m:ctrlPr>
          </m:dPr>
          <m:e>
            <m:r>
              <m:rPr>
                <m:sty m:val="bi"/>
              </m:rPr>
              <w:rPr>
                <w:rFonts w:ascii="Cambria Math" w:hAnsi="Cambria Math"/>
              </w:rPr>
              <m:t>x</m:t>
            </m:r>
          </m:e>
        </m:d>
      </m:oMath>
      <w:r w:rsidR="00073CE1" w:rsidRPr="00FD43BF">
        <w:rPr>
          <w:b/>
          <w:i/>
        </w:rPr>
        <w:t xml:space="preserve"> and </w:t>
      </w:r>
      <m:oMath>
        <m:d>
          <m:dPr>
            <m:begChr m:val="⌊"/>
            <m:endChr m:val="⌋"/>
            <m:ctrlPr>
              <w:rPr>
                <w:rFonts w:ascii="Cambria Math" w:hAnsi="Cambria Math"/>
                <w:b/>
                <w:i/>
              </w:rPr>
            </m:ctrlPr>
          </m:dPr>
          <m:e>
            <m:r>
              <m:rPr>
                <m:sty m:val="bi"/>
              </m:rPr>
              <w:rPr>
                <w:rFonts w:ascii="Cambria Math" w:hAnsi="Cambria Math"/>
              </w:rPr>
              <m:t>x</m:t>
            </m:r>
          </m:e>
        </m:d>
      </m:oMath>
      <w:r w:rsidR="00073CE1" w:rsidRPr="00FD43BF">
        <w:rPr>
          <w:b/>
          <w:i/>
        </w:rPr>
        <w:t xml:space="preserve"> denote the smallest integer larger than or equal to </w:t>
      </w:r>
      <m:oMath>
        <m:r>
          <m:rPr>
            <m:sty m:val="bi"/>
          </m:rPr>
          <w:rPr>
            <w:rFonts w:ascii="Cambria Math" w:hAnsi="Cambria Math"/>
          </w:rPr>
          <m:t>x</m:t>
        </m:r>
      </m:oMath>
      <w:r w:rsidR="00073CE1" w:rsidRPr="00FD43BF">
        <w:rPr>
          <w:b/>
          <w:i/>
        </w:rPr>
        <w:t xml:space="preserve"> and the largest integer smaller than or equal to </w:t>
      </w:r>
      <m:oMath>
        <m:r>
          <m:rPr>
            <m:sty m:val="bi"/>
          </m:rPr>
          <w:rPr>
            <w:rFonts w:ascii="Cambria Math" w:hAnsi="Cambria Math"/>
          </w:rPr>
          <m:t>x</m:t>
        </m:r>
      </m:oMath>
      <w:r w:rsidR="00073CE1" w:rsidRPr="00FD43BF">
        <w:rPr>
          <w:b/>
          <w:i/>
        </w:rPr>
        <w:t>, respectively;</w:t>
      </w:r>
    </w:p>
    <w:p w14:paraId="78DAD5A1" w14:textId="603914B5" w:rsidR="00073CE1" w:rsidRPr="00FD43BF" w:rsidRDefault="000E34F3" w:rsidP="00073CE1">
      <w:pPr>
        <w:pStyle w:val="af"/>
        <w:numPr>
          <w:ilvl w:val="0"/>
          <w:numId w:val="55"/>
        </w:numPr>
        <w:ind w:leftChars="0"/>
        <w:rPr>
          <w:b/>
          <w:i/>
        </w:rPr>
      </w:pPr>
      <m:oMath>
        <m:r>
          <m:rPr>
            <m:sty m:val="bi"/>
          </m:rPr>
          <w:rPr>
            <w:rFonts w:ascii="Cambria Math" w:hAnsi="Cambria Math"/>
          </w:rPr>
          <m:t xml:space="preserve">G </m:t>
        </m:r>
      </m:oMath>
      <w:r w:rsidR="00073CE1" w:rsidRPr="00FD43BF">
        <w:rPr>
          <w:b/>
          <w:i/>
        </w:rPr>
        <w:t xml:space="preserve"> </w:t>
      </w:r>
      <m:oMath>
        <m:r>
          <m:rPr>
            <m:sty m:val="bi"/>
          </m:rPr>
          <w:rPr>
            <w:rFonts w:ascii="Cambria Math" w:hAnsi="Cambria Math"/>
          </w:rPr>
          <m:t>(1≤G≤</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m:t>
        </m:r>
      </m:oMath>
      <w:r w:rsidR="00073CE1" w:rsidRPr="00FD43BF">
        <w:rPr>
          <w:b/>
          <w:i/>
        </w:rPr>
        <w:t xml:space="preserve"> is </w:t>
      </w:r>
      <w:r w:rsidR="001A3FD0">
        <w:rPr>
          <w:b/>
          <w:i/>
        </w:rPr>
        <w:t xml:space="preserve">the </w:t>
      </w:r>
      <w:r w:rsidR="00073CE1" w:rsidRPr="00FD43BF">
        <w:rPr>
          <w:b/>
          <w:i/>
        </w:rPr>
        <w:t>configurable number of consecutive SRS symbols with the same RE offset</w:t>
      </w:r>
    </w:p>
    <w:p w14:paraId="7E4271CD" w14:textId="77777777" w:rsidR="00073CE1" w:rsidRDefault="00073CE1" w:rsidP="00073CE1">
      <w:pPr>
        <w:rPr>
          <w:b/>
          <w:i/>
        </w:rPr>
      </w:pPr>
      <w:r w:rsidRPr="00FD43BF">
        <w:rPr>
          <w:b/>
          <w:i/>
        </w:rPr>
        <w:t>N</w:t>
      </w:r>
      <w:r w:rsidRPr="00FD43BF">
        <w:rPr>
          <w:b/>
          <w:bCs/>
          <w:i/>
          <w:iCs/>
        </w:rPr>
        <w:t xml:space="preserve">o other changes in the SRS resource mapping formulas in </w:t>
      </w:r>
      <w:r w:rsidRPr="00FD43BF">
        <w:rPr>
          <w:b/>
          <w:i/>
        </w:rPr>
        <w:t>Clause 6.4.1.4.3 of 38.211 is supported.</w:t>
      </w:r>
    </w:p>
    <w:p w14:paraId="6F6ABECF" w14:textId="77777777" w:rsidR="008757CA" w:rsidRPr="00DC04FA" w:rsidRDefault="008757CA" w:rsidP="00073CE1"/>
    <w:p w14:paraId="1CADE61E" w14:textId="136A4F94" w:rsidR="00FA30B3" w:rsidRPr="00FD3608" w:rsidRDefault="00085D54" w:rsidP="00FA30B3">
      <w:pPr>
        <w:pStyle w:val="2"/>
      </w:pPr>
      <w:r>
        <w:t>C</w:t>
      </w:r>
      <w:r w:rsidR="00FA30B3" w:rsidRPr="000F6DD2">
        <w:t>yclic shift</w:t>
      </w:r>
      <w:r>
        <w:t xml:space="preserve"> configuration </w:t>
      </w:r>
    </w:p>
    <w:tbl>
      <w:tblPr>
        <w:tblStyle w:val="ac"/>
        <w:tblW w:w="0" w:type="auto"/>
        <w:tblLook w:val="04A0" w:firstRow="1" w:lastRow="0" w:firstColumn="1" w:lastColumn="0" w:noHBand="0" w:noVBand="1"/>
      </w:tblPr>
      <w:tblGrid>
        <w:gridCol w:w="9307"/>
      </w:tblGrid>
      <w:tr w:rsidR="000B3643" w14:paraId="5FC6E4BF" w14:textId="77777777" w:rsidTr="000B3643">
        <w:tc>
          <w:tcPr>
            <w:tcW w:w="9307" w:type="dxa"/>
          </w:tcPr>
          <w:p w14:paraId="468E7601" w14:textId="4293F034" w:rsidR="000B3643" w:rsidRDefault="00CD697C" w:rsidP="000B3643">
            <w:r w:rsidRPr="00CD697C">
              <w:rPr>
                <w:b/>
                <w:u w:val="single"/>
              </w:rPr>
              <w:t xml:space="preserve">Agreement </w:t>
            </w:r>
            <w:r w:rsidR="00B03B1A">
              <w:rPr>
                <w:b/>
                <w:u w:val="single"/>
              </w:rPr>
              <w:fldChar w:fldCharType="begin"/>
            </w:r>
            <w:r w:rsidR="00B03B1A">
              <w:rPr>
                <w:b/>
                <w:u w:val="single"/>
              </w:rPr>
              <w:instrText xml:space="preserve"> REF _Ref16354773 \r \h </w:instrText>
            </w:r>
            <w:r w:rsidR="00B03B1A">
              <w:rPr>
                <w:b/>
                <w:u w:val="single"/>
              </w:rPr>
            </w:r>
            <w:r w:rsidR="00B03B1A">
              <w:rPr>
                <w:b/>
                <w:u w:val="single"/>
              </w:rPr>
              <w:fldChar w:fldCharType="separate"/>
            </w:r>
            <w:r w:rsidR="00133448">
              <w:rPr>
                <w:b/>
                <w:u w:val="single"/>
              </w:rPr>
              <w:t>[2]</w:t>
            </w:r>
            <w:r w:rsidR="00B03B1A">
              <w:rPr>
                <w:b/>
                <w:u w:val="single"/>
              </w:rPr>
              <w:fldChar w:fldCharType="end"/>
            </w:r>
            <w:r w:rsidRPr="00CD697C">
              <w:rPr>
                <w:b/>
                <w:u w:val="single"/>
              </w:rPr>
              <w:t>:</w:t>
            </w:r>
          </w:p>
          <w:p w14:paraId="6251CF11" w14:textId="77777777" w:rsidR="000B3643" w:rsidRDefault="000B3643" w:rsidP="000B3643">
            <w:r>
              <w:t>For positioning, the SRS comb size set is extended from {2,4} to {2,4,8}</w:t>
            </w:r>
          </w:p>
          <w:p w14:paraId="77819CAF" w14:textId="77777777" w:rsidR="000B3643" w:rsidRDefault="000B3643" w:rsidP="000B3643">
            <w:pPr>
              <w:numPr>
                <w:ilvl w:val="0"/>
                <w:numId w:val="17"/>
              </w:numPr>
              <w:autoSpaceDE/>
              <w:autoSpaceDN/>
              <w:adjustRightInd/>
              <w:snapToGrid/>
              <w:spacing w:after="0"/>
              <w:jc w:val="left"/>
            </w:pPr>
            <w:r>
              <w:t>FFS: Additional comb sizes: 1, 6, 12</w:t>
            </w:r>
          </w:p>
          <w:p w14:paraId="4264D9CA" w14:textId="77777777" w:rsidR="000B3643" w:rsidRDefault="000B3643" w:rsidP="000B3643">
            <w:pPr>
              <w:numPr>
                <w:ilvl w:val="1"/>
                <w:numId w:val="17"/>
              </w:numPr>
              <w:autoSpaceDE/>
              <w:autoSpaceDN/>
              <w:adjustRightInd/>
              <w:snapToGrid/>
              <w:spacing w:after="0"/>
              <w:jc w:val="left"/>
            </w:pPr>
            <w:r>
              <w:t>Note: For the comb sizes of 6 and 12, the number of PRBs may be restricted if currently defined sequences are to be used</w:t>
            </w:r>
          </w:p>
          <w:p w14:paraId="21CF5FE5" w14:textId="77777777" w:rsidR="000B3643" w:rsidRDefault="000B3643" w:rsidP="000B3643">
            <w:pPr>
              <w:numPr>
                <w:ilvl w:val="0"/>
                <w:numId w:val="17"/>
              </w:numPr>
              <w:autoSpaceDE/>
              <w:autoSpaceDN/>
              <w:adjustRightInd/>
              <w:snapToGrid/>
              <w:spacing w:after="0"/>
              <w:jc w:val="left"/>
            </w:pPr>
            <w:r>
              <w:t>FFS: Maximum number of cyclic shifts for the different comb sizes (cyclic shifts for comb sizes of 2 and 4 already exist in Rel-15)</w:t>
            </w:r>
          </w:p>
          <w:p w14:paraId="0F0895BA" w14:textId="66CC7784" w:rsidR="009E7ECB" w:rsidRPr="0093057A" w:rsidRDefault="009E7ECB" w:rsidP="009E7ECB">
            <w:pPr>
              <w:rPr>
                <w:u w:val="single"/>
                <w:lang w:eastAsia="x-none"/>
              </w:rPr>
            </w:pPr>
            <w:r w:rsidRPr="00D96EA3">
              <w:rPr>
                <w:b/>
                <w:u w:val="single"/>
                <w:lang w:eastAsia="x-none"/>
              </w:rPr>
              <w:t>Conclusion</w:t>
            </w:r>
            <w:r>
              <w:rPr>
                <w:b/>
                <w:u w:val="single"/>
                <w:lang w:eastAsia="x-none"/>
              </w:rPr>
              <w:t xml:space="preserve"> </w:t>
            </w:r>
            <w:r>
              <w:rPr>
                <w:b/>
                <w:u w:val="single"/>
                <w:lang w:eastAsia="x-none"/>
              </w:rPr>
              <w:fldChar w:fldCharType="begin"/>
            </w:r>
            <w:r>
              <w:rPr>
                <w:b/>
                <w:u w:val="single"/>
                <w:lang w:eastAsia="x-none"/>
              </w:rPr>
              <w:instrText xml:space="preserve"> REF _Ref19525676 \r \h </w:instrText>
            </w:r>
            <w:r>
              <w:rPr>
                <w:b/>
                <w:u w:val="single"/>
                <w:lang w:eastAsia="x-none"/>
              </w:rPr>
            </w:r>
            <w:r>
              <w:rPr>
                <w:b/>
                <w:u w:val="single"/>
                <w:lang w:eastAsia="x-none"/>
              </w:rPr>
              <w:fldChar w:fldCharType="separate"/>
            </w:r>
            <w:r w:rsidR="00133448">
              <w:rPr>
                <w:b/>
                <w:u w:val="single"/>
                <w:lang w:eastAsia="x-none"/>
              </w:rPr>
              <w:t>[9]</w:t>
            </w:r>
            <w:r>
              <w:rPr>
                <w:b/>
                <w:u w:val="single"/>
                <w:lang w:eastAsia="x-none"/>
              </w:rPr>
              <w:fldChar w:fldCharType="end"/>
            </w:r>
            <w:r w:rsidRPr="0093057A">
              <w:rPr>
                <w:u w:val="single"/>
                <w:lang w:eastAsia="x-none"/>
              </w:rPr>
              <w:t>:</w:t>
            </w:r>
          </w:p>
          <w:p w14:paraId="5764C0A2" w14:textId="77777777" w:rsidR="009E7ECB" w:rsidRDefault="009E7ECB" w:rsidP="009E7ECB">
            <w:pPr>
              <w:rPr>
                <w:lang w:eastAsia="x-none"/>
              </w:rPr>
            </w:pPr>
            <w:r w:rsidRPr="00CE382F">
              <w:rPr>
                <w:lang w:eastAsia="x-none"/>
              </w:rPr>
              <w:t xml:space="preserve">No additional comb sizes </w:t>
            </w:r>
            <w:r>
              <w:rPr>
                <w:lang w:eastAsia="x-none"/>
              </w:rPr>
              <w:t xml:space="preserve">for SRS for positioning purposes will be </w:t>
            </w:r>
            <w:r w:rsidRPr="00CE382F">
              <w:rPr>
                <w:lang w:eastAsia="x-none"/>
              </w:rPr>
              <w:t>introduced in Rel</w:t>
            </w:r>
            <w:r>
              <w:rPr>
                <w:lang w:eastAsia="x-none"/>
              </w:rPr>
              <w:t>-</w:t>
            </w:r>
            <w:r w:rsidRPr="00CE382F">
              <w:rPr>
                <w:lang w:eastAsia="x-none"/>
              </w:rPr>
              <w:t>16</w:t>
            </w:r>
            <w:r>
              <w:rPr>
                <w:lang w:eastAsia="x-none"/>
              </w:rPr>
              <w:t xml:space="preserve"> beyond those already agreed.</w:t>
            </w:r>
          </w:p>
          <w:p w14:paraId="6A4E7AB8" w14:textId="5B2A927C" w:rsidR="00B03B1A" w:rsidRDefault="00B03B1A" w:rsidP="00D96EA3">
            <w:pPr>
              <w:autoSpaceDE/>
              <w:autoSpaceDN/>
              <w:adjustRightInd/>
              <w:snapToGrid/>
              <w:spacing w:after="0"/>
              <w:ind w:left="360"/>
              <w:jc w:val="left"/>
            </w:pPr>
          </w:p>
        </w:tc>
      </w:tr>
    </w:tbl>
    <w:p w14:paraId="20544710" w14:textId="77777777" w:rsidR="00FA30B3" w:rsidRDefault="00FA30B3" w:rsidP="00FA30B3"/>
    <w:p w14:paraId="50422428" w14:textId="3A2BAF0E" w:rsidR="00205E9A" w:rsidRDefault="00205E9A" w:rsidP="008A36AC">
      <w:pPr>
        <w:pStyle w:val="3"/>
      </w:pPr>
      <w:r>
        <w:t>Cyclic shift for comb-8</w:t>
      </w:r>
    </w:p>
    <w:p w14:paraId="4B6FDC78" w14:textId="4072D4BB" w:rsidR="00F6467E" w:rsidRDefault="00C160B5" w:rsidP="00FA30B3">
      <w:r>
        <w:t xml:space="preserve">Cyclic shifts are used to </w:t>
      </w:r>
      <w:r w:rsidR="006F7730">
        <w:t>facilitate</w:t>
      </w:r>
      <w:r>
        <w:t xml:space="preserve"> assigning time-delayed versions of the same SRS sequences to different ports and/or users on the same time-frequency resources</w:t>
      </w:r>
      <w:r w:rsidR="006F7730">
        <w:t>; effectively increasing the SRS capacity</w:t>
      </w:r>
      <w:r>
        <w:t xml:space="preserve">. Maximum number of </w:t>
      </w:r>
      <w:r w:rsidR="00AF2D62">
        <w:t xml:space="preserve">the </w:t>
      </w:r>
      <w:r>
        <w:t xml:space="preserve">available cyclic shifts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r>
          <w:rPr>
            <w:rFonts w:ascii="Cambria Math" w:hAnsi="Cambria Math"/>
          </w:rPr>
          <m:t xml:space="preserve"> </m:t>
        </m:r>
      </m:oMath>
      <w:r>
        <w:t xml:space="preserve">should </w:t>
      </w:r>
      <w:r w:rsidR="006F7730">
        <w:t xml:space="preserve">be </w:t>
      </w:r>
      <w:r w:rsidR="005E08AF">
        <w:t>determined</w:t>
      </w:r>
      <w:r w:rsidR="006F7730">
        <w:t xml:space="preserve"> so that </w:t>
      </w:r>
      <w:r w:rsidR="003E0F84">
        <w:t xml:space="preserve">when two UEs send two different cyclically-shifted versions of the same SRS sequence, </w:t>
      </w:r>
      <w:r w:rsidR="004F61F2">
        <w:t>they</w:t>
      </w:r>
      <w:r w:rsidR="003E0F84">
        <w:t xml:space="preserve"> are distinctly received at a common target receiver. </w:t>
      </w:r>
      <w:r w:rsidR="001F28BE">
        <w:t>To guarantee that the above condition is satisfied</w:t>
      </w:r>
      <w:r w:rsidR="00F6467E">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rsidR="00F6467E">
        <w:t xml:space="preserve">should be upper-bounded by </w:t>
      </w:r>
      <m:oMath>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hAnsi="Cambria Math"/>
                  </w:rPr>
                  <m:t>.∆f.</m:t>
                </m:r>
                <m:sSub>
                  <m:sSubPr>
                    <m:ctrlPr>
                      <w:rPr>
                        <w:rFonts w:ascii="Cambria Math" w:hAnsi="Cambria Math"/>
                        <w:i/>
                      </w:rPr>
                    </m:ctrlPr>
                  </m:sSubPr>
                  <m:e>
                    <m:r>
                      <w:rPr>
                        <w:rFonts w:ascii="Cambria Math" w:hAnsi="Cambria Math"/>
                      </w:rPr>
                      <m:t>H</m:t>
                    </m:r>
                  </m:e>
                  <m:sub>
                    <m:r>
                      <m:rPr>
                        <m:sty m:val="p"/>
                      </m:rPr>
                      <w:rPr>
                        <w:rFonts w:ascii="Cambria Math" w:hAnsi="Cambria Math"/>
                      </w:rPr>
                      <m:t>max</m:t>
                    </m:r>
                  </m:sub>
                </m:sSub>
              </m:e>
            </m:d>
          </m:e>
          <m:sup>
            <m:r>
              <w:rPr>
                <w:rFonts w:ascii="Cambria Math" w:hAnsi="Cambria Math"/>
              </w:rPr>
              <m:t>-1</m:t>
            </m:r>
          </m:sup>
        </m:sSup>
      </m:oMath>
      <w:r w:rsidR="009C1444">
        <w:t xml:space="preserve"> where </w:t>
      </w:r>
      <m:oMath>
        <m:sSub>
          <m:sSubPr>
            <m:ctrlPr>
              <w:rPr>
                <w:rFonts w:ascii="Cambria Math" w:hAnsi="Cambria Math"/>
                <w:i/>
              </w:rPr>
            </m:ctrlPr>
          </m:sSubPr>
          <m:e>
            <m:r>
              <w:rPr>
                <w:rFonts w:ascii="Cambria Math" w:hAnsi="Cambria Math"/>
              </w:rPr>
              <m:t>K</m:t>
            </m:r>
          </m:e>
          <m:sub>
            <m:r>
              <w:rPr>
                <w:rFonts w:ascii="Cambria Math" w:hAnsi="Cambria Math"/>
              </w:rPr>
              <m:t>TC</m:t>
            </m:r>
          </m:sub>
        </m:sSub>
      </m:oMath>
      <w:r w:rsidR="009C1444">
        <w:t xml:space="preserve"> is the transmission comb</w:t>
      </w:r>
      <w:r w:rsidR="004F61F2">
        <w:t xml:space="preserve"> </w:t>
      </w:r>
      <w:r w:rsidR="00AF2D62">
        <w:t>number</w:t>
      </w:r>
      <w:r w:rsidR="009C1444">
        <w:t xml:space="preserve">, </w:t>
      </w:r>
      <m:oMath>
        <m:r>
          <w:rPr>
            <w:rFonts w:ascii="Cambria Math" w:hAnsi="Cambria Math"/>
          </w:rPr>
          <m:t xml:space="preserve">∆f </m:t>
        </m:r>
      </m:oMath>
      <w:r w:rsidR="001F28BE">
        <w:t xml:space="preserve"> is </w:t>
      </w:r>
      <w:r w:rsidR="001165BA">
        <w:t xml:space="preserve">the </w:t>
      </w:r>
      <w:r w:rsidR="009C1444">
        <w:t xml:space="preserve">sub-carrier spacing of SRS, and </w:t>
      </w:r>
      <m:oMath>
        <m:sSub>
          <m:sSubPr>
            <m:ctrlPr>
              <w:rPr>
                <w:rFonts w:ascii="Cambria Math" w:hAnsi="Cambria Math"/>
                <w:i/>
              </w:rPr>
            </m:ctrlPr>
          </m:sSubPr>
          <m:e>
            <m:r>
              <w:rPr>
                <w:rFonts w:ascii="Cambria Math" w:hAnsi="Cambria Math"/>
              </w:rPr>
              <m:t>H</m:t>
            </m:r>
          </m:e>
          <m:sub>
            <m:r>
              <m:rPr>
                <m:sty m:val="p"/>
              </m:rPr>
              <w:rPr>
                <w:rFonts w:ascii="Cambria Math" w:hAnsi="Cambria Math"/>
              </w:rPr>
              <m:t>max</m:t>
            </m:r>
          </m:sub>
        </m:sSub>
      </m:oMath>
      <w:r w:rsidR="001F28BE">
        <w:t xml:space="preserve"> is the maximum delay of the channel</w:t>
      </w:r>
      <w:r w:rsidR="001165BA">
        <w:t xml:space="preserve"> (including the propagation delay) experienced by either of the two UEs</w:t>
      </w:r>
      <w:r w:rsidR="001F28BE">
        <w:t xml:space="preserve">. </w:t>
      </w:r>
    </w:p>
    <w:p w14:paraId="2DAD5817" w14:textId="1057DB9C" w:rsidR="001F1136" w:rsidRDefault="001F1136" w:rsidP="00FA30B3">
      <w:r>
        <w:t xml:space="preserve">In RAN1 97,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hAnsi="Cambria Math"/>
          </w:rPr>
          <m:t>=8</m:t>
        </m:r>
      </m:oMath>
      <w:r>
        <w:t xml:space="preserve"> has been agreed for positioning purposes</w:t>
      </w:r>
      <w:r w:rsidR="0035140A">
        <w:t xml:space="preserve"> in addition to the Rel. 15 values of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t xml:space="preserve">. </w:t>
      </w:r>
      <w:r w:rsidR="007720D2">
        <w:t xml:space="preserve">Note </w:t>
      </w:r>
      <w:r w:rsidR="0035140A">
        <w:t xml:space="preserve">also </w:t>
      </w:r>
      <w:r w:rsidR="007720D2">
        <w:t>that</w:t>
      </w:r>
      <w:r w:rsidR="0035140A">
        <w:t>,</w:t>
      </w:r>
      <w:r w:rsidR="007720D2">
        <w:t xml:space="preserve"> </w:t>
      </w:r>
      <w:r w:rsidR="00630F07">
        <w:t>in contrary to Rel</w:t>
      </w:r>
      <w:r w:rsidR="0035140A">
        <w:t>.</w:t>
      </w:r>
      <w:r w:rsidR="00630F07">
        <w:t xml:space="preserve"> </w:t>
      </w:r>
      <w:r w:rsidR="0035140A">
        <w:t>15 usages,</w:t>
      </w:r>
      <w:r w:rsidR="007720D2">
        <w:t xml:space="preserve"> </w:t>
      </w:r>
      <w:r w:rsidR="0035140A">
        <w:t xml:space="preserve">SRS for positioning may need to be detected at neighboring cells whose distance to the UE </w:t>
      </w:r>
      <w:r w:rsidR="002406F6">
        <w:t>are</w:t>
      </w:r>
      <w:r w:rsidR="0035140A">
        <w:t xml:space="preserve"> typically far larger than that of the serving cell to the UE. </w:t>
      </w:r>
      <w:r w:rsidR="008471AF">
        <w:t xml:space="preserve">The combined effects of a longer maximum delay spread of the channel </w:t>
      </w:r>
      <m:oMath>
        <m:sSub>
          <m:sSubPr>
            <m:ctrlPr>
              <w:rPr>
                <w:rFonts w:ascii="Cambria Math" w:hAnsi="Cambria Math"/>
                <w:i/>
              </w:rPr>
            </m:ctrlPr>
          </m:sSubPr>
          <m:e>
            <m:r>
              <w:rPr>
                <w:rFonts w:ascii="Cambria Math" w:hAnsi="Cambria Math"/>
              </w:rPr>
              <m:t>H</m:t>
            </m:r>
          </m:e>
          <m:sub>
            <m:r>
              <m:rPr>
                <m:sty m:val="p"/>
              </m:rPr>
              <w:rPr>
                <w:rFonts w:ascii="Cambria Math" w:hAnsi="Cambria Math"/>
              </w:rPr>
              <m:t>max</m:t>
            </m:r>
          </m:sub>
        </m:sSub>
      </m:oMath>
      <w:r w:rsidR="008471AF">
        <w:t xml:space="preserve"> </w:t>
      </w:r>
      <w:r w:rsidR="004F61F2">
        <w:t xml:space="preserve">and </w:t>
      </w:r>
      <w:r w:rsidR="008471AF">
        <w:t xml:space="preserve">a larger </w:t>
      </w:r>
      <w:r w:rsidR="0035140A">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oMath>
      <w:r w:rsidR="008471AF">
        <w:t xml:space="preserve"> </w:t>
      </w:r>
      <w:r w:rsidR="009D275F">
        <w:t xml:space="preserve">negatively </w:t>
      </w:r>
      <w:r w:rsidR="008471AF">
        <w:t xml:space="preserve">impacts the maximum number of available cyclic shifts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rsidR="008471AF">
        <w:t xml:space="preserve">. </w:t>
      </w:r>
      <w:r w:rsidR="00630F07">
        <w:t>While system-level simulations may need to be carrie</w:t>
      </w:r>
      <w:r w:rsidR="004F2A32">
        <w:t>d</w:t>
      </w:r>
      <w:r w:rsidR="00630F07">
        <w:t xml:space="preserve"> out to determine</w:t>
      </w:r>
      <w:r w:rsidR="008471AF">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rsidR="008471AF">
        <w:t xml:space="preserve"> </w:t>
      </w:r>
      <w:r w:rsidR="00630F07">
        <w:t xml:space="preserve">for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hAnsi="Cambria Math"/>
          </w:rPr>
          <m:t>=8</m:t>
        </m:r>
      </m:oMath>
      <w:r w:rsidR="00630F07">
        <w:t xml:space="preserve"> used in positioning, </w:t>
      </w:r>
      <w:r w:rsidR="004F2A32">
        <w:t xml:space="preserve">considering the fact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r>
          <w:rPr>
            <w:rFonts w:ascii="Cambria Math" w:hAnsi="Cambria Math"/>
          </w:rPr>
          <m:t>=12</m:t>
        </m:r>
      </m:oMath>
      <w:r w:rsidR="004F2A32">
        <w:t xml:space="preserve"> for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hAnsi="Cambria Math"/>
          </w:rPr>
          <m:t>=4</m:t>
        </m:r>
      </m:oMath>
      <w:r w:rsidR="004F2A32">
        <w:t xml:space="preserve">, </w:t>
      </w:r>
      <w:r w:rsidR="008A07C7">
        <w:t>it seems that</w:t>
      </w:r>
      <w:r w:rsidR="004F2A3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r>
          <w:rPr>
            <w:rFonts w:ascii="Cambria Math" w:hAnsi="Cambria Math"/>
          </w:rPr>
          <m:t>=6</m:t>
        </m:r>
      </m:oMath>
      <w:r w:rsidR="004F2A32">
        <w:t xml:space="preserve"> for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hAnsi="Cambria Math"/>
          </w:rPr>
          <m:t>=8</m:t>
        </m:r>
      </m:oMath>
      <w:r w:rsidR="004F2A32">
        <w:t xml:space="preserve"> </w:t>
      </w:r>
      <w:r w:rsidR="008A07C7">
        <w:t>would</w:t>
      </w:r>
      <w:r w:rsidR="006579A8">
        <w:t xml:space="preserve"> be </w:t>
      </w:r>
      <w:r w:rsidR="008A07C7">
        <w:t xml:space="preserve">a </w:t>
      </w:r>
      <w:r w:rsidR="006579A8">
        <w:t>reasonable</w:t>
      </w:r>
      <w:r w:rsidR="008A07C7">
        <w:t xml:space="preserve"> value</w:t>
      </w:r>
      <w:r w:rsidR="004F2A32">
        <w:t xml:space="preserve">. </w:t>
      </w:r>
    </w:p>
    <w:p w14:paraId="591D379D" w14:textId="6DFE3A20" w:rsidR="00C547AC" w:rsidRDefault="00C9188F" w:rsidP="00FA30B3">
      <w:pPr>
        <w:rPr>
          <w:rFonts w:eastAsia="Times New Roman"/>
          <w:b/>
          <w:i/>
          <w:lang w:val="en-GB"/>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5</w:t>
      </w:r>
      <w:r w:rsidRPr="006C5C3B">
        <w:rPr>
          <w:b/>
          <w:i/>
        </w:rPr>
        <w:fldChar w:fldCharType="end"/>
      </w:r>
      <w:r w:rsidRPr="006C5C3B">
        <w:rPr>
          <w:b/>
          <w:i/>
        </w:rPr>
        <w:t>:</w:t>
      </w:r>
      <w:r w:rsidRPr="000C40D9">
        <w:rPr>
          <w:b/>
          <w:i/>
        </w:rPr>
        <w:t xml:space="preserve"> </w:t>
      </w:r>
      <w:r w:rsidR="004B6426" w:rsidRPr="006858F9">
        <w:rPr>
          <w:b/>
          <w:i/>
        </w:rPr>
        <w:t>Support</w:t>
      </w:r>
      <w:r w:rsidR="006858F9" w:rsidRPr="006858F9">
        <w:rPr>
          <w:b/>
          <w:i/>
        </w:rPr>
        <w:t xml:space="preserve"> </w:t>
      </w:r>
      <w:r w:rsidR="008A07C7">
        <w:rPr>
          <w:b/>
          <w:i/>
        </w:rPr>
        <w:t xml:space="preserve">the </w:t>
      </w:r>
      <w:r w:rsidR="006858F9" w:rsidRPr="006858F9">
        <w:rPr>
          <w:b/>
          <w:i/>
        </w:rPr>
        <w:t>maximum number of cyclic shifts</w:t>
      </w:r>
      <w:r w:rsidR="004B6426" w:rsidRPr="006858F9">
        <w:rPr>
          <w:b/>
          <w:i/>
        </w:rPr>
        <w:t xml:space="preserve"> </w:t>
      </w:r>
      <m:oMath>
        <m:sSubSup>
          <m:sSubSupPr>
            <m:ctrlPr>
              <w:rPr>
                <w:rFonts w:ascii="Cambria Math" w:hAnsi="Cambria Math"/>
                <w:b/>
              </w:rPr>
            </m:ctrlPr>
          </m:sSubSupPr>
          <m:e>
            <m:r>
              <m:rPr>
                <m:sty m:val="bi"/>
              </m:rPr>
              <w:rPr>
                <w:rFonts w:ascii="Cambria Math" w:hAnsi="Cambria Math"/>
              </w:rPr>
              <m:t>n</m:t>
            </m:r>
          </m:e>
          <m:sub>
            <m:r>
              <m:rPr>
                <m:sty m:val="b"/>
              </m:rPr>
              <w:rPr>
                <w:rFonts w:ascii="Cambria Math" w:hAnsi="Cambria Math"/>
              </w:rPr>
              <m:t>SRS</m:t>
            </m:r>
          </m:sub>
          <m:sup>
            <m:r>
              <m:rPr>
                <m:sty m:val="b"/>
              </m:rPr>
              <w:rPr>
                <w:rFonts w:ascii="Cambria Math" w:hAnsi="Cambria Math"/>
              </w:rPr>
              <m:t>cs,max</m:t>
            </m:r>
          </m:sup>
        </m:sSubSup>
        <m:r>
          <m:rPr>
            <m:sty m:val="bi"/>
          </m:rPr>
          <w:rPr>
            <w:rFonts w:ascii="Cambria Math" w:hAnsi="Cambria Math"/>
          </w:rPr>
          <m:t xml:space="preserve">=6 </m:t>
        </m:r>
      </m:oMath>
      <w:r w:rsidR="004B6426" w:rsidRPr="006858F9">
        <w:rPr>
          <w:rFonts w:eastAsia="Times New Roman"/>
          <w:b/>
          <w:i/>
          <w:lang w:val="en-GB"/>
        </w:rPr>
        <w:t>for</w:t>
      </w:r>
      <w:r w:rsidR="008A07C7">
        <w:rPr>
          <w:rFonts w:eastAsia="Times New Roman"/>
          <w:b/>
          <w:i/>
          <w:lang w:val="en-GB"/>
        </w:rPr>
        <w:t xml:space="preserve"> the </w:t>
      </w:r>
      <w:r w:rsidR="006858F9" w:rsidRPr="006858F9">
        <w:rPr>
          <w:rFonts w:eastAsia="Times New Roman"/>
          <w:b/>
          <w:i/>
          <w:lang w:val="en-GB"/>
        </w:rPr>
        <w:t>transmission comb</w:t>
      </w:r>
      <w:r w:rsidR="008A07C7">
        <w:rPr>
          <w:rFonts w:eastAsia="Times New Roman"/>
          <w:b/>
          <w:i/>
          <w:lang w:val="en-GB"/>
        </w:rPr>
        <w:t xml:space="preserve"> </w:t>
      </w:r>
      <w:r w:rsidR="00AF2D62">
        <w:rPr>
          <w:rFonts w:eastAsia="Times New Roman"/>
          <w:b/>
          <w:i/>
          <w:lang w:val="en-GB"/>
        </w:rPr>
        <w:t xml:space="preserve">number </w:t>
      </w:r>
      <w:r w:rsidR="008A07C7">
        <w:rPr>
          <w:rFonts w:eastAsia="Times New Roman"/>
          <w:b/>
          <w:i/>
          <w:lang w:val="en-GB"/>
        </w:rPr>
        <w:t>of</w:t>
      </w:r>
      <w:r w:rsidR="006858F9" w:rsidRPr="006858F9">
        <w:rPr>
          <w:rFonts w:eastAsia="Times New Roman"/>
          <w:b/>
          <w:i/>
          <w:lang w:val="en-GB"/>
        </w:rPr>
        <w:t xml:space="preserve"> </w:t>
      </w:r>
      <m:oMath>
        <m:sSub>
          <m:sSubPr>
            <m:ctrlPr>
              <w:rPr>
                <w:rFonts w:ascii="Cambria Math" w:hAnsi="Cambria Math"/>
                <w:b/>
                <w:i/>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=8</m:t>
        </m:r>
      </m:oMath>
      <w:r w:rsidR="004B6426" w:rsidRPr="006858F9">
        <w:rPr>
          <w:rFonts w:eastAsia="Times New Roman"/>
          <w:b/>
          <w:i/>
          <w:lang w:val="en-GB"/>
        </w:rPr>
        <w:t>.</w:t>
      </w:r>
    </w:p>
    <w:p w14:paraId="48682DFA" w14:textId="0E1675D1" w:rsidR="00AA6495" w:rsidRDefault="00205E9A" w:rsidP="008A36AC">
      <w:pPr>
        <w:pStyle w:val="3"/>
        <w:rPr>
          <w:lang w:val="en-GB"/>
        </w:rPr>
      </w:pPr>
      <w:commentRangeStart w:id="13"/>
      <w:r>
        <w:rPr>
          <w:lang w:val="en-GB"/>
        </w:rPr>
        <w:lastRenderedPageBreak/>
        <w:t>Anti-aliasing for cyclic shift</w:t>
      </w:r>
      <w:commentRangeEnd w:id="13"/>
      <w:r w:rsidR="00487A2B">
        <w:rPr>
          <w:rStyle w:val="af0"/>
          <w:b w:val="0"/>
        </w:rPr>
        <w:commentReference w:id="13"/>
      </w:r>
    </w:p>
    <w:p w14:paraId="6225792A" w14:textId="505309AE" w:rsidR="00F7694D" w:rsidRDefault="00205E9A">
      <w:pPr>
        <w:rPr>
          <w:rFonts w:eastAsia="Times New Roman"/>
          <w:lang w:val="en-GB"/>
        </w:rPr>
      </w:pPr>
      <w:r>
        <w:rPr>
          <w:rFonts w:eastAsia="Times New Roman"/>
          <w:lang w:val="en-GB"/>
        </w:rPr>
        <w:t xml:space="preserve">Since the cyclic shift is used to multiplex multiple ports using artificial delay within the same physical resource, it is somehow contradictory to the intention of introducing staggering pattern in the first place. Moreover the sidelobes </w:t>
      </w:r>
      <w:r w:rsidR="00F7694D">
        <w:rPr>
          <w:rFonts w:eastAsia="Times New Roman"/>
          <w:lang w:val="en-GB"/>
        </w:rPr>
        <w:t xml:space="preserve">caused by multiplexing multiple ports with different cyclic shifts are much closer to the main lobe than </w:t>
      </w:r>
      <w:r w:rsidR="009F402A">
        <w:rPr>
          <w:rFonts w:eastAsia="Times New Roman"/>
          <w:lang w:val="en-GB"/>
        </w:rPr>
        <w:t xml:space="preserve">those </w:t>
      </w:r>
      <w:r w:rsidR="00F7694D">
        <w:rPr>
          <w:rFonts w:eastAsia="Times New Roman"/>
          <w:lang w:val="en-GB"/>
        </w:rPr>
        <w:t>caused by the non-staggering RE mapping</w:t>
      </w:r>
      <w:r w:rsidR="00CB77E4">
        <w:rPr>
          <w:rFonts w:eastAsia="Times New Roman"/>
          <w:lang w:val="en-GB"/>
        </w:rPr>
        <w:t>, as shown in</w:t>
      </w:r>
      <w:r w:rsidR="000F53E9">
        <w:rPr>
          <w:rFonts w:eastAsia="Times New Roman"/>
          <w:lang w:val="en-GB"/>
        </w:rPr>
        <w:t xml:space="preserve"> </w:t>
      </w:r>
      <w:r w:rsidR="000F53E9">
        <w:rPr>
          <w:rFonts w:eastAsia="Times New Roman"/>
          <w:lang w:val="en-GB"/>
        </w:rPr>
        <w:fldChar w:fldCharType="begin"/>
      </w:r>
      <w:r w:rsidR="000F53E9">
        <w:rPr>
          <w:rFonts w:eastAsia="Times New Roman"/>
          <w:lang w:val="en-GB"/>
        </w:rPr>
        <w:instrText xml:space="preserve"> REF _Ref20345280 \h </w:instrText>
      </w:r>
      <w:r w:rsidR="000F53E9">
        <w:rPr>
          <w:rFonts w:eastAsia="Times New Roman"/>
          <w:lang w:val="en-GB"/>
        </w:rPr>
      </w:r>
      <w:r w:rsidR="000F53E9">
        <w:rPr>
          <w:rFonts w:eastAsia="Times New Roman"/>
          <w:lang w:val="en-GB"/>
        </w:rPr>
        <w:fldChar w:fldCharType="separate"/>
      </w:r>
      <w:r w:rsidR="00133448">
        <w:t xml:space="preserve">Figure </w:t>
      </w:r>
      <w:r w:rsidR="00133448">
        <w:rPr>
          <w:noProof/>
        </w:rPr>
        <w:t>6</w:t>
      </w:r>
      <w:r w:rsidR="000F53E9">
        <w:rPr>
          <w:rFonts w:eastAsia="Times New Roman"/>
          <w:lang w:val="en-GB"/>
        </w:rPr>
        <w:fldChar w:fldCharType="end"/>
      </w:r>
      <w:r w:rsidR="00F7694D">
        <w:rPr>
          <w:rFonts w:eastAsia="Times New Roman"/>
          <w:lang w:val="en-GB"/>
        </w:rPr>
        <w:t>.</w:t>
      </w:r>
      <w:r w:rsidR="00CB77E4">
        <w:rPr>
          <w:rFonts w:eastAsia="Times New Roman"/>
          <w:lang w:val="en-GB"/>
        </w:rPr>
        <w:t xml:space="preserve"> </w:t>
      </w:r>
    </w:p>
    <w:p w14:paraId="3B6B3E2D" w14:textId="77777777" w:rsidR="000F53E9" w:rsidRDefault="00CB77E4" w:rsidP="00D96EA3">
      <w:pPr>
        <w:keepNext/>
      </w:pPr>
      <w:r>
        <w:rPr>
          <w:noProof/>
          <w:lang w:eastAsia="zh-CN"/>
        </w:rPr>
        <w:drawing>
          <wp:inline distT="0" distB="0" distL="0" distR="0" wp14:anchorId="2F68BAAD" wp14:editId="3E4EDB28">
            <wp:extent cx="2818800" cy="22896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2818800" cy="2289600"/>
                    </a:xfrm>
                    <a:prstGeom prst="rect">
                      <a:avLst/>
                    </a:prstGeom>
                  </pic:spPr>
                </pic:pic>
              </a:graphicData>
            </a:graphic>
          </wp:inline>
        </w:drawing>
      </w:r>
      <w:r w:rsidRPr="00CB77E4">
        <w:rPr>
          <w:noProof/>
          <w:lang w:eastAsia="zh-CN"/>
        </w:rPr>
        <w:t xml:space="preserve"> </w:t>
      </w:r>
      <w:r>
        <w:rPr>
          <w:noProof/>
          <w:lang w:eastAsia="zh-CN"/>
        </w:rPr>
        <w:drawing>
          <wp:inline distT="0" distB="0" distL="0" distR="0" wp14:anchorId="15132C2A" wp14:editId="09BD4D65">
            <wp:extent cx="2818800" cy="228960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818800" cy="2289600"/>
                    </a:xfrm>
                    <a:prstGeom prst="rect">
                      <a:avLst/>
                    </a:prstGeom>
                  </pic:spPr>
                </pic:pic>
              </a:graphicData>
            </a:graphic>
          </wp:inline>
        </w:drawing>
      </w:r>
    </w:p>
    <w:p w14:paraId="2EA150EA" w14:textId="77777777" w:rsidR="000F53E9" w:rsidRPr="00FD5252" w:rsidRDefault="000F53E9" w:rsidP="000F53E9">
      <w:pPr>
        <w:pStyle w:val="a5"/>
      </w:pPr>
      <w:bookmarkStart w:id="14" w:name="_Ref20345280"/>
      <w:r>
        <w:t xml:space="preserve">Figure </w:t>
      </w:r>
      <w:r w:rsidR="00157362">
        <w:rPr>
          <w:noProof/>
        </w:rPr>
        <w:fldChar w:fldCharType="begin"/>
      </w:r>
      <w:r w:rsidR="00157362">
        <w:rPr>
          <w:noProof/>
        </w:rPr>
        <w:instrText xml:space="preserve"> SEQ Figure \* ARABIC </w:instrText>
      </w:r>
      <w:r w:rsidR="00157362">
        <w:rPr>
          <w:noProof/>
        </w:rPr>
        <w:fldChar w:fldCharType="separate"/>
      </w:r>
      <w:r w:rsidR="00133448">
        <w:rPr>
          <w:noProof/>
        </w:rPr>
        <w:t>6</w:t>
      </w:r>
      <w:r w:rsidR="00157362">
        <w:rPr>
          <w:noProof/>
        </w:rPr>
        <w:fldChar w:fldCharType="end"/>
      </w:r>
      <w:bookmarkEnd w:id="14"/>
      <w:r>
        <w:t xml:space="preserve"> Sidelobes caused by multiplexing multiple ports with different cyclic shifts with non-staggering (left) and staggering (right) RE mapping</w:t>
      </w:r>
    </w:p>
    <w:p w14:paraId="4B2CACC5" w14:textId="3B80B3B4" w:rsidR="00F7694D" w:rsidRDefault="00F7694D" w:rsidP="00FA30B3">
      <w:pPr>
        <w:rPr>
          <w:rFonts w:eastAsia="Times New Roman"/>
          <w:lang w:val="en-GB"/>
        </w:rPr>
      </w:pPr>
      <w:r>
        <w:rPr>
          <w:rFonts w:eastAsia="Times New Roman"/>
          <w:lang w:val="en-GB"/>
        </w:rPr>
        <w:t>One simple way is not to allow cyclic shifts, or to fix a single cyclic shift 0 for SRS with staggering pattern, but the problems include</w:t>
      </w:r>
    </w:p>
    <w:p w14:paraId="55E7DFC7" w14:textId="10DD79D3" w:rsidR="00F7694D" w:rsidRDefault="00F7694D" w:rsidP="008A36AC">
      <w:pPr>
        <w:pStyle w:val="af"/>
        <w:numPr>
          <w:ilvl w:val="0"/>
          <w:numId w:val="49"/>
        </w:numPr>
        <w:ind w:leftChars="0"/>
        <w:rPr>
          <w:rFonts w:eastAsia="Times New Roman"/>
        </w:rPr>
      </w:pPr>
      <w:r>
        <w:rPr>
          <w:rFonts w:eastAsia="Times New Roman"/>
        </w:rPr>
        <w:t>Undefined mapping for multi-ports SRS</w:t>
      </w:r>
    </w:p>
    <w:p w14:paraId="7A5B050B" w14:textId="166B04D6" w:rsidR="00F7694D" w:rsidRDefault="00F7694D" w:rsidP="008A36AC">
      <w:pPr>
        <w:pStyle w:val="af"/>
        <w:numPr>
          <w:ilvl w:val="0"/>
          <w:numId w:val="49"/>
        </w:numPr>
        <w:ind w:leftChars="0"/>
        <w:rPr>
          <w:rFonts w:eastAsia="Times New Roman"/>
        </w:rPr>
      </w:pPr>
      <w:r>
        <w:rPr>
          <w:rFonts w:eastAsia="Times New Roman"/>
        </w:rPr>
        <w:t>SRS multiplexing capacity is only limited by the comb size</w:t>
      </w:r>
    </w:p>
    <w:p w14:paraId="6D393C95" w14:textId="475CA345" w:rsidR="00D37EA2" w:rsidRPr="00C00518" w:rsidRDefault="00F7694D" w:rsidP="00D37EA2">
      <w:r>
        <w:rPr>
          <w:rFonts w:eastAsia="Times New Roman"/>
        </w:rPr>
        <w:t>To overcome the aliasing issue cause</w:t>
      </w:r>
      <w:r w:rsidR="008B0DEC">
        <w:rPr>
          <w:rFonts w:eastAsia="Times New Roman"/>
        </w:rPr>
        <w:t>d</w:t>
      </w:r>
      <w:r>
        <w:rPr>
          <w:rFonts w:eastAsia="Times New Roman"/>
        </w:rPr>
        <w:t xml:space="preserve"> by cyclic shift, </w:t>
      </w:r>
      <w:r w:rsidR="00060E53">
        <w:rPr>
          <w:rFonts w:eastAsia="Times New Roman"/>
        </w:rPr>
        <w:t>p</w:t>
      </w:r>
      <w:r>
        <w:rPr>
          <w:rFonts w:eastAsia="Times New Roman"/>
        </w:rPr>
        <w:t>hase hopping across symbols within an SRS resource in a slot</w:t>
      </w:r>
      <w:r w:rsidR="00060E53">
        <w:rPr>
          <w:rFonts w:eastAsia="Times New Roman"/>
        </w:rPr>
        <w:t xml:space="preserve"> can be considered</w:t>
      </w:r>
      <w:r w:rsidR="00AD05C6">
        <w:rPr>
          <w:rFonts w:eastAsia="Times New Roman"/>
        </w:rPr>
        <w:t>. In this approach, s</w:t>
      </w:r>
      <w:r w:rsidR="00165110">
        <w:rPr>
          <w:rFonts w:eastAsia="Times New Roman"/>
        </w:rPr>
        <w:t xml:space="preserve">imilar to Rel. 15, </w:t>
      </w:r>
      <w:r w:rsidR="00AD05C6">
        <w:rPr>
          <w:rFonts w:eastAsia="Times New Roman"/>
        </w:rPr>
        <w:t>a</w:t>
      </w:r>
      <w:r w:rsidR="00F21F17">
        <w:t xml:space="preserve"> cyclic shift across all symbols </w:t>
      </w:r>
      <w:r w:rsidR="00165110">
        <w:t xml:space="preserve">of each port of </w:t>
      </w:r>
      <w:r w:rsidR="00F21F17">
        <w:t xml:space="preserve">the SRS resource </w:t>
      </w:r>
      <w:r w:rsidR="00060E53">
        <w:t xml:space="preserve">is </w:t>
      </w:r>
      <w:r w:rsidR="00AD05C6">
        <w:t>applied. However,</w:t>
      </w:r>
      <w:r w:rsidR="00060E53">
        <w:t xml:space="preserve"> </w:t>
      </w:r>
      <w:r w:rsidR="0013263B">
        <w:t xml:space="preserve">as shown in Eq. (5), </w:t>
      </w:r>
      <w:r w:rsidR="00F21F17">
        <w:t xml:space="preserve">a </w:t>
      </w:r>
      <w:r w:rsidR="00746B33">
        <w:t xml:space="preserve">symbol-level </w:t>
      </w:r>
      <w:r w:rsidR="00F21F17">
        <w:t>phase hopping</w:t>
      </w:r>
      <w:r w:rsidR="00060E53">
        <w:t xml:space="preserve"> (</w:t>
      </w:r>
      <w:r w:rsidR="00AD05C6">
        <w:t xml:space="preserve">phase </w:t>
      </w:r>
      <w:r w:rsidR="00060E53">
        <w:t>rotation)</w:t>
      </w:r>
      <w:r w:rsidR="00F21F17">
        <w:t xml:space="preserve"> </w:t>
      </w:r>
      <w:r w:rsidR="00064667">
        <w:t>is</w:t>
      </w:r>
      <w:r w:rsidR="00060E53">
        <w:t xml:space="preserve"> applied on top of the existing SRS</w:t>
      </w:r>
      <w:r w:rsidR="00746B33">
        <w:t>. By introducing the symbol-level phase hopping sequence, the cross-correlation peaks of two SRS ports with different cyclic shifts can be reduced to the cross-correlation of the two phase hopping sequences</w:t>
      </w:r>
      <w:r w:rsidR="00C00518">
        <w:t>.</w:t>
      </w:r>
      <w:r w:rsidR="00D37EA2">
        <w:t xml:space="preserve"> </w:t>
      </w:r>
      <w:r w:rsidR="00D37EA2" w:rsidRPr="00030520">
        <w:rPr>
          <w:color w:val="000000" w:themeColor="text1"/>
        </w:rPr>
        <w:t xml:space="preserve">The </w:t>
      </w:r>
      <w:r w:rsidR="00D37EA2">
        <w:rPr>
          <w:color w:val="000000" w:themeColor="text1"/>
        </w:rPr>
        <w:t xml:space="preserve">sequence </w:t>
      </w:r>
      <m:oMath>
        <m:r>
          <w:rPr>
            <w:rFonts w:ascii="Cambria Math" w:hAnsi="Cambria Math"/>
            <w:color w:val="000000" w:themeColor="text1"/>
          </w:rPr>
          <m:t>φ</m:t>
        </m:r>
        <m:d>
          <m:dPr>
            <m:ctrlPr>
              <w:rPr>
                <w:rFonts w:ascii="Cambria Math" w:hAnsi="Cambria Math"/>
                <w:i/>
                <w:color w:val="000000" w:themeColor="text1"/>
              </w:rPr>
            </m:ctrlPr>
          </m:dPr>
          <m:e>
            <m:sSup>
              <m:sSupPr>
                <m:ctrlPr>
                  <w:rPr>
                    <w:rFonts w:ascii="Cambria Math" w:hAnsi="Cambria Math"/>
                    <w:i/>
                    <w:color w:val="000000" w:themeColor="text1"/>
                  </w:rPr>
                </m:ctrlPr>
              </m:sSupPr>
              <m:e>
                <m:r>
                  <w:rPr>
                    <w:rFonts w:ascii="Cambria Math" w:hAnsi="Cambria Math"/>
                    <w:color w:val="000000" w:themeColor="text1"/>
                  </w:rPr>
                  <m:t>l</m:t>
                </m:r>
              </m:e>
              <m:sup>
                <m:r>
                  <w:rPr>
                    <w:rFonts w:ascii="Cambria Math" w:hAnsi="Cambria Math"/>
                    <w:color w:val="000000" w:themeColor="text1"/>
                  </w:rPr>
                  <m:t>'</m:t>
                </m:r>
              </m:sup>
            </m:sSup>
          </m:e>
        </m:d>
      </m:oMath>
      <w:r w:rsidR="00D37EA2" w:rsidRPr="00030520">
        <w:rPr>
          <w:color w:val="000000" w:themeColor="text1"/>
        </w:rPr>
        <w:t xml:space="preserve"> </w:t>
      </w:r>
      <w:r w:rsidR="00D37EA2">
        <w:rPr>
          <w:color w:val="000000" w:themeColor="text1"/>
        </w:rPr>
        <w:t>can</w:t>
      </w:r>
      <w:r w:rsidR="00D37EA2" w:rsidRPr="00C00518">
        <w:t xml:space="preserve"> be configured by higher layer. </w:t>
      </w:r>
    </w:p>
    <w:p w14:paraId="4406F112" w14:textId="2F60CFA1" w:rsidR="00CB77E4" w:rsidRPr="00C00518" w:rsidRDefault="00CB77E4" w:rsidP="00CB77E4"/>
    <w:tbl>
      <w:tblPr>
        <w:tblStyle w:val="ac"/>
        <w:tblW w:w="9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8010"/>
        <w:gridCol w:w="672"/>
      </w:tblGrid>
      <w:tr w:rsidR="00C2705A" w:rsidRPr="00C00518" w14:paraId="1A09F74E" w14:textId="77777777" w:rsidTr="008A36AC">
        <w:tc>
          <w:tcPr>
            <w:tcW w:w="625" w:type="dxa"/>
          </w:tcPr>
          <w:p w14:paraId="6BE97302" w14:textId="77777777" w:rsidR="00CB77E4" w:rsidRPr="00D96EA3" w:rsidRDefault="00CB77E4" w:rsidP="008A36AC">
            <w:pPr>
              <w:rPr>
                <w:bCs/>
                <w:iCs/>
                <w:color w:val="000000" w:themeColor="text1"/>
              </w:rPr>
            </w:pPr>
          </w:p>
        </w:tc>
        <w:tc>
          <w:tcPr>
            <w:tcW w:w="8010" w:type="dxa"/>
          </w:tcPr>
          <w:p w14:paraId="75EDFEF2" w14:textId="21C29DFE" w:rsidR="00CB77E4" w:rsidRPr="00D96EA3" w:rsidRDefault="008D7632" w:rsidP="00C00518">
            <w:pPr>
              <w:rPr>
                <w:rFonts w:ascii="Cambria Math" w:hAnsi="Cambria Math"/>
                <w:bCs/>
                <w:iCs/>
                <w:color w:val="000000" w:themeColor="text1"/>
              </w:rPr>
            </w:pPr>
            <m:oMathPara>
              <m:oMath>
                <m:sSup>
                  <m:sSupPr>
                    <m:ctrlPr>
                      <w:rPr>
                        <w:rFonts w:ascii="Cambria Math" w:hAnsi="Cambria Math"/>
                        <w:i/>
                        <w:iCs/>
                        <w:color w:val="000000" w:themeColor="text1"/>
                      </w:rPr>
                    </m:ctrlPr>
                  </m:sSupPr>
                  <m:e>
                    <m:r>
                      <w:rPr>
                        <w:rFonts w:ascii="Cambria Math" w:hAnsi="Cambria Math"/>
                        <w:color w:val="000000" w:themeColor="text1"/>
                      </w:rPr>
                      <m:t>r</m:t>
                    </m:r>
                  </m:e>
                  <m: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i</m:t>
                        </m:r>
                      </m:sub>
                    </m:sSub>
                    <m:r>
                      <w:rPr>
                        <w:rFonts w:ascii="Cambria Math" w:hAnsi="Cambria Math"/>
                        <w:color w:val="000000" w:themeColor="text1"/>
                      </w:rPr>
                      <m:t>)</m:t>
                    </m:r>
                  </m:sup>
                </m:sSup>
                <m:d>
                  <m:dPr>
                    <m:ctrlPr>
                      <w:rPr>
                        <w:rFonts w:ascii="Cambria Math" w:hAnsi="Cambria Math"/>
                        <w:i/>
                        <w:color w:val="000000" w:themeColor="text1"/>
                      </w:rPr>
                    </m:ctrlPr>
                  </m:dPr>
                  <m:e>
                    <m:r>
                      <w:rPr>
                        <w:rFonts w:ascii="Cambria Math" w:hAnsi="Cambria Math"/>
                        <w:color w:val="000000" w:themeColor="text1"/>
                      </w:rPr>
                      <m:t>n,</m:t>
                    </m:r>
                    <m:sSup>
                      <m:sSupPr>
                        <m:ctrlPr>
                          <w:rPr>
                            <w:rFonts w:ascii="Cambria Math" w:hAnsi="Cambria Math"/>
                            <w:i/>
                            <w:color w:val="000000" w:themeColor="text1"/>
                          </w:rPr>
                        </m:ctrlPr>
                      </m:sSupPr>
                      <m:e>
                        <m:r>
                          <w:rPr>
                            <w:rFonts w:ascii="Cambria Math" w:hAnsi="Cambria Math"/>
                            <w:color w:val="000000" w:themeColor="text1"/>
                          </w:rPr>
                          <m:t>l</m:t>
                        </m:r>
                      </m:e>
                      <m:sup>
                        <m:r>
                          <w:rPr>
                            <w:rFonts w:ascii="Cambria Math" w:hAnsi="Cambria Math"/>
                            <w:color w:val="000000" w:themeColor="text1"/>
                          </w:rPr>
                          <m:t>'</m:t>
                        </m:r>
                      </m:sup>
                    </m:sSup>
                  </m:e>
                </m:d>
                <m:r>
                  <w:rPr>
                    <w:rFonts w:ascii="Cambria Math" w:hAnsi="Cambria Math"/>
                    <w:color w:val="000000" w:themeColor="text1"/>
                  </w:rPr>
                  <m:t>=</m:t>
                </m:r>
                <m:sSup>
                  <m:sSupPr>
                    <m:ctrlPr>
                      <w:rPr>
                        <w:rFonts w:ascii="Cambria Math" w:eastAsiaTheme="minorEastAsia" w:hAnsi="Cambria Math"/>
                        <w:bCs/>
                        <w:i/>
                        <w:iCs/>
                        <w:color w:val="000000" w:themeColor="text1"/>
                      </w:rPr>
                    </m:ctrlPr>
                  </m:sSupPr>
                  <m:e>
                    <m:r>
                      <w:rPr>
                        <w:rFonts w:ascii="Cambria Math" w:eastAsiaTheme="minorEastAsia" w:hAnsi="Cambria Math"/>
                        <w:color w:val="000000" w:themeColor="text1"/>
                      </w:rPr>
                      <m:t>e</m:t>
                    </m:r>
                  </m:e>
                  <m:sup>
                    <m:r>
                      <w:rPr>
                        <w:rFonts w:ascii="Cambria Math" w:eastAsiaTheme="minorEastAsia" w:hAnsi="Cambria Math"/>
                        <w:color w:val="000000" w:themeColor="text1"/>
                      </w:rPr>
                      <m:t>jφ</m:t>
                    </m:r>
                    <m:d>
                      <m:dPr>
                        <m:ctrlPr>
                          <w:rPr>
                            <w:rFonts w:ascii="Cambria Math" w:eastAsiaTheme="minorEastAsia" w:hAnsi="Cambria Math"/>
                            <w:bCs/>
                            <w:iCs/>
                            <w:color w:val="000000" w:themeColor="text1"/>
                          </w:rPr>
                        </m:ctrlPr>
                      </m:dPr>
                      <m:e>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l</m:t>
                            </m:r>
                          </m:e>
                          <m:sup>
                            <m:r>
                              <w:rPr>
                                <w:rFonts w:ascii="Cambria Math" w:eastAsiaTheme="minorEastAsia" w:hAnsi="Cambria Math"/>
                                <w:color w:val="000000" w:themeColor="text1"/>
                              </w:rPr>
                              <m:t>'</m:t>
                            </m:r>
                          </m:sup>
                        </m:sSup>
                      </m:e>
                    </m:d>
                  </m:sup>
                </m:sSup>
                <m:sSubSup>
                  <m:sSubSupPr>
                    <m:ctrlPr>
                      <w:rPr>
                        <w:rFonts w:ascii="Cambria Math" w:hAnsi="Cambria Math"/>
                        <w:i/>
                        <w:color w:val="000000" w:themeColor="text1"/>
                      </w:rPr>
                    </m:ctrlPr>
                  </m:sSubSupPr>
                  <m:e>
                    <m:r>
                      <w:rPr>
                        <w:rFonts w:ascii="Cambria Math" w:hAnsi="Cambria Math"/>
                        <w:color w:val="000000" w:themeColor="text1"/>
                      </w:rPr>
                      <m:t>r</m:t>
                    </m:r>
                  </m:e>
                  <m:sub>
                    <m:r>
                      <w:rPr>
                        <w:rFonts w:ascii="Cambria Math" w:hAnsi="Cambria Math"/>
                        <w:color w:val="000000" w:themeColor="text1"/>
                      </w:rPr>
                      <m:t>u,v</m:t>
                    </m:r>
                  </m:sub>
                  <m:sup>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i</m:t>
                            </m:r>
                          </m:sub>
                        </m:sSub>
                        <m:r>
                          <w:rPr>
                            <w:rFonts w:ascii="Cambria Math" w:hAnsi="Cambria Math"/>
                            <w:color w:val="000000" w:themeColor="text1"/>
                          </w:rPr>
                          <m:t>,δ</m:t>
                        </m:r>
                      </m:e>
                    </m:d>
                  </m:sup>
                </m:sSubSup>
                <m:d>
                  <m:dPr>
                    <m:ctrlPr>
                      <w:rPr>
                        <w:rFonts w:ascii="Cambria Math" w:hAnsi="Cambria Math"/>
                        <w:i/>
                        <w:color w:val="000000" w:themeColor="text1"/>
                      </w:rPr>
                    </m:ctrlPr>
                  </m:dPr>
                  <m:e>
                    <m:r>
                      <w:rPr>
                        <w:rFonts w:ascii="Cambria Math" w:hAnsi="Cambria Math"/>
                        <w:color w:val="000000" w:themeColor="text1"/>
                      </w:rPr>
                      <m:t>n</m:t>
                    </m:r>
                  </m:e>
                </m:d>
                <m:r>
                  <m:rPr>
                    <m:sty m:val="p"/>
                  </m:rPr>
                  <w:rPr>
                    <w:rFonts w:ascii="Cambria Math" w:hAnsi="Cambria Math"/>
                    <w:color w:val="000000" w:themeColor="text1"/>
                  </w:rPr>
                  <m:t xml:space="preserve"> </m:t>
                </m:r>
              </m:oMath>
            </m:oMathPara>
          </w:p>
        </w:tc>
        <w:tc>
          <w:tcPr>
            <w:tcW w:w="672" w:type="dxa"/>
            <w:vAlign w:val="center"/>
          </w:tcPr>
          <w:p w14:paraId="465A876B" w14:textId="47F056BF" w:rsidR="00CB77E4" w:rsidRPr="00D96EA3" w:rsidRDefault="00CB77E4">
            <w:pPr>
              <w:jc w:val="center"/>
              <w:rPr>
                <w:bCs/>
                <w:iCs/>
                <w:color w:val="000000" w:themeColor="text1"/>
              </w:rPr>
            </w:pPr>
            <w:r w:rsidRPr="00D96EA3">
              <w:rPr>
                <w:bCs/>
                <w:iCs/>
                <w:color w:val="000000" w:themeColor="text1"/>
              </w:rPr>
              <w:t>(</w:t>
            </w:r>
            <w:r w:rsidR="0013263B">
              <w:rPr>
                <w:bCs/>
                <w:iCs/>
                <w:color w:val="000000" w:themeColor="text1"/>
              </w:rPr>
              <w:t>5</w:t>
            </w:r>
            <w:r w:rsidRPr="00D96EA3">
              <w:rPr>
                <w:bCs/>
                <w:iCs/>
                <w:color w:val="000000" w:themeColor="text1"/>
              </w:rPr>
              <w:t>)</w:t>
            </w:r>
          </w:p>
        </w:tc>
      </w:tr>
    </w:tbl>
    <w:p w14:paraId="0CE05DF7" w14:textId="28DACE95" w:rsidR="00CB77E4" w:rsidRPr="00C00518" w:rsidRDefault="000F3C52">
      <w:r w:rsidRPr="00C00518">
        <w:fldChar w:fldCharType="begin"/>
      </w:r>
      <w:r w:rsidRPr="00030520">
        <w:instrText xml:space="preserve"> REF _Ref20345826 \h </w:instrText>
      </w:r>
      <w:r>
        <w:instrText xml:space="preserve"> \* MERGEFORMAT </w:instrText>
      </w:r>
      <w:r w:rsidRPr="00C00518">
        <w:fldChar w:fldCharType="separate"/>
      </w:r>
      <w:r w:rsidR="00133448">
        <w:t xml:space="preserve">Figure </w:t>
      </w:r>
      <w:r w:rsidR="00133448">
        <w:rPr>
          <w:noProof/>
        </w:rPr>
        <w:t>7</w:t>
      </w:r>
      <w:r w:rsidRPr="00C00518">
        <w:fldChar w:fldCharType="end"/>
      </w:r>
      <w:r>
        <w:t xml:space="preserve"> </w:t>
      </w:r>
      <w:r w:rsidR="00D35C3E">
        <w:t>shows the auto-correlation and cross-correlation if the phase hopping sequence is based on NR length-12 CGS sequence. It can be observed that t</w:t>
      </w:r>
      <w:r w:rsidR="00CB77E4" w:rsidRPr="00C00518">
        <w:t>he sidelobes caused by different cyclic shifts are suppressed.</w:t>
      </w:r>
    </w:p>
    <w:p w14:paraId="4C35C3B7" w14:textId="77777777" w:rsidR="00176E03" w:rsidRDefault="00CB77E4" w:rsidP="00D96EA3">
      <w:pPr>
        <w:keepNext/>
        <w:jc w:val="center"/>
      </w:pPr>
      <w:r>
        <w:rPr>
          <w:noProof/>
          <w:lang w:eastAsia="zh-CN"/>
        </w:rPr>
        <w:lastRenderedPageBreak/>
        <w:drawing>
          <wp:inline distT="0" distB="0" distL="0" distR="0" wp14:anchorId="3E09FE20" wp14:editId="1CCDCE80">
            <wp:extent cx="2818800" cy="228960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2818800" cy="2289600"/>
                    </a:xfrm>
                    <a:prstGeom prst="rect">
                      <a:avLst/>
                    </a:prstGeom>
                  </pic:spPr>
                </pic:pic>
              </a:graphicData>
            </a:graphic>
          </wp:inline>
        </w:drawing>
      </w:r>
    </w:p>
    <w:p w14:paraId="723A6199" w14:textId="410580C3" w:rsidR="00CB77E4" w:rsidRDefault="00176E03" w:rsidP="00D96EA3">
      <w:pPr>
        <w:pStyle w:val="a5"/>
      </w:pPr>
      <w:bookmarkStart w:id="15" w:name="_Ref20345826"/>
      <w:r>
        <w:t xml:space="preserve">Figure </w:t>
      </w:r>
      <w:r w:rsidR="00157362">
        <w:rPr>
          <w:noProof/>
        </w:rPr>
        <w:fldChar w:fldCharType="begin"/>
      </w:r>
      <w:r w:rsidR="00157362">
        <w:rPr>
          <w:noProof/>
        </w:rPr>
        <w:instrText xml:space="preserve"> SEQ Figure \* ARABIC </w:instrText>
      </w:r>
      <w:r w:rsidR="00157362">
        <w:rPr>
          <w:noProof/>
        </w:rPr>
        <w:fldChar w:fldCharType="separate"/>
      </w:r>
      <w:r w:rsidR="00133448">
        <w:rPr>
          <w:noProof/>
        </w:rPr>
        <w:t>7</w:t>
      </w:r>
      <w:r w:rsidR="00157362">
        <w:rPr>
          <w:noProof/>
        </w:rPr>
        <w:fldChar w:fldCharType="end"/>
      </w:r>
      <w:bookmarkEnd w:id="15"/>
      <w:r>
        <w:t xml:space="preserve"> Sidelobes caused by symbol-level cyclic shifts with staggering RE mapping</w:t>
      </w:r>
    </w:p>
    <w:p w14:paraId="68E62B38" w14:textId="44D08F46" w:rsidR="00CB77E4" w:rsidRDefault="00CB77E4" w:rsidP="00D96EA3">
      <w:pPr>
        <w:pStyle w:val="a5"/>
        <w:jc w:val="both"/>
      </w:pPr>
    </w:p>
    <w:p w14:paraId="31F87617" w14:textId="10E4429D" w:rsidR="00B1606C" w:rsidRDefault="00C9188F">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6</w:t>
      </w:r>
      <w:r w:rsidRPr="006C5C3B">
        <w:rPr>
          <w:b/>
          <w:i/>
        </w:rPr>
        <w:fldChar w:fldCharType="end"/>
      </w:r>
      <w:r w:rsidRPr="006C5C3B">
        <w:rPr>
          <w:b/>
          <w:i/>
        </w:rPr>
        <w:t>:</w:t>
      </w:r>
      <w:r w:rsidRPr="000C40D9">
        <w:rPr>
          <w:b/>
          <w:i/>
        </w:rPr>
        <w:t xml:space="preserve"> </w:t>
      </w:r>
      <w:r w:rsidR="00B1606C">
        <w:rPr>
          <w:b/>
          <w:i/>
        </w:rPr>
        <w:t xml:space="preserve">Support </w:t>
      </w:r>
      <w:r w:rsidR="00060E53">
        <w:rPr>
          <w:b/>
          <w:i/>
        </w:rPr>
        <w:t>phase hopping across symbols within an SRS resource.</w:t>
      </w:r>
      <w:r w:rsidR="00B1606C">
        <w:rPr>
          <w:b/>
          <w:i/>
        </w:rPr>
        <w:t xml:space="preserve"> </w:t>
      </w:r>
    </w:p>
    <w:p w14:paraId="6BFF82E2" w14:textId="77777777" w:rsidR="00974308" w:rsidRDefault="00974308">
      <w:pPr>
        <w:rPr>
          <w:b/>
          <w:i/>
        </w:rPr>
      </w:pPr>
    </w:p>
    <w:p w14:paraId="0D604947" w14:textId="77777777" w:rsidR="00974308" w:rsidRPr="000F6DD2" w:rsidRDefault="00974308" w:rsidP="00974308">
      <w:pPr>
        <w:pStyle w:val="2"/>
      </w:pPr>
      <w:r w:rsidRPr="000F6DD2">
        <w:t xml:space="preserve">SRS configuration protocol </w:t>
      </w:r>
    </w:p>
    <w:p w14:paraId="41E7CFFB" w14:textId="77777777" w:rsidR="00974308" w:rsidRDefault="00974308" w:rsidP="00974308">
      <w:r>
        <w:t xml:space="preserve">Following the same approach as LTE, the </w:t>
      </w:r>
      <w:r w:rsidRPr="00146F10">
        <w:t>Rel. 15 NR SRS is configured by</w:t>
      </w:r>
      <w:r>
        <w:t xml:space="preserve"> the serving</w:t>
      </w:r>
      <w:r w:rsidRPr="00146F10">
        <w:t xml:space="preserve"> gNB and is </w:t>
      </w:r>
      <w:r>
        <w:t>sent</w:t>
      </w:r>
      <w:r w:rsidRPr="00146F10">
        <w:t xml:space="preserve"> to the UE </w:t>
      </w:r>
      <w:r>
        <w:t xml:space="preserve">using </w:t>
      </w:r>
      <w:r w:rsidRPr="00146F10">
        <w:t>RRC signaling</w:t>
      </w:r>
      <w:r>
        <w:t>. However, there has been a proposal that LMF would configure NR positioning SRS and send the configuration to the UE using LPP. In our view, such an approach for NR positioning SRS configuration has a few drawbacks as follows:</w:t>
      </w:r>
    </w:p>
    <w:p w14:paraId="7522A9F2" w14:textId="77777777" w:rsidR="00974308" w:rsidRDefault="00974308" w:rsidP="00974308">
      <w:pPr>
        <w:pStyle w:val="af"/>
        <w:numPr>
          <w:ilvl w:val="0"/>
          <w:numId w:val="11"/>
        </w:numPr>
        <w:ind w:leftChars="0"/>
        <w:jc w:val="both"/>
        <w:rPr>
          <w:rFonts w:ascii="Times New Roman" w:eastAsia="宋体" w:hAnsi="Times New Roman"/>
          <w:sz w:val="22"/>
          <w:szCs w:val="22"/>
          <w:lang w:val="en-US"/>
        </w:rPr>
      </w:pPr>
      <w:r>
        <w:rPr>
          <w:rFonts w:ascii="Times New Roman" w:eastAsia="宋体" w:hAnsi="Times New Roman"/>
          <w:b/>
          <w:sz w:val="22"/>
          <w:szCs w:val="22"/>
          <w:lang w:val="en-US"/>
        </w:rPr>
        <w:t>Collision with other SRS resources</w:t>
      </w:r>
      <w:r w:rsidRPr="001E621E">
        <w:rPr>
          <w:rFonts w:ascii="Times New Roman" w:eastAsia="宋体" w:hAnsi="Times New Roman"/>
          <w:b/>
          <w:sz w:val="22"/>
          <w:szCs w:val="22"/>
          <w:lang w:val="en-US"/>
        </w:rPr>
        <w:t>:</w:t>
      </w:r>
      <w:r w:rsidRPr="001E621E">
        <w:rPr>
          <w:rFonts w:ascii="Times New Roman" w:eastAsia="宋体" w:hAnsi="Times New Roman"/>
          <w:sz w:val="22"/>
          <w:szCs w:val="22"/>
          <w:lang w:val="en-US"/>
        </w:rPr>
        <w:t xml:space="preserve"> If LMF configures </w:t>
      </w:r>
      <w:r>
        <w:rPr>
          <w:rFonts w:ascii="Times New Roman" w:eastAsia="宋体" w:hAnsi="Times New Roman"/>
          <w:sz w:val="22"/>
          <w:szCs w:val="22"/>
          <w:lang w:val="en-US"/>
        </w:rPr>
        <w:t xml:space="preserve">the </w:t>
      </w:r>
      <w:r w:rsidRPr="001E621E">
        <w:rPr>
          <w:rFonts w:ascii="Times New Roman" w:eastAsia="宋体" w:hAnsi="Times New Roman"/>
          <w:sz w:val="22"/>
          <w:szCs w:val="22"/>
          <w:lang w:val="en-US"/>
        </w:rPr>
        <w:t xml:space="preserve">positioning SRS, gNB still needs to </w:t>
      </w:r>
      <w:r>
        <w:rPr>
          <w:rFonts w:ascii="Times New Roman" w:eastAsia="宋体" w:hAnsi="Times New Roman"/>
          <w:sz w:val="22"/>
          <w:szCs w:val="22"/>
          <w:lang w:val="en-US"/>
        </w:rPr>
        <w:t>provide</w:t>
      </w:r>
      <w:r w:rsidRPr="001E621E">
        <w:rPr>
          <w:rFonts w:ascii="Times New Roman" w:eastAsia="宋体" w:hAnsi="Times New Roman"/>
          <w:sz w:val="22"/>
          <w:szCs w:val="22"/>
          <w:lang w:val="en-US"/>
        </w:rPr>
        <w:t xml:space="preserve"> </w:t>
      </w:r>
      <w:r>
        <w:rPr>
          <w:rFonts w:ascii="Times New Roman" w:eastAsia="宋体" w:hAnsi="Times New Roman"/>
          <w:sz w:val="22"/>
          <w:szCs w:val="22"/>
          <w:lang w:val="en-US"/>
        </w:rPr>
        <w:t xml:space="preserve">virtually all </w:t>
      </w:r>
      <w:r w:rsidRPr="00A00AB9">
        <w:rPr>
          <w:rFonts w:ascii="Times New Roman" w:eastAsia="宋体" w:hAnsi="Times New Roman"/>
          <w:i/>
          <w:sz w:val="22"/>
          <w:szCs w:val="22"/>
          <w:lang w:val="en-US"/>
        </w:rPr>
        <w:t>SRS-Config</w:t>
      </w:r>
      <w:r>
        <w:rPr>
          <w:rFonts w:ascii="Times New Roman" w:eastAsia="宋体" w:hAnsi="Times New Roman"/>
          <w:sz w:val="22"/>
          <w:szCs w:val="22"/>
          <w:lang w:val="en-US"/>
        </w:rPr>
        <w:t xml:space="preserve"> fields to assist the LMF </w:t>
      </w:r>
      <w:r w:rsidRPr="001E621E">
        <w:rPr>
          <w:rFonts w:ascii="Times New Roman" w:eastAsia="宋体" w:hAnsi="Times New Roman"/>
          <w:sz w:val="22"/>
          <w:szCs w:val="22"/>
          <w:lang w:val="en-US"/>
        </w:rPr>
        <w:t xml:space="preserve">to properly configure the positioning SRS. </w:t>
      </w:r>
      <w:r>
        <w:rPr>
          <w:rFonts w:ascii="Times New Roman" w:eastAsia="宋体" w:hAnsi="Times New Roman"/>
          <w:sz w:val="22"/>
          <w:szCs w:val="22"/>
          <w:lang w:val="en-US"/>
        </w:rPr>
        <w:t>For instance</w:t>
      </w:r>
      <w:r w:rsidRPr="001E621E">
        <w:rPr>
          <w:rFonts w:ascii="Times New Roman" w:eastAsia="宋体" w:hAnsi="Times New Roman"/>
          <w:sz w:val="22"/>
          <w:szCs w:val="22"/>
          <w:lang w:val="en-US"/>
        </w:rPr>
        <w:t xml:space="preserve">, to avoid </w:t>
      </w:r>
      <w:r>
        <w:rPr>
          <w:rFonts w:ascii="Times New Roman" w:eastAsia="宋体" w:hAnsi="Times New Roman"/>
          <w:sz w:val="22"/>
          <w:szCs w:val="22"/>
          <w:lang w:val="en-US"/>
        </w:rPr>
        <w:t xml:space="preserve">a </w:t>
      </w:r>
      <w:r w:rsidRPr="001E621E">
        <w:rPr>
          <w:rFonts w:ascii="Times New Roman" w:eastAsia="宋体" w:hAnsi="Times New Roman"/>
          <w:sz w:val="22"/>
          <w:szCs w:val="22"/>
          <w:lang w:val="en-US"/>
        </w:rPr>
        <w:t xml:space="preserve">collision with other SRS resources </w:t>
      </w:r>
      <w:r>
        <w:rPr>
          <w:rFonts w:ascii="Times New Roman" w:eastAsia="宋体" w:hAnsi="Times New Roman"/>
          <w:sz w:val="22"/>
          <w:szCs w:val="22"/>
          <w:lang w:val="en-US"/>
        </w:rPr>
        <w:t>with Rel. 15 usages</w:t>
      </w:r>
      <w:r w:rsidRPr="001E621E">
        <w:rPr>
          <w:rFonts w:ascii="Times New Roman" w:eastAsia="宋体" w:hAnsi="Times New Roman"/>
          <w:sz w:val="22"/>
          <w:szCs w:val="22"/>
          <w:lang w:val="en-US"/>
        </w:rPr>
        <w:t xml:space="preserve"> </w:t>
      </w:r>
      <w:r>
        <w:rPr>
          <w:rFonts w:ascii="Times New Roman" w:eastAsia="宋体" w:hAnsi="Times New Roman"/>
          <w:sz w:val="22"/>
          <w:szCs w:val="22"/>
          <w:lang w:val="en-US"/>
        </w:rPr>
        <w:t xml:space="preserve">that are configured </w:t>
      </w:r>
      <w:r w:rsidRPr="001E621E">
        <w:rPr>
          <w:rFonts w:ascii="Times New Roman" w:eastAsia="宋体" w:hAnsi="Times New Roman"/>
          <w:sz w:val="22"/>
          <w:szCs w:val="22"/>
          <w:lang w:val="en-US"/>
        </w:rPr>
        <w:t xml:space="preserve">for the same </w:t>
      </w:r>
      <w:r>
        <w:rPr>
          <w:rFonts w:ascii="Times New Roman" w:eastAsia="宋体" w:hAnsi="Times New Roman"/>
          <w:sz w:val="22"/>
          <w:szCs w:val="22"/>
          <w:lang w:val="en-US"/>
        </w:rPr>
        <w:t>or other</w:t>
      </w:r>
      <w:r w:rsidRPr="001E621E">
        <w:rPr>
          <w:rFonts w:ascii="Times New Roman" w:eastAsia="宋体" w:hAnsi="Times New Roman"/>
          <w:sz w:val="22"/>
          <w:szCs w:val="22"/>
          <w:lang w:val="en-US"/>
        </w:rPr>
        <w:t xml:space="preserve"> UEs,</w:t>
      </w:r>
      <w:r>
        <w:rPr>
          <w:rFonts w:ascii="Times New Roman" w:eastAsia="宋体" w:hAnsi="Times New Roman"/>
          <w:sz w:val="22"/>
          <w:szCs w:val="22"/>
          <w:lang w:val="en-US"/>
        </w:rPr>
        <w:t xml:space="preserve"> </w:t>
      </w:r>
      <w:r w:rsidRPr="001E621E">
        <w:rPr>
          <w:rFonts w:ascii="Times New Roman" w:eastAsia="宋体" w:hAnsi="Times New Roman"/>
          <w:sz w:val="22"/>
          <w:szCs w:val="22"/>
          <w:lang w:val="en-US"/>
        </w:rPr>
        <w:t xml:space="preserve">gNB needs to provide LMF with a suggested </w:t>
      </w:r>
      <w:r w:rsidRPr="00A00AB9">
        <w:rPr>
          <w:rFonts w:ascii="Times New Roman" w:eastAsia="宋体" w:hAnsi="Times New Roman"/>
          <w:i/>
          <w:sz w:val="22"/>
          <w:szCs w:val="22"/>
          <w:lang w:val="en-US"/>
        </w:rPr>
        <w:t>sequenceId</w:t>
      </w:r>
      <w:r w:rsidRPr="001E621E">
        <w:rPr>
          <w:rFonts w:ascii="Times New Roman" w:eastAsia="宋体" w:hAnsi="Times New Roman"/>
          <w:sz w:val="22"/>
          <w:szCs w:val="22"/>
          <w:lang w:val="en-US"/>
        </w:rPr>
        <w:t>, SRS frequency domain configuration parameters including BW, transmission comb, and possible frequency hopping pattern, and SRS time domain configuration parameters such as slot offset</w:t>
      </w:r>
      <w:r>
        <w:rPr>
          <w:rFonts w:ascii="Times New Roman" w:eastAsia="宋体" w:hAnsi="Times New Roman"/>
          <w:sz w:val="22"/>
          <w:szCs w:val="22"/>
          <w:lang w:val="en-US"/>
        </w:rPr>
        <w:t xml:space="preserve"> and periodicity</w:t>
      </w:r>
      <w:r w:rsidRPr="001E621E">
        <w:rPr>
          <w:rFonts w:ascii="Times New Roman" w:eastAsia="宋体" w:hAnsi="Times New Roman"/>
          <w:sz w:val="22"/>
          <w:szCs w:val="22"/>
          <w:lang w:val="en-US"/>
        </w:rPr>
        <w:t xml:space="preserve">. </w:t>
      </w:r>
      <w:r>
        <w:rPr>
          <w:rFonts w:ascii="Times New Roman" w:eastAsia="宋体" w:hAnsi="Times New Roman"/>
          <w:sz w:val="22"/>
          <w:szCs w:val="22"/>
          <w:lang w:val="en-US"/>
        </w:rPr>
        <w:t xml:space="preserve">Furthermore, gNB needs to share </w:t>
      </w:r>
      <w:r w:rsidRPr="001E621E">
        <w:rPr>
          <w:rFonts w:ascii="Times New Roman" w:eastAsia="宋体" w:hAnsi="Times New Roman"/>
          <w:sz w:val="22"/>
          <w:szCs w:val="22"/>
          <w:lang w:val="en-US"/>
        </w:rPr>
        <w:t xml:space="preserve">the configured BWPs of the UE </w:t>
      </w:r>
      <w:r>
        <w:rPr>
          <w:rFonts w:ascii="Times New Roman" w:eastAsia="宋体" w:hAnsi="Times New Roman"/>
          <w:sz w:val="22"/>
          <w:szCs w:val="22"/>
          <w:lang w:val="en-US"/>
        </w:rPr>
        <w:t>as well as the</w:t>
      </w:r>
      <w:r w:rsidRPr="001E621E">
        <w:rPr>
          <w:rFonts w:ascii="Times New Roman" w:eastAsia="宋体" w:hAnsi="Times New Roman"/>
          <w:sz w:val="22"/>
          <w:szCs w:val="22"/>
          <w:lang w:val="en-US"/>
        </w:rPr>
        <w:t xml:space="preserve"> information regarding UL beam alignment and power control.</w:t>
      </w:r>
    </w:p>
    <w:p w14:paraId="4DDE99FB" w14:textId="77777777" w:rsidR="00974308" w:rsidRPr="00894A75" w:rsidRDefault="00974308" w:rsidP="00974308">
      <w:pPr>
        <w:pStyle w:val="af"/>
        <w:numPr>
          <w:ilvl w:val="0"/>
          <w:numId w:val="11"/>
        </w:numPr>
        <w:ind w:leftChars="0"/>
        <w:jc w:val="both"/>
        <w:rPr>
          <w:rFonts w:ascii="Times New Roman" w:eastAsia="宋体" w:hAnsi="Times New Roman"/>
          <w:b/>
          <w:sz w:val="22"/>
          <w:szCs w:val="22"/>
          <w:lang w:val="en-US"/>
        </w:rPr>
      </w:pPr>
      <w:r w:rsidRPr="00894A75">
        <w:rPr>
          <w:rFonts w:ascii="Times New Roman" w:eastAsia="宋体" w:hAnsi="Times New Roman"/>
          <w:b/>
          <w:sz w:val="22"/>
          <w:szCs w:val="22"/>
          <w:lang w:val="en-US"/>
        </w:rPr>
        <w:t>Collision with other uplink channels:</w:t>
      </w:r>
      <w:r w:rsidRPr="00894A75">
        <w:rPr>
          <w:rFonts w:ascii="Times New Roman" w:eastAsia="宋体" w:hAnsi="Times New Roman"/>
          <w:sz w:val="22"/>
          <w:szCs w:val="22"/>
          <w:lang w:val="en-US"/>
        </w:rPr>
        <w:t xml:space="preserve"> Unless positioning SRS is only configured in dedicated time-frequency resources similar to the approach used to configure DL PRS, it is not clear how SRS can be configured by LMF without colliding with UL channels of the same or other UEs.        </w:t>
      </w:r>
    </w:p>
    <w:p w14:paraId="1C57CD63" w14:textId="38210D9A" w:rsidR="00974308" w:rsidRPr="00B87B58" w:rsidRDefault="00974308" w:rsidP="00974308">
      <w:pPr>
        <w:pStyle w:val="af"/>
        <w:numPr>
          <w:ilvl w:val="0"/>
          <w:numId w:val="11"/>
        </w:numPr>
        <w:ind w:leftChars="0"/>
        <w:jc w:val="both"/>
        <w:rPr>
          <w:rFonts w:ascii="Times New Roman" w:eastAsia="宋体" w:hAnsi="Times New Roman"/>
          <w:b/>
          <w:sz w:val="22"/>
          <w:szCs w:val="22"/>
          <w:lang w:val="en-US"/>
        </w:rPr>
      </w:pPr>
      <w:r>
        <w:rPr>
          <w:rFonts w:ascii="Times New Roman" w:eastAsia="宋体" w:hAnsi="Times New Roman"/>
          <w:b/>
          <w:sz w:val="22"/>
          <w:szCs w:val="22"/>
          <w:lang w:val="en-US"/>
        </w:rPr>
        <w:t>Unspecified UE b</w:t>
      </w:r>
      <w:r w:rsidRPr="000114E7">
        <w:rPr>
          <w:rFonts w:ascii="Times New Roman" w:eastAsia="宋体" w:hAnsi="Times New Roman"/>
          <w:b/>
          <w:sz w:val="22"/>
          <w:szCs w:val="22"/>
          <w:lang w:val="en-US"/>
        </w:rPr>
        <w:t xml:space="preserve">ehavior in the case of </w:t>
      </w:r>
      <w:r>
        <w:rPr>
          <w:rFonts w:ascii="Times New Roman" w:eastAsia="宋体" w:hAnsi="Times New Roman"/>
          <w:b/>
          <w:sz w:val="22"/>
          <w:szCs w:val="22"/>
          <w:lang w:val="en-US"/>
        </w:rPr>
        <w:t>radio link failure (RLF)</w:t>
      </w:r>
      <w:r w:rsidRPr="00B87B58">
        <w:rPr>
          <w:rFonts w:ascii="Times New Roman" w:eastAsia="宋体" w:hAnsi="Times New Roman"/>
          <w:b/>
          <w:sz w:val="22"/>
          <w:szCs w:val="22"/>
          <w:lang w:val="en-US"/>
        </w:rPr>
        <w:t xml:space="preserve">: </w:t>
      </w:r>
      <w:r w:rsidRPr="00B87B58">
        <w:rPr>
          <w:rFonts w:ascii="Times New Roman" w:eastAsia="宋体" w:hAnsi="Times New Roman"/>
          <w:sz w:val="22"/>
          <w:szCs w:val="22"/>
          <w:lang w:val="en-US"/>
        </w:rPr>
        <w:t>Upon RLF indication, UE releases</w:t>
      </w:r>
      <w:r>
        <w:rPr>
          <w:rFonts w:ascii="Times New Roman" w:eastAsia="宋体" w:hAnsi="Times New Roman"/>
          <w:sz w:val="22"/>
          <w:szCs w:val="22"/>
          <w:lang w:val="en-US"/>
        </w:rPr>
        <w:t xml:space="preserve"> its higher layer configurations and starts a RRC connection reestablishment procedure. As such, no matter if positioning SRS is configured in RRC or LPP, UE ceases to transmit positioning SRS after the RLF indication. Even if a hypothetic mechanism is devised for UE to maintain the LPP-configured positioning SRS, UE does not have a timing reference to continue transmitting such SRS before a cell reselection. In that regard, there is no advantage of configuring positioning SRS in LPP. Moreover, the UE behavior is clear if positioning SRS is configured in RRC: UE needs to be reconfigured with positioning SRS after RRC connection reestablishment. In contrast, UE behavior is not specified </w:t>
      </w:r>
      <w:r w:rsidR="004B25DE">
        <w:rPr>
          <w:rFonts w:ascii="Times New Roman" w:eastAsia="宋体" w:hAnsi="Times New Roman"/>
          <w:sz w:val="22"/>
          <w:szCs w:val="22"/>
          <w:lang w:val="en-US"/>
        </w:rPr>
        <w:t xml:space="preserve">during and </w:t>
      </w:r>
      <w:r>
        <w:rPr>
          <w:rFonts w:ascii="Times New Roman" w:eastAsia="宋体" w:hAnsi="Times New Roman"/>
          <w:sz w:val="22"/>
          <w:szCs w:val="22"/>
          <w:lang w:val="en-US"/>
        </w:rPr>
        <w:t xml:space="preserve">after RRC connection reestablishment </w:t>
      </w:r>
      <w:r w:rsidR="0026752B">
        <w:rPr>
          <w:rFonts w:ascii="Times New Roman" w:eastAsia="宋体" w:hAnsi="Times New Roman"/>
          <w:sz w:val="22"/>
          <w:szCs w:val="22"/>
          <w:lang w:val="en-US"/>
        </w:rPr>
        <w:t xml:space="preserve">due to RLF </w:t>
      </w:r>
      <w:r>
        <w:rPr>
          <w:rFonts w:ascii="Times New Roman" w:eastAsia="宋体" w:hAnsi="Times New Roman"/>
          <w:sz w:val="22"/>
          <w:szCs w:val="22"/>
          <w:lang w:val="en-US"/>
        </w:rPr>
        <w:t xml:space="preserve">if positioning SRS is configured in LPP. </w:t>
      </w:r>
    </w:p>
    <w:p w14:paraId="6F6F1A1E" w14:textId="3B486C72" w:rsidR="00974308" w:rsidRPr="00B87B58" w:rsidRDefault="00974308" w:rsidP="00974308">
      <w:pPr>
        <w:pStyle w:val="af"/>
        <w:numPr>
          <w:ilvl w:val="0"/>
          <w:numId w:val="11"/>
        </w:numPr>
        <w:ind w:leftChars="0"/>
        <w:jc w:val="both"/>
        <w:rPr>
          <w:rFonts w:ascii="Times New Roman" w:eastAsia="宋体" w:hAnsi="Times New Roman"/>
          <w:sz w:val="22"/>
          <w:szCs w:val="22"/>
          <w:lang w:val="en-US"/>
        </w:rPr>
      </w:pPr>
      <w:r w:rsidRPr="00B87B58">
        <w:rPr>
          <w:rFonts w:ascii="Times New Roman" w:eastAsia="宋体" w:hAnsi="Times New Roman"/>
          <w:b/>
          <w:sz w:val="22"/>
          <w:szCs w:val="22"/>
          <w:lang w:val="en-US"/>
        </w:rPr>
        <w:t xml:space="preserve">Unspecified </w:t>
      </w:r>
      <w:r>
        <w:rPr>
          <w:rFonts w:ascii="Times New Roman" w:eastAsia="宋体" w:hAnsi="Times New Roman"/>
          <w:b/>
          <w:sz w:val="22"/>
          <w:szCs w:val="22"/>
          <w:lang w:val="en-US"/>
        </w:rPr>
        <w:t xml:space="preserve">UE </w:t>
      </w:r>
      <w:r w:rsidRPr="00894A75">
        <w:rPr>
          <w:rFonts w:ascii="Times New Roman" w:eastAsia="宋体" w:hAnsi="Times New Roman"/>
          <w:b/>
          <w:sz w:val="22"/>
          <w:szCs w:val="22"/>
          <w:lang w:val="en-US"/>
        </w:rPr>
        <w:t>b</w:t>
      </w:r>
      <w:r w:rsidRPr="000114E7">
        <w:rPr>
          <w:rFonts w:ascii="Times New Roman" w:eastAsia="宋体" w:hAnsi="Times New Roman"/>
          <w:b/>
          <w:sz w:val="22"/>
          <w:szCs w:val="22"/>
          <w:lang w:val="en-US"/>
        </w:rPr>
        <w:t xml:space="preserve">ehavior </w:t>
      </w:r>
      <w:r>
        <w:rPr>
          <w:rFonts w:ascii="Times New Roman" w:eastAsia="宋体" w:hAnsi="Times New Roman"/>
          <w:b/>
          <w:sz w:val="22"/>
          <w:szCs w:val="22"/>
          <w:lang w:val="en-US"/>
        </w:rPr>
        <w:t xml:space="preserve">in the case of handover: </w:t>
      </w:r>
      <w:r>
        <w:rPr>
          <w:rFonts w:ascii="Times New Roman" w:eastAsia="宋体" w:hAnsi="Times New Roman"/>
          <w:sz w:val="22"/>
          <w:szCs w:val="22"/>
          <w:lang w:val="en-US"/>
        </w:rPr>
        <w:t>UE behavior regarding RRC-configured signals during handover is well</w:t>
      </w:r>
      <w:r w:rsidR="004B25DE">
        <w:rPr>
          <w:rFonts w:ascii="Times New Roman" w:eastAsia="宋体" w:hAnsi="Times New Roman"/>
          <w:sz w:val="22"/>
          <w:szCs w:val="22"/>
          <w:lang w:val="en-US"/>
        </w:rPr>
        <w:t>-</w:t>
      </w:r>
      <w:r>
        <w:rPr>
          <w:rFonts w:ascii="Times New Roman" w:eastAsia="宋体" w:hAnsi="Times New Roman"/>
          <w:sz w:val="22"/>
          <w:szCs w:val="22"/>
          <w:lang w:val="en-US"/>
        </w:rPr>
        <w:t xml:space="preserve">specified. </w:t>
      </w:r>
      <w:r w:rsidRPr="00B87B58">
        <w:rPr>
          <w:rFonts w:ascii="Times New Roman" w:eastAsia="宋体" w:hAnsi="Times New Roman"/>
          <w:sz w:val="22"/>
          <w:szCs w:val="22"/>
          <w:lang w:val="en-US"/>
        </w:rPr>
        <w:t xml:space="preserve"> </w:t>
      </w:r>
      <w:r>
        <w:rPr>
          <w:rFonts w:ascii="Times New Roman" w:eastAsia="宋体" w:hAnsi="Times New Roman"/>
          <w:sz w:val="22"/>
          <w:szCs w:val="22"/>
          <w:lang w:val="en-US"/>
        </w:rPr>
        <w:t>If positioning SRS is configured in LPP, standardization effort is required to specify UE behavior during and after handover. We do not believe that any behavior other than SRS reconfiguration in LPP after handover is practical due to at least the possibility of source and target cell having different timing and the reconfig</w:t>
      </w:r>
      <w:r w:rsidR="00B03488">
        <w:rPr>
          <w:rFonts w:ascii="Times New Roman" w:eastAsia="宋体" w:hAnsi="Times New Roman"/>
          <w:sz w:val="22"/>
          <w:szCs w:val="22"/>
          <w:lang w:val="en-US"/>
        </w:rPr>
        <w:t xml:space="preserve">uration of UE </w:t>
      </w:r>
      <w:r>
        <w:rPr>
          <w:rFonts w:ascii="Times New Roman" w:eastAsia="宋体" w:hAnsi="Times New Roman"/>
          <w:sz w:val="22"/>
          <w:szCs w:val="22"/>
          <w:lang w:val="en-US"/>
        </w:rPr>
        <w:t>UL-BWPs by the target cell after the handover. As such, there is no advantage of configuring positioning SRS in LPP compared to configuring positioning SRS in RRC. The only difference is that if positioning SRS is configured in LPP, UE behavior after handover needs to be additionally discussed and specified.</w:t>
      </w:r>
    </w:p>
    <w:p w14:paraId="1449D1DC" w14:textId="77777777" w:rsidR="00974308" w:rsidRPr="00B87B58" w:rsidRDefault="00974308" w:rsidP="00974308">
      <w:pPr>
        <w:pStyle w:val="af"/>
        <w:numPr>
          <w:ilvl w:val="0"/>
          <w:numId w:val="11"/>
        </w:numPr>
        <w:ind w:leftChars="0"/>
        <w:jc w:val="both"/>
        <w:rPr>
          <w:rFonts w:ascii="Times New Roman" w:eastAsia="宋体" w:hAnsi="Times New Roman"/>
          <w:sz w:val="22"/>
          <w:szCs w:val="22"/>
          <w:lang w:val="en-US"/>
        </w:rPr>
      </w:pPr>
      <w:r>
        <w:rPr>
          <w:b/>
          <w:sz w:val="22"/>
          <w:szCs w:val="22"/>
        </w:rPr>
        <w:lastRenderedPageBreak/>
        <w:t xml:space="preserve">Positioning </w:t>
      </w:r>
      <w:r w:rsidRPr="000F6DD2">
        <w:rPr>
          <w:b/>
          <w:sz w:val="22"/>
          <w:szCs w:val="22"/>
        </w:rPr>
        <w:t>SRS reusability:</w:t>
      </w:r>
      <w:r w:rsidRPr="000F6DD2">
        <w:rPr>
          <w:sz w:val="22"/>
          <w:szCs w:val="22"/>
        </w:rPr>
        <w:t xml:space="preserve">  </w:t>
      </w:r>
      <w:r>
        <w:rPr>
          <w:sz w:val="22"/>
          <w:szCs w:val="22"/>
        </w:rPr>
        <w:t xml:space="preserve">Rel. 15 SRS is configured by gNB </w:t>
      </w:r>
      <w:r w:rsidRPr="000F6DD2">
        <w:rPr>
          <w:sz w:val="22"/>
          <w:szCs w:val="22"/>
        </w:rPr>
        <w:t>and is sent to the UE using RRC signalling</w:t>
      </w:r>
      <w:r>
        <w:rPr>
          <w:sz w:val="22"/>
          <w:szCs w:val="22"/>
        </w:rPr>
        <w:t xml:space="preserve">. If positioning SRS is configured by LPP, it is impossible to reuse the positioning SRS for any other purpose including Rel. 15 SRS usages. </w:t>
      </w:r>
    </w:p>
    <w:p w14:paraId="6F049A31" w14:textId="64752867" w:rsidR="00974308" w:rsidRPr="00B87B58" w:rsidRDefault="00974308" w:rsidP="00974308">
      <w:pPr>
        <w:pStyle w:val="af"/>
        <w:numPr>
          <w:ilvl w:val="0"/>
          <w:numId w:val="11"/>
        </w:numPr>
        <w:ind w:leftChars="0"/>
        <w:jc w:val="both"/>
        <w:rPr>
          <w:rFonts w:ascii="Times New Roman" w:eastAsia="宋体" w:hAnsi="Times New Roman"/>
          <w:sz w:val="22"/>
          <w:szCs w:val="22"/>
          <w:lang w:val="en-US"/>
        </w:rPr>
      </w:pPr>
      <w:r>
        <w:rPr>
          <w:b/>
          <w:sz w:val="22"/>
          <w:szCs w:val="22"/>
        </w:rPr>
        <w:t>Backward compatibility:</w:t>
      </w:r>
      <w:r>
        <w:rPr>
          <w:sz w:val="22"/>
          <w:szCs w:val="22"/>
        </w:rPr>
        <w:t xml:space="preserve"> </w:t>
      </w:r>
      <w:r w:rsidRPr="00B87B58">
        <w:rPr>
          <w:rFonts w:ascii="Times New Roman" w:eastAsia="宋体" w:hAnsi="Times New Roman"/>
          <w:sz w:val="22"/>
          <w:szCs w:val="22"/>
          <w:lang w:val="en-US"/>
        </w:rPr>
        <w:t xml:space="preserve">Rel. </w:t>
      </w:r>
      <w:r w:rsidRPr="00B07A86">
        <w:rPr>
          <w:rFonts w:ascii="Times New Roman" w:eastAsia="宋体" w:hAnsi="Times New Roman"/>
          <w:sz w:val="22"/>
          <w:szCs w:val="22"/>
          <w:lang w:val="en-US"/>
        </w:rPr>
        <w:t xml:space="preserve">15 UE can </w:t>
      </w:r>
      <w:r w:rsidRPr="00B87B58">
        <w:rPr>
          <w:rFonts w:ascii="Times New Roman" w:eastAsia="宋体" w:hAnsi="Times New Roman"/>
          <w:sz w:val="22"/>
          <w:szCs w:val="22"/>
          <w:lang w:val="en-US"/>
        </w:rPr>
        <w:t xml:space="preserve">support UTDOA and UAoA </w:t>
      </w:r>
      <w:r>
        <w:rPr>
          <w:rFonts w:ascii="Times New Roman" w:eastAsia="宋体" w:hAnsi="Times New Roman"/>
          <w:sz w:val="22"/>
          <w:szCs w:val="22"/>
          <w:lang w:val="en-US"/>
        </w:rPr>
        <w:t xml:space="preserve">only </w:t>
      </w:r>
      <w:r w:rsidRPr="00B87B58">
        <w:rPr>
          <w:rFonts w:ascii="Times New Roman" w:eastAsia="宋体" w:hAnsi="Times New Roman"/>
          <w:sz w:val="22"/>
          <w:szCs w:val="22"/>
          <w:lang w:val="en-US"/>
        </w:rPr>
        <w:t xml:space="preserve">if </w:t>
      </w:r>
      <w:r>
        <w:rPr>
          <w:rFonts w:ascii="Times New Roman" w:eastAsia="宋体" w:hAnsi="Times New Roman"/>
          <w:sz w:val="22"/>
          <w:szCs w:val="22"/>
          <w:lang w:val="en-US"/>
        </w:rPr>
        <w:t xml:space="preserve">positioning </w:t>
      </w:r>
      <w:r w:rsidRPr="00B87B58">
        <w:rPr>
          <w:rFonts w:ascii="Times New Roman" w:eastAsia="宋体" w:hAnsi="Times New Roman"/>
          <w:sz w:val="22"/>
          <w:szCs w:val="22"/>
          <w:lang w:val="en-US"/>
        </w:rPr>
        <w:t>SRS is configured by RRC</w:t>
      </w:r>
      <w:r>
        <w:rPr>
          <w:rFonts w:ascii="Times New Roman" w:eastAsia="宋体" w:hAnsi="Times New Roman"/>
          <w:sz w:val="22"/>
          <w:szCs w:val="22"/>
          <w:lang w:val="en-US"/>
        </w:rPr>
        <w:t xml:space="preserve">. </w:t>
      </w:r>
      <w:r w:rsidRPr="000F6DD2" w:rsidDel="0050227B">
        <w:rPr>
          <w:sz w:val="22"/>
          <w:szCs w:val="22"/>
        </w:rPr>
        <w:t xml:space="preserve"> </w:t>
      </w:r>
      <w:r>
        <w:rPr>
          <w:sz w:val="22"/>
          <w:szCs w:val="22"/>
        </w:rPr>
        <w:t xml:space="preserve">There is no mechanism to configure SRS for a Rel. 15 UE using LPP. </w:t>
      </w:r>
    </w:p>
    <w:p w14:paraId="1E9C4FA0" w14:textId="77777777" w:rsidR="00974308" w:rsidRPr="00DF17CF" w:rsidRDefault="00974308" w:rsidP="00974308">
      <w:pPr>
        <w:pStyle w:val="af"/>
        <w:ind w:leftChars="0" w:left="720"/>
        <w:jc w:val="both"/>
      </w:pPr>
    </w:p>
    <w:p w14:paraId="6DA7707C" w14:textId="62CDC810" w:rsidR="00974308" w:rsidRDefault="00974308" w:rsidP="00974308">
      <w:r>
        <w:t>As discussed above, some of the disadvantages of configuring positioning SRS in LPP may be addressed by specifying the UE behavior (see, e.g., items 3</w:t>
      </w:r>
      <w:r w:rsidR="004B25DE">
        <w:t xml:space="preserve"> and 4 above</w:t>
      </w:r>
      <w:r>
        <w:t xml:space="preserve">). However, we do not see any reason to dedicate the limited remaining time in Rel. 16 WI for such standardization efforts: Even if such behaviors are successfully specified during the remaining limited time in Rel. 16, we fail to see any evidence that the positioning SRS configuration in LPP can bring about any advantage compared to the positioning SRS configuration in RRC which is already well-established and standardized. </w:t>
      </w:r>
    </w:p>
    <w:p w14:paraId="4B932A33" w14:textId="77777777" w:rsidR="00974308" w:rsidRPr="001E621E" w:rsidRDefault="00974308" w:rsidP="00974308">
      <w:r>
        <w:t xml:space="preserve">Based on the above discussion, we propose the following. </w:t>
      </w:r>
    </w:p>
    <w:p w14:paraId="67C6C8C2" w14:textId="581B616C" w:rsidR="00974308" w:rsidRDefault="00C9188F" w:rsidP="00974308">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7</w:t>
      </w:r>
      <w:r w:rsidRPr="006C5C3B">
        <w:rPr>
          <w:b/>
          <w:i/>
        </w:rPr>
        <w:fldChar w:fldCharType="end"/>
      </w:r>
      <w:r w:rsidRPr="006C5C3B">
        <w:rPr>
          <w:b/>
          <w:i/>
        </w:rPr>
        <w:t>:</w:t>
      </w:r>
      <w:r w:rsidRPr="000C40D9">
        <w:rPr>
          <w:b/>
          <w:i/>
        </w:rPr>
        <w:t xml:space="preserve"> </w:t>
      </w:r>
      <w:r w:rsidR="00974308">
        <w:rPr>
          <w:b/>
          <w:i/>
        </w:rPr>
        <w:t xml:space="preserve"> </w:t>
      </w:r>
      <w:r w:rsidR="00974308" w:rsidRPr="00914EA4">
        <w:rPr>
          <w:b/>
          <w:i/>
        </w:rPr>
        <w:t xml:space="preserve">SRS for NR positioning is configured </w:t>
      </w:r>
      <w:r w:rsidR="00974308">
        <w:rPr>
          <w:b/>
          <w:i/>
        </w:rPr>
        <w:t xml:space="preserve">in RRC </w:t>
      </w:r>
      <w:r w:rsidR="00974308" w:rsidRPr="00914EA4">
        <w:rPr>
          <w:b/>
          <w:i/>
        </w:rPr>
        <w:t>by the serving gNB.</w:t>
      </w:r>
    </w:p>
    <w:p w14:paraId="5B588ECA" w14:textId="77777777" w:rsidR="008757CA" w:rsidRPr="00914EA4" w:rsidRDefault="008757CA" w:rsidP="00974308">
      <w:pPr>
        <w:rPr>
          <w:b/>
          <w:i/>
        </w:rPr>
      </w:pPr>
    </w:p>
    <w:p w14:paraId="2BF7E175" w14:textId="49555356" w:rsidR="006D708D" w:rsidRDefault="006D708D" w:rsidP="00E325FC">
      <w:pPr>
        <w:pStyle w:val="2"/>
      </w:pPr>
      <w:r>
        <w:t>Reuse of Rel-15 SRS</w:t>
      </w:r>
    </w:p>
    <w:p w14:paraId="457B523D" w14:textId="696AF4F0" w:rsidR="006D708D" w:rsidRDefault="006D708D">
      <w:r>
        <w:t>Support of reusing Rel-15 SRS has the following benefits</w:t>
      </w:r>
    </w:p>
    <w:p w14:paraId="0976264C" w14:textId="6A3CCA08" w:rsidR="006D708D" w:rsidRDefault="006D708D" w:rsidP="00E325FC">
      <w:pPr>
        <w:pStyle w:val="af"/>
        <w:numPr>
          <w:ilvl w:val="0"/>
          <w:numId w:val="53"/>
        </w:numPr>
        <w:ind w:leftChars="0"/>
      </w:pPr>
      <w:r>
        <w:t>Rel-15 UE can have NR positioning service, including UL-TDOA and UL-AoA</w:t>
      </w:r>
    </w:p>
    <w:p w14:paraId="003F2C1A" w14:textId="05B333C4" w:rsidR="006D708D" w:rsidRDefault="006D708D" w:rsidP="00E325FC">
      <w:pPr>
        <w:pStyle w:val="af"/>
        <w:numPr>
          <w:ilvl w:val="0"/>
          <w:numId w:val="53"/>
        </w:numPr>
        <w:ind w:leftChars="0"/>
      </w:pPr>
      <w:r>
        <w:t>Less overhead than the dedicated SRS for positioning</w:t>
      </w:r>
    </w:p>
    <w:p w14:paraId="30C817C6" w14:textId="0DCFC738" w:rsidR="00CB1310" w:rsidRDefault="006D708D">
      <w:r>
        <w:t xml:space="preserve">For Rel-15 UE, Rel-16 UL positioning only needs changes at NG-RAN and 5GC side, without any additional UE feature. </w:t>
      </w:r>
      <w:r w:rsidR="00A946F3">
        <w:t>Furthermore</w:t>
      </w:r>
      <w:r>
        <w:t xml:space="preserve">, the Rel-15 SRS can be configured with maximum 4 symbols, which shows sufficient UL coverage for the commercial use case, as evaluated in the SI </w:t>
      </w:r>
      <w:r>
        <w:fldChar w:fldCharType="begin"/>
      </w:r>
      <w:r>
        <w:instrText xml:space="preserve"> REF _Ref19974930 \r \h </w:instrText>
      </w:r>
      <w:r>
        <w:fldChar w:fldCharType="separate"/>
      </w:r>
      <w:r w:rsidR="00133448">
        <w:t>[10]</w:t>
      </w:r>
      <w:r>
        <w:fldChar w:fldCharType="end"/>
      </w:r>
      <w:r>
        <w:t xml:space="preserve">. </w:t>
      </w:r>
      <w:r w:rsidR="00577808">
        <w:t>I</w:t>
      </w:r>
      <w:r>
        <w:t xml:space="preserve">t is up to gNB to </w:t>
      </w:r>
      <w:r w:rsidR="00577808">
        <w:t>resolve</w:t>
      </w:r>
      <w:r w:rsidR="00577808" w:rsidRPr="00577808">
        <w:t xml:space="preserve"> </w:t>
      </w:r>
      <w:r w:rsidR="00577808">
        <w:t>the correlation ambiguity due to non-staggering pattern</w:t>
      </w:r>
      <w:r>
        <w:t>.</w:t>
      </w:r>
    </w:p>
    <w:p w14:paraId="129D6718" w14:textId="771A73AD" w:rsidR="006D708D" w:rsidRDefault="006D708D">
      <w:r>
        <w:t xml:space="preserve">Note that the ambiguity range </w:t>
      </w:r>
      <w:r w:rsidR="003B3212">
        <w:t xml:space="preserve">for comb-4 SRS with 30kHz </w:t>
      </w:r>
      <w:r w:rsidR="00453725">
        <w:t xml:space="preserve">SCS </w:t>
      </w:r>
      <w:r>
        <w:t>is approximately given by</w:t>
      </w:r>
    </w:p>
    <w:p w14:paraId="1898EE43" w14:textId="4DC28FCC" w:rsidR="006D708D" w:rsidRPr="00CB1310" w:rsidRDefault="008D7632">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30×4</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8</m:t>
              </m:r>
            </m:sup>
          </m:sSup>
          <m:r>
            <w:rPr>
              <w:rFonts w:ascii="Cambria Math" w:hAnsi="Cambria Math"/>
            </w:rPr>
            <m:t>=</m:t>
          </m:r>
          <m:r>
            <m:rPr>
              <m:sty m:val="p"/>
            </m:rPr>
            <w:rPr>
              <w:rFonts w:ascii="Cambria Math" w:hAnsi="Cambria Math"/>
            </w:rPr>
            <m:t>2500</m:t>
          </m:r>
          <m:d>
            <m:dPr>
              <m:ctrlPr>
                <w:rPr>
                  <w:rFonts w:ascii="Cambria Math" w:hAnsi="Cambria Math"/>
                </w:rPr>
              </m:ctrlPr>
            </m:dPr>
            <m:e>
              <m:r>
                <m:rPr>
                  <m:sty m:val="p"/>
                </m:rPr>
                <w:rPr>
                  <w:rFonts w:ascii="Cambria Math" w:hAnsi="Cambria Math"/>
                </w:rPr>
                <m:t>m</m:t>
              </m:r>
            </m:e>
          </m:d>
        </m:oMath>
      </m:oMathPara>
    </w:p>
    <w:p w14:paraId="5CFC853D" w14:textId="15123F3C" w:rsidR="00CB1310" w:rsidRDefault="00CB1310">
      <w:r>
        <w:t xml:space="preserve">Even </w:t>
      </w:r>
      <w:r w:rsidR="00453725">
        <w:t xml:space="preserve">when </w:t>
      </w:r>
      <w:r>
        <w:t xml:space="preserve">120kHz </w:t>
      </w:r>
      <w:r w:rsidR="00453725">
        <w:t xml:space="preserve">SCS </w:t>
      </w:r>
      <w:r>
        <w:t>in FR2</w:t>
      </w:r>
      <w:r w:rsidR="00453725">
        <w:t xml:space="preserve"> is used</w:t>
      </w:r>
      <w:r>
        <w:t xml:space="preserve">, the ambiguity range is approximately 625m. It is not so difficult for </w:t>
      </w:r>
      <w:r w:rsidR="009C6090">
        <w:t xml:space="preserve">a </w:t>
      </w:r>
      <w:r>
        <w:t xml:space="preserve">gNB to </w:t>
      </w:r>
      <w:r w:rsidR="00453725">
        <w:t xml:space="preserve">resolve </w:t>
      </w:r>
      <w:r>
        <w:t>it.</w:t>
      </w:r>
    </w:p>
    <w:p w14:paraId="4908F5CF" w14:textId="5E5D4CBD" w:rsidR="00C735A5" w:rsidRDefault="00C735A5">
      <w:r>
        <w:t>When Rel-15 SRS is reused, the SRS should be associated with a specific usage. All the fields in the SRS resource configuration should be there, as part of the SRS configuration transferred between gNB and LMF.</w:t>
      </w:r>
    </w:p>
    <w:p w14:paraId="1D964129" w14:textId="78109731" w:rsidR="00CB1310" w:rsidRDefault="00C9188F">
      <w:pPr>
        <w:rPr>
          <w:b/>
          <w:bCs/>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8</w:t>
      </w:r>
      <w:r w:rsidRPr="006C5C3B">
        <w:rPr>
          <w:b/>
          <w:i/>
        </w:rPr>
        <w:fldChar w:fldCharType="end"/>
      </w:r>
      <w:r w:rsidRPr="006C5C3B">
        <w:rPr>
          <w:b/>
          <w:i/>
        </w:rPr>
        <w:t>:</w:t>
      </w:r>
      <w:r w:rsidRPr="000C40D9">
        <w:rPr>
          <w:b/>
          <w:i/>
        </w:rPr>
        <w:t xml:space="preserve"> </w:t>
      </w:r>
      <w:r w:rsidR="00C735A5">
        <w:rPr>
          <w:b/>
          <w:bCs/>
          <w:i/>
        </w:rPr>
        <w:t>Support reuse of Rel-15 SRS for NR positioning in addition to any enhanced SRS</w:t>
      </w:r>
      <w:r w:rsidR="00B07E10">
        <w:rPr>
          <w:b/>
          <w:bCs/>
          <w:i/>
        </w:rPr>
        <w:t xml:space="preserve"> in Rel. 16</w:t>
      </w:r>
      <w:r w:rsidR="00C735A5">
        <w:rPr>
          <w:b/>
          <w:bCs/>
          <w:i/>
        </w:rPr>
        <w:t>.</w:t>
      </w:r>
    </w:p>
    <w:p w14:paraId="0FDB0507" w14:textId="06B1A7E7" w:rsidR="00C735A5" w:rsidRDefault="00C735A5" w:rsidP="00E325FC">
      <w:pPr>
        <w:pStyle w:val="af"/>
        <w:numPr>
          <w:ilvl w:val="0"/>
          <w:numId w:val="54"/>
        </w:numPr>
        <w:ind w:leftChars="0"/>
        <w:rPr>
          <w:b/>
          <w:i/>
        </w:rPr>
      </w:pPr>
      <w:r>
        <w:rPr>
          <w:b/>
          <w:i/>
        </w:rPr>
        <w:t>There is no RAN1 impact.</w:t>
      </w:r>
    </w:p>
    <w:p w14:paraId="612259D0" w14:textId="6882F127" w:rsidR="00C735A5" w:rsidRDefault="00C735A5" w:rsidP="00E325FC">
      <w:pPr>
        <w:pStyle w:val="af"/>
        <w:numPr>
          <w:ilvl w:val="0"/>
          <w:numId w:val="54"/>
        </w:numPr>
        <w:ind w:leftChars="0"/>
        <w:rPr>
          <w:b/>
          <w:i/>
        </w:rPr>
      </w:pPr>
      <w:r w:rsidRPr="00E325FC">
        <w:rPr>
          <w:b/>
          <w:i/>
        </w:rPr>
        <w:t>Send an LS to RAN2 and RAN3.</w:t>
      </w:r>
    </w:p>
    <w:p w14:paraId="0A094BD0" w14:textId="77777777" w:rsidR="00C9188F" w:rsidRPr="00D96EA3" w:rsidRDefault="00C9188F" w:rsidP="00D96EA3">
      <w:pPr>
        <w:rPr>
          <w:b/>
          <w:i/>
        </w:rPr>
      </w:pPr>
    </w:p>
    <w:p w14:paraId="5C370628" w14:textId="26B0D6FF" w:rsidR="00FA30B3" w:rsidRDefault="0099278D" w:rsidP="0099278D">
      <w:pPr>
        <w:pStyle w:val="2"/>
      </w:pPr>
      <w:r>
        <w:t xml:space="preserve">SRS beam management/alignment </w:t>
      </w:r>
    </w:p>
    <w:tbl>
      <w:tblPr>
        <w:tblStyle w:val="ac"/>
        <w:tblW w:w="0" w:type="auto"/>
        <w:tblLook w:val="04A0" w:firstRow="1" w:lastRow="0" w:firstColumn="1" w:lastColumn="0" w:noHBand="0" w:noVBand="1"/>
      </w:tblPr>
      <w:tblGrid>
        <w:gridCol w:w="9307"/>
      </w:tblGrid>
      <w:tr w:rsidR="0099278D" w14:paraId="15BD0379" w14:textId="77777777" w:rsidTr="0099278D">
        <w:tc>
          <w:tcPr>
            <w:tcW w:w="9307" w:type="dxa"/>
          </w:tcPr>
          <w:p w14:paraId="27078B6A" w14:textId="33F34EA4" w:rsidR="00CD697C" w:rsidRDefault="00CD697C" w:rsidP="0099278D">
            <w:pPr>
              <w:rPr>
                <w:b/>
                <w:u w:val="single"/>
              </w:rPr>
            </w:pPr>
            <w:r w:rsidRPr="00CD697C">
              <w:rPr>
                <w:b/>
                <w:u w:val="single"/>
              </w:rPr>
              <w:t>Agreement</w:t>
            </w:r>
            <w:r w:rsidR="004F50C0">
              <w:rPr>
                <w:b/>
                <w:u w:val="single"/>
              </w:rPr>
              <w:t xml:space="preserve"> </w:t>
            </w:r>
            <w:r w:rsidR="008D7233">
              <w:rPr>
                <w:b/>
                <w:u w:val="single"/>
              </w:rPr>
              <w:fldChar w:fldCharType="begin"/>
            </w:r>
            <w:r w:rsidR="008D7233">
              <w:rPr>
                <w:b/>
                <w:u w:val="single"/>
              </w:rPr>
              <w:instrText xml:space="preserve"> REF _Ref16354773 \r \h </w:instrText>
            </w:r>
            <w:r w:rsidR="008D7233">
              <w:rPr>
                <w:b/>
                <w:u w:val="single"/>
              </w:rPr>
            </w:r>
            <w:r w:rsidR="008D7233">
              <w:rPr>
                <w:b/>
                <w:u w:val="single"/>
              </w:rPr>
              <w:fldChar w:fldCharType="separate"/>
            </w:r>
            <w:r w:rsidR="00133448">
              <w:rPr>
                <w:b/>
                <w:u w:val="single"/>
              </w:rPr>
              <w:t>[2]</w:t>
            </w:r>
            <w:r w:rsidR="008D7233">
              <w:rPr>
                <w:b/>
                <w:u w:val="single"/>
              </w:rPr>
              <w:fldChar w:fldCharType="end"/>
            </w:r>
            <w:r w:rsidRPr="00CD697C">
              <w:rPr>
                <w:b/>
                <w:u w:val="single"/>
              </w:rPr>
              <w:t>:</w:t>
            </w:r>
          </w:p>
          <w:p w14:paraId="495A740A" w14:textId="677C3487" w:rsidR="0099278D" w:rsidRDefault="0099278D" w:rsidP="0099278D">
            <w:r>
              <w:t>For positioning purposes, for UL Beam management/alignment towards serving and neighbouring cells, the following is supported (in addition to UE TX beam sweeping):</w:t>
            </w:r>
          </w:p>
          <w:p w14:paraId="2E227E73" w14:textId="77777777" w:rsidR="0099278D" w:rsidRDefault="0099278D" w:rsidP="0099278D">
            <w:pPr>
              <w:keepNext/>
              <w:keepLines/>
              <w:numPr>
                <w:ilvl w:val="0"/>
                <w:numId w:val="19"/>
              </w:numPr>
              <w:autoSpaceDE/>
              <w:autoSpaceDN/>
              <w:adjustRightInd/>
              <w:snapToGrid/>
              <w:spacing w:after="60"/>
              <w:jc w:val="left"/>
              <w:rPr>
                <w:lang w:eastAsia="ko-KR"/>
              </w:rPr>
            </w:pPr>
            <w:r>
              <w:rPr>
                <w:lang w:eastAsia="ko-KR"/>
              </w:rPr>
              <w:lastRenderedPageBreak/>
              <w:t>Configuration of a spatial relation between a reference DL RS from serving or neighbouring cells and the target SRS.</w:t>
            </w:r>
          </w:p>
          <w:p w14:paraId="7C59BAF2" w14:textId="77777777" w:rsidR="0099278D" w:rsidRPr="00726FE2" w:rsidRDefault="0099278D" w:rsidP="0099278D">
            <w:pPr>
              <w:keepNext/>
              <w:keepLines/>
              <w:numPr>
                <w:ilvl w:val="1"/>
                <w:numId w:val="19"/>
              </w:numPr>
              <w:autoSpaceDE/>
              <w:autoSpaceDN/>
              <w:adjustRightInd/>
              <w:snapToGrid/>
              <w:spacing w:after="60"/>
              <w:jc w:val="left"/>
              <w:rPr>
                <w:lang w:eastAsia="ko-KR"/>
              </w:rPr>
            </w:pPr>
            <w:r w:rsidRPr="00726FE2">
              <w:rPr>
                <w:lang w:eastAsia="ko-KR"/>
              </w:rPr>
              <w:t>Reference DL RS that can be used include at least SSB. FFS on CSI-RS, DL-PRS.</w:t>
            </w:r>
          </w:p>
          <w:p w14:paraId="1965C676" w14:textId="77777777" w:rsidR="0099278D" w:rsidRPr="000F02FD" w:rsidRDefault="0099278D" w:rsidP="0099278D">
            <w:pPr>
              <w:keepNext/>
              <w:keepLines/>
              <w:numPr>
                <w:ilvl w:val="0"/>
                <w:numId w:val="19"/>
              </w:numPr>
              <w:autoSpaceDE/>
              <w:autoSpaceDN/>
              <w:adjustRightInd/>
              <w:snapToGrid/>
              <w:spacing w:after="60"/>
              <w:jc w:val="left"/>
              <w:rPr>
                <w:lang w:eastAsia="ko-KR"/>
              </w:rPr>
            </w:pPr>
            <w:r w:rsidRPr="000F02FD">
              <w:rPr>
                <w:lang w:eastAsia="ko-KR"/>
              </w:rPr>
              <w:t>A fixed Tx beam for UL SRS transmissions across multiple UL SRS Resources, for both FR1 and FR2.</w:t>
            </w:r>
          </w:p>
          <w:p w14:paraId="707B49BF" w14:textId="77777777" w:rsidR="0099278D" w:rsidRPr="000F02FD" w:rsidRDefault="0099278D" w:rsidP="0099278D">
            <w:pPr>
              <w:keepNext/>
              <w:keepLines/>
              <w:numPr>
                <w:ilvl w:val="1"/>
                <w:numId w:val="19"/>
              </w:numPr>
              <w:autoSpaceDE/>
              <w:autoSpaceDN/>
              <w:adjustRightInd/>
              <w:snapToGrid/>
              <w:spacing w:after="60"/>
              <w:jc w:val="left"/>
              <w:rPr>
                <w:lang w:eastAsia="ko-KR"/>
              </w:rPr>
            </w:pPr>
            <w:r w:rsidRPr="000F02FD">
              <w:rPr>
                <w:lang w:eastAsia="ko-KR"/>
              </w:rPr>
              <w:t>FFS how the fixed beam is selected.</w:t>
            </w:r>
          </w:p>
          <w:p w14:paraId="44C91D05" w14:textId="77777777" w:rsidR="0099278D" w:rsidRDefault="0099278D" w:rsidP="0099278D">
            <w:pPr>
              <w:keepNext/>
              <w:keepLines/>
              <w:numPr>
                <w:ilvl w:val="0"/>
                <w:numId w:val="19"/>
              </w:numPr>
              <w:autoSpaceDE/>
              <w:autoSpaceDN/>
              <w:adjustRightInd/>
              <w:snapToGrid/>
              <w:spacing w:after="60"/>
              <w:jc w:val="left"/>
              <w:rPr>
                <w:lang w:eastAsia="ko-KR"/>
              </w:rPr>
            </w:pPr>
            <w:r w:rsidRPr="000F02FD">
              <w:rPr>
                <w:lang w:eastAsia="ko-KR"/>
              </w:rPr>
              <w:t>FFS on specification impacts.</w:t>
            </w:r>
          </w:p>
          <w:p w14:paraId="516E764B" w14:textId="15ACBB38" w:rsidR="0099278D" w:rsidRDefault="0099278D" w:rsidP="0099278D">
            <w:pPr>
              <w:keepNext/>
              <w:keepLines/>
              <w:numPr>
                <w:ilvl w:val="0"/>
                <w:numId w:val="19"/>
              </w:numPr>
              <w:autoSpaceDE/>
              <w:autoSpaceDN/>
              <w:adjustRightInd/>
              <w:snapToGrid/>
              <w:spacing w:after="60"/>
              <w:jc w:val="left"/>
            </w:pPr>
            <w:r>
              <w:rPr>
                <w:lang w:eastAsia="ko-KR"/>
              </w:rPr>
              <w:t>Note: In Rel-16, UE is not expected to transmit multiple SRS resources with different spatial relations in the same OFDM symbol (Rel-15 behaviour)</w:t>
            </w:r>
          </w:p>
        </w:tc>
      </w:tr>
    </w:tbl>
    <w:p w14:paraId="53A36FB6" w14:textId="77777777" w:rsidR="0099278D" w:rsidRDefault="0099278D" w:rsidP="0099278D"/>
    <w:p w14:paraId="00941FD9" w14:textId="74A935DF" w:rsidR="008B028B" w:rsidRDefault="008B028B" w:rsidP="0099278D">
      <w:r>
        <w:t xml:space="preserve">Configuration details regarding SRS beam management/alignment are discussed in our companion paper </w:t>
      </w:r>
      <w:r w:rsidR="00503BCC">
        <w:t>[1]</w:t>
      </w:r>
      <w:r>
        <w:t xml:space="preserve">. In this section, we only provide brief overview </w:t>
      </w:r>
      <w:r w:rsidR="000C41E6">
        <w:t xml:space="preserve">on our </w:t>
      </w:r>
      <w:r w:rsidR="00DD7D06">
        <w:t>related proposals</w:t>
      </w:r>
      <w:r w:rsidR="000C41E6">
        <w:t xml:space="preserve"> in </w:t>
      </w:r>
      <w:r w:rsidR="00503BCC">
        <w:t>[1]</w:t>
      </w:r>
      <w:r w:rsidR="000C41E6">
        <w:t xml:space="preserve">. </w:t>
      </w:r>
    </w:p>
    <w:p w14:paraId="4259592B" w14:textId="1D8243EF" w:rsidR="00672515" w:rsidRPr="00B95709" w:rsidRDefault="00BE6B26">
      <w:r>
        <w:t xml:space="preserve">In RAN1 97, it was agreed that </w:t>
      </w:r>
      <w:r w:rsidR="00842747">
        <w:t xml:space="preserve">at least SSB from the serving and neighboring cells </w:t>
      </w:r>
      <w:r w:rsidR="00280524">
        <w:t>is</w:t>
      </w:r>
      <w:r w:rsidR="00842747">
        <w:t xml:space="preserve"> used as </w:t>
      </w:r>
      <w:r w:rsidR="007334F2">
        <w:t xml:space="preserve">the </w:t>
      </w:r>
      <w:r w:rsidR="00842747" w:rsidRPr="00B91DBE">
        <w:rPr>
          <w:i/>
        </w:rPr>
        <w:t>spatialRelationInfo</w:t>
      </w:r>
      <w:r w:rsidR="00B02638">
        <w:t xml:space="preserve"> </w:t>
      </w:r>
      <w:r w:rsidR="00842747">
        <w:t xml:space="preserve">RS for </w:t>
      </w:r>
      <w:r w:rsidR="0073281A">
        <w:t xml:space="preserve">the </w:t>
      </w:r>
      <w:r w:rsidR="00842747">
        <w:t xml:space="preserve">positioning SRS. </w:t>
      </w:r>
      <w:r w:rsidR="000C41E6">
        <w:t xml:space="preserve">As explained in </w:t>
      </w:r>
      <w:r w:rsidR="00503BCC">
        <w:t>[1]</w:t>
      </w:r>
      <w:r w:rsidR="000C41E6">
        <w:t xml:space="preserve">, both </w:t>
      </w:r>
      <w:r w:rsidR="00C61FDB">
        <w:t xml:space="preserve">CSI-RS </w:t>
      </w:r>
      <w:r w:rsidR="00393B86">
        <w:t xml:space="preserve">and DL-PRS </w:t>
      </w:r>
      <w:r w:rsidR="00C61FDB">
        <w:t xml:space="preserve">from </w:t>
      </w:r>
      <w:r w:rsidR="00D7334A">
        <w:t xml:space="preserve">the </w:t>
      </w:r>
      <w:r w:rsidR="00CC2213">
        <w:t xml:space="preserve">serving and </w:t>
      </w:r>
      <w:r w:rsidR="00C61FDB">
        <w:t xml:space="preserve">neighboring cells </w:t>
      </w:r>
      <w:r w:rsidR="00D7334A">
        <w:t>should also be supported to</w:t>
      </w:r>
      <w:r w:rsidR="00C61FDB">
        <w:t xml:space="preserve"> be used as </w:t>
      </w:r>
      <w:r w:rsidR="00D7334A">
        <w:t xml:space="preserve">the </w:t>
      </w:r>
      <w:r w:rsidR="00C61FDB" w:rsidRPr="00B91DBE">
        <w:rPr>
          <w:i/>
        </w:rPr>
        <w:t>spatialRelationInfo</w:t>
      </w:r>
      <w:r w:rsidR="00C61FDB">
        <w:t xml:space="preserve"> RS for </w:t>
      </w:r>
      <w:r w:rsidR="00D7334A">
        <w:t xml:space="preserve">the </w:t>
      </w:r>
      <w:r w:rsidR="00C61FDB">
        <w:t>positioning SRS</w:t>
      </w:r>
      <w:r w:rsidR="00393B86">
        <w:t>.</w:t>
      </w:r>
      <w:r w:rsidR="00C61FDB">
        <w:t xml:space="preserve"> </w:t>
      </w:r>
      <w:r w:rsidR="00393B86">
        <w:t>We have proposed</w:t>
      </w:r>
      <w:r w:rsidR="00F20A90">
        <w:t xml:space="preserve"> in</w:t>
      </w:r>
      <w:r w:rsidR="00393B86">
        <w:t xml:space="preserve"> </w:t>
      </w:r>
      <w:r w:rsidR="00503BCC">
        <w:t>[1]</w:t>
      </w:r>
      <w:r w:rsidR="00F20A90">
        <w:t xml:space="preserve"> the following</w:t>
      </w:r>
      <w:r w:rsidR="00393B86">
        <w:t>:</w:t>
      </w:r>
    </w:p>
    <w:p w14:paraId="78BEB104" w14:textId="42372311" w:rsidR="00672515" w:rsidRPr="00512AD2" w:rsidRDefault="00C9188F" w:rsidP="00B95709">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9</w:t>
      </w:r>
      <w:r w:rsidRPr="006C5C3B">
        <w:rPr>
          <w:b/>
          <w:i/>
        </w:rPr>
        <w:fldChar w:fldCharType="end"/>
      </w:r>
      <w:r w:rsidRPr="006C5C3B">
        <w:rPr>
          <w:b/>
          <w:i/>
        </w:rPr>
        <w:t>:</w:t>
      </w:r>
      <w:r w:rsidRPr="000C40D9">
        <w:rPr>
          <w:b/>
          <w:i/>
        </w:rPr>
        <w:t xml:space="preserve"> </w:t>
      </w:r>
      <w:r w:rsidR="00A43157" w:rsidRPr="00B95709">
        <w:rPr>
          <w:b/>
          <w:i/>
        </w:rPr>
        <w:t xml:space="preserve">For positioning purposes, </w:t>
      </w:r>
      <w:r w:rsidR="00512AD2" w:rsidRPr="00B95709">
        <w:rPr>
          <w:b/>
          <w:i/>
        </w:rPr>
        <w:t>in addition to SSB, support configuring</w:t>
      </w:r>
      <w:r w:rsidR="00672515" w:rsidRPr="00512AD2">
        <w:rPr>
          <w:b/>
          <w:i/>
        </w:rPr>
        <w:t xml:space="preserve"> CSI-RS and DL-PRS </w:t>
      </w:r>
      <w:r w:rsidR="002239BA">
        <w:rPr>
          <w:b/>
          <w:i/>
        </w:rPr>
        <w:t>from</w:t>
      </w:r>
      <w:r w:rsidR="00672515" w:rsidRPr="00B95709">
        <w:rPr>
          <w:b/>
          <w:i/>
        </w:rPr>
        <w:t xml:space="preserve"> </w:t>
      </w:r>
      <w:r w:rsidR="00512AD2" w:rsidRPr="00B95709">
        <w:rPr>
          <w:b/>
          <w:i/>
        </w:rPr>
        <w:t xml:space="preserve">the </w:t>
      </w:r>
      <w:r w:rsidR="00672515" w:rsidRPr="00B95709">
        <w:rPr>
          <w:b/>
          <w:i/>
        </w:rPr>
        <w:t xml:space="preserve">serving and </w:t>
      </w:r>
      <w:r w:rsidR="00512AD2" w:rsidRPr="00512AD2">
        <w:rPr>
          <w:b/>
          <w:i/>
        </w:rPr>
        <w:t xml:space="preserve">the </w:t>
      </w:r>
      <w:r w:rsidR="00672515" w:rsidRPr="00512AD2">
        <w:rPr>
          <w:b/>
          <w:i/>
        </w:rPr>
        <w:t>neighboring cells as a spatialRelationInfo RS.</w:t>
      </w:r>
    </w:p>
    <w:p w14:paraId="33EC43FE" w14:textId="6606E3C0" w:rsidR="00A43157" w:rsidRPr="000F6DD2" w:rsidRDefault="00A43157" w:rsidP="000F6DD2">
      <w:pPr>
        <w:pStyle w:val="af"/>
        <w:numPr>
          <w:ilvl w:val="0"/>
          <w:numId w:val="38"/>
        </w:numPr>
        <w:ind w:leftChars="0"/>
        <w:rPr>
          <w:b/>
          <w:i/>
        </w:rPr>
      </w:pPr>
      <w:r w:rsidRPr="000F6DD2">
        <w:rPr>
          <w:b/>
          <w:i/>
        </w:rPr>
        <w:t xml:space="preserve">Send </w:t>
      </w:r>
      <w:r w:rsidR="004603D7" w:rsidRPr="001B2783">
        <w:rPr>
          <w:b/>
          <w:i/>
        </w:rPr>
        <w:t>this agreement</w:t>
      </w:r>
      <w:r w:rsidR="004603D7" w:rsidRPr="00B95709">
        <w:rPr>
          <w:b/>
          <w:i/>
        </w:rPr>
        <w:t xml:space="preserve"> </w:t>
      </w:r>
      <w:r w:rsidR="004603D7">
        <w:rPr>
          <w:b/>
          <w:i/>
        </w:rPr>
        <w:t xml:space="preserve">in </w:t>
      </w:r>
      <w:r w:rsidR="00512AD2" w:rsidRPr="000F6DD2">
        <w:rPr>
          <w:b/>
          <w:i/>
        </w:rPr>
        <w:t xml:space="preserve">an </w:t>
      </w:r>
      <w:r w:rsidRPr="000F6DD2">
        <w:rPr>
          <w:b/>
          <w:i/>
        </w:rPr>
        <w:t>LS to RAN2</w:t>
      </w:r>
      <w:r w:rsidR="00512AD2" w:rsidRPr="000F6DD2">
        <w:rPr>
          <w:b/>
          <w:i/>
        </w:rPr>
        <w:t xml:space="preserve">. </w:t>
      </w:r>
    </w:p>
    <w:p w14:paraId="2EAFBAAB" w14:textId="77777777" w:rsidR="001C4BEB" w:rsidRDefault="001C4BEB" w:rsidP="00B95709">
      <w:pPr>
        <w:rPr>
          <w:lang w:val="en-GB"/>
        </w:rPr>
      </w:pPr>
    </w:p>
    <w:p w14:paraId="386E27B1" w14:textId="535AA3CB" w:rsidR="00393B86" w:rsidRDefault="00393B86" w:rsidP="00B95709">
      <w:r>
        <w:rPr>
          <w:lang w:val="en-GB"/>
        </w:rPr>
        <w:t xml:space="preserve">In </w:t>
      </w:r>
      <w:r w:rsidR="00503BCC">
        <w:rPr>
          <w:lang w:val="en-GB"/>
        </w:rPr>
        <w:t>[1]</w:t>
      </w:r>
      <w:r>
        <w:rPr>
          <w:lang w:val="en-GB"/>
        </w:rPr>
        <w:t xml:space="preserve">, we also have an extensive discussion </w:t>
      </w:r>
      <w:r w:rsidR="00A34B96">
        <w:rPr>
          <w:lang w:val="en-GB"/>
        </w:rPr>
        <w:t xml:space="preserve">on the required parameters to uniquely identify </w:t>
      </w:r>
      <w:r w:rsidR="006764E6">
        <w:rPr>
          <w:lang w:val="en-GB"/>
        </w:rPr>
        <w:t xml:space="preserve">and the used protocol to indicate </w:t>
      </w:r>
      <w:r w:rsidR="00A34B96">
        <w:rPr>
          <w:lang w:val="en-GB"/>
        </w:rPr>
        <w:t xml:space="preserve">the </w:t>
      </w:r>
      <w:r w:rsidR="00A34B96" w:rsidRPr="00B91DBE">
        <w:rPr>
          <w:i/>
        </w:rPr>
        <w:t>spatialRelationInfo</w:t>
      </w:r>
      <w:r w:rsidR="00A34B96">
        <w:t xml:space="preserve"> RS </w:t>
      </w:r>
      <w:r w:rsidR="006764E6">
        <w:t>where we have proposed the following.</w:t>
      </w:r>
    </w:p>
    <w:p w14:paraId="7FE6B8DA" w14:textId="349CD2CD" w:rsidR="0058061C" w:rsidRDefault="00C9188F" w:rsidP="00EC12DB">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10</w:t>
      </w:r>
      <w:r w:rsidRPr="006C5C3B">
        <w:rPr>
          <w:b/>
          <w:i/>
        </w:rPr>
        <w:fldChar w:fldCharType="end"/>
      </w:r>
      <w:r w:rsidRPr="006C5C3B">
        <w:rPr>
          <w:b/>
          <w:i/>
        </w:rPr>
        <w:t>:</w:t>
      </w:r>
      <w:r w:rsidRPr="000C40D9">
        <w:rPr>
          <w:b/>
          <w:i/>
        </w:rPr>
        <w:t xml:space="preserve"> </w:t>
      </w:r>
      <w:r w:rsidR="0058061C" w:rsidRPr="00CF332F">
        <w:rPr>
          <w:b/>
          <w:i/>
        </w:rPr>
        <w:t xml:space="preserve">spatialRelationInfo RS </w:t>
      </w:r>
      <w:r w:rsidR="00A43157">
        <w:rPr>
          <w:b/>
          <w:i/>
        </w:rPr>
        <w:t xml:space="preserve">is </w:t>
      </w:r>
      <w:r w:rsidR="00CB037C">
        <w:rPr>
          <w:b/>
          <w:i/>
        </w:rPr>
        <w:t xml:space="preserve">configured in </w:t>
      </w:r>
      <w:r w:rsidR="00A43157">
        <w:rPr>
          <w:b/>
          <w:i/>
        </w:rPr>
        <w:t xml:space="preserve">RRC and </w:t>
      </w:r>
      <w:r w:rsidR="00CB037C">
        <w:rPr>
          <w:b/>
          <w:i/>
        </w:rPr>
        <w:t xml:space="preserve">the </w:t>
      </w:r>
      <w:r w:rsidR="00CB037C" w:rsidRPr="00CF332F">
        <w:rPr>
          <w:b/>
          <w:i/>
        </w:rPr>
        <w:t xml:space="preserve">spatialRelationInfo RS </w:t>
      </w:r>
      <w:r w:rsidR="00CB037C">
        <w:rPr>
          <w:b/>
          <w:i/>
        </w:rPr>
        <w:t>configuration</w:t>
      </w:r>
      <w:r w:rsidR="0058061C" w:rsidRPr="00CF332F">
        <w:rPr>
          <w:b/>
          <w:i/>
        </w:rPr>
        <w:t xml:space="preserve"> at least includes </w:t>
      </w:r>
      <w:r w:rsidR="00D46C3E">
        <w:rPr>
          <w:b/>
          <w:i/>
        </w:rPr>
        <w:t xml:space="preserve">the </w:t>
      </w:r>
      <w:r w:rsidR="00305ADE">
        <w:rPr>
          <w:b/>
          <w:i/>
        </w:rPr>
        <w:t xml:space="preserve">DL </w:t>
      </w:r>
      <w:r w:rsidR="00D46C3E">
        <w:rPr>
          <w:b/>
          <w:i/>
        </w:rPr>
        <w:t>reference signal</w:t>
      </w:r>
      <w:r w:rsidR="00D46C3E" w:rsidRPr="00CF332F">
        <w:rPr>
          <w:b/>
          <w:i/>
        </w:rPr>
        <w:t xml:space="preserve"> </w:t>
      </w:r>
      <w:r w:rsidR="00305ADE">
        <w:rPr>
          <w:b/>
          <w:i/>
        </w:rPr>
        <w:t xml:space="preserve">(SSB, CSI-RS, or DL-PRS) resource </w:t>
      </w:r>
      <w:r w:rsidR="0058061C" w:rsidRPr="00CF332F">
        <w:rPr>
          <w:b/>
          <w:i/>
        </w:rPr>
        <w:t>ID and the Cell ID</w:t>
      </w:r>
      <w:r w:rsidR="00CF332F" w:rsidRPr="00CF332F">
        <w:rPr>
          <w:b/>
          <w:i/>
        </w:rPr>
        <w:t xml:space="preserve"> of the </w:t>
      </w:r>
      <w:r w:rsidR="00695A06">
        <w:rPr>
          <w:b/>
          <w:i/>
        </w:rPr>
        <w:t>transmitting</w:t>
      </w:r>
      <w:r w:rsidR="00695A06" w:rsidRPr="00CF332F">
        <w:rPr>
          <w:b/>
          <w:i/>
        </w:rPr>
        <w:t xml:space="preserve"> </w:t>
      </w:r>
      <w:r w:rsidR="00CF332F" w:rsidRPr="00CF332F">
        <w:rPr>
          <w:b/>
          <w:i/>
        </w:rPr>
        <w:t>serving/neighboring cell</w:t>
      </w:r>
      <w:r w:rsidR="0058061C" w:rsidRPr="00CF332F">
        <w:rPr>
          <w:b/>
          <w:i/>
        </w:rPr>
        <w:t>.</w:t>
      </w:r>
    </w:p>
    <w:p w14:paraId="5E6441CD" w14:textId="50536A7F" w:rsidR="00305ADE" w:rsidRDefault="00FD6E40" w:rsidP="000F6DD2">
      <w:pPr>
        <w:pStyle w:val="af"/>
        <w:numPr>
          <w:ilvl w:val="0"/>
          <w:numId w:val="38"/>
        </w:numPr>
        <w:ind w:leftChars="0"/>
        <w:rPr>
          <w:b/>
          <w:i/>
        </w:rPr>
      </w:pPr>
      <w:r>
        <w:rPr>
          <w:b/>
          <w:i/>
        </w:rPr>
        <w:t xml:space="preserve">FFS: </w:t>
      </w:r>
      <w:r w:rsidR="00392D7D">
        <w:rPr>
          <w:b/>
          <w:i/>
        </w:rPr>
        <w:t>Other</w:t>
      </w:r>
      <w:r>
        <w:rPr>
          <w:b/>
          <w:i/>
        </w:rPr>
        <w:t xml:space="preserve"> </w:t>
      </w:r>
      <w:r w:rsidR="00392D7D">
        <w:rPr>
          <w:b/>
          <w:i/>
        </w:rPr>
        <w:t xml:space="preserve">required </w:t>
      </w:r>
      <w:r w:rsidR="00CB037C">
        <w:rPr>
          <w:b/>
          <w:i/>
        </w:rPr>
        <w:t xml:space="preserve">parameters </w:t>
      </w:r>
      <w:r w:rsidR="00C87676">
        <w:rPr>
          <w:b/>
          <w:i/>
        </w:rPr>
        <w:t xml:space="preserve">to </w:t>
      </w:r>
      <w:r w:rsidR="00392D7D">
        <w:rPr>
          <w:b/>
          <w:i/>
        </w:rPr>
        <w:t>configure</w:t>
      </w:r>
      <w:r w:rsidR="00C87676">
        <w:rPr>
          <w:b/>
          <w:i/>
        </w:rPr>
        <w:t xml:space="preserve"> </w:t>
      </w:r>
      <w:r w:rsidR="00305ADE">
        <w:rPr>
          <w:b/>
          <w:i/>
        </w:rPr>
        <w:t xml:space="preserve">a </w:t>
      </w:r>
      <w:r w:rsidR="00C87676">
        <w:rPr>
          <w:b/>
          <w:i/>
        </w:rPr>
        <w:t xml:space="preserve">DL </w:t>
      </w:r>
      <w:r w:rsidR="00305ADE">
        <w:rPr>
          <w:b/>
          <w:i/>
        </w:rPr>
        <w:t>reference signal</w:t>
      </w:r>
      <w:r w:rsidR="00C87676">
        <w:rPr>
          <w:b/>
          <w:i/>
        </w:rPr>
        <w:t xml:space="preserve"> from </w:t>
      </w:r>
      <w:r w:rsidR="00305ADE">
        <w:rPr>
          <w:b/>
          <w:i/>
        </w:rPr>
        <w:t>neighbouring</w:t>
      </w:r>
      <w:r w:rsidR="00C87676">
        <w:rPr>
          <w:b/>
          <w:i/>
        </w:rPr>
        <w:t xml:space="preserve"> cells </w:t>
      </w:r>
      <w:r w:rsidR="00392D7D">
        <w:rPr>
          <w:b/>
          <w:i/>
        </w:rPr>
        <w:t>as a</w:t>
      </w:r>
      <w:r w:rsidR="00305ADE">
        <w:rPr>
          <w:b/>
          <w:i/>
        </w:rPr>
        <w:t xml:space="preserve"> </w:t>
      </w:r>
      <w:r w:rsidR="00C87676" w:rsidRPr="00CF332F">
        <w:rPr>
          <w:b/>
          <w:i/>
        </w:rPr>
        <w:t>spatialRelationInfo RS</w:t>
      </w:r>
      <w:r>
        <w:rPr>
          <w:b/>
          <w:i/>
        </w:rPr>
        <w:t>.</w:t>
      </w:r>
      <w:r w:rsidRPr="00CF332F" w:rsidDel="00FD6E40">
        <w:rPr>
          <w:b/>
          <w:i/>
        </w:rPr>
        <w:t xml:space="preserve"> </w:t>
      </w:r>
    </w:p>
    <w:p w14:paraId="09E7BDF4" w14:textId="18D46D7D" w:rsidR="00305ADE" w:rsidRDefault="004603D7" w:rsidP="00B95709">
      <w:pPr>
        <w:pStyle w:val="af"/>
        <w:numPr>
          <w:ilvl w:val="0"/>
          <w:numId w:val="38"/>
        </w:numPr>
        <w:ind w:leftChars="0"/>
        <w:rPr>
          <w:b/>
          <w:i/>
        </w:rPr>
      </w:pPr>
      <w:r w:rsidRPr="00B95709">
        <w:rPr>
          <w:b/>
          <w:i/>
        </w:rPr>
        <w:t xml:space="preserve">Send this agreement in an LS to RAN2. </w:t>
      </w:r>
    </w:p>
    <w:p w14:paraId="26990A63" w14:textId="77777777" w:rsidR="001C4BEB" w:rsidRDefault="001C4BEB" w:rsidP="00CF332F"/>
    <w:p w14:paraId="714AEE1D" w14:textId="336C28DB" w:rsidR="007372E4" w:rsidRPr="00B95709" w:rsidRDefault="006764E6" w:rsidP="00CF332F">
      <w:r>
        <w:t>Finally,</w:t>
      </w:r>
      <w:r w:rsidR="001C4BEB">
        <w:t xml:space="preserve"> </w:t>
      </w:r>
      <w:r>
        <w:t>c</w:t>
      </w:r>
      <w:r w:rsidR="003766F7">
        <w:t xml:space="preserve">onsidering the fact that the </w:t>
      </w:r>
      <w:r w:rsidR="003766F7" w:rsidRPr="000F6DD2">
        <w:rPr>
          <w:i/>
        </w:rPr>
        <w:t>spatialRelationInfo</w:t>
      </w:r>
      <w:r w:rsidR="003766F7" w:rsidRPr="00F9760C">
        <w:t xml:space="preserve"> RS</w:t>
      </w:r>
      <w:r w:rsidR="003766F7">
        <w:t xml:space="preserve"> may be transmitted from the neighboring cells, it is advisable to agree on some </w:t>
      </w:r>
      <w:r w:rsidR="002A753B">
        <w:t xml:space="preserve">UE </w:t>
      </w:r>
      <w:r w:rsidR="003766F7">
        <w:t xml:space="preserve">fallback behavior in the case that </w:t>
      </w:r>
      <w:r w:rsidR="007372E4">
        <w:t xml:space="preserve">a </w:t>
      </w:r>
      <w:r w:rsidR="007372E4" w:rsidRPr="000F6DD2">
        <w:rPr>
          <w:i/>
        </w:rPr>
        <w:t>spatialRelationInfo</w:t>
      </w:r>
      <w:r w:rsidR="007372E4" w:rsidRPr="00F9760C">
        <w:t xml:space="preserve"> RS is configured but </w:t>
      </w:r>
      <w:r w:rsidR="002A753B">
        <w:t>is not detected</w:t>
      </w:r>
      <w:r w:rsidR="003766F7">
        <w:t xml:space="preserve">. </w:t>
      </w:r>
      <w:r w:rsidR="001C4BEB">
        <w:t xml:space="preserve">The following proposal from </w:t>
      </w:r>
      <w:r w:rsidR="00503BCC">
        <w:t>[1]</w:t>
      </w:r>
      <w:r w:rsidR="001C4BEB">
        <w:t xml:space="preserve"> addresses this concern.</w:t>
      </w:r>
    </w:p>
    <w:p w14:paraId="1C39BEB9" w14:textId="6D6C8804" w:rsidR="00B01F43" w:rsidRPr="00B57A2A" w:rsidRDefault="00C9188F" w:rsidP="00CF332F">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11</w:t>
      </w:r>
      <w:r w:rsidRPr="006C5C3B">
        <w:rPr>
          <w:b/>
          <w:i/>
        </w:rPr>
        <w:fldChar w:fldCharType="end"/>
      </w:r>
      <w:r w:rsidRPr="006C5C3B">
        <w:rPr>
          <w:b/>
          <w:i/>
        </w:rPr>
        <w:t>:</w:t>
      </w:r>
      <w:r w:rsidRPr="000C40D9">
        <w:rPr>
          <w:b/>
          <w:i/>
        </w:rPr>
        <w:t xml:space="preserve"> </w:t>
      </w:r>
      <w:r w:rsidR="00F9760C" w:rsidRPr="00B57A2A">
        <w:rPr>
          <w:b/>
          <w:i/>
        </w:rPr>
        <w:t xml:space="preserve">If </w:t>
      </w:r>
      <w:r w:rsidR="00B01F43" w:rsidRPr="00B57A2A">
        <w:rPr>
          <w:b/>
          <w:i/>
        </w:rPr>
        <w:t xml:space="preserve">a </w:t>
      </w:r>
      <w:r w:rsidR="00F9760C" w:rsidRPr="00B57A2A">
        <w:rPr>
          <w:b/>
          <w:i/>
        </w:rPr>
        <w:t xml:space="preserve">spatialRelationInfo RS is configured but not detected, UE uses </w:t>
      </w:r>
      <w:r w:rsidR="003C6FCB">
        <w:rPr>
          <w:b/>
          <w:i/>
        </w:rPr>
        <w:t>the following</w:t>
      </w:r>
      <w:r w:rsidR="00F9760C" w:rsidRPr="00B57A2A">
        <w:rPr>
          <w:b/>
          <w:i/>
        </w:rPr>
        <w:t xml:space="preserve"> </w:t>
      </w:r>
      <w:r w:rsidR="00B01F43" w:rsidRPr="00B57A2A">
        <w:rPr>
          <w:b/>
          <w:i/>
        </w:rPr>
        <w:t>as a</w:t>
      </w:r>
      <w:r w:rsidR="00F9760C" w:rsidRPr="00B57A2A">
        <w:rPr>
          <w:b/>
          <w:i/>
        </w:rPr>
        <w:t xml:space="preserve"> </w:t>
      </w:r>
      <w:r w:rsidR="00440FAC">
        <w:rPr>
          <w:b/>
          <w:i/>
        </w:rPr>
        <w:t xml:space="preserve">substitute </w:t>
      </w:r>
      <w:r w:rsidR="00F9760C" w:rsidRPr="00B57A2A">
        <w:rPr>
          <w:b/>
          <w:i/>
        </w:rPr>
        <w:t>spatialRelationInfo RS</w:t>
      </w:r>
      <w:r w:rsidR="003C6FCB">
        <w:rPr>
          <w:b/>
          <w:i/>
        </w:rPr>
        <w:t>:</w:t>
      </w:r>
      <w:r w:rsidR="00B01F43" w:rsidRPr="00B57A2A">
        <w:rPr>
          <w:b/>
          <w:i/>
        </w:rPr>
        <w:t xml:space="preserve"> </w:t>
      </w:r>
    </w:p>
    <w:p w14:paraId="310CA19D" w14:textId="4D3B8C36" w:rsidR="00B01F43" w:rsidRPr="00B57A2A" w:rsidRDefault="00B01F43" w:rsidP="00B01F43">
      <w:pPr>
        <w:pStyle w:val="af"/>
        <w:numPr>
          <w:ilvl w:val="0"/>
          <w:numId w:val="21"/>
        </w:numPr>
        <w:ind w:leftChars="0"/>
        <w:rPr>
          <w:b/>
          <w:i/>
        </w:rPr>
      </w:pPr>
      <w:r w:rsidRPr="00B57A2A">
        <w:rPr>
          <w:b/>
          <w:i/>
        </w:rPr>
        <w:t xml:space="preserve">If the cell </w:t>
      </w:r>
      <w:r w:rsidR="00957534">
        <w:rPr>
          <w:b/>
          <w:i/>
        </w:rPr>
        <w:t xml:space="preserve">that transmits the </w:t>
      </w:r>
      <w:r w:rsidR="00957534" w:rsidRPr="00B57A2A">
        <w:rPr>
          <w:b/>
          <w:i/>
        </w:rPr>
        <w:t xml:space="preserve">spatialRelationInfo RS </w:t>
      </w:r>
      <w:r w:rsidRPr="00B57A2A">
        <w:rPr>
          <w:b/>
          <w:i/>
        </w:rPr>
        <w:t xml:space="preserve">is a serving cell, the substitute spatialRelationInfo </w:t>
      </w:r>
      <w:r w:rsidR="003766F7">
        <w:rPr>
          <w:b/>
          <w:i/>
        </w:rPr>
        <w:t>RS</w:t>
      </w:r>
      <w:r w:rsidR="003766F7" w:rsidRPr="00B57A2A">
        <w:rPr>
          <w:b/>
          <w:i/>
        </w:rPr>
        <w:t xml:space="preserve"> </w:t>
      </w:r>
      <w:r w:rsidRPr="00B57A2A">
        <w:rPr>
          <w:b/>
          <w:i/>
        </w:rPr>
        <w:t xml:space="preserve">is the SSB </w:t>
      </w:r>
      <w:r w:rsidR="00B57A2A">
        <w:rPr>
          <w:b/>
          <w:i/>
        </w:rPr>
        <w:t>used</w:t>
      </w:r>
      <w:r w:rsidRPr="00B57A2A">
        <w:rPr>
          <w:b/>
          <w:i/>
        </w:rPr>
        <w:t xml:space="preserve"> to obtain MIB.</w:t>
      </w:r>
    </w:p>
    <w:p w14:paraId="44CF4F7D" w14:textId="4225E3EE" w:rsidR="00B01F43" w:rsidRPr="00DC04FA" w:rsidRDefault="00B01F43" w:rsidP="00B01F43">
      <w:pPr>
        <w:pStyle w:val="af"/>
        <w:numPr>
          <w:ilvl w:val="0"/>
          <w:numId w:val="21"/>
        </w:numPr>
        <w:ind w:leftChars="0"/>
      </w:pPr>
      <w:r w:rsidRPr="00B57A2A">
        <w:rPr>
          <w:b/>
          <w:i/>
        </w:rPr>
        <w:t xml:space="preserve">If the cell </w:t>
      </w:r>
      <w:r w:rsidR="002A753B">
        <w:rPr>
          <w:b/>
          <w:i/>
        </w:rPr>
        <w:t xml:space="preserve">that transmits the </w:t>
      </w:r>
      <w:r w:rsidR="002A753B" w:rsidRPr="00B57A2A">
        <w:rPr>
          <w:b/>
          <w:i/>
        </w:rPr>
        <w:t>spatialRelationInfo</w:t>
      </w:r>
      <w:r w:rsidR="002A753B" w:rsidRPr="00B57A2A" w:rsidDel="002A753B">
        <w:rPr>
          <w:b/>
          <w:i/>
        </w:rPr>
        <w:t xml:space="preserve"> </w:t>
      </w:r>
      <w:r w:rsidR="002A753B">
        <w:rPr>
          <w:b/>
          <w:i/>
        </w:rPr>
        <w:t>RS is</w:t>
      </w:r>
      <w:r w:rsidRPr="00B57A2A">
        <w:rPr>
          <w:b/>
          <w:i/>
        </w:rPr>
        <w:t xml:space="preserve"> a neighboring cell, the substitute spatialRelationInfo </w:t>
      </w:r>
      <w:r w:rsidR="001965B8">
        <w:rPr>
          <w:b/>
          <w:i/>
        </w:rPr>
        <w:t>RS</w:t>
      </w:r>
      <w:r w:rsidR="001965B8" w:rsidRPr="00B57A2A">
        <w:rPr>
          <w:b/>
          <w:i/>
        </w:rPr>
        <w:t xml:space="preserve"> </w:t>
      </w:r>
      <w:r w:rsidRPr="00B57A2A">
        <w:rPr>
          <w:b/>
          <w:i/>
        </w:rPr>
        <w:t xml:space="preserve">is </w:t>
      </w:r>
      <w:r w:rsidR="001C4155">
        <w:rPr>
          <w:b/>
          <w:i/>
        </w:rPr>
        <w:t>the</w:t>
      </w:r>
      <w:r w:rsidR="00440FAC">
        <w:rPr>
          <w:b/>
          <w:i/>
        </w:rPr>
        <w:t xml:space="preserve"> </w:t>
      </w:r>
      <w:r w:rsidR="002360DD">
        <w:rPr>
          <w:b/>
          <w:i/>
        </w:rPr>
        <w:t>detected</w:t>
      </w:r>
      <w:r w:rsidRPr="00B57A2A">
        <w:rPr>
          <w:b/>
          <w:i/>
        </w:rPr>
        <w:t xml:space="preserve"> SSB </w:t>
      </w:r>
      <w:r w:rsidR="002360DD">
        <w:rPr>
          <w:b/>
          <w:i/>
        </w:rPr>
        <w:t xml:space="preserve">from that cell </w:t>
      </w:r>
      <w:r w:rsidR="00B57A2A" w:rsidRPr="00B57A2A">
        <w:rPr>
          <w:b/>
          <w:i/>
        </w:rPr>
        <w:t xml:space="preserve">with the highest RSRP. </w:t>
      </w:r>
    </w:p>
    <w:p w14:paraId="6D270CD3" w14:textId="77777777" w:rsidR="008757CA" w:rsidRPr="000F6DD2" w:rsidRDefault="008757CA" w:rsidP="00DC04FA"/>
    <w:p w14:paraId="18F51916" w14:textId="187DD0F7" w:rsidR="008216BA" w:rsidRDefault="008216BA" w:rsidP="00B95709">
      <w:pPr>
        <w:pStyle w:val="2"/>
      </w:pPr>
      <w:r>
        <w:lastRenderedPageBreak/>
        <w:t xml:space="preserve">SRS power control </w:t>
      </w:r>
    </w:p>
    <w:tbl>
      <w:tblPr>
        <w:tblStyle w:val="ac"/>
        <w:tblW w:w="0" w:type="auto"/>
        <w:tblLook w:val="04A0" w:firstRow="1" w:lastRow="0" w:firstColumn="1" w:lastColumn="0" w:noHBand="0" w:noVBand="1"/>
      </w:tblPr>
      <w:tblGrid>
        <w:gridCol w:w="9307"/>
      </w:tblGrid>
      <w:tr w:rsidR="008216BA" w14:paraId="7E0A05D9" w14:textId="77777777" w:rsidTr="008216BA">
        <w:tc>
          <w:tcPr>
            <w:tcW w:w="9307" w:type="dxa"/>
          </w:tcPr>
          <w:p w14:paraId="1F8F36B4" w14:textId="1A9C5F60" w:rsidR="00CD697C" w:rsidRDefault="00CD697C" w:rsidP="008216BA">
            <w:pPr>
              <w:keepNext/>
              <w:keepLines/>
              <w:spacing w:after="60"/>
              <w:rPr>
                <w:b/>
                <w:u w:val="single"/>
              </w:rPr>
            </w:pPr>
            <w:r w:rsidRPr="00CD697C">
              <w:rPr>
                <w:b/>
                <w:u w:val="single"/>
              </w:rPr>
              <w:t xml:space="preserve">Agreement </w:t>
            </w:r>
            <w:r w:rsidR="00503BCC">
              <w:rPr>
                <w:b/>
                <w:u w:val="single"/>
              </w:rPr>
              <w:t>[2]</w:t>
            </w:r>
            <w:r w:rsidRPr="00CD697C">
              <w:rPr>
                <w:b/>
                <w:u w:val="single"/>
              </w:rPr>
              <w:t>:</w:t>
            </w:r>
          </w:p>
          <w:p w14:paraId="38BB2292" w14:textId="543269E3" w:rsidR="008216BA" w:rsidRDefault="008216BA" w:rsidP="008216BA">
            <w:pPr>
              <w:keepNext/>
              <w:keepLines/>
              <w:spacing w:after="60"/>
              <w:rPr>
                <w:lang w:eastAsia="ko-KR"/>
              </w:rPr>
            </w:pPr>
            <w:r>
              <w:rPr>
                <w:lang w:eastAsia="ko-KR"/>
              </w:rPr>
              <w:t>For positioning purposes, with regards to the UL SRS transmission power, support at least the following in addition to the existing Rel-15 behaviour:</w:t>
            </w:r>
          </w:p>
          <w:p w14:paraId="7E2A0C55" w14:textId="77777777" w:rsidR="008216BA" w:rsidRDefault="008216BA" w:rsidP="008216BA">
            <w:pPr>
              <w:keepNext/>
              <w:keepLines/>
              <w:numPr>
                <w:ilvl w:val="0"/>
                <w:numId w:val="19"/>
              </w:numPr>
              <w:autoSpaceDE/>
              <w:autoSpaceDN/>
              <w:adjustRightInd/>
              <w:snapToGrid/>
              <w:spacing w:after="60"/>
              <w:jc w:val="left"/>
              <w:rPr>
                <w:lang w:eastAsia="ko-KR"/>
              </w:rPr>
            </w:pPr>
            <w:r>
              <w:rPr>
                <w:lang w:eastAsia="ko-KR"/>
              </w:rPr>
              <w:t xml:space="preserve">Support configuring a DL reference signal of a neighbouring cell to be used as DL path loss reference for the purpose of SRS power control.  </w:t>
            </w:r>
          </w:p>
          <w:p w14:paraId="2E281C28" w14:textId="77777777" w:rsidR="008216BA" w:rsidRDefault="008216BA" w:rsidP="008216BA">
            <w:pPr>
              <w:keepNext/>
              <w:keepLines/>
              <w:numPr>
                <w:ilvl w:val="1"/>
                <w:numId w:val="19"/>
              </w:numPr>
              <w:autoSpaceDE/>
              <w:autoSpaceDN/>
              <w:adjustRightInd/>
              <w:snapToGrid/>
              <w:spacing w:after="60"/>
              <w:jc w:val="left"/>
              <w:rPr>
                <w:lang w:eastAsia="ko-KR"/>
              </w:rPr>
            </w:pPr>
            <w:r>
              <w:rPr>
                <w:lang w:eastAsia="ko-KR"/>
              </w:rPr>
              <w:t xml:space="preserve">FFS: Which reference signals can be used (e.g. a CSI-RS, or a SSB, or DL PRS). </w:t>
            </w:r>
          </w:p>
          <w:p w14:paraId="53CCE6FF" w14:textId="77777777" w:rsidR="008216BA" w:rsidRDefault="008216BA" w:rsidP="008216BA">
            <w:pPr>
              <w:keepNext/>
              <w:keepLines/>
              <w:numPr>
                <w:ilvl w:val="0"/>
                <w:numId w:val="19"/>
              </w:numPr>
              <w:autoSpaceDE/>
              <w:autoSpaceDN/>
              <w:adjustRightInd/>
              <w:snapToGrid/>
              <w:spacing w:after="60"/>
              <w:jc w:val="left"/>
              <w:rPr>
                <w:lang w:eastAsia="ko-KR"/>
              </w:rPr>
            </w:pPr>
            <w:r>
              <w:rPr>
                <w:lang w:eastAsia="ko-KR"/>
              </w:rPr>
              <w:t>Study further the UE configuration signalling and procedure.</w:t>
            </w:r>
          </w:p>
          <w:p w14:paraId="76C6B4E0" w14:textId="77777777" w:rsidR="008216BA" w:rsidRDefault="008216BA" w:rsidP="008216BA">
            <w:pPr>
              <w:keepNext/>
              <w:keepLines/>
              <w:numPr>
                <w:ilvl w:val="0"/>
                <w:numId w:val="19"/>
              </w:numPr>
              <w:autoSpaceDE/>
              <w:autoSpaceDN/>
              <w:adjustRightInd/>
              <w:snapToGrid/>
              <w:spacing w:after="60"/>
              <w:jc w:val="left"/>
              <w:rPr>
                <w:lang w:eastAsia="ko-KR"/>
              </w:rPr>
            </w:pPr>
            <w:r>
              <w:rPr>
                <w:lang w:eastAsia="ko-KR"/>
              </w:rPr>
              <w:t>FFS on a fallback procedure if the UE is not able to obtain the pathloss reference.</w:t>
            </w:r>
          </w:p>
          <w:p w14:paraId="03583782" w14:textId="77777777" w:rsidR="008216BA" w:rsidRDefault="008216BA" w:rsidP="008216BA">
            <w:pPr>
              <w:keepNext/>
              <w:keepLines/>
              <w:numPr>
                <w:ilvl w:val="0"/>
                <w:numId w:val="19"/>
              </w:numPr>
              <w:autoSpaceDE/>
              <w:autoSpaceDN/>
              <w:adjustRightInd/>
              <w:snapToGrid/>
              <w:spacing w:after="60"/>
              <w:jc w:val="left"/>
            </w:pPr>
            <w:r>
              <w:rPr>
                <w:lang w:eastAsia="ko-KR"/>
              </w:rPr>
              <w:t>FFS on number of measurements for pathloss.</w:t>
            </w:r>
          </w:p>
          <w:p w14:paraId="2B37D323" w14:textId="77777777" w:rsidR="00EF40F0" w:rsidRDefault="00EF40F0" w:rsidP="00EF40F0">
            <w:pPr>
              <w:keepNext/>
              <w:keepLines/>
              <w:spacing w:after="60"/>
              <w:rPr>
                <w:b/>
                <w:u w:val="single"/>
              </w:rPr>
            </w:pPr>
          </w:p>
          <w:p w14:paraId="5003B95D" w14:textId="0380184C" w:rsidR="00EF40F0" w:rsidRDefault="00EF40F0" w:rsidP="00EF40F0">
            <w:pPr>
              <w:keepNext/>
              <w:keepLines/>
              <w:spacing w:after="60"/>
              <w:rPr>
                <w:b/>
                <w:u w:val="single"/>
              </w:rPr>
            </w:pPr>
            <w:r w:rsidRPr="00CD697C">
              <w:rPr>
                <w:b/>
                <w:u w:val="single"/>
              </w:rPr>
              <w:t xml:space="preserve">Agreement </w:t>
            </w:r>
            <w:r>
              <w:rPr>
                <w:b/>
                <w:u w:val="single"/>
              </w:rPr>
              <w:fldChar w:fldCharType="begin"/>
            </w:r>
            <w:r>
              <w:rPr>
                <w:b/>
                <w:u w:val="single"/>
              </w:rPr>
              <w:instrText xml:space="preserve"> REF _Ref19525676 \r \h </w:instrText>
            </w:r>
            <w:r>
              <w:rPr>
                <w:b/>
                <w:u w:val="single"/>
              </w:rPr>
            </w:r>
            <w:r>
              <w:rPr>
                <w:b/>
                <w:u w:val="single"/>
              </w:rPr>
              <w:fldChar w:fldCharType="separate"/>
            </w:r>
            <w:r w:rsidR="00133448">
              <w:rPr>
                <w:b/>
                <w:u w:val="single"/>
              </w:rPr>
              <w:t>[9]</w:t>
            </w:r>
            <w:r>
              <w:rPr>
                <w:b/>
                <w:u w:val="single"/>
              </w:rPr>
              <w:fldChar w:fldCharType="end"/>
            </w:r>
            <w:r w:rsidRPr="00CD697C">
              <w:rPr>
                <w:b/>
                <w:u w:val="single"/>
              </w:rPr>
              <w:t>:</w:t>
            </w:r>
          </w:p>
          <w:p w14:paraId="74FBC15C" w14:textId="77777777" w:rsidR="00EF40F0" w:rsidRDefault="00EF40F0" w:rsidP="00EF40F0">
            <w:pPr>
              <w:rPr>
                <w:lang w:eastAsia="ko-KR"/>
              </w:rPr>
            </w:pPr>
            <w:r>
              <w:rPr>
                <w:lang w:eastAsia="ko-KR"/>
              </w:rPr>
              <w:t>F</w:t>
            </w:r>
            <w:r w:rsidRPr="00C47906">
              <w:rPr>
                <w:rFonts w:hint="eastAsia"/>
                <w:lang w:eastAsia="ko-KR"/>
              </w:rPr>
              <w:t>or the purpose of power control</w:t>
            </w:r>
            <w:r>
              <w:rPr>
                <w:lang w:eastAsia="ko-KR"/>
              </w:rPr>
              <w:t xml:space="preserve"> of the SRS for positioning purposes, s</w:t>
            </w:r>
            <w:r w:rsidRPr="00C47906">
              <w:rPr>
                <w:rFonts w:hint="eastAsia"/>
                <w:lang w:eastAsia="ko-KR"/>
              </w:rPr>
              <w:t xml:space="preserve">upport configuring a DL reference signal of a neighbouring cell to be used as DL path loss reference. </w:t>
            </w:r>
            <w:r>
              <w:rPr>
                <w:lang w:eastAsia="ko-KR"/>
              </w:rPr>
              <w:t>One of the following can be configured as the DL reference signal.</w:t>
            </w:r>
          </w:p>
          <w:p w14:paraId="7935D443" w14:textId="77777777" w:rsidR="00EF40F0" w:rsidRDefault="00EF40F0" w:rsidP="00EF40F0">
            <w:pPr>
              <w:pStyle w:val="af"/>
              <w:numPr>
                <w:ilvl w:val="0"/>
                <w:numId w:val="60"/>
              </w:numPr>
              <w:overflowPunct w:val="0"/>
              <w:autoSpaceDE w:val="0"/>
              <w:autoSpaceDN w:val="0"/>
              <w:adjustRightInd w:val="0"/>
              <w:spacing w:after="180"/>
              <w:ind w:leftChars="0"/>
              <w:contextualSpacing/>
              <w:textAlignment w:val="baseline"/>
              <w:rPr>
                <w:lang w:eastAsia="ko-KR"/>
              </w:rPr>
            </w:pPr>
            <w:r>
              <w:rPr>
                <w:lang w:eastAsia="ko-KR"/>
              </w:rPr>
              <w:t>SSB</w:t>
            </w:r>
          </w:p>
          <w:p w14:paraId="211D19A2" w14:textId="77777777" w:rsidR="00EF40F0" w:rsidRDefault="00EF40F0" w:rsidP="00EF40F0">
            <w:pPr>
              <w:pStyle w:val="af"/>
              <w:numPr>
                <w:ilvl w:val="0"/>
                <w:numId w:val="60"/>
              </w:numPr>
              <w:overflowPunct w:val="0"/>
              <w:autoSpaceDE w:val="0"/>
              <w:autoSpaceDN w:val="0"/>
              <w:adjustRightInd w:val="0"/>
              <w:spacing w:after="180"/>
              <w:ind w:leftChars="0"/>
              <w:contextualSpacing/>
              <w:textAlignment w:val="baseline"/>
              <w:rPr>
                <w:lang w:eastAsia="ko-KR"/>
              </w:rPr>
            </w:pPr>
            <w:r>
              <w:rPr>
                <w:lang w:eastAsia="ko-KR"/>
              </w:rPr>
              <w:t>DL-PRS at least for multi-cell RTT</w:t>
            </w:r>
          </w:p>
          <w:p w14:paraId="7B6C1FB9" w14:textId="17AB9CF1" w:rsidR="00EF40F0" w:rsidRDefault="00EF40F0" w:rsidP="00D96EA3">
            <w:pPr>
              <w:pStyle w:val="af"/>
              <w:numPr>
                <w:ilvl w:val="0"/>
                <w:numId w:val="60"/>
              </w:numPr>
              <w:overflowPunct w:val="0"/>
              <w:autoSpaceDE w:val="0"/>
              <w:autoSpaceDN w:val="0"/>
              <w:adjustRightInd w:val="0"/>
              <w:spacing w:after="180"/>
              <w:ind w:leftChars="0"/>
              <w:contextualSpacing/>
              <w:textAlignment w:val="baseline"/>
            </w:pPr>
            <w:r>
              <w:rPr>
                <w:lang w:eastAsia="ko-KR"/>
              </w:rPr>
              <w:t>FFS: CSI-RS</w:t>
            </w:r>
          </w:p>
        </w:tc>
      </w:tr>
    </w:tbl>
    <w:p w14:paraId="3B240A85" w14:textId="0DBD01FF" w:rsidR="00DD7D06" w:rsidRDefault="00DD7D06" w:rsidP="004A26EF"/>
    <w:p w14:paraId="0EF4813A" w14:textId="1E64804C" w:rsidR="00DD7D06" w:rsidRDefault="00E94E71" w:rsidP="004A26EF">
      <w:r>
        <w:t>D</w:t>
      </w:r>
      <w:r w:rsidR="00DD7D06">
        <w:t xml:space="preserve">etails regarding SRS power control are discussed in our companion paper </w:t>
      </w:r>
      <w:r w:rsidR="00503BCC">
        <w:t>[1]</w:t>
      </w:r>
      <w:r w:rsidR="00DD7D06">
        <w:t xml:space="preserve">. In this section, we only provide brief overview on our related proposals in </w:t>
      </w:r>
      <w:r w:rsidR="00503BCC">
        <w:t>[1]</w:t>
      </w:r>
      <w:r w:rsidR="00DD7D06">
        <w:t xml:space="preserve">. </w:t>
      </w:r>
    </w:p>
    <w:p w14:paraId="2DBDA42E" w14:textId="6684E950" w:rsidR="00E917D9" w:rsidRDefault="00B0086B">
      <w:pPr>
        <w:rPr>
          <w:i/>
        </w:rPr>
      </w:pPr>
      <w:r>
        <w:t xml:space="preserve">Since the </w:t>
      </w:r>
      <w:r w:rsidR="00E1646A">
        <w:t xml:space="preserve">SRS </w:t>
      </w:r>
      <w:r>
        <w:t>target cell may be a neighboring cell</w:t>
      </w:r>
      <w:r w:rsidR="00B61F2A">
        <w:t xml:space="preserve"> in Rel. 16 positioning</w:t>
      </w:r>
      <w:r>
        <w:t xml:space="preserve">, </w:t>
      </w:r>
      <w:r w:rsidR="00B61F2A">
        <w:t xml:space="preserve">it was agreed in RAN1 97 </w:t>
      </w:r>
      <w:r w:rsidR="00B61F2A" w:rsidRPr="00B95709">
        <w:t xml:space="preserve">that a DL </w:t>
      </w:r>
      <w:r w:rsidR="00B61F2A" w:rsidRPr="000F6DD2">
        <w:t xml:space="preserve">reference signal from a serving or </w:t>
      </w:r>
      <w:r w:rsidR="00B61F2A">
        <w:t xml:space="preserve">a </w:t>
      </w:r>
      <w:r w:rsidR="00B61F2A" w:rsidRPr="000F6DD2">
        <w:t>neighboring cell can be configured as a SRS</w:t>
      </w:r>
      <w:r w:rsidR="00B61F2A">
        <w:rPr>
          <w:i/>
        </w:rPr>
        <w:t xml:space="preserve"> </w:t>
      </w:r>
      <w:r w:rsidR="00B61F2A" w:rsidRPr="001B2783">
        <w:rPr>
          <w:i/>
        </w:rPr>
        <w:t>pathlossReferenceRS</w:t>
      </w:r>
      <w:r w:rsidR="00326BD7" w:rsidRPr="000F6DD2">
        <w:t xml:space="preserve">. </w:t>
      </w:r>
      <w:r w:rsidR="00EF40F0">
        <w:t xml:space="preserve">Further, it was agreed in RAN1 98 that the </w:t>
      </w:r>
      <w:r w:rsidR="00EF40F0" w:rsidRPr="001B2783">
        <w:rPr>
          <w:i/>
        </w:rPr>
        <w:t>pathlossReferenceRS</w:t>
      </w:r>
      <w:r w:rsidR="00EF40F0">
        <w:t xml:space="preserve"> can </w:t>
      </w:r>
      <w:r w:rsidR="00A34426">
        <w:t>also be</w:t>
      </w:r>
      <w:r w:rsidR="00EF40F0">
        <w:t xml:space="preserve"> DL-PRS</w:t>
      </w:r>
      <w:r w:rsidR="00A34426">
        <w:t xml:space="preserve"> at least for multi-cell RTT</w:t>
      </w:r>
      <w:r w:rsidR="00EF40F0">
        <w:t xml:space="preserve">. </w:t>
      </w:r>
      <w:r w:rsidR="00DD7D06">
        <w:t xml:space="preserve">In </w:t>
      </w:r>
      <w:r w:rsidR="00503BCC">
        <w:t>[1]</w:t>
      </w:r>
      <w:r w:rsidR="00DD7D06">
        <w:t xml:space="preserve">, we have explained the reasons to support </w:t>
      </w:r>
      <w:r w:rsidR="00E917D9">
        <w:t xml:space="preserve">configuring CSI-RS from the serving </w:t>
      </w:r>
      <w:r w:rsidR="00607A8A">
        <w:t>and</w:t>
      </w:r>
      <w:r w:rsidR="00E917D9">
        <w:t xml:space="preserve"> neighboring cells as a </w:t>
      </w:r>
      <w:r w:rsidR="00E917D9" w:rsidRPr="001B2783">
        <w:rPr>
          <w:i/>
        </w:rPr>
        <w:t>pathlossReferenceRS</w:t>
      </w:r>
      <w:r w:rsidR="00E917D9">
        <w:rPr>
          <w:i/>
        </w:rPr>
        <w:t xml:space="preserve"> </w:t>
      </w:r>
      <w:r w:rsidR="00DD7D06">
        <w:t xml:space="preserve">and proposed the following: </w:t>
      </w:r>
    </w:p>
    <w:p w14:paraId="36F80C2B" w14:textId="20ABE8C0" w:rsidR="00326BD7" w:rsidRDefault="00C9188F" w:rsidP="000F6DD2">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12</w:t>
      </w:r>
      <w:r w:rsidRPr="006C5C3B">
        <w:rPr>
          <w:b/>
          <w:i/>
        </w:rPr>
        <w:fldChar w:fldCharType="end"/>
      </w:r>
      <w:r w:rsidRPr="006C5C3B">
        <w:rPr>
          <w:b/>
          <w:i/>
        </w:rPr>
        <w:t>:</w:t>
      </w:r>
      <w:r w:rsidRPr="000C40D9">
        <w:rPr>
          <w:b/>
          <w:i/>
        </w:rPr>
        <w:t xml:space="preserve"> </w:t>
      </w:r>
      <w:r w:rsidR="009F5ACB">
        <w:rPr>
          <w:b/>
          <w:i/>
        </w:rPr>
        <w:t>F</w:t>
      </w:r>
      <w:r w:rsidR="009F5ACB" w:rsidRPr="001B2783">
        <w:rPr>
          <w:b/>
          <w:i/>
        </w:rPr>
        <w:t>or positioning purposes</w:t>
      </w:r>
      <w:r w:rsidR="009F5ACB">
        <w:rPr>
          <w:b/>
          <w:i/>
        </w:rPr>
        <w:t>, s</w:t>
      </w:r>
      <w:r w:rsidR="00326BD7" w:rsidRPr="001B2783">
        <w:rPr>
          <w:b/>
          <w:i/>
        </w:rPr>
        <w:t xml:space="preserve">upport configuring CSI-RS </w:t>
      </w:r>
      <w:r w:rsidR="00326BD7">
        <w:rPr>
          <w:b/>
          <w:i/>
        </w:rPr>
        <w:t>from</w:t>
      </w:r>
      <w:r w:rsidR="00326BD7" w:rsidRPr="001B2783">
        <w:rPr>
          <w:b/>
          <w:i/>
        </w:rPr>
        <w:t xml:space="preserve"> the serving and the neighboring </w:t>
      </w:r>
      <w:r w:rsidR="00326BD7" w:rsidRPr="00B95709">
        <w:rPr>
          <w:b/>
          <w:i/>
        </w:rPr>
        <w:t xml:space="preserve">cells as a </w:t>
      </w:r>
      <w:r w:rsidR="00326BD7" w:rsidRPr="000F6DD2">
        <w:rPr>
          <w:b/>
          <w:i/>
        </w:rPr>
        <w:t>pathlossReferenceRS</w:t>
      </w:r>
      <w:r w:rsidR="00326BD7" w:rsidRPr="00B95709">
        <w:rPr>
          <w:b/>
          <w:i/>
        </w:rPr>
        <w:t>.</w:t>
      </w:r>
    </w:p>
    <w:p w14:paraId="0D7EEC0F" w14:textId="77777777" w:rsidR="00326BD7" w:rsidRPr="001B2783" w:rsidRDefault="00326BD7" w:rsidP="00326BD7">
      <w:pPr>
        <w:pStyle w:val="af"/>
        <w:numPr>
          <w:ilvl w:val="0"/>
          <w:numId w:val="38"/>
        </w:numPr>
        <w:ind w:leftChars="0"/>
        <w:rPr>
          <w:b/>
          <w:i/>
        </w:rPr>
      </w:pPr>
      <w:r w:rsidRPr="001B2783">
        <w:rPr>
          <w:b/>
          <w:i/>
        </w:rPr>
        <w:t xml:space="preserve">Send this agreement </w:t>
      </w:r>
      <w:r>
        <w:rPr>
          <w:b/>
          <w:i/>
        </w:rPr>
        <w:t xml:space="preserve">in </w:t>
      </w:r>
      <w:r w:rsidRPr="001B2783">
        <w:rPr>
          <w:b/>
          <w:i/>
        </w:rPr>
        <w:t xml:space="preserve">an LS to RAN2. </w:t>
      </w:r>
    </w:p>
    <w:p w14:paraId="23121C10" w14:textId="77777777" w:rsidR="00DD7D06" w:rsidRDefault="00DD7D06" w:rsidP="000F6DD2">
      <w:pPr>
        <w:rPr>
          <w:b/>
          <w:i/>
        </w:rPr>
      </w:pPr>
    </w:p>
    <w:p w14:paraId="08CB454B" w14:textId="7C92D8C2" w:rsidR="00DD7D06" w:rsidRDefault="005049BB" w:rsidP="000F6DD2">
      <w:r>
        <w:t>Moreover</w:t>
      </w:r>
      <w:r w:rsidR="00E94E71">
        <w:t xml:space="preserve">, we have </w:t>
      </w:r>
      <w:r w:rsidR="00CD7497">
        <w:t xml:space="preserve">discussed the configuration details of the </w:t>
      </w:r>
      <w:r w:rsidR="00CD7497" w:rsidRPr="001B2783">
        <w:rPr>
          <w:i/>
        </w:rPr>
        <w:t>pathlossReferenceRS</w:t>
      </w:r>
      <w:r w:rsidR="00CD7497">
        <w:rPr>
          <w:i/>
        </w:rPr>
        <w:t xml:space="preserve"> </w:t>
      </w:r>
      <w:r w:rsidR="00CD7497" w:rsidRPr="000F6DD2">
        <w:t xml:space="preserve">in </w:t>
      </w:r>
      <w:r w:rsidR="00503BCC">
        <w:t>[1]</w:t>
      </w:r>
      <w:r w:rsidR="00CD7497" w:rsidRPr="00F31D6C">
        <w:t xml:space="preserve"> </w:t>
      </w:r>
      <w:r w:rsidR="004C3F84">
        <w:t>and provided the following proposal:</w:t>
      </w:r>
    </w:p>
    <w:p w14:paraId="420BA139" w14:textId="06C112C8" w:rsidR="00621A10" w:rsidRPr="00621A10" w:rsidRDefault="00C9188F" w:rsidP="00621A10">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13</w:t>
      </w:r>
      <w:r w:rsidRPr="006C5C3B">
        <w:rPr>
          <w:b/>
          <w:i/>
        </w:rPr>
        <w:fldChar w:fldCharType="end"/>
      </w:r>
      <w:r w:rsidRPr="006C5C3B">
        <w:rPr>
          <w:b/>
          <w:i/>
        </w:rPr>
        <w:t>:</w:t>
      </w:r>
      <w:r w:rsidRPr="000C40D9">
        <w:rPr>
          <w:b/>
          <w:i/>
        </w:rPr>
        <w:t xml:space="preserve"> </w:t>
      </w:r>
      <w:r w:rsidR="00621A10" w:rsidRPr="000F6DD2">
        <w:rPr>
          <w:b/>
          <w:i/>
        </w:rPr>
        <w:t>pathlossReferenceRS</w:t>
      </w:r>
      <w:r w:rsidR="00621A10" w:rsidRPr="00B95709">
        <w:rPr>
          <w:b/>
          <w:i/>
        </w:rPr>
        <w:t xml:space="preserve"> is configured in RRC and the </w:t>
      </w:r>
      <w:r w:rsidR="00621A10" w:rsidRPr="000F6DD2">
        <w:rPr>
          <w:b/>
          <w:i/>
        </w:rPr>
        <w:t>pathlossReferenceRS</w:t>
      </w:r>
      <w:r w:rsidR="00621A10" w:rsidRPr="00B95709">
        <w:rPr>
          <w:b/>
          <w:i/>
        </w:rPr>
        <w:t xml:space="preserve"> configuration at least includes the DL reference signal (SSB</w:t>
      </w:r>
      <w:r w:rsidR="007D01FB">
        <w:rPr>
          <w:b/>
          <w:i/>
        </w:rPr>
        <w:t>, DL-PRS</w:t>
      </w:r>
      <w:r w:rsidR="00621A10" w:rsidRPr="00621A10">
        <w:rPr>
          <w:b/>
          <w:i/>
        </w:rPr>
        <w:t xml:space="preserve"> or CSI-RS) resource ID and the Cell ID of the transmitting serving/neighboring cell.</w:t>
      </w:r>
    </w:p>
    <w:p w14:paraId="5334E152" w14:textId="3D19E76F" w:rsidR="00621A10" w:rsidRPr="00B95709" w:rsidRDefault="00621A10" w:rsidP="00621A10">
      <w:pPr>
        <w:pStyle w:val="af"/>
        <w:numPr>
          <w:ilvl w:val="0"/>
          <w:numId w:val="38"/>
        </w:numPr>
        <w:ind w:leftChars="0"/>
        <w:rPr>
          <w:b/>
          <w:i/>
        </w:rPr>
      </w:pPr>
      <w:r w:rsidRPr="00621A10">
        <w:rPr>
          <w:b/>
          <w:i/>
        </w:rPr>
        <w:t xml:space="preserve">FFS: Other required parameters to configure a DL reference signal from neighbouring cells as a </w:t>
      </w:r>
      <w:r w:rsidRPr="000F6DD2">
        <w:rPr>
          <w:b/>
          <w:i/>
        </w:rPr>
        <w:t>pathlossReferenceRS</w:t>
      </w:r>
      <w:r w:rsidRPr="00B95709">
        <w:rPr>
          <w:b/>
          <w:i/>
        </w:rPr>
        <w:t>.</w:t>
      </w:r>
      <w:r w:rsidRPr="00B95709" w:rsidDel="00FD6E40">
        <w:rPr>
          <w:b/>
          <w:i/>
        </w:rPr>
        <w:t xml:space="preserve"> </w:t>
      </w:r>
    </w:p>
    <w:p w14:paraId="2EB4E9EC" w14:textId="77777777" w:rsidR="00621A10" w:rsidRPr="00621A10" w:rsidRDefault="00621A10" w:rsidP="00621A10">
      <w:pPr>
        <w:pStyle w:val="af"/>
        <w:numPr>
          <w:ilvl w:val="0"/>
          <w:numId w:val="38"/>
        </w:numPr>
        <w:ind w:leftChars="0"/>
        <w:rPr>
          <w:b/>
          <w:i/>
        </w:rPr>
      </w:pPr>
      <w:r w:rsidRPr="00621A10">
        <w:rPr>
          <w:b/>
          <w:i/>
        </w:rPr>
        <w:t xml:space="preserve">Send this agreement in an LS to RAN2. </w:t>
      </w:r>
    </w:p>
    <w:p w14:paraId="2CC5AF53" w14:textId="77777777" w:rsidR="004C3F84" w:rsidRDefault="004C3F84" w:rsidP="007C5147"/>
    <w:p w14:paraId="2CCBAF7E" w14:textId="6BF623B4" w:rsidR="001965B8" w:rsidRDefault="00215D6C" w:rsidP="007C5147">
      <w:r w:rsidRPr="000F6DD2">
        <w:t>Indicating a</w:t>
      </w:r>
      <w:r>
        <w:rPr>
          <w:i/>
        </w:rPr>
        <w:t xml:space="preserve"> </w:t>
      </w:r>
      <w:r w:rsidRPr="00D268AA">
        <w:rPr>
          <w:i/>
        </w:rPr>
        <w:t>pathlossReferenceRS</w:t>
      </w:r>
      <w:r>
        <w:rPr>
          <w:i/>
        </w:rPr>
        <w:t xml:space="preserve"> </w:t>
      </w:r>
      <w:r w:rsidR="00BC03B3" w:rsidRPr="000F6DD2">
        <w:t>in SRS configuration</w:t>
      </w:r>
      <w:r>
        <w:t xml:space="preserve"> is not mandatory in Rel. 15</w:t>
      </w:r>
      <w:r w:rsidR="00BC03B3">
        <w:t>.</w:t>
      </w:r>
      <w:r w:rsidR="009878E7">
        <w:t xml:space="preserve"> If </w:t>
      </w:r>
      <w:r w:rsidR="00BC03B3">
        <w:t xml:space="preserve"> </w:t>
      </w:r>
      <w:r>
        <w:t xml:space="preserve"> </w:t>
      </w:r>
      <w:r w:rsidR="009878E7" w:rsidRPr="00D268AA">
        <w:rPr>
          <w:i/>
        </w:rPr>
        <w:t>pathlossReferenceRS</w:t>
      </w:r>
      <w:r w:rsidR="009878E7">
        <w:rPr>
          <w:i/>
        </w:rPr>
        <w:t xml:space="preserve"> </w:t>
      </w:r>
      <w:r w:rsidR="009878E7" w:rsidRPr="000F6DD2">
        <w:t>is not configured</w:t>
      </w:r>
      <w:r w:rsidR="00BC03B3">
        <w:t xml:space="preserve">, UE </w:t>
      </w:r>
      <w:r w:rsidR="00D86E4B">
        <w:t xml:space="preserve">uses </w:t>
      </w:r>
      <w:r w:rsidR="00BC03B3" w:rsidRPr="00B95709">
        <w:t xml:space="preserve">the </w:t>
      </w:r>
      <w:r w:rsidR="00BC03B3" w:rsidRPr="000F6DD2">
        <w:t xml:space="preserve">SSB </w:t>
      </w:r>
      <w:r w:rsidR="00D86E4B">
        <w:t xml:space="preserve">that is </w:t>
      </w:r>
      <w:r w:rsidR="00BC03B3" w:rsidRPr="000F6DD2">
        <w:t>used to obtain MIB as the substitute</w:t>
      </w:r>
      <w:r w:rsidR="00BC03B3">
        <w:rPr>
          <w:b/>
          <w:i/>
        </w:rPr>
        <w:t xml:space="preserve"> </w:t>
      </w:r>
      <w:r w:rsidR="00BC03B3" w:rsidRPr="00D268AA">
        <w:rPr>
          <w:i/>
        </w:rPr>
        <w:t>pathlossReferenceRS</w:t>
      </w:r>
      <w:r w:rsidR="00BC03B3">
        <w:rPr>
          <w:i/>
        </w:rPr>
        <w:t xml:space="preserve"> </w:t>
      </w:r>
      <w:r w:rsidR="00503BCC">
        <w:t>[4]</w:t>
      </w:r>
      <w:r w:rsidR="0014306F">
        <w:t xml:space="preserve">. </w:t>
      </w:r>
      <w:r w:rsidR="009878E7">
        <w:t xml:space="preserve">In Rel. 16 positioning, SRS target cell may be a neighboring cell. In such a case, a different fallback behavior should be defined </w:t>
      </w:r>
      <w:r w:rsidR="00AF037E">
        <w:t xml:space="preserve">when the </w:t>
      </w:r>
      <w:r w:rsidR="00AF037E" w:rsidRPr="00D268AA">
        <w:rPr>
          <w:i/>
        </w:rPr>
        <w:t>pathlossReferenceRS</w:t>
      </w:r>
      <w:r w:rsidR="00AF037E">
        <w:rPr>
          <w:i/>
        </w:rPr>
        <w:t xml:space="preserve"> </w:t>
      </w:r>
      <w:r w:rsidR="00AF037E" w:rsidRPr="000F6DD2">
        <w:t>is not configured or</w:t>
      </w:r>
      <w:r w:rsidR="00AF037E">
        <w:rPr>
          <w:i/>
        </w:rPr>
        <w:t xml:space="preserve"> </w:t>
      </w:r>
      <w:r w:rsidR="00AF037E" w:rsidRPr="000F6DD2">
        <w:t xml:space="preserve">is configured but not detected. </w:t>
      </w:r>
      <w:r w:rsidR="004C3F84">
        <w:t xml:space="preserve">In </w:t>
      </w:r>
      <w:r w:rsidR="00503BCC">
        <w:t>[1]</w:t>
      </w:r>
      <w:r w:rsidR="004C3F84">
        <w:t>, we have proposed a fallback behavior that is also brought below:</w:t>
      </w:r>
    </w:p>
    <w:p w14:paraId="717FF808" w14:textId="0B4305E7" w:rsidR="003C6FCB" w:rsidRPr="003C6FCB" w:rsidRDefault="00C9188F" w:rsidP="003C6FCB">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14</w:t>
      </w:r>
      <w:r w:rsidRPr="006C5C3B">
        <w:rPr>
          <w:b/>
          <w:i/>
        </w:rPr>
        <w:fldChar w:fldCharType="end"/>
      </w:r>
      <w:r w:rsidRPr="006C5C3B">
        <w:rPr>
          <w:b/>
          <w:i/>
        </w:rPr>
        <w:t>:</w:t>
      </w:r>
      <w:r w:rsidRPr="000C40D9">
        <w:rPr>
          <w:b/>
          <w:i/>
        </w:rPr>
        <w:t xml:space="preserve"> </w:t>
      </w:r>
      <w:r w:rsidR="003C6FCB" w:rsidRPr="003C6FCB">
        <w:rPr>
          <w:b/>
          <w:i/>
        </w:rPr>
        <w:t xml:space="preserve">If a pathlossReferenceRS is not configured or is configured but not detected, UE uses the following detected SSB from the </w:t>
      </w:r>
      <w:r w:rsidR="004D3891">
        <w:rPr>
          <w:b/>
          <w:i/>
        </w:rPr>
        <w:t>target</w:t>
      </w:r>
      <w:r w:rsidR="004D3891" w:rsidRPr="003C6FCB">
        <w:rPr>
          <w:b/>
          <w:i/>
        </w:rPr>
        <w:t xml:space="preserve"> </w:t>
      </w:r>
      <w:r w:rsidR="003C6FCB" w:rsidRPr="003C6FCB">
        <w:rPr>
          <w:b/>
          <w:i/>
        </w:rPr>
        <w:t xml:space="preserve">cell as pathlossReferenceRS: </w:t>
      </w:r>
    </w:p>
    <w:p w14:paraId="555B3A53" w14:textId="097EA892" w:rsidR="003C6FCB" w:rsidRPr="003C6FCB" w:rsidRDefault="003C6FCB" w:rsidP="003C6FCB">
      <w:pPr>
        <w:pStyle w:val="af"/>
        <w:numPr>
          <w:ilvl w:val="0"/>
          <w:numId w:val="21"/>
        </w:numPr>
        <w:ind w:leftChars="0"/>
        <w:rPr>
          <w:b/>
          <w:i/>
        </w:rPr>
      </w:pPr>
      <w:r w:rsidRPr="003C6FCB">
        <w:rPr>
          <w:b/>
          <w:i/>
        </w:rPr>
        <w:lastRenderedPageBreak/>
        <w:t xml:space="preserve">If the </w:t>
      </w:r>
      <w:r w:rsidR="004D3891">
        <w:rPr>
          <w:b/>
          <w:i/>
        </w:rPr>
        <w:t>target</w:t>
      </w:r>
      <w:r w:rsidR="004D3891" w:rsidRPr="003C6FCB">
        <w:rPr>
          <w:b/>
          <w:i/>
        </w:rPr>
        <w:t xml:space="preserve"> </w:t>
      </w:r>
      <w:r w:rsidRPr="003C6FCB">
        <w:rPr>
          <w:b/>
          <w:i/>
        </w:rPr>
        <w:t>cell is a serving cell, the substitute pathlossReferenceRS is the SSB used to obtain MIB (Rel. 15 behavior).</w:t>
      </w:r>
    </w:p>
    <w:p w14:paraId="27D95FE4" w14:textId="6810DAE4" w:rsidR="003C6FCB" w:rsidRDefault="003C6FCB" w:rsidP="003C6FCB">
      <w:pPr>
        <w:pStyle w:val="af"/>
        <w:numPr>
          <w:ilvl w:val="0"/>
          <w:numId w:val="21"/>
        </w:numPr>
        <w:ind w:leftChars="0"/>
        <w:rPr>
          <w:b/>
          <w:i/>
        </w:rPr>
      </w:pPr>
      <w:r w:rsidRPr="003C6FCB">
        <w:rPr>
          <w:b/>
          <w:i/>
        </w:rPr>
        <w:t xml:space="preserve">If the </w:t>
      </w:r>
      <w:r w:rsidR="004D3891">
        <w:rPr>
          <w:b/>
          <w:i/>
        </w:rPr>
        <w:t>target</w:t>
      </w:r>
      <w:r w:rsidR="004D3891" w:rsidRPr="003C6FCB">
        <w:rPr>
          <w:b/>
          <w:i/>
        </w:rPr>
        <w:t xml:space="preserve"> </w:t>
      </w:r>
      <w:r w:rsidRPr="003C6FCB">
        <w:rPr>
          <w:b/>
          <w:i/>
        </w:rPr>
        <w:t>cell is a neighboring cell</w:t>
      </w:r>
      <w:r w:rsidR="001C4155">
        <w:rPr>
          <w:b/>
          <w:i/>
        </w:rPr>
        <w:t>,</w:t>
      </w:r>
      <w:r w:rsidRPr="003C6FCB">
        <w:rPr>
          <w:b/>
          <w:i/>
        </w:rPr>
        <w:t xml:space="preserve"> the substitute pathlossReferenceRS is the SSB with the highest RSRP. </w:t>
      </w:r>
    </w:p>
    <w:p w14:paraId="287AD789" w14:textId="77777777" w:rsidR="005049BB" w:rsidRDefault="005049BB" w:rsidP="00611B01">
      <w:pPr>
        <w:rPr>
          <w:iCs/>
          <w:color w:val="000000"/>
          <w:kern w:val="24"/>
        </w:rPr>
      </w:pPr>
    </w:p>
    <w:p w14:paraId="0A7E7D12" w14:textId="33083634" w:rsidR="00395AD0" w:rsidRDefault="0032362D" w:rsidP="00611B01">
      <w:pPr>
        <w:rPr>
          <w:iCs/>
          <w:color w:val="000000"/>
          <w:kern w:val="24"/>
        </w:rPr>
      </w:pPr>
      <w:r>
        <w:rPr>
          <w:iCs/>
          <w:color w:val="000000"/>
          <w:kern w:val="24"/>
        </w:rPr>
        <w:t>In Rel. 16 positioning</w:t>
      </w:r>
      <w:r w:rsidR="00395AD0">
        <w:rPr>
          <w:iCs/>
          <w:color w:val="000000"/>
          <w:kern w:val="24"/>
        </w:rPr>
        <w:t>,</w:t>
      </w:r>
      <w:r>
        <w:rPr>
          <w:iCs/>
          <w:color w:val="000000"/>
          <w:kern w:val="24"/>
        </w:rPr>
        <w:t xml:space="preserve"> </w:t>
      </w:r>
      <w:r w:rsidR="00395AD0">
        <w:rPr>
          <w:iCs/>
          <w:color w:val="000000"/>
          <w:kern w:val="24"/>
        </w:rPr>
        <w:t xml:space="preserve">SRS target cell may be a neighboring cell and, </w:t>
      </w:r>
      <w:r w:rsidR="005049BB">
        <w:rPr>
          <w:iCs/>
          <w:color w:val="000000"/>
          <w:kern w:val="24"/>
        </w:rPr>
        <w:t xml:space="preserve">as discussed in </w:t>
      </w:r>
      <w:r w:rsidR="00503BCC">
        <w:rPr>
          <w:iCs/>
          <w:color w:val="000000"/>
          <w:kern w:val="24"/>
        </w:rPr>
        <w:t>[1]</w:t>
      </w:r>
      <w:r w:rsidR="005049BB">
        <w:rPr>
          <w:iCs/>
          <w:color w:val="000000"/>
          <w:kern w:val="24"/>
        </w:rPr>
        <w:t xml:space="preserve">, </w:t>
      </w:r>
      <w:r w:rsidR="00395AD0">
        <w:rPr>
          <w:iCs/>
          <w:color w:val="000000"/>
          <w:kern w:val="24"/>
        </w:rPr>
        <w:t xml:space="preserve">due to the high latency of the inter-gNB communication, it may not be </w:t>
      </w:r>
      <w:r w:rsidR="003D1031">
        <w:rPr>
          <w:iCs/>
          <w:color w:val="000000"/>
          <w:kern w:val="24"/>
        </w:rPr>
        <w:t xml:space="preserve">always </w:t>
      </w:r>
      <w:r w:rsidR="00395AD0">
        <w:rPr>
          <w:iCs/>
          <w:color w:val="000000"/>
          <w:kern w:val="24"/>
        </w:rPr>
        <w:t>feasible to update the SRS power control adjustment state based on TPC command values in a DCI</w:t>
      </w:r>
      <w:r w:rsidR="007E282F">
        <w:rPr>
          <w:iCs/>
          <w:color w:val="000000"/>
          <w:kern w:val="24"/>
        </w:rPr>
        <w:t xml:space="preserve"> as the message that determines the TPC command value needs to be originated from the target neighboring cell.  </w:t>
      </w:r>
      <w:r w:rsidR="004265F4">
        <w:rPr>
          <w:iCs/>
          <w:color w:val="000000"/>
          <w:kern w:val="24"/>
        </w:rPr>
        <w:t xml:space="preserve">As such, we </w:t>
      </w:r>
      <w:r w:rsidR="005049BB">
        <w:rPr>
          <w:iCs/>
          <w:color w:val="000000"/>
          <w:kern w:val="24"/>
        </w:rPr>
        <w:t xml:space="preserve">have proposed </w:t>
      </w:r>
      <w:r w:rsidR="00503BCC">
        <w:rPr>
          <w:iCs/>
          <w:color w:val="000000"/>
          <w:kern w:val="24"/>
        </w:rPr>
        <w:t>[1]</w:t>
      </w:r>
      <w:r w:rsidR="005049BB">
        <w:rPr>
          <w:iCs/>
          <w:color w:val="000000"/>
          <w:kern w:val="24"/>
        </w:rPr>
        <w:t>:</w:t>
      </w:r>
      <w:r w:rsidR="004265F4">
        <w:rPr>
          <w:iCs/>
          <w:color w:val="000000"/>
          <w:kern w:val="24"/>
        </w:rPr>
        <w:t xml:space="preserve"> </w:t>
      </w:r>
    </w:p>
    <w:p w14:paraId="75DA4C2A" w14:textId="7EA702BB" w:rsidR="006A6971" w:rsidRPr="00B426C8" w:rsidRDefault="00C9188F" w:rsidP="006A6971">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15</w:t>
      </w:r>
      <w:r w:rsidRPr="006C5C3B">
        <w:rPr>
          <w:b/>
          <w:i/>
        </w:rPr>
        <w:fldChar w:fldCharType="end"/>
      </w:r>
      <w:r w:rsidRPr="006C5C3B">
        <w:rPr>
          <w:b/>
          <w:i/>
        </w:rPr>
        <w:t>:</w:t>
      </w:r>
      <w:r w:rsidRPr="000C40D9">
        <w:rPr>
          <w:b/>
          <w:i/>
        </w:rPr>
        <w:t xml:space="preserve"> </w:t>
      </w:r>
      <w:r w:rsidR="003A441A">
        <w:rPr>
          <w:b/>
          <w:i/>
        </w:rPr>
        <w:t>For positioning purposes, s</w:t>
      </w:r>
      <w:r w:rsidR="006A6971" w:rsidRPr="00B426C8">
        <w:rPr>
          <w:b/>
          <w:i/>
        </w:rPr>
        <w:t xml:space="preserve">upport </w:t>
      </w:r>
      <w:r w:rsidR="006A6971">
        <w:rPr>
          <w:b/>
          <w:i/>
        </w:rPr>
        <w:t xml:space="preserve">configuring </w:t>
      </w:r>
      <w:r w:rsidR="006A6971" w:rsidRPr="00B426C8">
        <w:rPr>
          <w:b/>
          <w:i/>
        </w:rPr>
        <w:t xml:space="preserve">a binary field to enable/disable </w:t>
      </w:r>
      <w:r w:rsidR="006B4E43">
        <w:rPr>
          <w:b/>
          <w:i/>
        </w:rPr>
        <w:t xml:space="preserve">the </w:t>
      </w:r>
      <w:r w:rsidR="006A6971" w:rsidRPr="00B426C8">
        <w:rPr>
          <w:b/>
          <w:i/>
        </w:rPr>
        <w:t xml:space="preserve">closed loop </w:t>
      </w:r>
      <w:r w:rsidR="006B4E43">
        <w:rPr>
          <w:b/>
          <w:i/>
        </w:rPr>
        <w:t xml:space="preserve">SRS </w:t>
      </w:r>
      <w:r w:rsidR="006A6971" w:rsidRPr="00B426C8">
        <w:rPr>
          <w:b/>
          <w:i/>
        </w:rPr>
        <w:t xml:space="preserve">power control mechanism indicated </w:t>
      </w:r>
      <w:r w:rsidR="006B4E43">
        <w:rPr>
          <w:b/>
          <w:i/>
        </w:rPr>
        <w:t>by</w:t>
      </w:r>
      <w:r w:rsidR="006A6971" w:rsidRPr="00B426C8">
        <w:rPr>
          <w:b/>
          <w:i/>
        </w:rPr>
        <w:t xml:space="preserve"> PowerControlAdjustmentStates.</w:t>
      </w:r>
    </w:p>
    <w:p w14:paraId="52A8EA15" w14:textId="77777777" w:rsidR="006A6971" w:rsidRDefault="006A6971" w:rsidP="006A6971">
      <w:pPr>
        <w:pStyle w:val="af"/>
        <w:numPr>
          <w:ilvl w:val="0"/>
          <w:numId w:val="24"/>
        </w:numPr>
        <w:ind w:leftChars="0"/>
      </w:pPr>
      <w:r w:rsidRPr="00676658">
        <w:rPr>
          <w:b/>
          <w:i/>
        </w:rPr>
        <w:t xml:space="preserve">FFS: Binary indicator is configured in DCI or RRC.  </w:t>
      </w:r>
    </w:p>
    <w:p w14:paraId="272A01D9" w14:textId="77777777" w:rsidR="005049BB" w:rsidRDefault="005049BB" w:rsidP="00611B01">
      <w:pPr>
        <w:rPr>
          <w:iCs/>
          <w:color w:val="000000"/>
          <w:kern w:val="24"/>
          <w:lang w:val="en-GB"/>
        </w:rPr>
      </w:pPr>
    </w:p>
    <w:p w14:paraId="7D3DAA55" w14:textId="34CFC993" w:rsidR="006A6971" w:rsidRDefault="006F02BE" w:rsidP="00611B01">
      <w:r>
        <w:rPr>
          <w:iCs/>
          <w:color w:val="000000"/>
          <w:kern w:val="24"/>
          <w:lang w:val="en-GB"/>
        </w:rPr>
        <w:t xml:space="preserve">Finally, as explained in </w:t>
      </w:r>
      <w:r w:rsidR="00503BCC">
        <w:rPr>
          <w:iCs/>
          <w:color w:val="000000"/>
          <w:kern w:val="24"/>
          <w:lang w:val="en-GB"/>
        </w:rPr>
        <w:t>[1]</w:t>
      </w:r>
      <w:r>
        <w:rPr>
          <w:iCs/>
          <w:color w:val="000000"/>
          <w:kern w:val="24"/>
          <w:lang w:val="en-GB"/>
        </w:rPr>
        <w:t>, i</w:t>
      </w:r>
      <w:r w:rsidR="006B4E43">
        <w:rPr>
          <w:iCs/>
          <w:color w:val="000000"/>
          <w:kern w:val="24"/>
          <w:lang w:val="en-GB"/>
        </w:rPr>
        <w:t xml:space="preserve">f </w:t>
      </w:r>
      <w:r w:rsidR="003B2818">
        <w:rPr>
          <w:iCs/>
          <w:color w:val="000000"/>
          <w:kern w:val="24"/>
        </w:rPr>
        <w:t xml:space="preserve">the </w:t>
      </w:r>
      <w:r w:rsidR="003B2818" w:rsidRPr="000F6DD2">
        <w:t>closed loop SRS power control mechanism</w:t>
      </w:r>
      <w:r w:rsidR="003B2818">
        <w:t xml:space="preserve"> is enabled, </w:t>
      </w:r>
      <w:r w:rsidR="00522C2E">
        <w:rPr>
          <w:iCs/>
          <w:color w:val="000000"/>
          <w:kern w:val="24"/>
        </w:rPr>
        <w:t xml:space="preserve">the same mechanism as in Rel. 15 can be used to update the </w:t>
      </w:r>
      <w:r w:rsidR="00522C2E">
        <w:t xml:space="preserve">SRS power control </w:t>
      </w:r>
      <w:r w:rsidR="00522C2E" w:rsidRPr="001B2783">
        <w:t xml:space="preserve">adjustment state </w:t>
      </w:r>
      <w:r w:rsidR="00522C2E">
        <w:rPr>
          <w:iCs/>
          <w:color w:val="000000"/>
          <w:kern w:val="24"/>
        </w:rPr>
        <w:t xml:space="preserve">with the following exception: When the target cell of the SRS is a neighboring cell, </w:t>
      </w:r>
      <w:r w:rsidR="003D1031">
        <w:rPr>
          <w:iCs/>
          <w:color w:val="000000"/>
          <w:kern w:val="24"/>
        </w:rPr>
        <w:t xml:space="preserve">the </w:t>
      </w:r>
      <w:r w:rsidR="00522C2E">
        <w:t xml:space="preserve">SRS power control </w:t>
      </w:r>
      <w:r w:rsidR="00522C2E" w:rsidRPr="001B2783">
        <w:t>adjustment state</w:t>
      </w:r>
      <w:r w:rsidR="005049BB">
        <w:rPr>
          <w:iCs/>
          <w:color w:val="000000"/>
          <w:kern w:val="24"/>
        </w:rPr>
        <w:t xml:space="preserve"> </w:t>
      </w:r>
      <w:r w:rsidR="00522C2E">
        <w:rPr>
          <w:iCs/>
          <w:color w:val="000000"/>
          <w:kern w:val="24"/>
        </w:rPr>
        <w:t xml:space="preserve">should not follow the </w:t>
      </w:r>
      <w:r w:rsidR="00522C2E">
        <w:t xml:space="preserve">PUSCH power control </w:t>
      </w:r>
      <w:r w:rsidR="00522C2E" w:rsidRPr="001B2783">
        <w:t>adjustment state</w:t>
      </w:r>
      <w:r w:rsidR="00522C2E">
        <w:t xml:space="preserve"> as the PUSCH power control </w:t>
      </w:r>
      <w:r w:rsidR="00522C2E" w:rsidRPr="001B2783">
        <w:t>adjustment state</w:t>
      </w:r>
      <w:r w:rsidR="00522C2E">
        <w:t xml:space="preserve"> is meant to adjust the power of the uplink channel that is sent to a serving cell.</w:t>
      </w:r>
      <w:r>
        <w:t xml:space="preserve"> The following proposal from </w:t>
      </w:r>
      <w:r w:rsidR="00503BCC">
        <w:t>[1]</w:t>
      </w:r>
      <w:r>
        <w:t xml:space="preserve"> </w:t>
      </w:r>
      <w:r w:rsidR="00503BCC">
        <w:t>supports above observation.</w:t>
      </w:r>
    </w:p>
    <w:p w14:paraId="621E524A" w14:textId="0F879E00" w:rsidR="003A441A" w:rsidRDefault="00C9188F" w:rsidP="00611B01">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16</w:t>
      </w:r>
      <w:r w:rsidRPr="006C5C3B">
        <w:rPr>
          <w:b/>
          <w:i/>
        </w:rPr>
        <w:fldChar w:fldCharType="end"/>
      </w:r>
      <w:r w:rsidRPr="006C5C3B">
        <w:rPr>
          <w:b/>
          <w:i/>
        </w:rPr>
        <w:t>:</w:t>
      </w:r>
      <w:r w:rsidRPr="000C40D9">
        <w:rPr>
          <w:b/>
          <w:i/>
        </w:rPr>
        <w:t xml:space="preserve"> </w:t>
      </w:r>
      <w:r w:rsidR="003A441A" w:rsidRPr="000F6DD2">
        <w:rPr>
          <w:b/>
          <w:i/>
          <w:iCs/>
          <w:color w:val="000000"/>
          <w:kern w:val="24"/>
          <w:lang w:val="en-GB"/>
        </w:rPr>
        <w:t xml:space="preserve">For positioning purposes, when </w:t>
      </w:r>
      <w:r w:rsidR="003A441A" w:rsidRPr="000D54DB">
        <w:rPr>
          <w:b/>
          <w:i/>
        </w:rPr>
        <w:t xml:space="preserve">the closed loop SRS power control is enabled and the target cell of SRS is a neighboring cell, </w:t>
      </w:r>
      <w:r w:rsidR="003A441A" w:rsidRPr="000F6DD2">
        <w:rPr>
          <w:b/>
          <w:i/>
        </w:rPr>
        <w:t>PowerControlAdjustmentStates is set to separateClosedLoop.</w:t>
      </w:r>
    </w:p>
    <w:p w14:paraId="70FE9FA5" w14:textId="77777777" w:rsidR="00D35C3E" w:rsidRPr="000F6DD2" w:rsidRDefault="00D35C3E" w:rsidP="00611B01">
      <w:pPr>
        <w:rPr>
          <w:b/>
          <w:i/>
          <w:iCs/>
          <w:color w:val="000000"/>
          <w:kern w:val="24"/>
          <w:lang w:val="en-GB"/>
        </w:rPr>
      </w:pPr>
    </w:p>
    <w:p w14:paraId="31500936" w14:textId="015093E8" w:rsidR="00064D26" w:rsidRPr="000D54DB" w:rsidRDefault="00064D26" w:rsidP="00B95709">
      <w:pPr>
        <w:pStyle w:val="2"/>
      </w:pPr>
      <w:bookmarkStart w:id="16" w:name="_Ref15986697"/>
      <w:r w:rsidRPr="000D54DB">
        <w:t xml:space="preserve">Maximum number of configured SRS resource sets </w:t>
      </w:r>
      <w:r w:rsidR="0048253C" w:rsidRPr="000D54DB">
        <w:t xml:space="preserve">in a </w:t>
      </w:r>
      <w:r w:rsidRPr="000D54DB">
        <w:t>BWP</w:t>
      </w:r>
      <w:bookmarkEnd w:id="16"/>
    </w:p>
    <w:p w14:paraId="1989D289" w14:textId="7512809F" w:rsidR="00703CB1" w:rsidRDefault="0090275A" w:rsidP="00064D26">
      <w:r>
        <w:t>T</w:t>
      </w:r>
      <w:r w:rsidR="00703CB1">
        <w:t xml:space="preserve">he maximum number of configured SRS resources in a BWP is equal to 16 in Rel. 15. </w:t>
      </w:r>
      <w:r w:rsidR="00E05FA1">
        <w:t xml:space="preserve">Note that, in contrast to Rel. 15 SRS usages, </w:t>
      </w:r>
      <w:r w:rsidR="0048253C">
        <w:t xml:space="preserve">target </w:t>
      </w:r>
      <w:r w:rsidR="00E05FA1">
        <w:t xml:space="preserve">neighboring cells </w:t>
      </w:r>
      <w:r w:rsidR="0048253C">
        <w:t>also</w:t>
      </w:r>
      <w:r w:rsidR="00E05FA1">
        <w:t xml:space="preserve"> measure SRS resources for positioning purposes. </w:t>
      </w:r>
      <w:r w:rsidR="00C741BE">
        <w:t xml:space="preserve">Different SRS resource sets may need to be configured for the purpose of measurement at different target neighboring cells due to, for instance, different power control and/or </w:t>
      </w:r>
      <w:r w:rsidR="00BF5F0E">
        <w:t>s</w:t>
      </w:r>
      <w:r w:rsidR="00C741BE">
        <w:t>patial transmission filter requirements.</w:t>
      </w:r>
      <w:r w:rsidR="00BF5F0E">
        <w:t xml:space="preserve"> As such, we</w:t>
      </w:r>
      <w:r w:rsidR="00E05FA1">
        <w:t xml:space="preserve"> believe that the number of configurable SRS resource sets in a BWP should be increased in Rel. 16. </w:t>
      </w:r>
      <w:r w:rsidR="00BF5F0E">
        <w:t>Supporting at least 16 additional SRS resource sets for the purpose of positioning measurements at the target neighboring cells seem</w:t>
      </w:r>
      <w:r w:rsidR="0048253C">
        <w:t>s</w:t>
      </w:r>
      <w:r w:rsidR="00BF5F0E">
        <w:t xml:space="preserve"> to be reasonable. </w:t>
      </w:r>
    </w:p>
    <w:p w14:paraId="0B8DAB92" w14:textId="18D11CDE" w:rsidR="00A6519F" w:rsidRPr="00A6519F" w:rsidRDefault="00C9188F" w:rsidP="00064D26">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17</w:t>
      </w:r>
      <w:r w:rsidRPr="006C5C3B">
        <w:rPr>
          <w:b/>
          <w:i/>
        </w:rPr>
        <w:fldChar w:fldCharType="end"/>
      </w:r>
      <w:r w:rsidRPr="006C5C3B">
        <w:rPr>
          <w:b/>
          <w:i/>
        </w:rPr>
        <w:t>:</w:t>
      </w:r>
      <w:r w:rsidRPr="000C40D9">
        <w:rPr>
          <w:b/>
          <w:i/>
        </w:rPr>
        <w:t xml:space="preserve"> </w:t>
      </w:r>
      <w:r w:rsidR="00A6519F" w:rsidRPr="00A6519F">
        <w:rPr>
          <w:b/>
          <w:i/>
        </w:rPr>
        <w:t xml:space="preserve">Increase the maximum number of configured SRS resource sets </w:t>
      </w:r>
      <w:r w:rsidR="00BF5F0E">
        <w:rPr>
          <w:b/>
          <w:i/>
        </w:rPr>
        <w:t>in a</w:t>
      </w:r>
      <w:r w:rsidR="00BF5F0E" w:rsidRPr="00A6519F">
        <w:rPr>
          <w:b/>
          <w:i/>
        </w:rPr>
        <w:t xml:space="preserve"> </w:t>
      </w:r>
      <w:r w:rsidR="00A6519F" w:rsidRPr="00A6519F">
        <w:rPr>
          <w:b/>
          <w:i/>
        </w:rPr>
        <w:t xml:space="preserve">BWP from 16 to N&gt;= </w:t>
      </w:r>
      <w:r w:rsidR="00BF5F0E">
        <w:rPr>
          <w:b/>
          <w:i/>
        </w:rPr>
        <w:t>32</w:t>
      </w:r>
      <w:r w:rsidR="00A6519F" w:rsidRPr="00A6519F">
        <w:rPr>
          <w:b/>
          <w:i/>
        </w:rPr>
        <w:t>.</w:t>
      </w:r>
    </w:p>
    <w:p w14:paraId="620C53F5" w14:textId="0DFDC1C6" w:rsidR="00A6519F" w:rsidRDefault="00A6519F" w:rsidP="00A6519F">
      <w:pPr>
        <w:pStyle w:val="af"/>
        <w:numPr>
          <w:ilvl w:val="0"/>
          <w:numId w:val="22"/>
        </w:numPr>
        <w:ind w:leftChars="0"/>
      </w:pPr>
      <w:r w:rsidRPr="00A6519F">
        <w:rPr>
          <w:b/>
          <w:i/>
        </w:rPr>
        <w:t>FFS: N</w:t>
      </w:r>
    </w:p>
    <w:p w14:paraId="16E6D13F" w14:textId="77777777" w:rsidR="00064D26" w:rsidRPr="00064D26" w:rsidRDefault="00064D26" w:rsidP="00064D26"/>
    <w:p w14:paraId="0996D806" w14:textId="29CE5768" w:rsidR="0032228A" w:rsidRPr="000F6DD2" w:rsidRDefault="00AD3908" w:rsidP="00B95709">
      <w:pPr>
        <w:pStyle w:val="2"/>
      </w:pPr>
      <w:r w:rsidRPr="000F6DD2">
        <w:t>SRS positioning usage</w:t>
      </w:r>
      <w:r w:rsidR="00881104" w:rsidRPr="000F6DD2">
        <w:t xml:space="preserve"> </w:t>
      </w:r>
    </w:p>
    <w:p w14:paraId="7DB6789A" w14:textId="70C5DA02" w:rsidR="00D670BB" w:rsidRDefault="00D43F47" w:rsidP="00D43F47">
      <w:r w:rsidRPr="001B61A3">
        <w:t>In Rel. 15 NR, SRS resources were grouped into SRS resource sets. Four different usages are introduced for SRS resource sets</w:t>
      </w:r>
      <w:r w:rsidR="00AE12DE">
        <w:t xml:space="preserve"> </w:t>
      </w:r>
      <w:r w:rsidR="00503BCC">
        <w:t>[6][7]</w:t>
      </w:r>
      <w:r w:rsidRPr="001B61A3">
        <w:t xml:space="preserve">: “BeamManagement” to train and determine the UL transmission beam, “codebook” and “noncodebook” to respectively determine appropriate codebook-based and noncodebook-based UL precoders and “antennaSwitching” for the purpose of DL CSI acquisition. </w:t>
      </w:r>
      <w:r w:rsidR="00A76A7C" w:rsidRPr="001B61A3">
        <w:t xml:space="preserve">Note that some SRS configurations, UE behaviors, and physical layer procedures </w:t>
      </w:r>
      <w:r w:rsidR="00A76A7C">
        <w:t>are</w:t>
      </w:r>
      <w:r w:rsidR="00A76A7C" w:rsidRPr="001B61A3">
        <w:t xml:space="preserve"> different for different usages</w:t>
      </w:r>
      <w:r w:rsidR="007B4DDC">
        <w:t xml:space="preserve"> </w:t>
      </w:r>
      <w:r w:rsidR="00503BCC">
        <w:t>[6]</w:t>
      </w:r>
      <w:r w:rsidR="00A76A7C" w:rsidRPr="001B61A3">
        <w:t>.</w:t>
      </w:r>
      <w:r w:rsidR="00A76A7C">
        <w:t xml:space="preserve"> In RAN1 97</w:t>
      </w:r>
      <w:r w:rsidR="00931B78">
        <w:t xml:space="preserve"> and RAN1 98</w:t>
      </w:r>
      <w:r w:rsidR="00A76A7C">
        <w:t xml:space="preserve">, </w:t>
      </w:r>
      <w:r w:rsidR="00D80A3B">
        <w:t xml:space="preserve">multiple agreements were reached regarding SRS configuration for Rel. 16 positioning purposes. These agreements in RAN1 97 may be classified into two categories: </w:t>
      </w:r>
    </w:p>
    <w:p w14:paraId="7742EEF0" w14:textId="34D50C79" w:rsidR="00771332" w:rsidRDefault="00D80A3B" w:rsidP="000F6DD2">
      <w:pPr>
        <w:pStyle w:val="af"/>
        <w:numPr>
          <w:ilvl w:val="0"/>
          <w:numId w:val="25"/>
        </w:numPr>
        <w:ind w:leftChars="0"/>
        <w:rPr>
          <w:lang w:eastAsia="ko-KR"/>
        </w:rPr>
      </w:pPr>
      <w:r w:rsidRPr="000F6DD2">
        <w:rPr>
          <w:i/>
        </w:rPr>
        <w:t xml:space="preserve">Agreements </w:t>
      </w:r>
      <w:r w:rsidR="00D670BB" w:rsidRPr="000F6DD2">
        <w:rPr>
          <w:i/>
        </w:rPr>
        <w:t xml:space="preserve">related to </w:t>
      </w:r>
      <w:r w:rsidR="00590834" w:rsidRPr="000F6DD2">
        <w:rPr>
          <w:i/>
        </w:rPr>
        <w:t xml:space="preserve">the </w:t>
      </w:r>
      <w:r w:rsidR="00D670BB" w:rsidRPr="000F6DD2">
        <w:rPr>
          <w:i/>
        </w:rPr>
        <w:t>SRS sequence design and resource mapping:</w:t>
      </w:r>
      <w:r w:rsidR="00D670BB">
        <w:t xml:space="preserve"> Th</w:t>
      </w:r>
      <w:r w:rsidR="00771332">
        <w:t xml:space="preserve">ese agreements are </w:t>
      </w:r>
      <w:r w:rsidR="001E4F02">
        <w:t xml:space="preserve">primarily </w:t>
      </w:r>
      <w:r w:rsidR="00771332">
        <w:t>reflected in 38.211 and include</w:t>
      </w:r>
      <w:r w:rsidR="00D670BB">
        <w:t xml:space="preserve"> </w:t>
      </w:r>
      <w:r w:rsidR="009C1D07">
        <w:t>an increased</w:t>
      </w:r>
      <w:r w:rsidR="006F2534">
        <w:t xml:space="preserve"> number of </w:t>
      </w:r>
      <w:r w:rsidR="006F2534" w:rsidRPr="005A33A1">
        <w:t>consecutive OFDM symbols</w:t>
      </w:r>
      <w:r w:rsidR="006F2534">
        <w:t xml:space="preserve"> in a SRS resource, </w:t>
      </w:r>
      <w:r w:rsidR="009C1D07">
        <w:t xml:space="preserve">an </w:t>
      </w:r>
      <w:r w:rsidR="006F2534">
        <w:t>increased number of supported comb size</w:t>
      </w:r>
      <w:r w:rsidR="00146476">
        <w:t>s</w:t>
      </w:r>
      <w:r w:rsidR="006F2534">
        <w:t xml:space="preserve">, and </w:t>
      </w:r>
      <w:r w:rsidR="000913C4">
        <w:t xml:space="preserve">the support for a </w:t>
      </w:r>
      <w:r w:rsidR="006F2534">
        <w:t xml:space="preserve">staggered </w:t>
      </w:r>
      <w:r w:rsidR="00146476">
        <w:t>SRS resource mapping</w:t>
      </w:r>
      <w:r w:rsidR="00771332">
        <w:t>.</w:t>
      </w:r>
      <w:r w:rsidR="006F2534">
        <w:t xml:space="preserve"> </w:t>
      </w:r>
    </w:p>
    <w:p w14:paraId="445522E9" w14:textId="294D2613" w:rsidR="00A76A7C" w:rsidRDefault="006F2534" w:rsidP="000F6DD2">
      <w:pPr>
        <w:pStyle w:val="af"/>
        <w:numPr>
          <w:ilvl w:val="0"/>
          <w:numId w:val="25"/>
        </w:numPr>
        <w:ind w:leftChars="0"/>
        <w:rPr>
          <w:lang w:eastAsia="ko-KR"/>
        </w:rPr>
      </w:pPr>
      <w:r w:rsidRPr="000F6DD2">
        <w:rPr>
          <w:i/>
        </w:rPr>
        <w:t xml:space="preserve">Agreements </w:t>
      </w:r>
      <w:r w:rsidR="00771332" w:rsidRPr="000F6DD2">
        <w:rPr>
          <w:i/>
        </w:rPr>
        <w:t>related to the UE behaviour</w:t>
      </w:r>
      <w:r w:rsidR="00590834">
        <w:rPr>
          <w:i/>
        </w:rPr>
        <w:t xml:space="preserve"> and procedure</w:t>
      </w:r>
      <w:r w:rsidR="00771332" w:rsidRPr="000F6DD2">
        <w:rPr>
          <w:i/>
        </w:rPr>
        <w:t xml:space="preserve">: </w:t>
      </w:r>
      <w:r w:rsidR="00771332">
        <w:t xml:space="preserve">These agreements are primarily reflected in </w:t>
      </w:r>
      <w:r w:rsidR="00590834">
        <w:t xml:space="preserve">38.213 and </w:t>
      </w:r>
      <w:r w:rsidR="00771332">
        <w:t>38.214 and include</w:t>
      </w:r>
      <w:r>
        <w:t xml:space="preserve"> </w:t>
      </w:r>
      <w:r w:rsidR="009C1D07">
        <w:t xml:space="preserve">configuring a spatial relation between a </w:t>
      </w:r>
      <w:r w:rsidR="00D25605">
        <w:t xml:space="preserve">DL </w:t>
      </w:r>
      <w:r w:rsidR="009C1D07">
        <w:t xml:space="preserve">reference </w:t>
      </w:r>
      <w:r w:rsidR="00D25605">
        <w:t>signal</w:t>
      </w:r>
      <w:r w:rsidR="009C1D07">
        <w:t xml:space="preserve"> from a neighboring cell and </w:t>
      </w:r>
      <w:r w:rsidR="00931B78">
        <w:t>the SRS</w:t>
      </w:r>
      <w:r w:rsidR="009C1D07">
        <w:t xml:space="preserve"> </w:t>
      </w:r>
      <w:r w:rsidR="00A53F17">
        <w:t xml:space="preserve">resource </w:t>
      </w:r>
      <w:r w:rsidR="009C1D07">
        <w:t xml:space="preserve">and </w:t>
      </w:r>
      <w:r w:rsidR="009C1D07">
        <w:rPr>
          <w:lang w:eastAsia="ko-KR"/>
        </w:rPr>
        <w:t xml:space="preserve">configuring a DL reference signal of a neighboring cell </w:t>
      </w:r>
      <w:r w:rsidR="00146476">
        <w:rPr>
          <w:lang w:eastAsia="ko-KR"/>
        </w:rPr>
        <w:t>as a</w:t>
      </w:r>
      <w:r w:rsidR="009C1D07">
        <w:rPr>
          <w:lang w:eastAsia="ko-KR"/>
        </w:rPr>
        <w:t xml:space="preserve"> pathloss reference for the purpose of SRS power control. </w:t>
      </w:r>
    </w:p>
    <w:p w14:paraId="2AE3D99E" w14:textId="77777777" w:rsidR="00590834" w:rsidRDefault="00590834" w:rsidP="00D43F47">
      <w:pPr>
        <w:rPr>
          <w:lang w:eastAsia="ko-KR"/>
        </w:rPr>
      </w:pPr>
    </w:p>
    <w:p w14:paraId="4F383044" w14:textId="7DC5F769" w:rsidR="00590834" w:rsidRDefault="00771332" w:rsidP="00D43F47">
      <w:pPr>
        <w:rPr>
          <w:lang w:eastAsia="ko-KR"/>
        </w:rPr>
      </w:pPr>
      <w:r>
        <w:rPr>
          <w:lang w:eastAsia="ko-KR"/>
        </w:rPr>
        <w:t>A</w:t>
      </w:r>
      <w:r w:rsidR="00D25605">
        <w:rPr>
          <w:lang w:eastAsia="ko-KR"/>
        </w:rPr>
        <w:t xml:space="preserve">greements in category A </w:t>
      </w:r>
      <w:r>
        <w:rPr>
          <w:lang w:eastAsia="ko-KR"/>
        </w:rPr>
        <w:t xml:space="preserve">may also be applicable to </w:t>
      </w:r>
      <w:r w:rsidR="00B66C4A">
        <w:rPr>
          <w:lang w:eastAsia="ko-KR"/>
        </w:rPr>
        <w:t xml:space="preserve">the </w:t>
      </w:r>
      <w:r>
        <w:rPr>
          <w:lang w:eastAsia="ko-KR"/>
        </w:rPr>
        <w:t xml:space="preserve">Rel. 15 SRS usages and, as such, </w:t>
      </w:r>
      <w:r w:rsidR="00D25605">
        <w:rPr>
          <w:lang w:eastAsia="ko-KR"/>
        </w:rPr>
        <w:t xml:space="preserve">may be reflected </w:t>
      </w:r>
      <w:r w:rsidR="001E4F02">
        <w:rPr>
          <w:lang w:eastAsia="ko-KR"/>
        </w:rPr>
        <w:t xml:space="preserve">in </w:t>
      </w:r>
      <w:r w:rsidR="00B66C4A">
        <w:rPr>
          <w:lang w:eastAsia="ko-KR"/>
        </w:rPr>
        <w:t xml:space="preserve">the </w:t>
      </w:r>
      <w:r w:rsidR="001E4F02">
        <w:rPr>
          <w:lang w:eastAsia="ko-KR"/>
        </w:rPr>
        <w:t xml:space="preserve">specifications </w:t>
      </w:r>
      <w:r w:rsidR="00D25605">
        <w:rPr>
          <w:lang w:eastAsia="ko-KR"/>
        </w:rPr>
        <w:t xml:space="preserve">without </w:t>
      </w:r>
      <w:r w:rsidR="00D670BB">
        <w:rPr>
          <w:lang w:eastAsia="ko-KR"/>
        </w:rPr>
        <w:t>being</w:t>
      </w:r>
      <w:r w:rsidR="00D25605">
        <w:rPr>
          <w:lang w:eastAsia="ko-KR"/>
        </w:rPr>
        <w:t xml:space="preserve"> restricted to </w:t>
      </w:r>
      <w:r w:rsidR="00D670BB">
        <w:rPr>
          <w:lang w:eastAsia="ko-KR"/>
        </w:rPr>
        <w:t xml:space="preserve">the </w:t>
      </w:r>
      <w:r w:rsidR="00D25605">
        <w:rPr>
          <w:lang w:eastAsia="ko-KR"/>
        </w:rPr>
        <w:t>SRS for positioning</w:t>
      </w:r>
      <w:r w:rsidR="00D670BB">
        <w:rPr>
          <w:lang w:eastAsia="ko-KR"/>
        </w:rPr>
        <w:t xml:space="preserve"> purposes</w:t>
      </w:r>
      <w:r w:rsidR="00590834">
        <w:rPr>
          <w:lang w:eastAsia="ko-KR"/>
        </w:rPr>
        <w:t xml:space="preserve">. However, </w:t>
      </w:r>
      <w:r w:rsidR="00146476">
        <w:rPr>
          <w:lang w:eastAsia="ko-KR"/>
        </w:rPr>
        <w:t xml:space="preserve">agreements in category B </w:t>
      </w:r>
      <w:r w:rsidR="00590834">
        <w:rPr>
          <w:lang w:eastAsia="ko-KR"/>
        </w:rPr>
        <w:t xml:space="preserve">are not applicable to the Rel. 15 usages and </w:t>
      </w:r>
      <w:r w:rsidR="000913C4">
        <w:rPr>
          <w:lang w:eastAsia="ko-KR"/>
        </w:rPr>
        <w:t xml:space="preserve">need to be restricted </w:t>
      </w:r>
      <w:r w:rsidR="00590834">
        <w:rPr>
          <w:lang w:eastAsia="ko-KR"/>
        </w:rPr>
        <w:t xml:space="preserve">to </w:t>
      </w:r>
      <w:r w:rsidR="000913C4">
        <w:rPr>
          <w:lang w:eastAsia="ko-KR"/>
        </w:rPr>
        <w:t>the positioning purposes</w:t>
      </w:r>
      <w:r w:rsidR="00862CCF">
        <w:rPr>
          <w:lang w:eastAsia="ko-KR"/>
        </w:rPr>
        <w:t xml:space="preserve"> when reflected in </w:t>
      </w:r>
      <w:r w:rsidR="00B66C4A">
        <w:rPr>
          <w:lang w:eastAsia="ko-KR"/>
        </w:rPr>
        <w:t xml:space="preserve">the </w:t>
      </w:r>
      <w:r w:rsidR="00862CCF">
        <w:rPr>
          <w:lang w:eastAsia="ko-KR"/>
        </w:rPr>
        <w:t>specifications</w:t>
      </w:r>
      <w:r w:rsidR="000913C4">
        <w:rPr>
          <w:lang w:eastAsia="ko-KR"/>
        </w:rPr>
        <w:t xml:space="preserve">. </w:t>
      </w:r>
      <w:r w:rsidR="00590834">
        <w:rPr>
          <w:lang w:eastAsia="ko-KR"/>
        </w:rPr>
        <w:t xml:space="preserve">Due to this fact </w:t>
      </w:r>
      <w:r w:rsidR="00862CCF">
        <w:rPr>
          <w:lang w:eastAsia="ko-KR"/>
        </w:rPr>
        <w:t xml:space="preserve">and to </w:t>
      </w:r>
      <w:r w:rsidR="00645492">
        <w:rPr>
          <w:lang w:eastAsia="ko-KR"/>
        </w:rPr>
        <w:t>facilitate</w:t>
      </w:r>
      <w:r w:rsidR="00862CCF">
        <w:rPr>
          <w:lang w:eastAsia="ko-KR"/>
        </w:rPr>
        <w:t xml:space="preserve"> </w:t>
      </w:r>
      <w:r w:rsidR="00645492">
        <w:rPr>
          <w:lang w:eastAsia="ko-KR"/>
        </w:rPr>
        <w:t xml:space="preserve">a proper reflection of </w:t>
      </w:r>
      <w:r w:rsidR="00862CCF">
        <w:rPr>
          <w:lang w:eastAsia="ko-KR"/>
        </w:rPr>
        <w:t xml:space="preserve">other possible </w:t>
      </w:r>
      <w:r w:rsidR="003144FA">
        <w:rPr>
          <w:lang w:eastAsia="ko-KR"/>
        </w:rPr>
        <w:t xml:space="preserve">future </w:t>
      </w:r>
      <w:r w:rsidR="00862CCF">
        <w:rPr>
          <w:lang w:eastAsia="ko-KR"/>
        </w:rPr>
        <w:t xml:space="preserve">agreements </w:t>
      </w:r>
      <w:r w:rsidR="00645492">
        <w:rPr>
          <w:lang w:eastAsia="ko-KR"/>
        </w:rPr>
        <w:t xml:space="preserve">in </w:t>
      </w:r>
      <w:r w:rsidR="00BB02BC">
        <w:rPr>
          <w:lang w:eastAsia="ko-KR"/>
        </w:rPr>
        <w:t xml:space="preserve">the </w:t>
      </w:r>
      <w:r w:rsidR="00645492">
        <w:rPr>
          <w:lang w:eastAsia="ko-KR"/>
        </w:rPr>
        <w:t>specifications</w:t>
      </w:r>
      <w:r w:rsidR="00862CCF">
        <w:rPr>
          <w:lang w:eastAsia="ko-KR"/>
        </w:rPr>
        <w:t xml:space="preserve">, SRS positioning usage should be supported in Rel. 16. </w:t>
      </w:r>
    </w:p>
    <w:p w14:paraId="410AECFB" w14:textId="222D8C92" w:rsidR="00F375EC" w:rsidRDefault="00C9188F" w:rsidP="00F375EC">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18</w:t>
      </w:r>
      <w:r w:rsidRPr="006C5C3B">
        <w:rPr>
          <w:b/>
          <w:i/>
        </w:rPr>
        <w:fldChar w:fldCharType="end"/>
      </w:r>
      <w:r w:rsidRPr="006C5C3B">
        <w:rPr>
          <w:b/>
          <w:i/>
        </w:rPr>
        <w:t>:</w:t>
      </w:r>
      <w:r w:rsidRPr="000C40D9">
        <w:rPr>
          <w:b/>
          <w:i/>
        </w:rPr>
        <w:t xml:space="preserve"> </w:t>
      </w:r>
      <w:r w:rsidR="00F375EC">
        <w:rPr>
          <w:b/>
          <w:i/>
        </w:rPr>
        <w:t>Support SRS “</w:t>
      </w:r>
      <w:r w:rsidR="00F375EC" w:rsidRPr="00052B1B">
        <w:rPr>
          <w:b/>
          <w:i/>
        </w:rPr>
        <w:t>positioning</w:t>
      </w:r>
      <w:r w:rsidR="00F375EC">
        <w:rPr>
          <w:b/>
          <w:i/>
        </w:rPr>
        <w:t>”</w:t>
      </w:r>
      <w:r w:rsidR="00F375EC" w:rsidRPr="00052B1B">
        <w:rPr>
          <w:b/>
          <w:i/>
        </w:rPr>
        <w:t xml:space="preserve"> usage.</w:t>
      </w:r>
    </w:p>
    <w:p w14:paraId="733F6B75" w14:textId="77777777" w:rsidR="00D35C3E" w:rsidRPr="00F375EC" w:rsidRDefault="00D35C3E" w:rsidP="00F375EC"/>
    <w:p w14:paraId="0718D7F4" w14:textId="79E848AE" w:rsidR="00AD3908" w:rsidRPr="000F6DD2" w:rsidRDefault="00AD3908" w:rsidP="00B95709">
      <w:pPr>
        <w:pStyle w:val="2"/>
      </w:pPr>
      <w:r w:rsidRPr="000F6DD2">
        <w:t>SRS sequence generation</w:t>
      </w:r>
      <w:r w:rsidR="00881104" w:rsidRPr="000F6DD2">
        <w:t xml:space="preserve"> </w:t>
      </w:r>
    </w:p>
    <w:p w14:paraId="3150B2FF" w14:textId="4E647ECD" w:rsidR="004B3097" w:rsidRPr="00AE1547" w:rsidRDefault="004B3097" w:rsidP="004B3097">
      <w:r w:rsidRPr="00AE1547">
        <w:t>In Rel</w:t>
      </w:r>
      <w:r>
        <w:t xml:space="preserve">. </w:t>
      </w:r>
      <w:r w:rsidRPr="00AE1547">
        <w:t xml:space="preserve">15, </w:t>
      </w:r>
      <w:r>
        <w:t xml:space="preserve">the </w:t>
      </w:r>
      <w:r w:rsidRPr="00AE1547">
        <w:t xml:space="preserve">SRS </w:t>
      </w:r>
      <w:r>
        <w:t xml:space="preserve">sequence </w:t>
      </w:r>
      <w:r w:rsidRPr="00AE1547">
        <w:t xml:space="preserve">is based on </w:t>
      </w:r>
      <w:r>
        <w:t xml:space="preserve">the </w:t>
      </w:r>
      <w:r w:rsidRPr="00AE1547">
        <w:t xml:space="preserve">Zadoff-Chu sequence given by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AE1547">
        <w:t xml:space="preserve">, where </w:t>
      </w:r>
      <m:oMath>
        <m:r>
          <w:rPr>
            <w:rFonts w:ascii="Cambria Math" w:hAnsi="Cambria Math"/>
          </w:rPr>
          <m:t>u</m:t>
        </m:r>
      </m:oMath>
      <w:r w:rsidRPr="00AE1547">
        <w:t xml:space="preserve"> and </w:t>
      </w:r>
      <m:oMath>
        <m:r>
          <w:rPr>
            <w:rFonts w:ascii="Cambria Math" w:hAnsi="Cambria Math"/>
          </w:rPr>
          <m:t>v</m:t>
        </m:r>
      </m:oMath>
      <w:r w:rsidRPr="00AE1547">
        <w:t xml:space="preserve"> </w:t>
      </w:r>
      <w:r>
        <w:t>are</w:t>
      </w:r>
      <w:r w:rsidRPr="00AE1547">
        <w:t xml:space="preserve"> </w:t>
      </w:r>
      <w:r>
        <w:t xml:space="preserve">respectively </w:t>
      </w:r>
      <w:r w:rsidRPr="00AE1547">
        <w:t xml:space="preserve">the sequence group and sequence </w:t>
      </w:r>
      <w:r>
        <w:t>number</w:t>
      </w:r>
      <w:r w:rsidRPr="00AE1547">
        <w:t xml:space="preserve"> in the group </w:t>
      </w:r>
      <w:r>
        <w:t xml:space="preserve">that jointly determine </w:t>
      </w:r>
      <w:r w:rsidRPr="00AE1547">
        <w:t>the root of the Zadoff-Chu sequence</w:t>
      </w:r>
      <w:r w:rsidR="006667D1">
        <w:t xml:space="preserve"> </w:t>
      </w:r>
      <w:r w:rsidR="00503BCC">
        <w:t>[3]</w:t>
      </w:r>
      <w:r>
        <w:t xml:space="preserve">. </w:t>
      </w:r>
      <m:oMath>
        <m:r>
          <w:rPr>
            <w:rFonts w:ascii="Cambria Math" w:hAnsi="Cambria Math"/>
          </w:rPr>
          <m:t>u</m:t>
        </m:r>
      </m:oMath>
      <w:r>
        <w:t xml:space="preserve"> </w:t>
      </w:r>
      <w:r w:rsidRPr="00AE1547">
        <w:t xml:space="preserve">and </w:t>
      </w:r>
      <m:oMath>
        <m:r>
          <w:rPr>
            <w:rFonts w:ascii="Cambria Math" w:hAnsi="Cambria Math"/>
          </w:rPr>
          <m:t>v</m:t>
        </m:r>
      </m:oMath>
      <w:r w:rsidRPr="00AE1547">
        <w:t xml:space="preserve"> </w:t>
      </w:r>
      <w:r>
        <w:t xml:space="preserve">depend on the value of the higher layer parameter </w:t>
      </w:r>
      <w:r w:rsidRPr="00F76710">
        <w:rPr>
          <w:rFonts w:eastAsia="Malgun Gothic"/>
          <w:i/>
        </w:rPr>
        <w:t>groupOrSequenceHopping</w:t>
      </w:r>
      <w:r>
        <w:rPr>
          <w:rFonts w:eastAsia="Malgun Gothic"/>
          <w:i/>
        </w:rPr>
        <w:t xml:space="preserve"> </w:t>
      </w:r>
      <w:r w:rsidRPr="008B269F">
        <w:t xml:space="preserve">and </w:t>
      </w:r>
      <w:r>
        <w:t xml:space="preserve">their calculation formulae are brought in </w:t>
      </w:r>
      <w:r w:rsidR="007B0114">
        <w:fldChar w:fldCharType="begin"/>
      </w:r>
      <w:r w:rsidR="007B0114">
        <w:instrText xml:space="preserve"> REF _Ref19977139 \h </w:instrText>
      </w:r>
      <w:r w:rsidR="007B0114">
        <w:fldChar w:fldCharType="separate"/>
      </w:r>
      <w:r w:rsidR="00133448">
        <w:t xml:space="preserve">Table </w:t>
      </w:r>
      <w:r w:rsidR="00133448">
        <w:rPr>
          <w:noProof/>
        </w:rPr>
        <w:t>3</w:t>
      </w:r>
      <w:r w:rsidR="007B0114">
        <w:fldChar w:fldCharType="end"/>
      </w:r>
      <w:r w:rsidR="007B0114">
        <w:t xml:space="preserve"> </w:t>
      </w:r>
      <w:r>
        <w:t xml:space="preserve">that </w:t>
      </w:r>
      <w:r w:rsidR="00CC7256">
        <w:t xml:space="preserve">is a snippet of </w:t>
      </w:r>
      <w:r>
        <w:t>C</w:t>
      </w:r>
      <w:r w:rsidRPr="008B269F">
        <w:t>lause 6.4.1.4.2</w:t>
      </w:r>
      <w:r>
        <w:t xml:space="preserve"> </w:t>
      </w:r>
      <w:r w:rsidR="00CC7256">
        <w:t>in</w:t>
      </w:r>
      <w:r w:rsidR="006667D1">
        <w:t xml:space="preserve"> </w:t>
      </w:r>
      <w:r w:rsidR="00503BCC">
        <w:t>[3]</w:t>
      </w:r>
      <w:r w:rsidRPr="008B269F">
        <w:t>.</w:t>
      </w:r>
      <w:r>
        <w:rPr>
          <w:rFonts w:eastAsia="Malgun Gothic"/>
          <w:i/>
        </w:rPr>
        <w:t xml:space="preserve"> </w:t>
      </w:r>
      <w:r>
        <w:t xml:space="preserve"> As can be observed from</w:t>
      </w:r>
      <w:r w:rsidR="007B0114">
        <w:t xml:space="preserve"> </w:t>
      </w:r>
      <w:r w:rsidR="007B0114">
        <w:fldChar w:fldCharType="begin"/>
      </w:r>
      <w:r w:rsidR="007B0114">
        <w:instrText xml:space="preserve"> REF _Ref19977139 \h </w:instrText>
      </w:r>
      <w:r w:rsidR="007B0114">
        <w:fldChar w:fldCharType="separate"/>
      </w:r>
      <w:r w:rsidR="00133448">
        <w:t xml:space="preserve">Table </w:t>
      </w:r>
      <w:r w:rsidR="00133448">
        <w:rPr>
          <w:noProof/>
        </w:rPr>
        <w:t>3</w:t>
      </w:r>
      <w:r w:rsidR="007B0114">
        <w:fldChar w:fldCharType="end"/>
      </w:r>
      <w:r>
        <w:t xml:space="preserve">, both </w:t>
      </w:r>
      <m:oMath>
        <m:r>
          <w:rPr>
            <w:rFonts w:ascii="Cambria Math" w:hAnsi="Cambria Math"/>
          </w:rPr>
          <m:t>v</m:t>
        </m:r>
      </m:oMath>
      <w:r>
        <w:t xml:space="preserve"> (if </w:t>
      </w:r>
      <m:oMath>
        <m:r>
          <w:rPr>
            <w:rFonts w:ascii="Cambria Math" w:hAnsi="Cambria Math"/>
          </w:rPr>
          <m:t>v≠0)</m:t>
        </m:r>
      </m:oMath>
      <w:r>
        <w:t xml:space="preserve"> and </w:t>
      </w:r>
      <m:oMath>
        <m:r>
          <w:rPr>
            <w:rFonts w:ascii="Cambria Math" w:hAnsi="Cambria Math"/>
          </w:rPr>
          <m:t>u</m:t>
        </m:r>
      </m:oMath>
      <w:r>
        <w:t xml:space="preserve"> are functions of the higher layer parameter </w:t>
      </w:r>
      <w:r w:rsidRPr="00AE1547">
        <w:rPr>
          <w:i/>
        </w:rPr>
        <w:t>sequenceId</w:t>
      </w:r>
      <w:r>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 </w:t>
      </w:r>
      <w:r w:rsidRPr="00AE1547">
        <w:t xml:space="preserve">The length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rsidRPr="00AE1547" w:rsidDel="00A26F5B">
        <w:t xml:space="preserve"> </w:t>
      </w:r>
      <w:r w:rsidRPr="00AE1547">
        <w:t>is limited to 10 in Rel</w:t>
      </w:r>
      <w:r>
        <w:t xml:space="preserve">. </w:t>
      </w:r>
      <w:r w:rsidRPr="00AE1547">
        <w:t xml:space="preserve">15, i.e., the total number of different SRS sequences </w:t>
      </w:r>
      <w:r>
        <w:t xml:space="preserve">of the same length </w:t>
      </w:r>
      <w:r w:rsidRPr="00AE1547">
        <w:t xml:space="preserve">is limited to 1024. This may be enough for UEs within one cell. However, the requirement is different for NR positioning where </w:t>
      </w:r>
      <w:r w:rsidR="00DA7EE0">
        <w:t>each cell</w:t>
      </w:r>
      <w:r w:rsidRPr="00AE1547">
        <w:t xml:space="preserve"> is expected to receive SRS </w:t>
      </w:r>
      <w:r>
        <w:t xml:space="preserve">from a UE in </w:t>
      </w:r>
      <w:r w:rsidR="00DA7EE0">
        <w:t xml:space="preserve">the coverage area of other </w:t>
      </w:r>
      <w:r>
        <w:t>neighboring cell</w:t>
      </w:r>
      <w:r w:rsidR="00DA7EE0">
        <w:t>s</w:t>
      </w:r>
      <w:r w:rsidRPr="00AE1547">
        <w:t xml:space="preserve"> and</w:t>
      </w:r>
      <w:r w:rsidR="00DA7EE0">
        <w:t>,</w:t>
      </w:r>
      <w:r w:rsidRPr="00AE1547">
        <w:t xml:space="preserve"> therefore</w:t>
      </w:r>
      <w:r w:rsidR="00DA7EE0">
        <w:t>,</w:t>
      </w:r>
      <w:r w:rsidRPr="00AE1547">
        <w:t xml:space="preserve"> SRS sequence distinction is needed within a wider range than a single cell coverage. As such, increasing the available number of SRS sequences is beneficial in terms of reducing SRS collision and further mitigating the UL interference.</w:t>
      </w:r>
      <w:r>
        <w:t xml:space="preserve"> </w:t>
      </w:r>
    </w:p>
    <w:p w14:paraId="6A903AD7" w14:textId="73EB7F97" w:rsidR="009C6090" w:rsidRDefault="009C6090" w:rsidP="00E325FC">
      <w:pPr>
        <w:pStyle w:val="a5"/>
        <w:keepNext/>
      </w:pPr>
      <w:bookmarkStart w:id="17" w:name="_Ref19977139"/>
      <w:r>
        <w:t xml:space="preserve">Table </w:t>
      </w:r>
      <w:r w:rsidR="00C9188F">
        <w:rPr>
          <w:noProof/>
        </w:rPr>
        <w:fldChar w:fldCharType="begin"/>
      </w:r>
      <w:r w:rsidR="00C9188F">
        <w:rPr>
          <w:noProof/>
        </w:rPr>
        <w:instrText xml:space="preserve"> SEQ Table \* ARABIC </w:instrText>
      </w:r>
      <w:r w:rsidR="00C9188F">
        <w:rPr>
          <w:noProof/>
        </w:rPr>
        <w:fldChar w:fldCharType="separate"/>
      </w:r>
      <w:r w:rsidR="00133448">
        <w:rPr>
          <w:noProof/>
        </w:rPr>
        <w:t>3</w:t>
      </w:r>
      <w:r w:rsidR="00C9188F">
        <w:rPr>
          <w:noProof/>
        </w:rPr>
        <w:fldChar w:fldCharType="end"/>
      </w:r>
      <w:bookmarkEnd w:id="17"/>
      <w:r>
        <w:t>: Sequence group and sequence number calculation</w:t>
      </w:r>
      <w:r w:rsidR="007B0114">
        <w:t xml:space="preserve"> from 38.211 Clause 6.4.1.4.2</w:t>
      </w:r>
    </w:p>
    <w:tbl>
      <w:tblPr>
        <w:tblStyle w:val="ac"/>
        <w:tblW w:w="0" w:type="auto"/>
        <w:tblLook w:val="04A0" w:firstRow="1" w:lastRow="0" w:firstColumn="1" w:lastColumn="0" w:noHBand="0" w:noVBand="1"/>
      </w:tblPr>
      <w:tblGrid>
        <w:gridCol w:w="9307"/>
      </w:tblGrid>
      <w:tr w:rsidR="004B3097" w14:paraId="58494A84" w14:textId="77777777" w:rsidTr="002907DB">
        <w:tc>
          <w:tcPr>
            <w:tcW w:w="9307" w:type="dxa"/>
          </w:tcPr>
          <w:p w14:paraId="28F1A197" w14:textId="38275550" w:rsidR="004B3097" w:rsidRPr="00205664" w:rsidRDefault="004B3097" w:rsidP="002907DB">
            <w:pPr>
              <w:rPr>
                <w:rFonts w:eastAsia="Malgun Gothic"/>
                <w:sz w:val="18"/>
                <w:szCs w:val="18"/>
              </w:rPr>
            </w:pPr>
            <w:r w:rsidRPr="00205664">
              <w:rPr>
                <w:rFonts w:eastAsia="Malgun Gothic"/>
                <w:sz w:val="18"/>
                <w:szCs w:val="18"/>
              </w:rPr>
              <w:t xml:space="preserve">The sequence group </w:t>
            </w:r>
            <m:oMath>
              <m:r>
                <w:rPr>
                  <w:rFonts w:ascii="Cambria Math" w:eastAsia="Malgun Gothic" w:hAnsi="Cambria Math"/>
                  <w:sz w:val="18"/>
                  <w:szCs w:val="18"/>
                </w:rPr>
                <m:t>u=</m:t>
              </m:r>
              <m:d>
                <m:dPr>
                  <m:ctrlPr>
                    <w:rPr>
                      <w:rFonts w:ascii="Cambria Math" w:eastAsia="Malgun Gothic" w:hAnsi="Cambria Math"/>
                      <w:i/>
                      <w:sz w:val="18"/>
                      <w:szCs w:val="18"/>
                    </w:rPr>
                  </m:ctrlPr>
                </m:dPr>
                <m:e>
                  <m:sSub>
                    <m:sSubPr>
                      <m:ctrlPr>
                        <w:rPr>
                          <w:rFonts w:ascii="Cambria Math" w:eastAsia="Malgun Gothic" w:hAnsi="Cambria Math"/>
                          <w:i/>
                          <w:sz w:val="18"/>
                          <w:szCs w:val="18"/>
                        </w:rPr>
                      </m:ctrlPr>
                    </m:sSubPr>
                    <m:e>
                      <m:r>
                        <w:rPr>
                          <w:rFonts w:ascii="Cambria Math" w:eastAsia="Malgun Gothic" w:hAnsi="Cambria Math"/>
                          <w:sz w:val="18"/>
                          <w:szCs w:val="18"/>
                        </w:rPr>
                        <m:t>f</m:t>
                      </m:r>
                    </m:e>
                    <m:sub>
                      <m:r>
                        <m:rPr>
                          <m:nor/>
                        </m:rPr>
                        <w:rPr>
                          <w:rFonts w:ascii="Cambria Math" w:eastAsia="Malgun Gothic" w:hAnsi="Cambria Math"/>
                          <w:sz w:val="18"/>
                          <w:szCs w:val="18"/>
                        </w:rPr>
                        <m:t>gh</m:t>
                      </m:r>
                    </m:sub>
                  </m:sSub>
                  <m:d>
                    <m:dPr>
                      <m:ctrlPr>
                        <w:rPr>
                          <w:rFonts w:ascii="Cambria Math" w:eastAsia="Malgun Gothic" w:hAnsi="Cambria Math"/>
                          <w:i/>
                          <w:sz w:val="18"/>
                          <w:szCs w:val="18"/>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n</m:t>
                          </m:r>
                        </m:e>
                        <m:sub>
                          <m:r>
                            <m:rPr>
                              <m:nor/>
                            </m:rPr>
                            <w:rPr>
                              <w:rFonts w:ascii="Cambria Math" w:eastAsia="Malgun Gothic" w:hAnsi="Cambria Math"/>
                              <w:sz w:val="18"/>
                              <w:szCs w:val="18"/>
                            </w:rPr>
                            <m:t>s,f</m:t>
                          </m:r>
                        </m:sub>
                        <m:sup>
                          <m:r>
                            <w:rPr>
                              <w:rFonts w:ascii="Cambria Math" w:eastAsia="Malgun Gothic" w:hAnsi="Cambria Math"/>
                              <w:sz w:val="18"/>
                              <w:szCs w:val="18"/>
                            </w:rPr>
                            <m:t>μ</m:t>
                          </m:r>
                        </m:sup>
                      </m:sSubSup>
                      <m:r>
                        <w:rPr>
                          <w:rFonts w:ascii="Cambria Math" w:eastAsia="Malgun Gothic" w:hAnsi="Cambria Math"/>
                          <w:sz w:val="18"/>
                          <w:szCs w:val="18"/>
                        </w:rPr>
                        <m:t>,l'</m:t>
                      </m:r>
                    </m:e>
                  </m:d>
                  <m:r>
                    <w:rPr>
                      <w:rFonts w:ascii="Cambria Math" w:eastAsia="Malgun Gothic" w:hAnsi="Cambria Math"/>
                      <w:sz w:val="18"/>
                      <w:szCs w:val="18"/>
                    </w:rPr>
                    <m:t>+</m:t>
                  </m:r>
                  <m:sSubSup>
                    <m:sSubSupPr>
                      <m:ctrlPr>
                        <w:rPr>
                          <w:rFonts w:ascii="Cambria Math" w:eastAsia="Malgun Gothic" w:hAnsi="Cambria Math"/>
                          <w:i/>
                          <w:sz w:val="18"/>
                          <w:szCs w:val="18"/>
                        </w:rPr>
                      </m:ctrlPr>
                    </m:sSubSupPr>
                    <m:e>
                      <m:r>
                        <w:rPr>
                          <w:rFonts w:ascii="Cambria Math" w:eastAsia="Malgun Gothic" w:hAnsi="Cambria Math"/>
                          <w:sz w:val="18"/>
                          <w:szCs w:val="18"/>
                        </w:rPr>
                        <m:t>n</m:t>
                      </m:r>
                    </m:e>
                    <m:sub>
                      <m:r>
                        <m:rPr>
                          <m:nor/>
                        </m:rPr>
                        <w:rPr>
                          <w:rFonts w:ascii="Cambria Math" w:eastAsia="Malgun Gothic" w:hAnsi="Cambria Math"/>
                          <w:sz w:val="18"/>
                          <w:szCs w:val="18"/>
                        </w:rPr>
                        <m:t>ID</m:t>
                      </m:r>
                    </m:sub>
                    <m:sup>
                      <m:r>
                        <m:rPr>
                          <m:nor/>
                        </m:rPr>
                        <w:rPr>
                          <w:rFonts w:ascii="Cambria Math" w:eastAsia="Malgun Gothic" w:hAnsi="Cambria Math"/>
                          <w:sz w:val="18"/>
                          <w:szCs w:val="18"/>
                        </w:rPr>
                        <m:t>SRS</m:t>
                      </m:r>
                    </m:sup>
                  </m:sSubSup>
                </m:e>
              </m:d>
              <m:r>
                <w:rPr>
                  <w:rFonts w:ascii="Cambria Math" w:eastAsia="Malgun Gothic" w:hAnsi="Cambria Math"/>
                  <w:sz w:val="18"/>
                  <w:szCs w:val="18"/>
                </w:rPr>
                <m:t xml:space="preserve"> mod 30</m:t>
              </m:r>
            </m:oMath>
            <w:r w:rsidRPr="00205664">
              <w:rPr>
                <w:rFonts w:eastAsia="Malgun Gothic"/>
                <w:sz w:val="18"/>
                <w:szCs w:val="18"/>
              </w:rPr>
              <w:t xml:space="preserve"> and the sequence number </w:t>
            </w:r>
            <w:r w:rsidR="008D7632">
              <w:rPr>
                <w:position w:val="-6"/>
                <w:sz w:val="18"/>
                <w:szCs w:val="18"/>
              </w:rPr>
              <w:pict w14:anchorId="72DA34C5">
                <v:shape id="_x0000_i1039" type="#_x0000_t75" style="width:8.05pt;height:8.05pt">
                  <v:imagedata r:id="rId46" o:title=""/>
                </v:shape>
              </w:pict>
            </w:r>
            <w:r w:rsidRPr="00205664">
              <w:rPr>
                <w:rFonts w:eastAsia="Malgun Gothic"/>
                <w:sz w:val="18"/>
                <w:szCs w:val="18"/>
              </w:rPr>
              <w:t xml:space="preserve"> in clause 5.2.2 depends on the higher-layer parameter </w:t>
            </w:r>
            <w:r w:rsidRPr="00205664">
              <w:rPr>
                <w:rFonts w:eastAsia="Malgun Gothic"/>
                <w:i/>
                <w:sz w:val="18"/>
                <w:szCs w:val="18"/>
              </w:rPr>
              <w:t>groupOrSequenceHopping</w:t>
            </w:r>
            <w:r w:rsidRPr="00205664">
              <w:rPr>
                <w:sz w:val="18"/>
                <w:szCs w:val="18"/>
              </w:rPr>
              <w:t xml:space="preserve"> in the </w:t>
            </w:r>
            <w:r w:rsidRPr="00205664">
              <w:rPr>
                <w:i/>
                <w:sz w:val="18"/>
                <w:szCs w:val="18"/>
              </w:rPr>
              <w:t>SRS-Config</w:t>
            </w:r>
            <w:r w:rsidRPr="00205664">
              <w:rPr>
                <w:sz w:val="18"/>
                <w:szCs w:val="18"/>
              </w:rPr>
              <w:t xml:space="preserve"> IE</w:t>
            </w:r>
            <w:r w:rsidRPr="00205664">
              <w:rPr>
                <w:rFonts w:eastAsia="Malgun Gothic"/>
                <w:i/>
                <w:sz w:val="18"/>
                <w:szCs w:val="18"/>
              </w:rPr>
              <w:t>.</w:t>
            </w:r>
            <w:r w:rsidRPr="00205664">
              <w:rPr>
                <w:rFonts w:eastAsia="Malgun Gothic"/>
                <w:sz w:val="18"/>
                <w:szCs w:val="18"/>
              </w:rPr>
              <w:t xml:space="preserve"> The SRS sequence identity </w:t>
            </w:r>
            <w:r w:rsidR="008D7632">
              <w:rPr>
                <w:position w:val="-10"/>
                <w:sz w:val="18"/>
                <w:szCs w:val="18"/>
              </w:rPr>
              <w:pict w14:anchorId="240B046B">
                <v:shape id="_x0000_i1040" type="#_x0000_t75" style="width:19.7pt;height:19.7pt">
                  <v:imagedata r:id="rId47" o:title=""/>
                </v:shape>
              </w:pict>
            </w:r>
            <w:r w:rsidRPr="00205664">
              <w:rPr>
                <w:sz w:val="18"/>
                <w:szCs w:val="18"/>
              </w:rPr>
              <w:t xml:space="preserve"> </w:t>
            </w:r>
            <w:r w:rsidRPr="00205664">
              <w:rPr>
                <w:rFonts w:eastAsia="Malgun Gothic"/>
                <w:sz w:val="18"/>
                <w:szCs w:val="18"/>
              </w:rPr>
              <w:t xml:space="preserve">is given by the higher layer parameter </w:t>
            </w:r>
            <w:r w:rsidRPr="00205664">
              <w:rPr>
                <w:rFonts w:eastAsia="Malgun Gothic"/>
                <w:i/>
                <w:sz w:val="18"/>
                <w:szCs w:val="18"/>
              </w:rPr>
              <w:t xml:space="preserve">sequenceId </w:t>
            </w:r>
            <w:r w:rsidRPr="00205664">
              <w:rPr>
                <w:sz w:val="18"/>
                <w:szCs w:val="18"/>
              </w:rPr>
              <w:t xml:space="preserve">in the </w:t>
            </w:r>
            <w:r w:rsidRPr="00205664">
              <w:rPr>
                <w:i/>
                <w:sz w:val="18"/>
                <w:szCs w:val="18"/>
              </w:rPr>
              <w:t>SRS-Config</w:t>
            </w:r>
            <w:r w:rsidRPr="00205664">
              <w:rPr>
                <w:sz w:val="18"/>
                <w:szCs w:val="18"/>
              </w:rPr>
              <w:t xml:space="preserve"> IE</w:t>
            </w:r>
            <w:r w:rsidRPr="00205664">
              <w:rPr>
                <w:rFonts w:eastAsia="Malgun Gothic"/>
                <w:sz w:val="18"/>
                <w:szCs w:val="18"/>
              </w:rPr>
              <w:t xml:space="preserve"> and </w:t>
            </w:r>
            <m:oMath>
              <m:r>
                <w:rPr>
                  <w:rFonts w:ascii="Cambria Math" w:eastAsia="Malgun Gothic" w:hAnsi="Cambria Math"/>
                  <w:sz w:val="18"/>
                  <w:szCs w:val="18"/>
                </w:rPr>
                <m:t>l</m:t>
              </m:r>
              <m:r>
                <w:rPr>
                  <w:rFonts w:ascii="Cambria Math" w:eastAsia="Malgun Gothic" w:hAnsi="Cambria Math" w:hint="eastAsia"/>
                  <w:sz w:val="18"/>
                  <w:szCs w:val="18"/>
                </w:rPr>
                <m:t>'</m:t>
              </m:r>
              <m:r>
                <w:rPr>
                  <w:rFonts w:ascii="Cambria Math" w:eastAsia="Malgun Gothic" w:hAnsi="Cambria Math"/>
                  <w:sz w:val="18"/>
                  <w:szCs w:val="18"/>
                </w:rPr>
                <m:t>∈</m:t>
              </m:r>
              <m:d>
                <m:dPr>
                  <m:begChr m:val="{"/>
                  <m:endChr m:val="}"/>
                  <m:ctrlPr>
                    <w:rPr>
                      <w:rFonts w:ascii="Cambria Math" w:eastAsia="Malgun Gothic" w:hAnsi="Cambria Math"/>
                      <w:i/>
                      <w:sz w:val="18"/>
                      <w:szCs w:val="18"/>
                    </w:rPr>
                  </m:ctrlPr>
                </m:dPr>
                <m:e>
                  <m:r>
                    <w:rPr>
                      <w:rFonts w:ascii="Cambria Math" w:eastAsia="Malgun Gothic" w:hAnsi="Cambria Math"/>
                      <w:sz w:val="18"/>
                      <w:szCs w:val="18"/>
                    </w:rPr>
                    <m:t>0,1,…,</m:t>
                  </m:r>
                  <m:sSubSup>
                    <m:sSubSupPr>
                      <m:ctrlPr>
                        <w:rPr>
                          <w:rFonts w:ascii="Cambria Math" w:eastAsia="Malgun Gothic" w:hAnsi="Cambria Math"/>
                          <w:i/>
                          <w:sz w:val="18"/>
                          <w:szCs w:val="18"/>
                        </w:rPr>
                      </m:ctrlPr>
                    </m:sSubSupPr>
                    <m:e>
                      <m:r>
                        <w:rPr>
                          <w:rFonts w:ascii="Cambria Math" w:eastAsia="Malgun Gothic" w:hAnsi="Cambria Math"/>
                          <w:sz w:val="18"/>
                          <w:szCs w:val="18"/>
                        </w:rPr>
                        <m:t>N</m:t>
                      </m:r>
                    </m:e>
                    <m:sub>
                      <m:r>
                        <m:rPr>
                          <m:nor/>
                        </m:rPr>
                        <w:rPr>
                          <w:rFonts w:ascii="Cambria Math" w:eastAsia="Malgun Gothic" w:hAnsi="Cambria Math"/>
                          <w:sz w:val="18"/>
                          <w:szCs w:val="18"/>
                        </w:rPr>
                        <m:t>symb</m:t>
                      </m:r>
                    </m:sub>
                    <m:sup>
                      <m:r>
                        <m:rPr>
                          <m:nor/>
                        </m:rPr>
                        <w:rPr>
                          <w:rFonts w:ascii="Cambria Math" w:eastAsia="Malgun Gothic" w:hAnsi="Cambria Math"/>
                          <w:sz w:val="18"/>
                          <w:szCs w:val="18"/>
                        </w:rPr>
                        <m:t>SRS</m:t>
                      </m:r>
                    </m:sup>
                  </m:sSubSup>
                  <m:r>
                    <w:rPr>
                      <w:rFonts w:ascii="Cambria Math" w:eastAsia="Malgun Gothic" w:hAnsi="Cambria Math"/>
                      <w:sz w:val="18"/>
                      <w:szCs w:val="18"/>
                    </w:rPr>
                    <m:t>-1</m:t>
                  </m:r>
                </m:e>
              </m:d>
            </m:oMath>
            <w:r w:rsidRPr="00205664">
              <w:rPr>
                <w:sz w:val="18"/>
                <w:szCs w:val="18"/>
              </w:rPr>
              <w:t xml:space="preserve"> </w:t>
            </w:r>
            <w:r w:rsidRPr="00205664">
              <w:rPr>
                <w:rFonts w:eastAsia="Malgun Gothic"/>
                <w:sz w:val="18"/>
                <w:szCs w:val="18"/>
              </w:rPr>
              <w:t>is the OFDM symbol number within the SRS resource.</w:t>
            </w:r>
          </w:p>
          <w:p w14:paraId="58D0F4FF" w14:textId="77777777" w:rsidR="004B3097" w:rsidRPr="00205664" w:rsidRDefault="004B3097" w:rsidP="002907DB">
            <w:pPr>
              <w:pStyle w:val="B1"/>
              <w:numPr>
                <w:ilvl w:val="0"/>
                <w:numId w:val="10"/>
              </w:numPr>
              <w:rPr>
                <w:rFonts w:eastAsia="Malgun Gothic"/>
                <w:sz w:val="18"/>
                <w:szCs w:val="18"/>
              </w:rPr>
            </w:pPr>
            <w:r w:rsidRPr="00205664">
              <w:rPr>
                <w:rFonts w:eastAsia="Malgun Gothic"/>
                <w:sz w:val="18"/>
                <w:szCs w:val="18"/>
              </w:rPr>
              <w:t xml:space="preserve">if </w:t>
            </w:r>
            <w:r w:rsidRPr="00205664">
              <w:rPr>
                <w:rFonts w:eastAsia="Malgun Gothic"/>
                <w:i/>
                <w:sz w:val="18"/>
                <w:szCs w:val="18"/>
              </w:rPr>
              <w:t>groupOrSequenceHopping</w:t>
            </w:r>
            <w:r w:rsidRPr="00205664">
              <w:rPr>
                <w:rFonts w:eastAsia="Malgun Gothic"/>
                <w:sz w:val="18"/>
                <w:szCs w:val="18"/>
              </w:rPr>
              <w:t xml:space="preserve"> equals 'neither', neither group, nor sequence hopping shall be used and </w:t>
            </w:r>
          </w:p>
          <w:p w14:paraId="6353BDFD" w14:textId="7C023333" w:rsidR="004B3097" w:rsidRPr="00205664" w:rsidRDefault="008D7632" w:rsidP="002907DB">
            <w:pPr>
              <w:pStyle w:val="EQ"/>
              <w:jc w:val="center"/>
              <w:rPr>
                <w:sz w:val="18"/>
                <w:szCs w:val="18"/>
              </w:rPr>
            </w:pPr>
            <w:r>
              <w:rPr>
                <w:position w:val="-26"/>
                <w:sz w:val="18"/>
                <w:szCs w:val="18"/>
              </w:rPr>
              <w:pict w14:anchorId="05E6A2DA">
                <v:shape id="_x0000_i1041" type="#_x0000_t75" style="width:59.55pt;height:33.4pt">
                  <v:imagedata r:id="rId48" o:title=""/>
                </v:shape>
              </w:pict>
            </w:r>
          </w:p>
          <w:p w14:paraId="1EAC8D92" w14:textId="77777777" w:rsidR="004B3097" w:rsidRPr="00205664" w:rsidRDefault="004B3097" w:rsidP="002907DB">
            <w:pPr>
              <w:pStyle w:val="B1"/>
              <w:rPr>
                <w:rFonts w:eastAsia="Malgun Gothic"/>
                <w:sz w:val="18"/>
                <w:szCs w:val="18"/>
              </w:rPr>
            </w:pPr>
            <w:r w:rsidRPr="00205664">
              <w:rPr>
                <w:rFonts w:eastAsia="Malgun Gothic"/>
                <w:sz w:val="18"/>
                <w:szCs w:val="18"/>
              </w:rPr>
              <w:t>-</w:t>
            </w:r>
            <w:r w:rsidRPr="00205664">
              <w:rPr>
                <w:rFonts w:eastAsia="Malgun Gothic"/>
                <w:sz w:val="18"/>
                <w:szCs w:val="18"/>
              </w:rPr>
              <w:tab/>
              <w:t xml:space="preserve">if </w:t>
            </w:r>
            <w:r w:rsidRPr="00205664">
              <w:rPr>
                <w:rFonts w:eastAsia="Malgun Gothic"/>
                <w:i/>
                <w:sz w:val="18"/>
                <w:szCs w:val="18"/>
              </w:rPr>
              <w:t>groupOrSequenceHopping</w:t>
            </w:r>
            <w:r w:rsidRPr="00205664">
              <w:rPr>
                <w:rFonts w:eastAsia="Malgun Gothic"/>
                <w:sz w:val="18"/>
                <w:szCs w:val="18"/>
              </w:rPr>
              <w:t xml:space="preserve"> equals 'groupHopping', group hopping but not sequence hopping shall be used and </w:t>
            </w:r>
          </w:p>
          <w:p w14:paraId="5CBFDAC7" w14:textId="03D9A1AE" w:rsidR="004B3097" w:rsidRPr="00205664" w:rsidRDefault="008D7632" w:rsidP="002907DB">
            <w:pPr>
              <w:pStyle w:val="EQ"/>
              <w:jc w:val="center"/>
              <w:rPr>
                <w:sz w:val="18"/>
                <w:szCs w:val="18"/>
              </w:rPr>
            </w:pPr>
            <w:r>
              <w:rPr>
                <w:position w:val="-34"/>
                <w:sz w:val="18"/>
                <w:szCs w:val="18"/>
              </w:rPr>
              <w:pict w14:anchorId="36DE290D">
                <v:shape id="_x0000_i1042" type="#_x0000_t75" style="width:244.95pt;height:38.6pt">
                  <v:imagedata r:id="rId49" o:title=""/>
                </v:shape>
              </w:pict>
            </w:r>
          </w:p>
          <w:p w14:paraId="4738DBBC" w14:textId="39C6434B" w:rsidR="004B3097" w:rsidRPr="00205664" w:rsidRDefault="004B3097" w:rsidP="002907DB">
            <w:pPr>
              <w:pStyle w:val="B1"/>
              <w:rPr>
                <w:sz w:val="18"/>
                <w:szCs w:val="18"/>
              </w:rPr>
            </w:pPr>
            <w:r w:rsidRPr="00205664">
              <w:rPr>
                <w:sz w:val="18"/>
                <w:szCs w:val="18"/>
              </w:rPr>
              <w:tab/>
              <w:t xml:space="preserve">where the pseudo-random sequence </w:t>
            </w:r>
            <w:r w:rsidR="008D7632">
              <w:rPr>
                <w:position w:val="-10"/>
                <w:sz w:val="18"/>
                <w:szCs w:val="18"/>
              </w:rPr>
              <w:pict w14:anchorId="726F7AC8">
                <v:shape id="_x0000_i1043" type="#_x0000_t75" style="width:19.7pt;height:16.5pt">
                  <v:imagedata r:id="rId50" o:title=""/>
                </v:shape>
              </w:pict>
            </w:r>
            <w:r w:rsidRPr="00205664">
              <w:rPr>
                <w:sz w:val="18"/>
                <w:szCs w:val="18"/>
              </w:rPr>
              <w:t xml:space="preserve"> is defined by clause 5.2.1 and shall be initialized with </w:t>
            </w:r>
            <m:oMath>
              <m:sSub>
                <m:sSubPr>
                  <m:ctrlPr>
                    <w:rPr>
                      <w:rFonts w:ascii="Cambria Math" w:hAnsi="Cambria Math"/>
                      <w:i/>
                      <w:sz w:val="18"/>
                      <w:szCs w:val="18"/>
                    </w:rPr>
                  </m:ctrlPr>
                </m:sSubPr>
                <m:e>
                  <m:r>
                    <w:rPr>
                      <w:rFonts w:ascii="Cambria Math" w:hAnsi="Cambria Math"/>
                      <w:sz w:val="18"/>
                      <w:szCs w:val="18"/>
                    </w:rPr>
                    <m:t>c</m:t>
                  </m:r>
                </m:e>
                <m:sub>
                  <m:r>
                    <m:rPr>
                      <m:nor/>
                    </m:rPr>
                    <w:rPr>
                      <w:rFonts w:ascii="Cambria Math" w:hAnsi="Cambria Math"/>
                      <w:sz w:val="18"/>
                      <w:szCs w:val="18"/>
                    </w:rPr>
                    <m:t>init</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ID</m:t>
                  </m:r>
                </m:sub>
                <m:sup>
                  <m:r>
                    <m:rPr>
                      <m:nor/>
                    </m:rPr>
                    <w:rPr>
                      <w:rFonts w:ascii="Cambria Math" w:hAnsi="Cambria Math"/>
                      <w:sz w:val="18"/>
                      <w:szCs w:val="18"/>
                    </w:rPr>
                    <m:t>SRS</m:t>
                  </m:r>
                </m:sup>
              </m:sSubSup>
            </m:oMath>
            <w:r w:rsidRPr="00205664">
              <w:rPr>
                <w:sz w:val="18"/>
                <w:szCs w:val="18"/>
              </w:rPr>
              <w:t xml:space="preserve"> at the beginning of each radio frame.</w:t>
            </w:r>
          </w:p>
          <w:p w14:paraId="6B529429" w14:textId="77777777" w:rsidR="004B3097" w:rsidRPr="00205664" w:rsidRDefault="004B3097" w:rsidP="002907DB">
            <w:pPr>
              <w:pStyle w:val="B1"/>
              <w:rPr>
                <w:rFonts w:eastAsia="Malgun Gothic"/>
                <w:sz w:val="18"/>
                <w:szCs w:val="18"/>
              </w:rPr>
            </w:pPr>
            <w:r w:rsidRPr="00205664">
              <w:rPr>
                <w:sz w:val="18"/>
                <w:szCs w:val="18"/>
              </w:rPr>
              <w:t>-</w:t>
            </w:r>
            <w:r w:rsidRPr="00205664">
              <w:rPr>
                <w:sz w:val="18"/>
                <w:szCs w:val="18"/>
              </w:rPr>
              <w:tab/>
            </w:r>
            <w:r w:rsidRPr="00205664">
              <w:rPr>
                <w:rFonts w:eastAsia="Malgun Gothic"/>
                <w:sz w:val="18"/>
                <w:szCs w:val="18"/>
              </w:rPr>
              <w:t xml:space="preserve">if </w:t>
            </w:r>
            <w:r w:rsidRPr="00205664">
              <w:rPr>
                <w:rFonts w:eastAsia="Malgun Gothic"/>
                <w:i/>
                <w:sz w:val="18"/>
                <w:szCs w:val="18"/>
              </w:rPr>
              <w:t>groupOrSequenceHopping</w:t>
            </w:r>
            <w:r w:rsidRPr="00205664">
              <w:rPr>
                <w:rFonts w:eastAsia="Malgun Gothic"/>
                <w:sz w:val="18"/>
                <w:szCs w:val="18"/>
              </w:rPr>
              <w:t xml:space="preserve"> equals 'sequenceHopping', sequence hopping but not group hopping shall be used and</w:t>
            </w:r>
          </w:p>
          <w:p w14:paraId="5A0AD311" w14:textId="6229B25B" w:rsidR="004B3097" w:rsidRPr="00205664" w:rsidRDefault="008D7632" w:rsidP="002907DB">
            <w:pPr>
              <w:pStyle w:val="EQ"/>
              <w:jc w:val="center"/>
              <w:rPr>
                <w:sz w:val="18"/>
                <w:szCs w:val="18"/>
              </w:rPr>
            </w:pPr>
            <w:r>
              <w:rPr>
                <w:position w:val="-48"/>
                <w:sz w:val="18"/>
                <w:szCs w:val="18"/>
              </w:rPr>
              <w:pict w14:anchorId="7B00A0E7">
                <v:shape id="_x0000_i1044" type="#_x0000_t75" style="width:209.15pt;height:52.3pt">
                  <v:imagedata r:id="rId51" o:title=""/>
                </v:shape>
              </w:pict>
            </w:r>
          </w:p>
          <w:p w14:paraId="6C501BD9" w14:textId="56E6D843" w:rsidR="004B3097" w:rsidRDefault="004B3097" w:rsidP="002907DB">
            <w:r w:rsidRPr="00205664">
              <w:rPr>
                <w:sz w:val="18"/>
                <w:szCs w:val="18"/>
              </w:rPr>
              <w:tab/>
              <w:t xml:space="preserve">where the pseudo-random sequence </w:t>
            </w:r>
            <w:r w:rsidR="008D7632">
              <w:rPr>
                <w:position w:val="-10"/>
                <w:sz w:val="18"/>
                <w:szCs w:val="18"/>
              </w:rPr>
              <w:pict w14:anchorId="1B884C61">
                <v:shape id="_x0000_i1045" type="#_x0000_t75" style="width:19.7pt;height:16.5pt">
                  <v:imagedata r:id="rId50" o:title=""/>
                </v:shape>
              </w:pict>
            </w:r>
            <w:r w:rsidRPr="00205664">
              <w:rPr>
                <w:sz w:val="18"/>
                <w:szCs w:val="18"/>
              </w:rPr>
              <w:t xml:space="preserve"> is defined by clause 5.2.1 and shall be initialized with </w:t>
            </w:r>
            <w:r w:rsidR="008D7632">
              <w:rPr>
                <w:position w:val="-10"/>
                <w:sz w:val="18"/>
                <w:szCs w:val="18"/>
              </w:rPr>
              <w:pict w14:anchorId="1D16C2E4">
                <v:shape id="_x0000_i1046" type="#_x0000_t75" style="width:48.65pt;height:19.7pt">
                  <v:imagedata r:id="rId52" o:title=""/>
                </v:shape>
              </w:pict>
            </w:r>
            <w:r w:rsidRPr="00205664">
              <w:rPr>
                <w:sz w:val="18"/>
                <w:szCs w:val="18"/>
              </w:rPr>
              <w:t xml:space="preserve"> at the beginning of each radio frame.</w:t>
            </w:r>
          </w:p>
        </w:tc>
      </w:tr>
    </w:tbl>
    <w:p w14:paraId="0EBC9F5E" w14:textId="77777777" w:rsidR="004B3097" w:rsidRDefault="004B3097" w:rsidP="004B3097"/>
    <w:p w14:paraId="753AA4D3" w14:textId="4E6E8C16" w:rsidR="004B3097" w:rsidRDefault="004B3097" w:rsidP="004B3097">
      <w:r>
        <w:t xml:space="preserve">The gold sequence </w:t>
      </w:r>
      <m:oMath>
        <m:r>
          <w:rPr>
            <w:rFonts w:ascii="Cambria Math" w:hAnsi="Cambria Math"/>
          </w:rPr>
          <m:t>c</m:t>
        </m:r>
        <m:d>
          <m:dPr>
            <m:ctrlPr>
              <w:rPr>
                <w:rFonts w:ascii="Cambria Math" w:hAnsi="Cambria Math"/>
                <w:i/>
              </w:rPr>
            </m:ctrlPr>
          </m:dPr>
          <m:e>
            <m:r>
              <w:rPr>
                <w:rFonts w:ascii="Cambria Math" w:hAnsi="Cambria Math"/>
              </w:rPr>
              <m:t>.</m:t>
            </m:r>
          </m:e>
        </m:d>
        <m:r>
          <w:rPr>
            <w:rFonts w:ascii="Cambria Math" w:hAnsi="Cambria Math"/>
          </w:rPr>
          <m:t xml:space="preserve"> </m:t>
        </m:r>
      </m:oMath>
      <w:r>
        <w:t xml:space="preserve">that is used to determine </w:t>
      </w:r>
      <m:oMath>
        <m:r>
          <w:rPr>
            <w:rFonts w:ascii="Cambria Math" w:hAnsi="Cambria Math"/>
          </w:rPr>
          <m:t>u</m:t>
        </m:r>
      </m:oMath>
      <w:r w:rsidRPr="00AE1547">
        <w:t xml:space="preserve"> and </w:t>
      </w:r>
      <m:oMath>
        <m:r>
          <w:rPr>
            <w:rFonts w:ascii="Cambria Math" w:hAnsi="Cambria Math"/>
          </w:rPr>
          <m:t>v</m:t>
        </m:r>
      </m:oMath>
      <w:r>
        <w:t xml:space="preserve"> in </w:t>
      </w:r>
      <w:r w:rsidR="00CC1BF2">
        <w:fldChar w:fldCharType="begin"/>
      </w:r>
      <w:r w:rsidR="00CC1BF2">
        <w:instrText xml:space="preserve"> REF _Ref19977139 \h </w:instrText>
      </w:r>
      <w:r w:rsidR="00CC1BF2">
        <w:fldChar w:fldCharType="separate"/>
      </w:r>
      <w:r w:rsidR="00133448">
        <w:t xml:space="preserve">Table </w:t>
      </w:r>
      <w:r w:rsidR="00133448">
        <w:rPr>
          <w:noProof/>
        </w:rPr>
        <w:t>3</w:t>
      </w:r>
      <w:r w:rsidR="00CC1BF2">
        <w:fldChar w:fldCharType="end"/>
      </w:r>
      <w:r w:rsidR="00CC1BF2">
        <w:t xml:space="preserve"> </w:t>
      </w:r>
      <w:r>
        <w:t xml:space="preserve">is initialized by setting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As described in Clause 5.2.1 of </w:t>
      </w:r>
      <w:r w:rsidR="00503BCC">
        <w:t>[3]</w:t>
      </w:r>
      <w:r>
        <w:t xml:space="preserve">,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is a 31-bit sequence and setting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underutilizes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w:t>
      </w:r>
      <w:r>
        <w:lastRenderedPageBreak/>
        <w:t xml:space="preserve">by setting its last 21 MSBs to zero. Therefore, increasing the length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to any binary sequence with the length less than or equal to 31 bits does not result in any overflow of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or any other specification impact. Note that the same gold sequence </w:t>
      </w:r>
      <m:oMath>
        <m:r>
          <w:rPr>
            <w:rFonts w:ascii="Cambria Math" w:hAnsi="Cambria Math"/>
          </w:rPr>
          <m:t>c</m:t>
        </m:r>
        <m:d>
          <m:dPr>
            <m:ctrlPr>
              <w:rPr>
                <w:rFonts w:ascii="Cambria Math" w:hAnsi="Cambria Math"/>
                <w:i/>
              </w:rPr>
            </m:ctrlPr>
          </m:dPr>
          <m:e>
            <m:r>
              <w:rPr>
                <w:rFonts w:ascii="Cambria Math" w:hAnsi="Cambria Math"/>
              </w:rPr>
              <m:t>.</m:t>
            </m:r>
          </m:e>
        </m:d>
      </m:oMath>
      <w:r>
        <w:t xml:space="preserve">  is also used to generate UL DMRS and is initialized by a 16</w:t>
      </w:r>
      <w:r w:rsidR="00480ED3">
        <w:t>-</w:t>
      </w:r>
      <w:r>
        <w:t xml:space="preserve">bit sequence ID. </w:t>
      </w:r>
    </w:p>
    <w:p w14:paraId="65D21E06" w14:textId="0594655F" w:rsidR="004B3097" w:rsidRPr="00AE1547" w:rsidRDefault="004B3097" w:rsidP="004B3097">
      <w:r>
        <w:t xml:space="preserve">Based on the above analysis, we conclude that </w:t>
      </w:r>
      <w:r w:rsidRPr="00AE1547">
        <w:t xml:space="preserve">increasing the length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rsidRPr="00AE1547">
        <w:t xml:space="preserve"> </w:t>
      </w:r>
      <w:r>
        <w:t xml:space="preserve">to support more distinct SRS sequences </w:t>
      </w:r>
      <w:r w:rsidRPr="00AE1547">
        <w:t xml:space="preserve">does not require any </w:t>
      </w:r>
      <w:r>
        <w:t>other RAN1 specification change. In our view, a</w:t>
      </w:r>
      <w:r w:rsidRPr="00AE1547">
        <w:t xml:space="preserve"> value of </w:t>
      </w:r>
      <w:r w:rsidR="00480ED3">
        <w:t>16</w:t>
      </w:r>
      <w:r w:rsidRPr="00AE1547">
        <w:t xml:space="preserve"> bits should be more than enough.</w:t>
      </w:r>
      <w:r>
        <w:t xml:space="preserve"> </w:t>
      </w:r>
      <w:r w:rsidRPr="00AE1547">
        <w:t>Therefore, we have the following proposal:</w:t>
      </w:r>
    </w:p>
    <w:p w14:paraId="1551615C" w14:textId="151CDBBC" w:rsidR="006B46B7" w:rsidRDefault="00C9188F">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19</w:t>
      </w:r>
      <w:r w:rsidRPr="006C5C3B">
        <w:rPr>
          <w:b/>
          <w:i/>
        </w:rPr>
        <w:fldChar w:fldCharType="end"/>
      </w:r>
      <w:r w:rsidRPr="006C5C3B">
        <w:rPr>
          <w:b/>
          <w:i/>
        </w:rPr>
        <w:t>:</w:t>
      </w:r>
      <w:r w:rsidRPr="000C40D9">
        <w:rPr>
          <w:b/>
          <w:i/>
        </w:rPr>
        <w:t xml:space="preserve"> </w:t>
      </w:r>
      <w:r w:rsidR="004B3097" w:rsidRPr="00CD2DB1">
        <w:rPr>
          <w:b/>
          <w:i/>
        </w:rPr>
        <w:t>Increase the bit width of the parameter sequenceId of the SRS resource configuration</w:t>
      </w:r>
      <w:r w:rsidR="004B3097" w:rsidRPr="00CD2DB1" w:rsidDel="00A26F5B">
        <w:rPr>
          <w:b/>
          <w:i/>
        </w:rPr>
        <w:t xml:space="preserve"> </w:t>
      </w:r>
      <w:r w:rsidR="004B3097" w:rsidRPr="00CD2DB1">
        <w:rPr>
          <w:b/>
          <w:i/>
        </w:rPr>
        <w:t xml:space="preserve">to </w:t>
      </w:r>
      <w:r w:rsidR="00C2705A">
        <w:rPr>
          <w:b/>
          <w:i/>
        </w:rPr>
        <w:t>16</w:t>
      </w:r>
      <w:r w:rsidR="004B3097" w:rsidRPr="00CD2DB1">
        <w:rPr>
          <w:b/>
          <w:i/>
        </w:rPr>
        <w:t xml:space="preserve"> bits.</w:t>
      </w:r>
      <w:r w:rsidR="004B3097" w:rsidDel="004B3097">
        <w:t xml:space="preserve"> </w:t>
      </w:r>
    </w:p>
    <w:p w14:paraId="4291B721" w14:textId="77777777" w:rsidR="00B23A67" w:rsidRPr="00D96EA3" w:rsidRDefault="00B23A67">
      <w:pPr>
        <w:rPr>
          <w:b/>
          <w:i/>
          <w:lang w:val="en-GB"/>
        </w:rPr>
      </w:pPr>
    </w:p>
    <w:p w14:paraId="241053CE" w14:textId="6CAC2EEA" w:rsidR="00230DFE" w:rsidRPr="000F6DD2" w:rsidRDefault="00B97E41" w:rsidP="00B95709">
      <w:pPr>
        <w:pStyle w:val="2"/>
      </w:pPr>
      <w:r w:rsidRPr="000F6DD2">
        <w:t xml:space="preserve">SRS </w:t>
      </w:r>
      <w:r w:rsidR="00947117" w:rsidRPr="000F6DD2">
        <w:t xml:space="preserve">bandwidth </w:t>
      </w:r>
      <w:r w:rsidRPr="000F6DD2">
        <w:t xml:space="preserve">and </w:t>
      </w:r>
      <w:r w:rsidR="00947117" w:rsidRPr="000F6DD2">
        <w:t xml:space="preserve">configured </w:t>
      </w:r>
      <w:r w:rsidRPr="000F6DD2">
        <w:t xml:space="preserve">UL BWPs </w:t>
      </w:r>
    </w:p>
    <w:p w14:paraId="67515AB7" w14:textId="00B8A189" w:rsidR="009544D4" w:rsidRPr="00CD2DB1" w:rsidRDefault="009544D4" w:rsidP="009544D4">
      <w:r w:rsidRPr="00CD2DB1">
        <w:t xml:space="preserve">The NR UE is configured with up to 4 UL BWP per serving cell. Each active serving cell has only one active UL BWP at a time </w:t>
      </w:r>
      <w:r>
        <w:t>that</w:t>
      </w:r>
      <w:r w:rsidRPr="00CD2DB1">
        <w:t xml:space="preserve"> can be dynamically switched </w:t>
      </w:r>
      <w:r>
        <w:t>by a</w:t>
      </w:r>
      <w:r w:rsidRPr="00CD2DB1">
        <w:t xml:space="preserve"> DCI.  Each configured UL BWP </w:t>
      </w:r>
      <w:r>
        <w:t>can</w:t>
      </w:r>
      <w:r w:rsidRPr="00CD2DB1">
        <w:t xml:space="preserve"> contain a </w:t>
      </w:r>
      <w:r w:rsidRPr="00CD2DB1">
        <w:rPr>
          <w:i/>
        </w:rPr>
        <w:t xml:space="preserve">SRS-Config </w:t>
      </w:r>
      <w:r w:rsidRPr="00CD2DB1">
        <w:t xml:space="preserve">IE that configures one or multiple SRS resource sets each of which further consisting of one or multiple SRS resources. For an active serving cell, the UE can only transmit SRS resources that are configured in the active UL BWP. </w:t>
      </w:r>
      <w:r w:rsidR="002907DB">
        <w:t>Note that</w:t>
      </w:r>
      <w:r w:rsidRPr="00CD2DB1">
        <w:t xml:space="preserve">, using the SRS carrier switching feature, </w:t>
      </w:r>
      <w:r>
        <w:t xml:space="preserve">the </w:t>
      </w:r>
      <w:r w:rsidRPr="00CD2DB1">
        <w:t xml:space="preserve">SRS can be transmitted in a cell that is not configured for a PUSCH transmission. SRS transmission in the dynamically switchable active UL BWP </w:t>
      </w:r>
      <w:r>
        <w:t>along with</w:t>
      </w:r>
      <w:r w:rsidRPr="00CD2DB1">
        <w:t xml:space="preserve"> the SRS carrier switching feature provide</w:t>
      </w:r>
      <w:r>
        <w:t>s a</w:t>
      </w:r>
      <w:r w:rsidRPr="00CD2DB1">
        <w:t xml:space="preserve"> substantial flexibility in the SRS transmission bandwidth in Rel. 15 NR. </w:t>
      </w:r>
    </w:p>
    <w:p w14:paraId="3711FB78" w14:textId="20D0AC56" w:rsidR="009544D4" w:rsidRDefault="009544D4" w:rsidP="009544D4">
      <w:r w:rsidRPr="00CD2DB1">
        <w:t xml:space="preserve">We believe that Rel. 15 NR SRS configuration and transmission with respect to UL BWPs should be carried over to </w:t>
      </w:r>
      <w:r w:rsidR="00F70785">
        <w:t xml:space="preserve">the </w:t>
      </w:r>
      <w:r w:rsidRPr="00CD2DB1">
        <w:t>SRS configuration and transmission for positioning purposes and the support for a further flexibility is not required. Any modification in the current relation between SRS BW and UL BWPs requires a substantial specification work with an unclear potential advantage</w:t>
      </w:r>
      <w:r>
        <w:t>, hampers positioning SRS reusability for other SRS usages, and, finally and more importantly, is at odds with the very purpose of introducing UL BWP in Rel. 15 NR</w:t>
      </w:r>
      <w:r w:rsidRPr="00CD2DB1">
        <w:t xml:space="preserve">. </w:t>
      </w:r>
      <w:r>
        <w:t xml:space="preserve">As such, we propose the following. </w:t>
      </w:r>
    </w:p>
    <w:p w14:paraId="1B670104" w14:textId="55D50022" w:rsidR="006B46B7" w:rsidRPr="00000892" w:rsidRDefault="00C9188F" w:rsidP="006B46B7">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20</w:t>
      </w:r>
      <w:r w:rsidRPr="006C5C3B">
        <w:rPr>
          <w:b/>
          <w:i/>
        </w:rPr>
        <w:fldChar w:fldCharType="end"/>
      </w:r>
      <w:r w:rsidRPr="006C5C3B">
        <w:rPr>
          <w:b/>
          <w:i/>
        </w:rPr>
        <w:t>:</w:t>
      </w:r>
      <w:r w:rsidRPr="000C40D9">
        <w:rPr>
          <w:b/>
          <w:i/>
        </w:rPr>
        <w:t xml:space="preserve"> </w:t>
      </w:r>
      <w:r w:rsidR="006B46B7">
        <w:rPr>
          <w:b/>
          <w:i/>
        </w:rPr>
        <w:t>T</w:t>
      </w:r>
      <w:r w:rsidR="006B46B7" w:rsidRPr="00000892">
        <w:rPr>
          <w:b/>
          <w:i/>
        </w:rPr>
        <w:t xml:space="preserve">he configuration of SRS for positioning per UL BWP </w:t>
      </w:r>
      <w:r w:rsidR="006B46B7">
        <w:rPr>
          <w:b/>
          <w:i/>
        </w:rPr>
        <w:t>follows the</w:t>
      </w:r>
      <w:r w:rsidR="006B46B7" w:rsidRPr="00000892">
        <w:rPr>
          <w:b/>
          <w:i/>
        </w:rPr>
        <w:t xml:space="preserve"> Rel. 15 NR</w:t>
      </w:r>
      <w:r w:rsidR="006B46B7">
        <w:rPr>
          <w:b/>
          <w:i/>
        </w:rPr>
        <w:t xml:space="preserve"> specification</w:t>
      </w:r>
      <w:r w:rsidR="006B46B7" w:rsidRPr="00000892">
        <w:rPr>
          <w:b/>
          <w:i/>
        </w:rPr>
        <w:t xml:space="preserve">. </w:t>
      </w:r>
    </w:p>
    <w:p w14:paraId="1DC14B00" w14:textId="1945ABA6" w:rsidR="006B46B7" w:rsidRDefault="00C9188F" w:rsidP="006B46B7">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133448">
        <w:rPr>
          <w:b/>
          <w:i/>
          <w:noProof/>
        </w:rPr>
        <w:t>21</w:t>
      </w:r>
      <w:r w:rsidRPr="006C5C3B">
        <w:rPr>
          <w:b/>
          <w:i/>
        </w:rPr>
        <w:fldChar w:fldCharType="end"/>
      </w:r>
      <w:r w:rsidRPr="006C5C3B">
        <w:rPr>
          <w:b/>
          <w:i/>
        </w:rPr>
        <w:t>:</w:t>
      </w:r>
      <w:r w:rsidRPr="000C40D9">
        <w:rPr>
          <w:b/>
          <w:i/>
        </w:rPr>
        <w:t xml:space="preserve"> </w:t>
      </w:r>
      <w:r w:rsidR="006B46B7">
        <w:rPr>
          <w:b/>
          <w:i/>
        </w:rPr>
        <w:t>For positioning, the</w:t>
      </w:r>
      <w:r w:rsidR="006B46B7" w:rsidRPr="00000892">
        <w:rPr>
          <w:b/>
          <w:i/>
        </w:rPr>
        <w:t xml:space="preserve"> SRS transmission in the active UL BWP of an active cell and SRS carrier switching </w:t>
      </w:r>
      <w:r w:rsidR="006B46B7">
        <w:rPr>
          <w:b/>
          <w:i/>
        </w:rPr>
        <w:t>feature follow the</w:t>
      </w:r>
      <w:r w:rsidR="006B46B7" w:rsidRPr="00000892">
        <w:rPr>
          <w:b/>
          <w:i/>
        </w:rPr>
        <w:t xml:space="preserve"> Rel. 15 NR</w:t>
      </w:r>
      <w:r w:rsidR="006B46B7">
        <w:rPr>
          <w:b/>
          <w:i/>
        </w:rPr>
        <w:t xml:space="preserve"> specification</w:t>
      </w:r>
      <w:r w:rsidR="006B46B7" w:rsidRPr="00000892">
        <w:rPr>
          <w:b/>
          <w:i/>
        </w:rPr>
        <w:t>.</w:t>
      </w:r>
    </w:p>
    <w:p w14:paraId="3C92DE51" w14:textId="77777777" w:rsidR="00C9188F" w:rsidRPr="006B46B7" w:rsidRDefault="00C9188F" w:rsidP="006B46B7"/>
    <w:p w14:paraId="73DD2D1E" w14:textId="38F28F2A" w:rsidR="00AD3908" w:rsidRPr="000F6DD2" w:rsidRDefault="00230DFE" w:rsidP="00B95709">
      <w:pPr>
        <w:pStyle w:val="2"/>
      </w:pPr>
      <w:r w:rsidRPr="000F6DD2">
        <w:t xml:space="preserve">Aperiodic SRS transmission </w:t>
      </w:r>
    </w:p>
    <w:tbl>
      <w:tblPr>
        <w:tblStyle w:val="ac"/>
        <w:tblW w:w="0" w:type="auto"/>
        <w:tblLook w:val="04A0" w:firstRow="1" w:lastRow="0" w:firstColumn="1" w:lastColumn="0" w:noHBand="0" w:noVBand="1"/>
      </w:tblPr>
      <w:tblGrid>
        <w:gridCol w:w="9307"/>
      </w:tblGrid>
      <w:tr w:rsidR="00546994" w14:paraId="015E3E8F" w14:textId="77777777" w:rsidTr="00040384">
        <w:tc>
          <w:tcPr>
            <w:tcW w:w="9307" w:type="dxa"/>
          </w:tcPr>
          <w:p w14:paraId="436779D4" w14:textId="0BF27AFA" w:rsidR="00546994" w:rsidRPr="000F6DD2" w:rsidRDefault="00546994" w:rsidP="00040384">
            <w:pPr>
              <w:rPr>
                <w:b/>
                <w:u w:val="single"/>
              </w:rPr>
            </w:pPr>
            <w:r w:rsidRPr="000F6DD2">
              <w:rPr>
                <w:b/>
                <w:u w:val="single"/>
              </w:rPr>
              <w:t>Agreement</w:t>
            </w:r>
            <w:r w:rsidR="00227873" w:rsidRPr="000F6DD2">
              <w:rPr>
                <w:b/>
                <w:u w:val="single"/>
              </w:rPr>
              <w:t xml:space="preserve"> </w:t>
            </w:r>
            <w:r w:rsidR="00503BCC" w:rsidRPr="000F6DD2">
              <w:rPr>
                <w:b/>
                <w:u w:val="single"/>
              </w:rPr>
              <w:t>[5]</w:t>
            </w:r>
            <w:r w:rsidR="00227873" w:rsidRPr="000F6DD2">
              <w:rPr>
                <w:b/>
                <w:u w:val="single"/>
              </w:rPr>
              <w:t>:</w:t>
            </w:r>
          </w:p>
          <w:p w14:paraId="73B9968D" w14:textId="77777777" w:rsidR="00546994" w:rsidRPr="00BA072A" w:rsidRDefault="00546994" w:rsidP="00040384">
            <w:pPr>
              <w:rPr>
                <w:i/>
              </w:rPr>
            </w:pPr>
            <w:r w:rsidRPr="00BA072A">
              <w:rPr>
                <w:i/>
              </w:rPr>
              <w:t>Support the following configurations of SRS for positioning</w:t>
            </w:r>
          </w:p>
          <w:p w14:paraId="31D18593" w14:textId="77777777" w:rsidR="00546994" w:rsidRPr="00BA072A" w:rsidRDefault="00546994" w:rsidP="00040384">
            <w:pPr>
              <w:numPr>
                <w:ilvl w:val="0"/>
                <w:numId w:val="4"/>
              </w:numPr>
              <w:autoSpaceDE/>
              <w:autoSpaceDN/>
              <w:adjustRightInd/>
              <w:snapToGrid/>
              <w:spacing w:after="0"/>
              <w:jc w:val="left"/>
              <w:rPr>
                <w:i/>
              </w:rPr>
            </w:pPr>
            <w:r w:rsidRPr="00BA072A">
              <w:rPr>
                <w:i/>
              </w:rPr>
              <w:t>Semi-persistent configuration</w:t>
            </w:r>
          </w:p>
          <w:p w14:paraId="4DFE3709" w14:textId="77777777" w:rsidR="00546994" w:rsidRPr="00BA072A" w:rsidRDefault="00546994" w:rsidP="00040384">
            <w:pPr>
              <w:numPr>
                <w:ilvl w:val="0"/>
                <w:numId w:val="4"/>
              </w:numPr>
              <w:autoSpaceDE/>
              <w:autoSpaceDN/>
              <w:adjustRightInd/>
              <w:snapToGrid/>
              <w:spacing w:after="0"/>
              <w:jc w:val="left"/>
              <w:rPr>
                <w:i/>
              </w:rPr>
            </w:pPr>
            <w:r w:rsidRPr="00BA072A">
              <w:rPr>
                <w:i/>
              </w:rPr>
              <w:t>Periodic configuration</w:t>
            </w:r>
          </w:p>
          <w:p w14:paraId="2C923DEC" w14:textId="77777777" w:rsidR="00546994" w:rsidRDefault="00546994" w:rsidP="00040384">
            <w:pPr>
              <w:numPr>
                <w:ilvl w:val="0"/>
                <w:numId w:val="4"/>
              </w:numPr>
              <w:autoSpaceDE/>
              <w:autoSpaceDN/>
              <w:adjustRightInd/>
              <w:snapToGrid/>
              <w:spacing w:after="0"/>
              <w:jc w:val="left"/>
            </w:pPr>
            <w:r w:rsidRPr="00BA072A">
              <w:rPr>
                <w:i/>
              </w:rPr>
              <w:t>Aperiodic configuration</w:t>
            </w:r>
          </w:p>
        </w:tc>
      </w:tr>
    </w:tbl>
    <w:p w14:paraId="0BBD8856" w14:textId="77777777" w:rsidR="00546994" w:rsidRDefault="00546994" w:rsidP="00641447"/>
    <w:p w14:paraId="1E8C75FF" w14:textId="68756576" w:rsidR="00227873" w:rsidRDefault="00227873" w:rsidP="00227873">
      <w:r>
        <w:t xml:space="preserve">In LTE, the UL-based positioning include the UL information request procedures and the UL positioning information update procedure among eNB, UE, and LMU </w:t>
      </w:r>
      <w:r w:rsidR="00503BCC">
        <w:t>[8]</w:t>
      </w:r>
      <w:r>
        <w:t xml:space="preserve"> shown in the Appendix. We do not see much change in NR if the periodic or semi-persistent SRS is used for UL positioning, except changing the LMU to TMF subject to RAN3 discussion.</w:t>
      </w:r>
    </w:p>
    <w:p w14:paraId="0D9788F0" w14:textId="77777777" w:rsidR="00227873" w:rsidRDefault="00227873" w:rsidP="00227873">
      <w:r>
        <w:t>In our view, supporting aperiodic SRS for UL positioning has the following potential problems:</w:t>
      </w:r>
    </w:p>
    <w:p w14:paraId="096D15BD" w14:textId="77777777" w:rsidR="00227873" w:rsidRPr="0074285C" w:rsidRDefault="00227873" w:rsidP="00227873">
      <w:pPr>
        <w:pStyle w:val="af"/>
        <w:numPr>
          <w:ilvl w:val="0"/>
          <w:numId w:val="14"/>
        </w:numPr>
        <w:ind w:leftChars="0"/>
      </w:pPr>
      <w:r w:rsidRPr="00BA072A">
        <w:rPr>
          <w:sz w:val="22"/>
        </w:rPr>
        <w:t>Large signalling overhead per measurement</w:t>
      </w:r>
      <w:r>
        <w:rPr>
          <w:sz w:val="22"/>
        </w:rPr>
        <w:t xml:space="preserve">, since </w:t>
      </w:r>
      <w:r w:rsidRPr="00E4091D">
        <w:rPr>
          <w:sz w:val="22"/>
        </w:rPr>
        <w:t>every time the serving gNB decides to trigger an aperiodic SRS, it has to forward the SRS information to the LMF and to the neighbouring gNBs via LMF only for a single-shot measurement</w:t>
      </w:r>
    </w:p>
    <w:p w14:paraId="38E7B021" w14:textId="77EEF66E" w:rsidR="00227873" w:rsidRPr="0074285C" w:rsidRDefault="00227873" w:rsidP="00227873">
      <w:pPr>
        <w:pStyle w:val="af"/>
        <w:numPr>
          <w:ilvl w:val="0"/>
          <w:numId w:val="14"/>
        </w:numPr>
        <w:ind w:leftChars="0"/>
      </w:pPr>
      <w:r w:rsidRPr="00BA072A">
        <w:rPr>
          <w:sz w:val="22"/>
        </w:rPr>
        <w:t xml:space="preserve">Low </w:t>
      </w:r>
      <w:r w:rsidR="00EB3982">
        <w:rPr>
          <w:sz w:val="22"/>
        </w:rPr>
        <w:t xml:space="preserve">measurement </w:t>
      </w:r>
      <w:r w:rsidRPr="00BA072A">
        <w:rPr>
          <w:sz w:val="22"/>
        </w:rPr>
        <w:t xml:space="preserve">accuracy due to </w:t>
      </w:r>
      <w:r>
        <w:rPr>
          <w:sz w:val="22"/>
        </w:rPr>
        <w:t xml:space="preserve">a </w:t>
      </w:r>
      <w:r w:rsidRPr="00BA072A">
        <w:rPr>
          <w:sz w:val="22"/>
        </w:rPr>
        <w:t>single-shot measurement</w:t>
      </w:r>
    </w:p>
    <w:p w14:paraId="2B5CABDF" w14:textId="7FB2B93E" w:rsidR="00227873" w:rsidRDefault="006B7EE8" w:rsidP="00227873">
      <w:pPr>
        <w:pStyle w:val="af"/>
        <w:numPr>
          <w:ilvl w:val="0"/>
          <w:numId w:val="14"/>
        </w:numPr>
        <w:ind w:leftChars="0"/>
      </w:pPr>
      <w:r>
        <w:rPr>
          <w:sz w:val="22"/>
        </w:rPr>
        <w:lastRenderedPageBreak/>
        <w:t>The possibility that the</w:t>
      </w:r>
      <w:r w:rsidR="00227873" w:rsidRPr="00BA072A">
        <w:rPr>
          <w:sz w:val="22"/>
        </w:rPr>
        <w:t xml:space="preserve"> neighbouring gNB </w:t>
      </w:r>
      <w:r>
        <w:rPr>
          <w:sz w:val="22"/>
        </w:rPr>
        <w:t>does not</w:t>
      </w:r>
      <w:r w:rsidR="00227873" w:rsidRPr="00BA072A">
        <w:rPr>
          <w:sz w:val="22"/>
        </w:rPr>
        <w:t xml:space="preserve"> receive SRS configuration before </w:t>
      </w:r>
      <w:r>
        <w:rPr>
          <w:sz w:val="22"/>
        </w:rPr>
        <w:t>the single-shot AP-</w:t>
      </w:r>
      <w:r w:rsidR="00227873">
        <w:rPr>
          <w:sz w:val="22"/>
        </w:rPr>
        <w:t xml:space="preserve">SRS </w:t>
      </w:r>
      <w:r w:rsidR="00227873" w:rsidRPr="00BA072A">
        <w:rPr>
          <w:sz w:val="22"/>
        </w:rPr>
        <w:t>transmission</w:t>
      </w:r>
      <w:r w:rsidR="00227873">
        <w:rPr>
          <w:sz w:val="22"/>
        </w:rPr>
        <w:t xml:space="preserve"> from the UE</w:t>
      </w:r>
      <w:r>
        <w:rPr>
          <w:sz w:val="22"/>
        </w:rPr>
        <w:t>.</w:t>
      </w:r>
    </w:p>
    <w:p w14:paraId="1D3A413C" w14:textId="77777777" w:rsidR="00227873" w:rsidRDefault="00227873" w:rsidP="00227873">
      <w:pPr>
        <w:pStyle w:val="af"/>
        <w:numPr>
          <w:ilvl w:val="0"/>
          <w:numId w:val="14"/>
        </w:numPr>
        <w:ind w:leftChars="0"/>
      </w:pPr>
      <w:r>
        <w:rPr>
          <w:sz w:val="22"/>
        </w:rPr>
        <w:t>Aperiodic SRS is triggered by DCI and may be missed by UE.</w:t>
      </w:r>
    </w:p>
    <w:p w14:paraId="5EE56F9D" w14:textId="77777777" w:rsidR="00227873" w:rsidRDefault="00227873" w:rsidP="00227873">
      <w:pPr>
        <w:pStyle w:val="af"/>
        <w:numPr>
          <w:ilvl w:val="0"/>
          <w:numId w:val="14"/>
        </w:numPr>
        <w:ind w:leftChars="0"/>
      </w:pPr>
      <w:r>
        <w:rPr>
          <w:sz w:val="22"/>
        </w:rPr>
        <w:t>Additional work in RAN2/RAN3 to specify the aperiodic SRS information transfer in addition to periodic/semi-persistent SRS.</w:t>
      </w:r>
    </w:p>
    <w:p w14:paraId="22F7CB8E" w14:textId="77777777" w:rsidR="00227873" w:rsidRPr="0074285C" w:rsidRDefault="00227873" w:rsidP="00227873">
      <w:r>
        <w:t>Therefore, in our view, the support of aperiodic SRS should be transparent to NRPPa, which means that from the perspective of LMF and neighbouring gNBs, SR</w:t>
      </w:r>
      <w:r>
        <w:rPr>
          <w:lang w:eastAsia="zh-CN"/>
        </w:rPr>
        <w:t>S is periodic. The reception of aperiodic SRS should only be limited to the serving cell.</w:t>
      </w:r>
    </w:p>
    <w:p w14:paraId="3EFBA694" w14:textId="441D6558" w:rsidR="00F375EC" w:rsidRDefault="00227873" w:rsidP="00A43E53">
      <w:pPr>
        <w:rPr>
          <w:b/>
        </w:rPr>
      </w:pPr>
      <w:r w:rsidDel="00227873">
        <w:t xml:space="preserve"> </w:t>
      </w:r>
      <w:r w:rsidR="00C9188F" w:rsidRPr="006C5C3B">
        <w:rPr>
          <w:b/>
          <w:i/>
        </w:rPr>
        <w:t xml:space="preserve">Proposal </w:t>
      </w:r>
      <w:r w:rsidR="00C9188F" w:rsidRPr="006C5C3B">
        <w:rPr>
          <w:b/>
          <w:i/>
        </w:rPr>
        <w:fldChar w:fldCharType="begin"/>
      </w:r>
      <w:r w:rsidR="00C9188F" w:rsidRPr="006C5C3B">
        <w:rPr>
          <w:b/>
          <w:i/>
        </w:rPr>
        <w:instrText xml:space="preserve"> SEQ Proposal \* ARABIC </w:instrText>
      </w:r>
      <w:r w:rsidR="00C9188F" w:rsidRPr="006C5C3B">
        <w:rPr>
          <w:b/>
          <w:i/>
        </w:rPr>
        <w:fldChar w:fldCharType="separate"/>
      </w:r>
      <w:r w:rsidR="00133448">
        <w:rPr>
          <w:b/>
          <w:i/>
          <w:noProof/>
        </w:rPr>
        <w:t>22</w:t>
      </w:r>
      <w:r w:rsidR="00C9188F" w:rsidRPr="006C5C3B">
        <w:rPr>
          <w:b/>
          <w:i/>
        </w:rPr>
        <w:fldChar w:fldCharType="end"/>
      </w:r>
      <w:r w:rsidR="00C9188F" w:rsidRPr="006C5C3B">
        <w:rPr>
          <w:b/>
          <w:i/>
        </w:rPr>
        <w:t>:</w:t>
      </w:r>
      <w:r w:rsidR="00C9188F" w:rsidRPr="000C40D9">
        <w:rPr>
          <w:b/>
          <w:i/>
        </w:rPr>
        <w:t xml:space="preserve"> </w:t>
      </w:r>
      <w:r w:rsidR="006B46B7">
        <w:rPr>
          <w:b/>
          <w:bCs/>
          <w:i/>
          <w:iCs/>
        </w:rPr>
        <w:t xml:space="preserve">Aperiodic SRS for positioning is </w:t>
      </w:r>
      <w:r w:rsidR="006B46B7" w:rsidRPr="0025015C">
        <w:rPr>
          <w:b/>
          <w:bCs/>
          <w:i/>
          <w:iCs/>
        </w:rPr>
        <w:t xml:space="preserve">only </w:t>
      </w:r>
      <w:r w:rsidR="006B46B7" w:rsidRPr="00BA072A">
        <w:rPr>
          <w:b/>
          <w:bCs/>
          <w:i/>
          <w:iCs/>
        </w:rPr>
        <w:t xml:space="preserve">sent to </w:t>
      </w:r>
      <w:r w:rsidR="006B46B7" w:rsidRPr="0025015C">
        <w:rPr>
          <w:b/>
          <w:bCs/>
          <w:i/>
          <w:iCs/>
        </w:rPr>
        <w:t xml:space="preserve">the </w:t>
      </w:r>
      <w:r w:rsidR="006B46B7">
        <w:rPr>
          <w:b/>
          <w:bCs/>
          <w:i/>
          <w:iCs/>
        </w:rPr>
        <w:t>serving gNB(s)</w:t>
      </w:r>
      <w:r w:rsidR="006B46B7" w:rsidRPr="003707A4">
        <w:rPr>
          <w:b/>
          <w:i/>
        </w:rPr>
        <w:t xml:space="preserve">. </w:t>
      </w:r>
    </w:p>
    <w:p w14:paraId="0B4D4344" w14:textId="77777777" w:rsidR="00E97944" w:rsidRPr="00E97944" w:rsidRDefault="00E97944" w:rsidP="00A43E53">
      <w:pPr>
        <w:rPr>
          <w:i/>
        </w:rPr>
      </w:pPr>
    </w:p>
    <w:p w14:paraId="05F89EDD" w14:textId="549878F1" w:rsidR="00482849" w:rsidRDefault="00747F48" w:rsidP="00482849">
      <w:pPr>
        <w:pStyle w:val="1"/>
      </w:pPr>
      <w:bookmarkStart w:id="18" w:name="_Ref129681832"/>
      <w:r w:rsidRPr="00E97944">
        <w:t>Conclusion</w:t>
      </w:r>
      <w:r w:rsidR="006B1FD5" w:rsidRPr="00E97944">
        <w:t>s</w:t>
      </w:r>
    </w:p>
    <w:p w14:paraId="63D22726" w14:textId="54AE02D1" w:rsidR="00223600" w:rsidRPr="0005668A" w:rsidRDefault="00223600" w:rsidP="00DC04FA">
      <w:r>
        <w:t>In this contribution, we provide our view on SRS design for NR positioning. Based on the discussion, we have the following observations and proposals.</w:t>
      </w:r>
    </w:p>
    <w:p w14:paraId="7ABF01B4" w14:textId="0A7095AD" w:rsidR="006570DD" w:rsidRDefault="006570DD" w:rsidP="004871C0">
      <w:pPr>
        <w:rPr>
          <w:b/>
          <w:i/>
        </w:rPr>
      </w:pPr>
      <w:r w:rsidRPr="008B7DF0">
        <w:rPr>
          <w:b/>
          <w:i/>
        </w:rPr>
        <w:t xml:space="preserve">Observation </w:t>
      </w:r>
      <w:r w:rsidRPr="00F1585F">
        <w:rPr>
          <w:b/>
          <w:i/>
        </w:rPr>
        <w:fldChar w:fldCharType="begin"/>
      </w:r>
      <w:r w:rsidRPr="008B7DF0">
        <w:rPr>
          <w:b/>
          <w:i/>
        </w:rPr>
        <w:instrText xml:space="preserve"> SEQ Observation \* ARABIC </w:instrText>
      </w:r>
      <w:r w:rsidRPr="00F1585F">
        <w:rPr>
          <w:b/>
          <w:i/>
        </w:rPr>
        <w:fldChar w:fldCharType="separate"/>
      </w:r>
      <w:r>
        <w:rPr>
          <w:b/>
          <w:i/>
          <w:noProof/>
        </w:rPr>
        <w:t>1</w:t>
      </w:r>
      <w:r w:rsidRPr="00F1585F">
        <w:rPr>
          <w:b/>
          <w:i/>
        </w:rPr>
        <w:fldChar w:fldCharType="end"/>
      </w:r>
      <w:r>
        <w:rPr>
          <w:b/>
          <w:i/>
        </w:rPr>
        <w:t xml:space="preserve">: </w:t>
      </w:r>
      <w:r w:rsidRPr="00D96EA3">
        <w:rPr>
          <w:b/>
          <w:i/>
        </w:rPr>
        <w:t xml:space="preserve">Configuring every </w:t>
      </w:r>
      <m:oMath>
        <m:r>
          <m:rPr>
            <m:sty m:val="bi"/>
          </m:rPr>
          <w:rPr>
            <w:rFonts w:ascii="Cambria Math" w:hAnsi="Cambria Math"/>
            <w:sz w:val="20"/>
            <w:szCs w:val="20"/>
          </w:rPr>
          <m:t xml:space="preserve">G≥ 1 </m:t>
        </m:r>
      </m:oMath>
      <w:r w:rsidRPr="00D96EA3">
        <w:rPr>
          <w:b/>
          <w:i/>
        </w:rPr>
        <w:t>consecutive symbols with the same RE offset within a staggered SRS resource provides the possibility of FDM with Rel. 15 SRS resources without collision.</w:t>
      </w:r>
    </w:p>
    <w:p w14:paraId="0CB15758" w14:textId="7B87E2AE" w:rsidR="006570DD" w:rsidRDefault="006570DD" w:rsidP="004871C0">
      <w:pPr>
        <w:rPr>
          <w:b/>
          <w:i/>
        </w:rPr>
      </w:pPr>
      <w:r w:rsidRPr="008B7DF0">
        <w:rPr>
          <w:b/>
          <w:i/>
        </w:rPr>
        <w:t xml:space="preserve">Observation </w:t>
      </w:r>
      <w:r w:rsidRPr="00F1585F">
        <w:rPr>
          <w:b/>
          <w:i/>
        </w:rPr>
        <w:fldChar w:fldCharType="begin"/>
      </w:r>
      <w:r w:rsidRPr="008B7DF0">
        <w:rPr>
          <w:b/>
          <w:i/>
        </w:rPr>
        <w:instrText xml:space="preserve"> SEQ Observation \* ARABIC </w:instrText>
      </w:r>
      <w:r w:rsidRPr="00F1585F">
        <w:rPr>
          <w:b/>
          <w:i/>
        </w:rPr>
        <w:fldChar w:fldCharType="separate"/>
      </w:r>
      <w:r>
        <w:rPr>
          <w:b/>
          <w:i/>
          <w:noProof/>
        </w:rPr>
        <w:t>2</w:t>
      </w:r>
      <w:r w:rsidRPr="00F1585F">
        <w:rPr>
          <w:b/>
          <w:i/>
        </w:rPr>
        <w:fldChar w:fldCharType="end"/>
      </w:r>
      <w:r>
        <w:rPr>
          <w:b/>
          <w:i/>
        </w:rPr>
        <w:t xml:space="preserve">: </w:t>
      </w:r>
      <w:r w:rsidRPr="00D96EA3">
        <w:rPr>
          <w:b/>
          <w:i/>
        </w:rPr>
        <w:t xml:space="preserve">Configuring every </w:t>
      </w:r>
      <m:oMath>
        <m:r>
          <m:rPr>
            <m:sty m:val="bi"/>
          </m:rPr>
          <w:rPr>
            <w:rFonts w:ascii="Cambria Math" w:hAnsi="Cambria Math"/>
            <w:sz w:val="20"/>
            <w:szCs w:val="20"/>
          </w:rPr>
          <m:t>G</m:t>
        </m:r>
        <m:r>
          <m:rPr>
            <m:sty m:val="bi"/>
          </m:rPr>
          <w:rPr>
            <w:rFonts w:ascii="Cambria Math" w:hAnsi="Cambria Math" w:hint="eastAsia"/>
            <w:sz w:val="20"/>
            <w:szCs w:val="20"/>
          </w:rPr>
          <m:t>≥</m:t>
        </m:r>
        <m:r>
          <m:rPr>
            <m:sty m:val="bi"/>
          </m:rPr>
          <w:rPr>
            <w:rFonts w:ascii="Cambria Math" w:hAnsi="Cambria Math" w:hint="eastAsia"/>
            <w:sz w:val="20"/>
            <w:szCs w:val="20"/>
          </w:rPr>
          <m:t xml:space="preserve"> 1 </m:t>
        </m:r>
      </m:oMath>
      <w:r w:rsidRPr="00D96EA3">
        <w:rPr>
          <w:b/>
          <w:i/>
        </w:rPr>
        <w:t xml:space="preserve">consecutive symbols with the same RE offset within a staggered SRS resource makes it possible to use the SRS resource for dual purposes: 1) staggered SRS resource with </w:t>
      </w:r>
      <m:oMath>
        <m:sSubSup>
          <m:sSubSupPr>
            <m:ctrlPr>
              <w:rPr>
                <w:rFonts w:ascii="Cambria Math" w:hAnsi="Cambria Math"/>
                <w:b/>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oMath>
      <w:r w:rsidRPr="00D96EA3">
        <w:rPr>
          <w:b/>
          <w:i/>
        </w:rPr>
        <w:t xml:space="preserve"> for positioning purposes; 2) one or multiple non-staggered SRS resources each with G symbols for Rel. 15 usages.</w:t>
      </w:r>
    </w:p>
    <w:p w14:paraId="30E70FA7" w14:textId="77777777" w:rsidR="006570DD" w:rsidRPr="00D96EA3" w:rsidRDefault="006570DD" w:rsidP="006570DD">
      <w:pPr>
        <w:rPr>
          <w:b/>
          <w:i/>
        </w:rPr>
      </w:pPr>
      <w:r w:rsidRPr="008B7DF0">
        <w:rPr>
          <w:b/>
          <w:i/>
        </w:rPr>
        <w:t xml:space="preserve">Observation </w:t>
      </w:r>
      <w:r w:rsidRPr="00F1585F">
        <w:rPr>
          <w:b/>
          <w:i/>
        </w:rPr>
        <w:fldChar w:fldCharType="begin"/>
      </w:r>
      <w:r w:rsidRPr="008B7DF0">
        <w:rPr>
          <w:b/>
          <w:i/>
        </w:rPr>
        <w:instrText xml:space="preserve"> SEQ Observation \* ARABIC </w:instrText>
      </w:r>
      <w:r w:rsidRPr="00F1585F">
        <w:rPr>
          <w:b/>
          <w:i/>
        </w:rPr>
        <w:fldChar w:fldCharType="separate"/>
      </w:r>
      <w:r>
        <w:rPr>
          <w:b/>
          <w:i/>
          <w:noProof/>
        </w:rPr>
        <w:t>3</w:t>
      </w:r>
      <w:r w:rsidRPr="00F1585F">
        <w:rPr>
          <w:b/>
          <w:i/>
        </w:rPr>
        <w:fldChar w:fldCharType="end"/>
      </w:r>
      <w:r>
        <w:rPr>
          <w:b/>
          <w:i/>
        </w:rPr>
        <w:t xml:space="preserve">: </w:t>
      </w:r>
      <w:r w:rsidRPr="00D96EA3">
        <w:rPr>
          <w:b/>
          <w:i/>
        </w:rPr>
        <w:t xml:space="preserve">Configuring every </w:t>
      </w:r>
      <m:oMath>
        <m:r>
          <m:rPr>
            <m:sty m:val="bi"/>
          </m:rPr>
          <w:rPr>
            <w:rFonts w:ascii="Cambria Math" w:hAnsi="Cambria Math" w:hint="eastAsia"/>
            <w:sz w:val="20"/>
            <w:szCs w:val="20"/>
          </w:rPr>
          <m:t>G</m:t>
        </m:r>
        <m:r>
          <m:rPr>
            <m:sty m:val="bi"/>
          </m:rPr>
          <w:rPr>
            <w:rFonts w:ascii="Cambria Math" w:hAnsi="Cambria Math" w:hint="eastAsia"/>
            <w:sz w:val="20"/>
            <w:szCs w:val="20"/>
          </w:rPr>
          <m:t>≥</m:t>
        </m:r>
        <m:r>
          <m:rPr>
            <m:sty m:val="bi"/>
          </m:rPr>
          <w:rPr>
            <w:rFonts w:ascii="Cambria Math" w:hAnsi="Cambria Math" w:hint="eastAsia"/>
            <w:sz w:val="20"/>
            <w:szCs w:val="20"/>
          </w:rPr>
          <m:t xml:space="preserve"> 1 </m:t>
        </m:r>
      </m:oMath>
      <w:r w:rsidRPr="00D96EA3">
        <w:rPr>
          <w:b/>
          <w:i/>
        </w:rPr>
        <w:t xml:space="preserve">consecutive symbols with the same RE offset within a staggered SRS resource facilitates providing one unified resource mapping equation for both Rel. 16 staggered and Rel. 15 non-staggered SRS resource mappings. </w:t>
      </w:r>
    </w:p>
    <w:p w14:paraId="1B9D3E18" w14:textId="77777777" w:rsidR="004871C0" w:rsidRDefault="004871C0" w:rsidP="004871C0">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w:t>
      </w:r>
      <w:r w:rsidRPr="006C5C3B">
        <w:rPr>
          <w:b/>
          <w:i/>
        </w:rPr>
        <w:fldChar w:fldCharType="end"/>
      </w:r>
      <w:r w:rsidRPr="006C5C3B">
        <w:rPr>
          <w:b/>
          <w:i/>
        </w:rPr>
        <w:t>:</w:t>
      </w:r>
      <w:r w:rsidRPr="000C40D9">
        <w:rPr>
          <w:b/>
          <w:i/>
        </w:rPr>
        <w:t xml:space="preserve"> </w:t>
      </w:r>
      <w:r>
        <w:rPr>
          <w:b/>
          <w:i/>
        </w:rPr>
        <w:t xml:space="preserve">Rel-16 SRS for positioning does not support intra-slot frequency hopping. </w:t>
      </w:r>
    </w:p>
    <w:p w14:paraId="4DB407CE" w14:textId="4B70BEBA" w:rsidR="004871C0" w:rsidRDefault="006570DD" w:rsidP="008757CA">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2</w:t>
      </w:r>
      <w:r w:rsidRPr="006C5C3B">
        <w:rPr>
          <w:b/>
          <w:i/>
        </w:rPr>
        <w:fldChar w:fldCharType="end"/>
      </w:r>
      <w:r w:rsidRPr="006C5C3B">
        <w:rPr>
          <w:b/>
          <w:i/>
        </w:rPr>
        <w:t>:</w:t>
      </w:r>
      <w:r w:rsidRPr="000C40D9">
        <w:rPr>
          <w:b/>
          <w:i/>
        </w:rPr>
        <w:t xml:space="preserve"> </w:t>
      </w:r>
      <w:r w:rsidRPr="004871C0">
        <w:rPr>
          <w:b/>
          <w:i/>
        </w:rPr>
        <w:t xml:space="preserve"> </w:t>
      </w:r>
      <w:r w:rsidRPr="00D96EA3">
        <w:rPr>
          <w:b/>
          <w:i/>
        </w:rPr>
        <w:t xml:space="preserve">Supported values for the RRC parameter repetitionFactor are n1, n2, n4, n8, and n12 in Rel. 16 SRS where repetitionFactor is set to nrofSymbols if SRS is used for positioning purposes.   </w:t>
      </w:r>
    </w:p>
    <w:p w14:paraId="3F116868" w14:textId="77777777" w:rsidR="006570DD" w:rsidRPr="007C0176" w:rsidRDefault="006570DD" w:rsidP="006570DD">
      <w:pPr>
        <w:rPr>
          <w:lang w:val="en-GB"/>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3</w:t>
      </w:r>
      <w:r w:rsidRPr="006C5C3B">
        <w:rPr>
          <w:b/>
          <w:i/>
        </w:rPr>
        <w:fldChar w:fldCharType="end"/>
      </w:r>
      <w:r w:rsidRPr="006C5C3B">
        <w:rPr>
          <w:b/>
          <w:i/>
        </w:rPr>
        <w:t>:</w:t>
      </w:r>
      <w:r w:rsidRPr="000C40D9">
        <w:rPr>
          <w:b/>
          <w:i/>
        </w:rPr>
        <w:t xml:space="preserve"> </w:t>
      </w:r>
      <w:r>
        <w:rPr>
          <w:b/>
          <w:i/>
        </w:rPr>
        <w:t xml:space="preserve">Support configuring every </w:t>
      </w:r>
      <m:oMath>
        <m:r>
          <m:rPr>
            <m:sty m:val="bi"/>
          </m:rPr>
          <w:rPr>
            <w:rFonts w:ascii="Cambria Math" w:hAnsi="Cambria Math"/>
            <w:sz w:val="20"/>
            <w:szCs w:val="20"/>
          </w:rPr>
          <m:t xml:space="preserve">G≥ 1 </m:t>
        </m:r>
      </m:oMath>
      <w:r w:rsidRPr="00DB13CB">
        <w:rPr>
          <w:b/>
          <w:i/>
        </w:rPr>
        <w:t xml:space="preserve">consecutive symbols </w:t>
      </w:r>
      <w:r>
        <w:rPr>
          <w:b/>
          <w:i/>
        </w:rPr>
        <w:t xml:space="preserve">with the same RE offset </w:t>
      </w:r>
      <w:r w:rsidRPr="00DB13CB">
        <w:rPr>
          <w:b/>
          <w:i/>
        </w:rPr>
        <w:t>within</w:t>
      </w:r>
      <w:r>
        <w:rPr>
          <w:b/>
          <w:i/>
        </w:rPr>
        <w:t xml:space="preserve"> the staggered SRS resource</w:t>
      </w:r>
      <m:oMath>
        <m:r>
          <m:rPr>
            <m:sty m:val="bi"/>
          </m:rPr>
          <w:rPr>
            <w:rFonts w:ascii="Cambria Math" w:eastAsia="Batang" w:hAnsi="Cambria Math"/>
            <w:szCs w:val="24"/>
            <w:lang w:val="en-GB"/>
          </w:rPr>
          <m:t>.</m:t>
        </m:r>
      </m:oMath>
      <w:r w:rsidRPr="009531D2">
        <w:rPr>
          <w:lang w:val="en-GB"/>
        </w:rPr>
        <w:t xml:space="preserve"> </w:t>
      </w:r>
    </w:p>
    <w:p w14:paraId="795C80F5" w14:textId="77777777" w:rsidR="006570DD" w:rsidRPr="00FD43BF" w:rsidRDefault="006570DD" w:rsidP="006570DD">
      <w:pPr>
        <w:rPr>
          <w:b/>
          <w:i/>
          <w:lang w:val="en-GB"/>
        </w:rPr>
      </w:pPr>
      <w:r w:rsidRPr="002B2F26">
        <w:rPr>
          <w:b/>
          <w:i/>
        </w:rPr>
        <w:t xml:space="preserve">Proposal </w:t>
      </w:r>
      <w:r w:rsidRPr="005D4033">
        <w:rPr>
          <w:b/>
          <w:i/>
        </w:rPr>
        <w:fldChar w:fldCharType="begin"/>
      </w:r>
      <w:r w:rsidRPr="00FD43BF">
        <w:rPr>
          <w:b/>
          <w:i/>
        </w:rPr>
        <w:instrText xml:space="preserve"> SEQ Proposal \* ARABIC </w:instrText>
      </w:r>
      <w:r w:rsidRPr="005D4033">
        <w:rPr>
          <w:b/>
          <w:i/>
        </w:rPr>
        <w:fldChar w:fldCharType="separate"/>
      </w:r>
      <w:r>
        <w:rPr>
          <w:b/>
          <w:i/>
          <w:noProof/>
        </w:rPr>
        <w:t>4</w:t>
      </w:r>
      <w:r w:rsidRPr="005D4033">
        <w:rPr>
          <w:b/>
          <w:i/>
        </w:rPr>
        <w:fldChar w:fldCharType="end"/>
      </w:r>
      <w:r w:rsidRPr="005D4033">
        <w:rPr>
          <w:b/>
          <w:i/>
        </w:rPr>
        <w:t xml:space="preserve">: </w:t>
      </w:r>
      <w:r w:rsidRPr="00FD43BF">
        <w:rPr>
          <w:b/>
          <w:i/>
          <w:lang w:eastAsia="x-none"/>
        </w:rPr>
        <w:t>The RE pattern of Rel. 16 SRS resource is obtained by</w:t>
      </w:r>
      <w:r w:rsidRPr="00FD43BF">
        <w:rPr>
          <w:b/>
          <w:i/>
          <w:lang w:val="en-GB"/>
        </w:rPr>
        <w:t xml:space="preserve"> calculating </w:t>
      </w:r>
      <w:r w:rsidRPr="00FD43BF">
        <w:rPr>
          <w:b/>
          <w:bCs/>
          <w:i/>
          <w:iCs/>
        </w:rPr>
        <w:t>the index of the lowest RE that contains SRS within the RB</w:t>
      </w:r>
      <w:r w:rsidRPr="002B2F26">
        <w:rPr>
          <w:b/>
          <w:i/>
          <w:lang w:val="en-GB"/>
        </w:rPr>
        <w:t xml:space="preserve"> (symbol-specific RE offset) </w:t>
      </w:r>
      <w:r w:rsidRPr="00FD43BF">
        <w:rPr>
          <w:b/>
          <w:i/>
          <w:lang w:val="en-GB"/>
        </w:rPr>
        <w:t>from</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8010"/>
        <w:gridCol w:w="672"/>
      </w:tblGrid>
      <w:tr w:rsidR="006570DD" w:rsidRPr="00FD43BF" w14:paraId="0425A377" w14:textId="77777777" w:rsidTr="005A73A2">
        <w:tc>
          <w:tcPr>
            <w:tcW w:w="625" w:type="dxa"/>
          </w:tcPr>
          <w:p w14:paraId="6CCC2C1D" w14:textId="77777777" w:rsidR="006570DD" w:rsidRPr="00FD43BF" w:rsidRDefault="006570DD" w:rsidP="005A73A2">
            <w:pPr>
              <w:rPr>
                <w:b/>
                <w:bCs/>
                <w:i/>
                <w:iCs/>
              </w:rPr>
            </w:pPr>
          </w:p>
        </w:tc>
        <w:tc>
          <w:tcPr>
            <w:tcW w:w="8010" w:type="dxa"/>
          </w:tcPr>
          <w:p w14:paraId="6FC55123" w14:textId="77777777" w:rsidR="006570DD" w:rsidRPr="002B2F26" w:rsidRDefault="008D7632" w:rsidP="005A73A2">
            <w:pPr>
              <w:rPr>
                <w:b/>
                <w:bCs/>
                <w:i/>
                <w:iCs/>
              </w:rPr>
            </w:pPr>
            <m:oMathPara>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l</m:t>
                            </m:r>
                          </m:e>
                          <m:sup>
                            <m:r>
                              <m:rPr>
                                <m:sty m:val="bi"/>
                              </m:rPr>
                              <w:rPr>
                                <w:rFonts w:ascii="Cambria Math" w:hAnsi="Cambria Math"/>
                              </w:rPr>
                              <m:t>'</m:t>
                            </m:r>
                          </m:sup>
                        </m:sSup>
                      </m:e>
                    </m:d>
                  </m:sup>
                </m:sSubSup>
                <m:r>
                  <m:rPr>
                    <m:sty m:val="bi"/>
                  </m:rPr>
                  <w:rPr>
                    <w:rFonts w:ascii="Cambria Math" w:hAnsi="Cambria Math"/>
                  </w:rPr>
                  <m:t>=</m:t>
                </m:r>
                <m:d>
                  <m:dPr>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e>
                        </m:d>
                      </m:sup>
                    </m:sSubSup>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×G</m:t>
                            </m:r>
                          </m:num>
                          <m:den>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den>
                        </m:f>
                      </m:e>
                    </m:d>
                    <m:d>
                      <m:dPr>
                        <m:begChr m:val="⌊"/>
                        <m:endChr m:val="⌋"/>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l</m:t>
                                </m:r>
                              </m:e>
                              <m:sup>
                                <m:r>
                                  <m:rPr>
                                    <m:sty m:val="bi"/>
                                  </m:rPr>
                                  <w:rPr>
                                    <w:rFonts w:ascii="Cambria Math" w:hAnsi="Cambria Math"/>
                                  </w:rPr>
                                  <m:t>'</m:t>
                                </m:r>
                              </m:sup>
                            </m:sSup>
                          </m:num>
                          <m:den>
                            <m:r>
                              <m:rPr>
                                <m:sty m:val="bi"/>
                              </m:rPr>
                              <w:rPr>
                                <w:rFonts w:ascii="Cambria Math" w:hAnsi="Cambria Math"/>
                              </w:rPr>
                              <m:t>G</m:t>
                            </m:r>
                          </m:den>
                        </m:f>
                      </m:e>
                    </m:d>
                  </m:e>
                </m:d>
                <m:r>
                  <m:rPr>
                    <m:sty m:val="bi"/>
                  </m:rPr>
                  <w:rPr>
                    <w:rFonts w:ascii="Cambria Math" w:hAnsi="Cambria Math"/>
                  </w:rPr>
                  <m:t xml:space="preserve">mod </m:t>
                </m:r>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TC</m:t>
                    </m:r>
                  </m:sub>
                </m:sSub>
              </m:oMath>
            </m:oMathPara>
          </w:p>
        </w:tc>
        <w:tc>
          <w:tcPr>
            <w:tcW w:w="672" w:type="dxa"/>
          </w:tcPr>
          <w:p w14:paraId="7FC6AE9C" w14:textId="77777777" w:rsidR="006570DD" w:rsidRPr="00FD43BF" w:rsidRDefault="006570DD" w:rsidP="005A73A2">
            <w:pPr>
              <w:rPr>
                <w:b/>
                <w:bCs/>
                <w:i/>
                <w:iCs/>
              </w:rPr>
            </w:pPr>
          </w:p>
        </w:tc>
      </w:tr>
    </w:tbl>
    <w:p w14:paraId="32FCCB65" w14:textId="77777777" w:rsidR="006570DD" w:rsidRPr="002B2F26" w:rsidRDefault="006570DD" w:rsidP="006570DD">
      <w:pPr>
        <w:rPr>
          <w:b/>
          <w:i/>
          <w:lang w:val="en-GB"/>
        </w:rPr>
      </w:pPr>
      <w:r w:rsidRPr="002B2F26">
        <w:rPr>
          <w:b/>
          <w:bCs/>
          <w:i/>
          <w:iCs/>
        </w:rPr>
        <w:t xml:space="preserve">for </w:t>
      </w:r>
      <m:oMath>
        <m:sSup>
          <m:sSupPr>
            <m:ctrlPr>
              <w:rPr>
                <w:rFonts w:ascii="Cambria Math" w:hAnsi="Cambria Math"/>
                <w:b/>
                <w:bCs/>
                <w:i/>
                <w:iCs/>
              </w:rPr>
            </m:ctrlPr>
          </m:sSupPr>
          <m:e>
            <m:r>
              <m:rPr>
                <m:sty m:val="bi"/>
              </m:rPr>
              <w:rPr>
                <w:rFonts w:ascii="Cambria Math" w:hAnsi="Cambria Math"/>
              </w:rPr>
              <m:t xml:space="preserve"> l</m:t>
            </m:r>
          </m:e>
          <m:sup>
            <m:r>
              <m:rPr>
                <m:sty m:val="bi"/>
              </m:rPr>
              <w:rPr>
                <w:rFonts w:ascii="Cambria Math" w:hAnsi="Cambria Math"/>
              </w:rPr>
              <m:t>'</m:t>
            </m:r>
          </m:sup>
        </m:sSup>
        <m:r>
          <m:rPr>
            <m:sty m:val="bi"/>
          </m:rPr>
          <w:rPr>
            <w:rFonts w:ascii="Cambria Math" w:hAnsi="Cambria Math" w:hint="eastAsia"/>
          </w:rPr>
          <m:t>∈</m:t>
        </m:r>
        <m:d>
          <m:dPr>
            <m:begChr m:val="{"/>
            <m:endChr m:val="}"/>
            <m:ctrlPr>
              <w:rPr>
                <w:rFonts w:ascii="Cambria Math" w:hAnsi="Cambria Math"/>
                <w:b/>
                <w:bCs/>
                <w:i/>
                <w:iCs/>
              </w:rPr>
            </m:ctrlPr>
          </m:dPr>
          <m:e>
            <m:r>
              <m:rPr>
                <m:sty m:val="bi"/>
              </m:rPr>
              <w:rPr>
                <w:rFonts w:ascii="Cambria Math" w:hAnsi="Cambria Math"/>
              </w:rPr>
              <m:t>0,…,</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 xml:space="preserve">-1 </m:t>
            </m:r>
          </m:e>
        </m:d>
        <m:r>
          <m:rPr>
            <m:sty m:val="bi"/>
          </m:rPr>
          <w:rPr>
            <w:rFonts w:ascii="Cambria Math" w:hAnsi="Cambria Math"/>
          </w:rPr>
          <m:t xml:space="preserve"> </m:t>
        </m:r>
      </m:oMath>
      <w:r w:rsidRPr="002B2F26">
        <w:rPr>
          <w:b/>
          <w:bCs/>
          <w:i/>
          <w:iCs/>
        </w:rPr>
        <w:t xml:space="preserve">and antenna port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oMath>
      <w:r w:rsidRPr="002B2F26">
        <w:rPr>
          <w:b/>
          <w:i/>
          <w:lang w:val="en-GB"/>
        </w:rPr>
        <w:t xml:space="preserve"> where</w:t>
      </w:r>
    </w:p>
    <w:p w14:paraId="2713C041" w14:textId="77777777" w:rsidR="006570DD" w:rsidRPr="00FD43BF" w:rsidRDefault="008D7632" w:rsidP="006570DD">
      <w:pPr>
        <w:pStyle w:val="af"/>
        <w:numPr>
          <w:ilvl w:val="0"/>
          <w:numId w:val="55"/>
        </w:numPr>
        <w:ind w:leftChars="0"/>
        <w:rPr>
          <w:b/>
          <w:i/>
        </w:rPr>
      </w:pPr>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e>
            </m:d>
          </m:sup>
        </m:sSubSup>
      </m:oMath>
      <w:r w:rsidR="006570DD" w:rsidRPr="00FD43BF">
        <w:rPr>
          <w:b/>
          <w:bCs/>
          <w:i/>
          <w:iCs/>
        </w:rPr>
        <w:t xml:space="preserve"> is the Rel. 15 common RE offset of all SRS resource symbols given in </w:t>
      </w:r>
      <w:r w:rsidR="006570DD" w:rsidRPr="00FD43BF">
        <w:rPr>
          <w:b/>
          <w:i/>
        </w:rPr>
        <w:t xml:space="preserve"> Clause 6.4.1.4.3 of 38.211 </w:t>
      </w:r>
    </w:p>
    <w:p w14:paraId="3BC339EE" w14:textId="77777777" w:rsidR="006570DD" w:rsidRPr="00FD43BF" w:rsidRDefault="008D7632" w:rsidP="006570DD">
      <w:pPr>
        <w:pStyle w:val="af"/>
        <w:numPr>
          <w:ilvl w:val="0"/>
          <w:numId w:val="55"/>
        </w:numPr>
        <w:ind w:leftChars="0"/>
        <w:rPr>
          <w:b/>
          <w:i/>
        </w:rPr>
      </w:pPr>
      <m:oMath>
        <m:d>
          <m:dPr>
            <m:begChr m:val="⌈"/>
            <m:endChr m:val="⌉"/>
            <m:ctrlPr>
              <w:rPr>
                <w:rFonts w:ascii="Cambria Math" w:hAnsi="Cambria Math"/>
                <w:b/>
                <w:i/>
              </w:rPr>
            </m:ctrlPr>
          </m:dPr>
          <m:e>
            <m:r>
              <m:rPr>
                <m:sty m:val="bi"/>
              </m:rPr>
              <w:rPr>
                <w:rFonts w:ascii="Cambria Math" w:hAnsi="Cambria Math"/>
              </w:rPr>
              <m:t>x</m:t>
            </m:r>
          </m:e>
        </m:d>
      </m:oMath>
      <w:r w:rsidR="006570DD" w:rsidRPr="00FD43BF">
        <w:rPr>
          <w:b/>
          <w:i/>
        </w:rPr>
        <w:t xml:space="preserve"> and </w:t>
      </w:r>
      <m:oMath>
        <m:d>
          <m:dPr>
            <m:begChr m:val="⌊"/>
            <m:endChr m:val="⌋"/>
            <m:ctrlPr>
              <w:rPr>
                <w:rFonts w:ascii="Cambria Math" w:hAnsi="Cambria Math"/>
                <w:b/>
                <w:i/>
              </w:rPr>
            </m:ctrlPr>
          </m:dPr>
          <m:e>
            <m:r>
              <m:rPr>
                <m:sty m:val="bi"/>
              </m:rPr>
              <w:rPr>
                <w:rFonts w:ascii="Cambria Math" w:hAnsi="Cambria Math"/>
              </w:rPr>
              <m:t>x</m:t>
            </m:r>
          </m:e>
        </m:d>
      </m:oMath>
      <w:r w:rsidR="006570DD" w:rsidRPr="00FD43BF">
        <w:rPr>
          <w:b/>
          <w:i/>
        </w:rPr>
        <w:t xml:space="preserve"> denote the smallest integer larger than or equal to </w:t>
      </w:r>
      <m:oMath>
        <m:r>
          <m:rPr>
            <m:sty m:val="bi"/>
          </m:rPr>
          <w:rPr>
            <w:rFonts w:ascii="Cambria Math" w:hAnsi="Cambria Math"/>
          </w:rPr>
          <m:t>x</m:t>
        </m:r>
      </m:oMath>
      <w:r w:rsidR="006570DD" w:rsidRPr="00FD43BF">
        <w:rPr>
          <w:b/>
          <w:i/>
        </w:rPr>
        <w:t xml:space="preserve"> and the largest integer smaller than or equal to </w:t>
      </w:r>
      <m:oMath>
        <m:r>
          <m:rPr>
            <m:sty m:val="bi"/>
          </m:rPr>
          <w:rPr>
            <w:rFonts w:ascii="Cambria Math" w:hAnsi="Cambria Math"/>
          </w:rPr>
          <m:t>x</m:t>
        </m:r>
      </m:oMath>
      <w:r w:rsidR="006570DD" w:rsidRPr="00FD43BF">
        <w:rPr>
          <w:b/>
          <w:i/>
        </w:rPr>
        <w:t>, respectively;</w:t>
      </w:r>
    </w:p>
    <w:p w14:paraId="4B9241C4" w14:textId="61DD4BCC" w:rsidR="006570DD" w:rsidRPr="00FD43BF" w:rsidRDefault="006570DD" w:rsidP="006570DD">
      <w:pPr>
        <w:pStyle w:val="af"/>
        <w:numPr>
          <w:ilvl w:val="0"/>
          <w:numId w:val="55"/>
        </w:numPr>
        <w:ind w:leftChars="0"/>
        <w:rPr>
          <w:b/>
          <w:i/>
        </w:rPr>
      </w:pPr>
      <m:oMath>
        <m:r>
          <m:rPr>
            <m:sty m:val="bi"/>
          </m:rPr>
          <w:rPr>
            <w:rFonts w:ascii="Cambria Math" w:hAnsi="Cambria Math"/>
          </w:rPr>
          <m:t xml:space="preserve">G </m:t>
        </m:r>
      </m:oMath>
      <w:r w:rsidRPr="00FD43BF">
        <w:rPr>
          <w:b/>
          <w:i/>
        </w:rPr>
        <w:t xml:space="preserve"> </w:t>
      </w:r>
      <m:oMath>
        <m:r>
          <m:rPr>
            <m:sty m:val="bi"/>
          </m:rPr>
          <w:rPr>
            <w:rFonts w:ascii="Cambria Math" w:hAnsi="Cambria Math"/>
          </w:rPr>
          <m:t>(1≤G≤</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m:t>
        </m:r>
      </m:oMath>
      <w:r w:rsidRPr="00FD43BF">
        <w:rPr>
          <w:b/>
          <w:i/>
        </w:rPr>
        <w:t xml:space="preserve"> is </w:t>
      </w:r>
      <w:r w:rsidR="001A3FD0">
        <w:rPr>
          <w:b/>
          <w:i/>
        </w:rPr>
        <w:t xml:space="preserve">the </w:t>
      </w:r>
      <w:r w:rsidRPr="00FD43BF">
        <w:rPr>
          <w:b/>
          <w:i/>
        </w:rPr>
        <w:t>configurable number of consecutive SRS symbols with the same RE offset</w:t>
      </w:r>
    </w:p>
    <w:p w14:paraId="44F1E208" w14:textId="77777777" w:rsidR="006570DD" w:rsidRPr="002B2F26" w:rsidRDefault="006570DD" w:rsidP="006570DD">
      <w:pPr>
        <w:rPr>
          <w:b/>
          <w:i/>
        </w:rPr>
      </w:pPr>
      <w:r w:rsidRPr="00FD43BF">
        <w:rPr>
          <w:b/>
          <w:i/>
        </w:rPr>
        <w:t>N</w:t>
      </w:r>
      <w:r w:rsidRPr="00FD43BF">
        <w:rPr>
          <w:b/>
          <w:bCs/>
          <w:i/>
          <w:iCs/>
        </w:rPr>
        <w:t xml:space="preserve">o other changes in the SRS resource mapping formulas in </w:t>
      </w:r>
      <w:r w:rsidRPr="00FD43BF">
        <w:rPr>
          <w:b/>
          <w:i/>
        </w:rPr>
        <w:t>Clause 6.4.1.4.3 of 38.211 is supported.</w:t>
      </w:r>
    </w:p>
    <w:p w14:paraId="06632C1E" w14:textId="77777777" w:rsidR="006570DD" w:rsidRDefault="006570DD" w:rsidP="006570DD">
      <w:pPr>
        <w:rPr>
          <w:rFonts w:eastAsia="Times New Roman"/>
          <w:b/>
          <w:i/>
          <w:lang w:val="en-GB"/>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5</w:t>
      </w:r>
      <w:r w:rsidRPr="006C5C3B">
        <w:rPr>
          <w:b/>
          <w:i/>
        </w:rPr>
        <w:fldChar w:fldCharType="end"/>
      </w:r>
      <w:r w:rsidRPr="006C5C3B">
        <w:rPr>
          <w:b/>
          <w:i/>
        </w:rPr>
        <w:t>:</w:t>
      </w:r>
      <w:r w:rsidRPr="000C40D9">
        <w:rPr>
          <w:b/>
          <w:i/>
        </w:rPr>
        <w:t xml:space="preserve"> </w:t>
      </w:r>
      <w:r w:rsidRPr="006858F9">
        <w:rPr>
          <w:b/>
          <w:i/>
        </w:rPr>
        <w:t xml:space="preserve">Support </w:t>
      </w:r>
      <w:r>
        <w:rPr>
          <w:b/>
          <w:i/>
        </w:rPr>
        <w:t xml:space="preserve">the </w:t>
      </w:r>
      <w:r w:rsidRPr="006858F9">
        <w:rPr>
          <w:b/>
          <w:i/>
        </w:rPr>
        <w:t xml:space="preserve">maximum number of cyclic shifts </w:t>
      </w:r>
      <m:oMath>
        <m:sSubSup>
          <m:sSubSupPr>
            <m:ctrlPr>
              <w:rPr>
                <w:rFonts w:ascii="Cambria Math" w:hAnsi="Cambria Math"/>
                <w:b/>
              </w:rPr>
            </m:ctrlPr>
          </m:sSubSupPr>
          <m:e>
            <m:r>
              <m:rPr>
                <m:sty m:val="bi"/>
              </m:rPr>
              <w:rPr>
                <w:rFonts w:ascii="Cambria Math" w:hAnsi="Cambria Math"/>
              </w:rPr>
              <m:t>n</m:t>
            </m:r>
          </m:e>
          <m:sub>
            <m:r>
              <m:rPr>
                <m:sty m:val="b"/>
              </m:rPr>
              <w:rPr>
                <w:rFonts w:ascii="Cambria Math" w:hAnsi="Cambria Math"/>
              </w:rPr>
              <m:t>SRS</m:t>
            </m:r>
          </m:sub>
          <m:sup>
            <m:r>
              <m:rPr>
                <m:sty m:val="b"/>
              </m:rPr>
              <w:rPr>
                <w:rFonts w:ascii="Cambria Math" w:hAnsi="Cambria Math"/>
              </w:rPr>
              <m:t>cs,max</m:t>
            </m:r>
          </m:sup>
        </m:sSubSup>
        <m:r>
          <m:rPr>
            <m:sty m:val="bi"/>
          </m:rPr>
          <w:rPr>
            <w:rFonts w:ascii="Cambria Math" w:hAnsi="Cambria Math"/>
          </w:rPr>
          <m:t xml:space="preserve">=6 </m:t>
        </m:r>
      </m:oMath>
      <w:r w:rsidRPr="006858F9">
        <w:rPr>
          <w:rFonts w:eastAsia="Times New Roman"/>
          <w:b/>
          <w:i/>
          <w:lang w:val="en-GB"/>
        </w:rPr>
        <w:t>for</w:t>
      </w:r>
      <w:r>
        <w:rPr>
          <w:rFonts w:eastAsia="Times New Roman"/>
          <w:b/>
          <w:i/>
          <w:lang w:val="en-GB"/>
        </w:rPr>
        <w:t xml:space="preserve"> the </w:t>
      </w:r>
      <w:r w:rsidRPr="006858F9">
        <w:rPr>
          <w:rFonts w:eastAsia="Times New Roman"/>
          <w:b/>
          <w:i/>
          <w:lang w:val="en-GB"/>
        </w:rPr>
        <w:t>transmission comb</w:t>
      </w:r>
      <w:r>
        <w:rPr>
          <w:rFonts w:eastAsia="Times New Roman"/>
          <w:b/>
          <w:i/>
          <w:lang w:val="en-GB"/>
        </w:rPr>
        <w:t xml:space="preserve"> number of</w:t>
      </w:r>
      <w:r w:rsidRPr="006858F9">
        <w:rPr>
          <w:rFonts w:eastAsia="Times New Roman"/>
          <w:b/>
          <w:i/>
          <w:lang w:val="en-GB"/>
        </w:rPr>
        <w:t xml:space="preserve"> </w:t>
      </w:r>
      <m:oMath>
        <m:sSub>
          <m:sSubPr>
            <m:ctrlPr>
              <w:rPr>
                <w:rFonts w:ascii="Cambria Math" w:hAnsi="Cambria Math"/>
                <w:b/>
                <w:i/>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=8</m:t>
        </m:r>
      </m:oMath>
      <w:r w:rsidRPr="006858F9">
        <w:rPr>
          <w:rFonts w:eastAsia="Times New Roman"/>
          <w:b/>
          <w:i/>
          <w:lang w:val="en-GB"/>
        </w:rPr>
        <w:t>.</w:t>
      </w:r>
    </w:p>
    <w:p w14:paraId="0C2C8DCF" w14:textId="77777777" w:rsidR="006570DD" w:rsidRDefault="006570DD" w:rsidP="006570DD">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6</w:t>
      </w:r>
      <w:r w:rsidRPr="006C5C3B">
        <w:rPr>
          <w:b/>
          <w:i/>
        </w:rPr>
        <w:fldChar w:fldCharType="end"/>
      </w:r>
      <w:r w:rsidRPr="006C5C3B">
        <w:rPr>
          <w:b/>
          <w:i/>
        </w:rPr>
        <w:t>:</w:t>
      </w:r>
      <w:r w:rsidRPr="000C40D9">
        <w:rPr>
          <w:b/>
          <w:i/>
        </w:rPr>
        <w:t xml:space="preserve"> </w:t>
      </w:r>
      <w:r>
        <w:rPr>
          <w:b/>
          <w:i/>
        </w:rPr>
        <w:t xml:space="preserve">Support phase hopping across symbols within an SRS resource. </w:t>
      </w:r>
    </w:p>
    <w:p w14:paraId="3E8AC19E" w14:textId="77777777" w:rsidR="006570DD" w:rsidRPr="00914EA4" w:rsidRDefault="006570DD" w:rsidP="006570DD">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7</w:t>
      </w:r>
      <w:r w:rsidRPr="006C5C3B">
        <w:rPr>
          <w:b/>
          <w:i/>
        </w:rPr>
        <w:fldChar w:fldCharType="end"/>
      </w:r>
      <w:r w:rsidRPr="006C5C3B">
        <w:rPr>
          <w:b/>
          <w:i/>
        </w:rPr>
        <w:t>:</w:t>
      </w:r>
      <w:r w:rsidRPr="000C40D9">
        <w:rPr>
          <w:b/>
          <w:i/>
        </w:rPr>
        <w:t xml:space="preserve"> </w:t>
      </w:r>
      <w:r>
        <w:rPr>
          <w:b/>
          <w:i/>
        </w:rPr>
        <w:t xml:space="preserve"> </w:t>
      </w:r>
      <w:r w:rsidRPr="00914EA4">
        <w:rPr>
          <w:b/>
          <w:i/>
        </w:rPr>
        <w:t xml:space="preserve">SRS for NR positioning is configured </w:t>
      </w:r>
      <w:r>
        <w:rPr>
          <w:b/>
          <w:i/>
        </w:rPr>
        <w:t xml:space="preserve">in RRC </w:t>
      </w:r>
      <w:r w:rsidRPr="00914EA4">
        <w:rPr>
          <w:b/>
          <w:i/>
        </w:rPr>
        <w:t>by the serving gNB.</w:t>
      </w:r>
    </w:p>
    <w:p w14:paraId="518AFA15" w14:textId="01B1AAA7" w:rsidR="006570DD" w:rsidRDefault="006570DD" w:rsidP="006570DD">
      <w:pPr>
        <w:rPr>
          <w:b/>
          <w:bCs/>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8</w:t>
      </w:r>
      <w:r w:rsidRPr="006C5C3B">
        <w:rPr>
          <w:b/>
          <w:i/>
        </w:rPr>
        <w:fldChar w:fldCharType="end"/>
      </w:r>
      <w:r w:rsidRPr="006C5C3B">
        <w:rPr>
          <w:b/>
          <w:i/>
        </w:rPr>
        <w:t>:</w:t>
      </w:r>
      <w:r w:rsidRPr="000C40D9">
        <w:rPr>
          <w:b/>
          <w:i/>
        </w:rPr>
        <w:t xml:space="preserve"> </w:t>
      </w:r>
      <w:r>
        <w:rPr>
          <w:b/>
          <w:bCs/>
          <w:i/>
        </w:rPr>
        <w:t>Support reuse of Rel-15 SRS for NR positioning in addition to any enhanced SRS</w:t>
      </w:r>
      <w:r w:rsidR="00B07E10">
        <w:rPr>
          <w:b/>
          <w:bCs/>
          <w:i/>
        </w:rPr>
        <w:t xml:space="preserve"> in Rel. 16</w:t>
      </w:r>
      <w:r>
        <w:rPr>
          <w:b/>
          <w:bCs/>
          <w:i/>
        </w:rPr>
        <w:t>.</w:t>
      </w:r>
    </w:p>
    <w:p w14:paraId="5BA8DBA8" w14:textId="77777777" w:rsidR="006570DD" w:rsidRDefault="006570DD" w:rsidP="006570DD">
      <w:pPr>
        <w:pStyle w:val="af"/>
        <w:numPr>
          <w:ilvl w:val="0"/>
          <w:numId w:val="54"/>
        </w:numPr>
        <w:ind w:leftChars="0"/>
        <w:rPr>
          <w:b/>
          <w:i/>
        </w:rPr>
      </w:pPr>
      <w:r>
        <w:rPr>
          <w:b/>
          <w:i/>
        </w:rPr>
        <w:t>There is no RAN1 impact.</w:t>
      </w:r>
    </w:p>
    <w:p w14:paraId="77FFA8AD" w14:textId="77777777" w:rsidR="006570DD" w:rsidRDefault="006570DD" w:rsidP="006570DD">
      <w:pPr>
        <w:pStyle w:val="af"/>
        <w:numPr>
          <w:ilvl w:val="0"/>
          <w:numId w:val="54"/>
        </w:numPr>
        <w:ind w:leftChars="0"/>
        <w:rPr>
          <w:b/>
          <w:i/>
        </w:rPr>
      </w:pPr>
      <w:r w:rsidRPr="00E325FC">
        <w:rPr>
          <w:b/>
          <w:i/>
        </w:rPr>
        <w:lastRenderedPageBreak/>
        <w:t>Send an LS to RAN2 and RAN3.</w:t>
      </w:r>
    </w:p>
    <w:p w14:paraId="2720E695" w14:textId="77777777" w:rsidR="006570DD" w:rsidRDefault="006570DD" w:rsidP="006570DD">
      <w:pPr>
        <w:rPr>
          <w:b/>
          <w:i/>
        </w:rPr>
      </w:pPr>
    </w:p>
    <w:p w14:paraId="7FE5B337" w14:textId="77777777" w:rsidR="006570DD" w:rsidRPr="00512AD2" w:rsidRDefault="006570DD" w:rsidP="006570DD">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9</w:t>
      </w:r>
      <w:r w:rsidRPr="006C5C3B">
        <w:rPr>
          <w:b/>
          <w:i/>
        </w:rPr>
        <w:fldChar w:fldCharType="end"/>
      </w:r>
      <w:r w:rsidRPr="006C5C3B">
        <w:rPr>
          <w:b/>
          <w:i/>
        </w:rPr>
        <w:t>:</w:t>
      </w:r>
      <w:r w:rsidRPr="000C40D9">
        <w:rPr>
          <w:b/>
          <w:i/>
        </w:rPr>
        <w:t xml:space="preserve"> </w:t>
      </w:r>
      <w:r w:rsidRPr="00B95709">
        <w:rPr>
          <w:b/>
          <w:i/>
        </w:rPr>
        <w:t>For positioning purposes, in addition to SSB, support configuring</w:t>
      </w:r>
      <w:r w:rsidRPr="00512AD2">
        <w:rPr>
          <w:b/>
          <w:i/>
        </w:rPr>
        <w:t xml:space="preserve"> CSI-RS and DL-PRS </w:t>
      </w:r>
      <w:r>
        <w:rPr>
          <w:b/>
          <w:i/>
        </w:rPr>
        <w:t>from</w:t>
      </w:r>
      <w:r w:rsidRPr="00B95709">
        <w:rPr>
          <w:b/>
          <w:i/>
        </w:rPr>
        <w:t xml:space="preserve"> the serving and </w:t>
      </w:r>
      <w:r w:rsidRPr="00512AD2">
        <w:rPr>
          <w:b/>
          <w:i/>
        </w:rPr>
        <w:t>the neighboring cells as a spatialRelationInfo RS.</w:t>
      </w:r>
    </w:p>
    <w:p w14:paraId="2A194961" w14:textId="77777777" w:rsidR="006570DD" w:rsidRPr="000F6DD2" w:rsidRDefault="006570DD" w:rsidP="006570DD">
      <w:pPr>
        <w:pStyle w:val="af"/>
        <w:numPr>
          <w:ilvl w:val="0"/>
          <w:numId w:val="38"/>
        </w:numPr>
        <w:ind w:leftChars="0"/>
        <w:rPr>
          <w:b/>
          <w:i/>
        </w:rPr>
      </w:pPr>
      <w:r w:rsidRPr="000F6DD2">
        <w:rPr>
          <w:b/>
          <w:i/>
        </w:rPr>
        <w:t xml:space="preserve">Send </w:t>
      </w:r>
      <w:r w:rsidRPr="001B2783">
        <w:rPr>
          <w:b/>
          <w:i/>
        </w:rPr>
        <w:t>this agreement</w:t>
      </w:r>
      <w:r w:rsidRPr="00B95709">
        <w:rPr>
          <w:b/>
          <w:i/>
        </w:rPr>
        <w:t xml:space="preserve"> </w:t>
      </w:r>
      <w:r>
        <w:rPr>
          <w:b/>
          <w:i/>
        </w:rPr>
        <w:t xml:space="preserve">in </w:t>
      </w:r>
      <w:r w:rsidRPr="000F6DD2">
        <w:rPr>
          <w:b/>
          <w:i/>
        </w:rPr>
        <w:t xml:space="preserve">an LS to RAN2. </w:t>
      </w:r>
    </w:p>
    <w:p w14:paraId="11E3E3B9" w14:textId="77777777" w:rsidR="006570DD" w:rsidRPr="008757CA" w:rsidRDefault="006570DD" w:rsidP="008757CA">
      <w:pPr>
        <w:rPr>
          <w:b/>
          <w:i/>
        </w:rPr>
      </w:pPr>
    </w:p>
    <w:p w14:paraId="3780FFA6" w14:textId="77777777" w:rsidR="006570DD" w:rsidRDefault="006570DD" w:rsidP="006570DD">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10</w:t>
      </w:r>
      <w:r w:rsidRPr="006C5C3B">
        <w:rPr>
          <w:b/>
          <w:i/>
        </w:rPr>
        <w:fldChar w:fldCharType="end"/>
      </w:r>
      <w:r w:rsidRPr="006C5C3B">
        <w:rPr>
          <w:b/>
          <w:i/>
        </w:rPr>
        <w:t>:</w:t>
      </w:r>
      <w:r w:rsidRPr="000C40D9">
        <w:rPr>
          <w:b/>
          <w:i/>
        </w:rPr>
        <w:t xml:space="preserve"> </w:t>
      </w:r>
      <w:r w:rsidRPr="00CF332F">
        <w:rPr>
          <w:b/>
          <w:i/>
        </w:rPr>
        <w:t xml:space="preserve">spatialRelationInfo RS </w:t>
      </w:r>
      <w:r>
        <w:rPr>
          <w:b/>
          <w:i/>
        </w:rPr>
        <w:t xml:space="preserve">is configured in RRC and the </w:t>
      </w:r>
      <w:r w:rsidRPr="00CF332F">
        <w:rPr>
          <w:b/>
          <w:i/>
        </w:rPr>
        <w:t xml:space="preserve">spatialRelationInfo RS </w:t>
      </w:r>
      <w:r>
        <w:rPr>
          <w:b/>
          <w:i/>
        </w:rPr>
        <w:t>configuration</w:t>
      </w:r>
      <w:r w:rsidRPr="00CF332F">
        <w:rPr>
          <w:b/>
          <w:i/>
        </w:rPr>
        <w:t xml:space="preserve"> at least includes </w:t>
      </w:r>
      <w:r>
        <w:rPr>
          <w:b/>
          <w:i/>
        </w:rPr>
        <w:t>the DL reference signal</w:t>
      </w:r>
      <w:r w:rsidRPr="00CF332F">
        <w:rPr>
          <w:b/>
          <w:i/>
        </w:rPr>
        <w:t xml:space="preserve"> </w:t>
      </w:r>
      <w:r>
        <w:rPr>
          <w:b/>
          <w:i/>
        </w:rPr>
        <w:t xml:space="preserve">(SSB, CSI-RS, or DL-PRS) resource </w:t>
      </w:r>
      <w:r w:rsidRPr="00CF332F">
        <w:rPr>
          <w:b/>
          <w:i/>
        </w:rPr>
        <w:t xml:space="preserve">ID and the Cell ID of the </w:t>
      </w:r>
      <w:r>
        <w:rPr>
          <w:b/>
          <w:i/>
        </w:rPr>
        <w:t>transmitting</w:t>
      </w:r>
      <w:r w:rsidRPr="00CF332F">
        <w:rPr>
          <w:b/>
          <w:i/>
        </w:rPr>
        <w:t xml:space="preserve"> serving/neighboring cell.</w:t>
      </w:r>
    </w:p>
    <w:p w14:paraId="6ADC4564" w14:textId="77777777" w:rsidR="006570DD" w:rsidRDefault="006570DD" w:rsidP="006570DD">
      <w:pPr>
        <w:pStyle w:val="af"/>
        <w:numPr>
          <w:ilvl w:val="0"/>
          <w:numId w:val="38"/>
        </w:numPr>
        <w:ind w:leftChars="0"/>
        <w:rPr>
          <w:b/>
          <w:i/>
        </w:rPr>
      </w:pPr>
      <w:r>
        <w:rPr>
          <w:b/>
          <w:i/>
        </w:rPr>
        <w:t xml:space="preserve">FFS: Other required parameters to configure a DL reference signal from neighbouring cells as a </w:t>
      </w:r>
      <w:r w:rsidRPr="00CF332F">
        <w:rPr>
          <w:b/>
          <w:i/>
        </w:rPr>
        <w:t>spatialRelationInfo RS</w:t>
      </w:r>
      <w:r>
        <w:rPr>
          <w:b/>
          <w:i/>
        </w:rPr>
        <w:t>.</w:t>
      </w:r>
      <w:r w:rsidRPr="00CF332F" w:rsidDel="00FD6E40">
        <w:rPr>
          <w:b/>
          <w:i/>
        </w:rPr>
        <w:t xml:space="preserve"> </w:t>
      </w:r>
    </w:p>
    <w:p w14:paraId="1F5EEF1D" w14:textId="77777777" w:rsidR="006570DD" w:rsidRDefault="006570DD" w:rsidP="006570DD">
      <w:pPr>
        <w:pStyle w:val="af"/>
        <w:numPr>
          <w:ilvl w:val="0"/>
          <w:numId w:val="38"/>
        </w:numPr>
        <w:ind w:leftChars="0"/>
        <w:rPr>
          <w:b/>
          <w:i/>
        </w:rPr>
      </w:pPr>
      <w:r w:rsidRPr="00B95709">
        <w:rPr>
          <w:b/>
          <w:i/>
        </w:rPr>
        <w:t xml:space="preserve">Send this agreement in an LS to RAN2. </w:t>
      </w:r>
    </w:p>
    <w:p w14:paraId="0E9C46AD" w14:textId="77777777" w:rsidR="004871C0" w:rsidRDefault="004871C0" w:rsidP="008757CA">
      <w:pPr>
        <w:rPr>
          <w:lang w:val="en-GB"/>
        </w:rPr>
      </w:pPr>
    </w:p>
    <w:p w14:paraId="2C46CB13" w14:textId="77777777" w:rsidR="006765F3" w:rsidRPr="00B57A2A"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11</w:t>
      </w:r>
      <w:r w:rsidRPr="006C5C3B">
        <w:rPr>
          <w:b/>
          <w:i/>
        </w:rPr>
        <w:fldChar w:fldCharType="end"/>
      </w:r>
      <w:r w:rsidRPr="006C5C3B">
        <w:rPr>
          <w:b/>
          <w:i/>
        </w:rPr>
        <w:t>:</w:t>
      </w:r>
      <w:r w:rsidRPr="000C40D9">
        <w:rPr>
          <w:b/>
          <w:i/>
        </w:rPr>
        <w:t xml:space="preserve"> </w:t>
      </w:r>
      <w:r w:rsidRPr="00B57A2A">
        <w:rPr>
          <w:b/>
          <w:i/>
        </w:rPr>
        <w:t xml:space="preserve">If a spatialRelationInfo RS is configured but not detected, UE uses </w:t>
      </w:r>
      <w:r>
        <w:rPr>
          <w:b/>
          <w:i/>
        </w:rPr>
        <w:t>the following</w:t>
      </w:r>
      <w:r w:rsidRPr="00B57A2A">
        <w:rPr>
          <w:b/>
          <w:i/>
        </w:rPr>
        <w:t xml:space="preserve"> as a </w:t>
      </w:r>
      <w:r>
        <w:rPr>
          <w:b/>
          <w:i/>
        </w:rPr>
        <w:t xml:space="preserve">substitute </w:t>
      </w:r>
      <w:r w:rsidRPr="00B57A2A">
        <w:rPr>
          <w:b/>
          <w:i/>
        </w:rPr>
        <w:t>spatialRelationInfo RS</w:t>
      </w:r>
      <w:r>
        <w:rPr>
          <w:b/>
          <w:i/>
        </w:rPr>
        <w:t>:</w:t>
      </w:r>
      <w:r w:rsidRPr="00B57A2A">
        <w:rPr>
          <w:b/>
          <w:i/>
        </w:rPr>
        <w:t xml:space="preserve"> </w:t>
      </w:r>
    </w:p>
    <w:p w14:paraId="32E95738" w14:textId="77777777" w:rsidR="006765F3" w:rsidRPr="00B57A2A" w:rsidRDefault="006765F3" w:rsidP="006765F3">
      <w:pPr>
        <w:pStyle w:val="af"/>
        <w:numPr>
          <w:ilvl w:val="0"/>
          <w:numId w:val="21"/>
        </w:numPr>
        <w:ind w:leftChars="0"/>
        <w:rPr>
          <w:b/>
          <w:i/>
        </w:rPr>
      </w:pPr>
      <w:r w:rsidRPr="00B57A2A">
        <w:rPr>
          <w:b/>
          <w:i/>
        </w:rPr>
        <w:t xml:space="preserve">If the cell </w:t>
      </w:r>
      <w:r>
        <w:rPr>
          <w:b/>
          <w:i/>
        </w:rPr>
        <w:t xml:space="preserve">that transmits the </w:t>
      </w:r>
      <w:r w:rsidRPr="00B57A2A">
        <w:rPr>
          <w:b/>
          <w:i/>
        </w:rPr>
        <w:t xml:space="preserve">spatialRelationInfo RS is a serving cell, the substitute spatialRelationInfo </w:t>
      </w:r>
      <w:r>
        <w:rPr>
          <w:b/>
          <w:i/>
        </w:rPr>
        <w:t>RS</w:t>
      </w:r>
      <w:r w:rsidRPr="00B57A2A">
        <w:rPr>
          <w:b/>
          <w:i/>
        </w:rPr>
        <w:t xml:space="preserve"> is the SSB </w:t>
      </w:r>
      <w:r>
        <w:rPr>
          <w:b/>
          <w:i/>
        </w:rPr>
        <w:t>used</w:t>
      </w:r>
      <w:r w:rsidRPr="00B57A2A">
        <w:rPr>
          <w:b/>
          <w:i/>
        </w:rPr>
        <w:t xml:space="preserve"> to obtain MIB.</w:t>
      </w:r>
    </w:p>
    <w:p w14:paraId="3CC3C57A" w14:textId="77777777" w:rsidR="006765F3" w:rsidRPr="000F6DD2" w:rsidRDefault="006765F3" w:rsidP="006765F3">
      <w:pPr>
        <w:pStyle w:val="af"/>
        <w:numPr>
          <w:ilvl w:val="0"/>
          <w:numId w:val="21"/>
        </w:numPr>
        <w:ind w:leftChars="0"/>
      </w:pPr>
      <w:r w:rsidRPr="00B57A2A">
        <w:rPr>
          <w:b/>
          <w:i/>
        </w:rPr>
        <w:t xml:space="preserve">If the cell </w:t>
      </w:r>
      <w:r>
        <w:rPr>
          <w:b/>
          <w:i/>
        </w:rPr>
        <w:t xml:space="preserve">that transmits the </w:t>
      </w:r>
      <w:r w:rsidRPr="00B57A2A">
        <w:rPr>
          <w:b/>
          <w:i/>
        </w:rPr>
        <w:t>spatialRelationInfo</w:t>
      </w:r>
      <w:r w:rsidRPr="00B57A2A" w:rsidDel="002A753B">
        <w:rPr>
          <w:b/>
          <w:i/>
        </w:rPr>
        <w:t xml:space="preserve"> </w:t>
      </w:r>
      <w:r>
        <w:rPr>
          <w:b/>
          <w:i/>
        </w:rPr>
        <w:t>RS is</w:t>
      </w:r>
      <w:r w:rsidRPr="00B57A2A">
        <w:rPr>
          <w:b/>
          <w:i/>
        </w:rPr>
        <w:t xml:space="preserve"> a neighboring cell, the substitute spatialRelationInfo </w:t>
      </w:r>
      <w:r>
        <w:rPr>
          <w:b/>
          <w:i/>
        </w:rPr>
        <w:t>RS</w:t>
      </w:r>
      <w:r w:rsidRPr="00B57A2A">
        <w:rPr>
          <w:b/>
          <w:i/>
        </w:rPr>
        <w:t xml:space="preserve"> is </w:t>
      </w:r>
      <w:r>
        <w:rPr>
          <w:b/>
          <w:i/>
        </w:rPr>
        <w:t>the detected</w:t>
      </w:r>
      <w:r w:rsidRPr="00B57A2A">
        <w:rPr>
          <w:b/>
          <w:i/>
        </w:rPr>
        <w:t xml:space="preserve"> SSB </w:t>
      </w:r>
      <w:r>
        <w:rPr>
          <w:b/>
          <w:i/>
        </w:rPr>
        <w:t xml:space="preserve">from that cell </w:t>
      </w:r>
      <w:r w:rsidRPr="00B57A2A">
        <w:rPr>
          <w:b/>
          <w:i/>
        </w:rPr>
        <w:t xml:space="preserve">with the highest RSRP. </w:t>
      </w:r>
    </w:p>
    <w:p w14:paraId="370E9613" w14:textId="77777777" w:rsidR="006765F3" w:rsidRDefault="006765F3" w:rsidP="008757CA">
      <w:pPr>
        <w:rPr>
          <w:lang w:val="en-GB"/>
        </w:rPr>
      </w:pPr>
    </w:p>
    <w:p w14:paraId="476BD87C" w14:textId="694B4089" w:rsidR="006765F3"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12</w:t>
      </w:r>
      <w:r w:rsidRPr="006C5C3B">
        <w:rPr>
          <w:b/>
          <w:i/>
        </w:rPr>
        <w:fldChar w:fldCharType="end"/>
      </w:r>
      <w:r w:rsidRPr="006C5C3B">
        <w:rPr>
          <w:b/>
          <w:i/>
        </w:rPr>
        <w:t>:</w:t>
      </w:r>
      <w:r w:rsidRPr="000C40D9">
        <w:rPr>
          <w:b/>
          <w:i/>
        </w:rPr>
        <w:t xml:space="preserve"> </w:t>
      </w:r>
      <w:r w:rsidR="009F5ACB">
        <w:rPr>
          <w:b/>
          <w:i/>
        </w:rPr>
        <w:t>F</w:t>
      </w:r>
      <w:r w:rsidR="009F5ACB" w:rsidRPr="001B2783">
        <w:rPr>
          <w:b/>
          <w:i/>
        </w:rPr>
        <w:t>or positioning purposes</w:t>
      </w:r>
      <w:r w:rsidR="009F5ACB">
        <w:rPr>
          <w:b/>
          <w:i/>
        </w:rPr>
        <w:t>, s</w:t>
      </w:r>
      <w:r w:rsidRPr="001B2783">
        <w:rPr>
          <w:b/>
          <w:i/>
        </w:rPr>
        <w:t xml:space="preserve">upport configuring CSI-RS </w:t>
      </w:r>
      <w:r>
        <w:rPr>
          <w:b/>
          <w:i/>
        </w:rPr>
        <w:t>from</w:t>
      </w:r>
      <w:r w:rsidRPr="001B2783">
        <w:rPr>
          <w:b/>
          <w:i/>
        </w:rPr>
        <w:t xml:space="preserve"> the serving and the neighboring </w:t>
      </w:r>
      <w:r w:rsidRPr="00B95709">
        <w:rPr>
          <w:b/>
          <w:i/>
        </w:rPr>
        <w:t xml:space="preserve">cells as a </w:t>
      </w:r>
      <w:r w:rsidRPr="000F6DD2">
        <w:rPr>
          <w:b/>
          <w:i/>
        </w:rPr>
        <w:t>pathlossReferenceRS</w:t>
      </w:r>
      <w:r w:rsidRPr="00B95709">
        <w:rPr>
          <w:b/>
          <w:i/>
        </w:rPr>
        <w:t>.</w:t>
      </w:r>
    </w:p>
    <w:p w14:paraId="0F5CEE28" w14:textId="77777777" w:rsidR="006765F3" w:rsidRPr="001B2783" w:rsidRDefault="006765F3" w:rsidP="006765F3">
      <w:pPr>
        <w:pStyle w:val="af"/>
        <w:numPr>
          <w:ilvl w:val="0"/>
          <w:numId w:val="38"/>
        </w:numPr>
        <w:ind w:leftChars="0"/>
        <w:rPr>
          <w:b/>
          <w:i/>
        </w:rPr>
      </w:pPr>
      <w:r w:rsidRPr="001B2783">
        <w:rPr>
          <w:b/>
          <w:i/>
        </w:rPr>
        <w:t xml:space="preserve">Send this agreement </w:t>
      </w:r>
      <w:r>
        <w:rPr>
          <w:b/>
          <w:i/>
        </w:rPr>
        <w:t xml:space="preserve">in </w:t>
      </w:r>
      <w:r w:rsidRPr="001B2783">
        <w:rPr>
          <w:b/>
          <w:i/>
        </w:rPr>
        <w:t xml:space="preserve">an LS to RAN2. </w:t>
      </w:r>
    </w:p>
    <w:p w14:paraId="5A03CC30" w14:textId="77777777" w:rsidR="006765F3" w:rsidRDefault="006765F3" w:rsidP="008757CA">
      <w:pPr>
        <w:rPr>
          <w:lang w:val="en-GB"/>
        </w:rPr>
      </w:pPr>
    </w:p>
    <w:p w14:paraId="0ED2F0C3" w14:textId="77777777" w:rsidR="006765F3" w:rsidRPr="00621A10"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13</w:t>
      </w:r>
      <w:r w:rsidRPr="006C5C3B">
        <w:rPr>
          <w:b/>
          <w:i/>
        </w:rPr>
        <w:fldChar w:fldCharType="end"/>
      </w:r>
      <w:r w:rsidRPr="006C5C3B">
        <w:rPr>
          <w:b/>
          <w:i/>
        </w:rPr>
        <w:t>:</w:t>
      </w:r>
      <w:r w:rsidRPr="000C40D9">
        <w:rPr>
          <w:b/>
          <w:i/>
        </w:rPr>
        <w:t xml:space="preserve"> </w:t>
      </w:r>
      <w:r w:rsidRPr="000F6DD2">
        <w:rPr>
          <w:b/>
          <w:i/>
        </w:rPr>
        <w:t>pathlossReferenceRS</w:t>
      </w:r>
      <w:r w:rsidRPr="00B95709">
        <w:rPr>
          <w:b/>
          <w:i/>
        </w:rPr>
        <w:t xml:space="preserve"> is configured in RRC and the </w:t>
      </w:r>
      <w:r w:rsidRPr="000F6DD2">
        <w:rPr>
          <w:b/>
          <w:i/>
        </w:rPr>
        <w:t>pathlossReferenceRS</w:t>
      </w:r>
      <w:r w:rsidRPr="00B95709">
        <w:rPr>
          <w:b/>
          <w:i/>
        </w:rPr>
        <w:t xml:space="preserve"> configuration at least includes the DL reference signal (SSB</w:t>
      </w:r>
      <w:r>
        <w:rPr>
          <w:b/>
          <w:i/>
        </w:rPr>
        <w:t>, DL-PRS</w:t>
      </w:r>
      <w:r w:rsidRPr="00621A10">
        <w:rPr>
          <w:b/>
          <w:i/>
        </w:rPr>
        <w:t xml:space="preserve"> or CSI-RS) resource ID and the Cell ID of the transmitting serving/neighboring cell.</w:t>
      </w:r>
    </w:p>
    <w:p w14:paraId="4D6B16D8" w14:textId="77777777" w:rsidR="006765F3" w:rsidRPr="00B95709" w:rsidRDefault="006765F3" w:rsidP="006765F3">
      <w:pPr>
        <w:pStyle w:val="af"/>
        <w:numPr>
          <w:ilvl w:val="0"/>
          <w:numId w:val="38"/>
        </w:numPr>
        <w:ind w:leftChars="0"/>
        <w:rPr>
          <w:b/>
          <w:i/>
        </w:rPr>
      </w:pPr>
      <w:r w:rsidRPr="00621A10">
        <w:rPr>
          <w:b/>
          <w:i/>
        </w:rPr>
        <w:t xml:space="preserve">FFS: Other required parameters to configure a DL reference signal from neighbouring cells as a </w:t>
      </w:r>
      <w:r w:rsidRPr="000F6DD2">
        <w:rPr>
          <w:b/>
          <w:i/>
        </w:rPr>
        <w:t>pathlossReferenceRS</w:t>
      </w:r>
      <w:r w:rsidRPr="00B95709">
        <w:rPr>
          <w:b/>
          <w:i/>
        </w:rPr>
        <w:t>.</w:t>
      </w:r>
      <w:r w:rsidRPr="00B95709" w:rsidDel="00FD6E40">
        <w:rPr>
          <w:b/>
          <w:i/>
        </w:rPr>
        <w:t xml:space="preserve"> </w:t>
      </w:r>
    </w:p>
    <w:p w14:paraId="20584A8A" w14:textId="77777777" w:rsidR="006765F3" w:rsidRPr="00621A10" w:rsidRDefault="006765F3" w:rsidP="006765F3">
      <w:pPr>
        <w:pStyle w:val="af"/>
        <w:numPr>
          <w:ilvl w:val="0"/>
          <w:numId w:val="38"/>
        </w:numPr>
        <w:ind w:leftChars="0"/>
        <w:rPr>
          <w:b/>
          <w:i/>
        </w:rPr>
      </w:pPr>
      <w:r w:rsidRPr="00621A10">
        <w:rPr>
          <w:b/>
          <w:i/>
        </w:rPr>
        <w:t xml:space="preserve">Send this agreement in an LS to RAN2. </w:t>
      </w:r>
    </w:p>
    <w:p w14:paraId="24E97DA2" w14:textId="77777777" w:rsidR="006765F3" w:rsidRDefault="006765F3" w:rsidP="008757CA">
      <w:pPr>
        <w:rPr>
          <w:lang w:val="en-GB"/>
        </w:rPr>
      </w:pPr>
    </w:p>
    <w:p w14:paraId="202F3481" w14:textId="77777777" w:rsidR="006765F3" w:rsidRPr="003C6FCB"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14</w:t>
      </w:r>
      <w:r w:rsidRPr="006C5C3B">
        <w:rPr>
          <w:b/>
          <w:i/>
        </w:rPr>
        <w:fldChar w:fldCharType="end"/>
      </w:r>
      <w:r w:rsidRPr="006C5C3B">
        <w:rPr>
          <w:b/>
          <w:i/>
        </w:rPr>
        <w:t>:</w:t>
      </w:r>
      <w:r w:rsidRPr="000C40D9">
        <w:rPr>
          <w:b/>
          <w:i/>
        </w:rPr>
        <w:t xml:space="preserve"> </w:t>
      </w:r>
      <w:r w:rsidRPr="003C6FCB">
        <w:rPr>
          <w:b/>
          <w:i/>
        </w:rPr>
        <w:t xml:space="preserve">If a pathlossReferenceRS is not configured or is configured but not detected, UE uses the following detected SSB from the </w:t>
      </w:r>
      <w:r>
        <w:rPr>
          <w:b/>
          <w:i/>
        </w:rPr>
        <w:t>target</w:t>
      </w:r>
      <w:r w:rsidRPr="003C6FCB">
        <w:rPr>
          <w:b/>
          <w:i/>
        </w:rPr>
        <w:t xml:space="preserve"> cell as pathlossReferenceRS: </w:t>
      </w:r>
    </w:p>
    <w:p w14:paraId="4DFE09A3" w14:textId="77777777" w:rsidR="006765F3" w:rsidRPr="003C6FCB" w:rsidRDefault="006765F3" w:rsidP="006765F3">
      <w:pPr>
        <w:pStyle w:val="af"/>
        <w:numPr>
          <w:ilvl w:val="0"/>
          <w:numId w:val="21"/>
        </w:numPr>
        <w:ind w:leftChars="0"/>
        <w:rPr>
          <w:b/>
          <w:i/>
        </w:rPr>
      </w:pPr>
      <w:r w:rsidRPr="003C6FCB">
        <w:rPr>
          <w:b/>
          <w:i/>
        </w:rPr>
        <w:t xml:space="preserve">If the </w:t>
      </w:r>
      <w:r>
        <w:rPr>
          <w:b/>
          <w:i/>
        </w:rPr>
        <w:t>target</w:t>
      </w:r>
      <w:r w:rsidRPr="003C6FCB">
        <w:rPr>
          <w:b/>
          <w:i/>
        </w:rPr>
        <w:t xml:space="preserve"> cell is a serving cell, the substitute pathlossReferenceRS is the SSB used to obtain MIB (Rel. 15 behavior).</w:t>
      </w:r>
    </w:p>
    <w:p w14:paraId="25C484B6" w14:textId="77777777" w:rsidR="006765F3" w:rsidRDefault="006765F3" w:rsidP="006765F3">
      <w:pPr>
        <w:pStyle w:val="af"/>
        <w:numPr>
          <w:ilvl w:val="0"/>
          <w:numId w:val="21"/>
        </w:numPr>
        <w:ind w:leftChars="0"/>
        <w:rPr>
          <w:b/>
          <w:i/>
        </w:rPr>
      </w:pPr>
      <w:r w:rsidRPr="003C6FCB">
        <w:rPr>
          <w:b/>
          <w:i/>
        </w:rPr>
        <w:t xml:space="preserve">If the </w:t>
      </w:r>
      <w:r>
        <w:rPr>
          <w:b/>
          <w:i/>
        </w:rPr>
        <w:t>target</w:t>
      </w:r>
      <w:r w:rsidRPr="003C6FCB">
        <w:rPr>
          <w:b/>
          <w:i/>
        </w:rPr>
        <w:t xml:space="preserve"> cell is a neighboring cell</w:t>
      </w:r>
      <w:r>
        <w:rPr>
          <w:b/>
          <w:i/>
        </w:rPr>
        <w:t>,</w:t>
      </w:r>
      <w:r w:rsidRPr="003C6FCB">
        <w:rPr>
          <w:b/>
          <w:i/>
        </w:rPr>
        <w:t xml:space="preserve"> the substitute pathlossReferenceRS is the SSB with the highest RSRP. </w:t>
      </w:r>
    </w:p>
    <w:p w14:paraId="74C23413" w14:textId="77777777" w:rsidR="006765F3" w:rsidRPr="00B426C8"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15</w:t>
      </w:r>
      <w:r w:rsidRPr="006C5C3B">
        <w:rPr>
          <w:b/>
          <w:i/>
        </w:rPr>
        <w:fldChar w:fldCharType="end"/>
      </w:r>
      <w:r w:rsidRPr="006C5C3B">
        <w:rPr>
          <w:b/>
          <w:i/>
        </w:rPr>
        <w:t>:</w:t>
      </w:r>
      <w:r w:rsidRPr="000C40D9">
        <w:rPr>
          <w:b/>
          <w:i/>
        </w:rPr>
        <w:t xml:space="preserve"> </w:t>
      </w:r>
      <w:r>
        <w:rPr>
          <w:b/>
          <w:i/>
        </w:rPr>
        <w:t>For positioning purposes, s</w:t>
      </w:r>
      <w:r w:rsidRPr="00B426C8">
        <w:rPr>
          <w:b/>
          <w:i/>
        </w:rPr>
        <w:t xml:space="preserve">upport </w:t>
      </w:r>
      <w:r>
        <w:rPr>
          <w:b/>
          <w:i/>
        </w:rPr>
        <w:t xml:space="preserve">configuring </w:t>
      </w:r>
      <w:r w:rsidRPr="00B426C8">
        <w:rPr>
          <w:b/>
          <w:i/>
        </w:rPr>
        <w:t xml:space="preserve">a binary field to enable/disable </w:t>
      </w:r>
      <w:r>
        <w:rPr>
          <w:b/>
          <w:i/>
        </w:rPr>
        <w:t xml:space="preserve">the </w:t>
      </w:r>
      <w:r w:rsidRPr="00B426C8">
        <w:rPr>
          <w:b/>
          <w:i/>
        </w:rPr>
        <w:t xml:space="preserve">closed loop </w:t>
      </w:r>
      <w:r>
        <w:rPr>
          <w:b/>
          <w:i/>
        </w:rPr>
        <w:t xml:space="preserve">SRS </w:t>
      </w:r>
      <w:r w:rsidRPr="00B426C8">
        <w:rPr>
          <w:b/>
          <w:i/>
        </w:rPr>
        <w:t xml:space="preserve">power control mechanism indicated </w:t>
      </w:r>
      <w:r>
        <w:rPr>
          <w:b/>
          <w:i/>
        </w:rPr>
        <w:t>by</w:t>
      </w:r>
      <w:r w:rsidRPr="00B426C8">
        <w:rPr>
          <w:b/>
          <w:i/>
        </w:rPr>
        <w:t xml:space="preserve"> PowerControlAdjustmentStates.</w:t>
      </w:r>
    </w:p>
    <w:p w14:paraId="5954B5D6" w14:textId="77777777" w:rsidR="006765F3" w:rsidRPr="008757CA" w:rsidRDefault="006765F3" w:rsidP="006765F3">
      <w:pPr>
        <w:pStyle w:val="af"/>
        <w:numPr>
          <w:ilvl w:val="0"/>
          <w:numId w:val="24"/>
        </w:numPr>
        <w:ind w:leftChars="0"/>
      </w:pPr>
      <w:r w:rsidRPr="00676658">
        <w:rPr>
          <w:b/>
          <w:i/>
        </w:rPr>
        <w:t xml:space="preserve">FFS: Binary indicator is configured in DCI or RRC.  </w:t>
      </w:r>
    </w:p>
    <w:p w14:paraId="5E76966B" w14:textId="77777777" w:rsidR="006765F3" w:rsidRDefault="006765F3" w:rsidP="008757CA"/>
    <w:p w14:paraId="35E4870E" w14:textId="77777777" w:rsidR="006765F3"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16</w:t>
      </w:r>
      <w:r w:rsidRPr="006C5C3B">
        <w:rPr>
          <w:b/>
          <w:i/>
        </w:rPr>
        <w:fldChar w:fldCharType="end"/>
      </w:r>
      <w:r w:rsidRPr="006C5C3B">
        <w:rPr>
          <w:b/>
          <w:i/>
        </w:rPr>
        <w:t>:</w:t>
      </w:r>
      <w:r w:rsidRPr="000C40D9">
        <w:rPr>
          <w:b/>
          <w:i/>
        </w:rPr>
        <w:t xml:space="preserve"> </w:t>
      </w:r>
      <w:r w:rsidRPr="000F6DD2">
        <w:rPr>
          <w:b/>
          <w:i/>
          <w:iCs/>
          <w:color w:val="000000"/>
          <w:kern w:val="24"/>
          <w:lang w:val="en-GB"/>
        </w:rPr>
        <w:t xml:space="preserve">For positioning purposes, when </w:t>
      </w:r>
      <w:r w:rsidRPr="000D54DB">
        <w:rPr>
          <w:b/>
          <w:i/>
        </w:rPr>
        <w:t xml:space="preserve">the closed loop SRS power control is enabled and the target cell of SRS is a neighboring cell, </w:t>
      </w:r>
      <w:r w:rsidRPr="000F6DD2">
        <w:rPr>
          <w:b/>
          <w:i/>
        </w:rPr>
        <w:t>PowerControlAdjustmentStates is set to separateClosedLoop.</w:t>
      </w:r>
    </w:p>
    <w:p w14:paraId="58417552" w14:textId="77777777" w:rsidR="006765F3" w:rsidRPr="00A6519F"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17</w:t>
      </w:r>
      <w:r w:rsidRPr="006C5C3B">
        <w:rPr>
          <w:b/>
          <w:i/>
        </w:rPr>
        <w:fldChar w:fldCharType="end"/>
      </w:r>
      <w:r w:rsidRPr="006C5C3B">
        <w:rPr>
          <w:b/>
          <w:i/>
        </w:rPr>
        <w:t>:</w:t>
      </w:r>
      <w:r w:rsidRPr="000C40D9">
        <w:rPr>
          <w:b/>
          <w:i/>
        </w:rPr>
        <w:t xml:space="preserve"> </w:t>
      </w:r>
      <w:r w:rsidRPr="00A6519F">
        <w:rPr>
          <w:b/>
          <w:i/>
        </w:rPr>
        <w:t xml:space="preserve">Increase the maximum number of configured SRS resource sets </w:t>
      </w:r>
      <w:r>
        <w:rPr>
          <w:b/>
          <w:i/>
        </w:rPr>
        <w:t>in a</w:t>
      </w:r>
      <w:r w:rsidRPr="00A6519F">
        <w:rPr>
          <w:b/>
          <w:i/>
        </w:rPr>
        <w:t xml:space="preserve"> BWP from 16 to N&gt;= </w:t>
      </w:r>
      <w:r>
        <w:rPr>
          <w:b/>
          <w:i/>
        </w:rPr>
        <w:t>32</w:t>
      </w:r>
      <w:r w:rsidRPr="00A6519F">
        <w:rPr>
          <w:b/>
          <w:i/>
        </w:rPr>
        <w:t>.</w:t>
      </w:r>
    </w:p>
    <w:p w14:paraId="623E9D35" w14:textId="77777777" w:rsidR="006765F3" w:rsidRDefault="006765F3" w:rsidP="006765F3">
      <w:pPr>
        <w:pStyle w:val="af"/>
        <w:numPr>
          <w:ilvl w:val="0"/>
          <w:numId w:val="22"/>
        </w:numPr>
        <w:ind w:leftChars="0"/>
      </w:pPr>
      <w:r w:rsidRPr="00A6519F">
        <w:rPr>
          <w:b/>
          <w:i/>
        </w:rPr>
        <w:t>FFS: N</w:t>
      </w:r>
    </w:p>
    <w:p w14:paraId="7D516033" w14:textId="77777777" w:rsidR="006765F3" w:rsidRDefault="006765F3" w:rsidP="008757CA"/>
    <w:p w14:paraId="283436AC" w14:textId="77777777" w:rsidR="006765F3"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18</w:t>
      </w:r>
      <w:r w:rsidRPr="006C5C3B">
        <w:rPr>
          <w:b/>
          <w:i/>
        </w:rPr>
        <w:fldChar w:fldCharType="end"/>
      </w:r>
      <w:r w:rsidRPr="006C5C3B">
        <w:rPr>
          <w:b/>
          <w:i/>
        </w:rPr>
        <w:t>:</w:t>
      </w:r>
      <w:r w:rsidRPr="000C40D9">
        <w:rPr>
          <w:b/>
          <w:i/>
        </w:rPr>
        <w:t xml:space="preserve"> </w:t>
      </w:r>
      <w:r>
        <w:rPr>
          <w:b/>
          <w:i/>
        </w:rPr>
        <w:t>Support SRS “</w:t>
      </w:r>
      <w:r w:rsidRPr="00052B1B">
        <w:rPr>
          <w:b/>
          <w:i/>
        </w:rPr>
        <w:t>positioning</w:t>
      </w:r>
      <w:r>
        <w:rPr>
          <w:b/>
          <w:i/>
        </w:rPr>
        <w:t>”</w:t>
      </w:r>
      <w:r w:rsidRPr="00052B1B">
        <w:rPr>
          <w:b/>
          <w:i/>
        </w:rPr>
        <w:t xml:space="preserve"> usage.</w:t>
      </w:r>
    </w:p>
    <w:p w14:paraId="1922BA52" w14:textId="77777777" w:rsidR="006765F3" w:rsidRDefault="006765F3" w:rsidP="006765F3">
      <w:r w:rsidRPr="006C5C3B">
        <w:rPr>
          <w:b/>
          <w:i/>
        </w:rPr>
        <w:lastRenderedPageBreak/>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19</w:t>
      </w:r>
      <w:r w:rsidRPr="006C5C3B">
        <w:rPr>
          <w:b/>
          <w:i/>
        </w:rPr>
        <w:fldChar w:fldCharType="end"/>
      </w:r>
      <w:r w:rsidRPr="006C5C3B">
        <w:rPr>
          <w:b/>
          <w:i/>
        </w:rPr>
        <w:t>:</w:t>
      </w:r>
      <w:r w:rsidRPr="000C40D9">
        <w:rPr>
          <w:b/>
          <w:i/>
        </w:rPr>
        <w:t xml:space="preserve"> </w:t>
      </w:r>
      <w:r w:rsidRPr="00CD2DB1">
        <w:rPr>
          <w:b/>
          <w:i/>
        </w:rPr>
        <w:t>Increase the bit width of the parameter sequenceId of the SRS resource configuration</w:t>
      </w:r>
      <w:r w:rsidRPr="00CD2DB1" w:rsidDel="00A26F5B">
        <w:rPr>
          <w:b/>
          <w:i/>
        </w:rPr>
        <w:t xml:space="preserve"> </w:t>
      </w:r>
      <w:r w:rsidRPr="00CD2DB1">
        <w:rPr>
          <w:b/>
          <w:i/>
        </w:rPr>
        <w:t xml:space="preserve">to </w:t>
      </w:r>
      <w:r>
        <w:rPr>
          <w:b/>
          <w:i/>
        </w:rPr>
        <w:t>16</w:t>
      </w:r>
      <w:r w:rsidRPr="00CD2DB1">
        <w:rPr>
          <w:b/>
          <w:i/>
        </w:rPr>
        <w:t xml:space="preserve"> bits.</w:t>
      </w:r>
      <w:r w:rsidDel="004B3097">
        <w:t xml:space="preserve"> </w:t>
      </w:r>
    </w:p>
    <w:p w14:paraId="4FAAB195" w14:textId="77777777" w:rsidR="006765F3" w:rsidRPr="00000892"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20</w:t>
      </w:r>
      <w:r w:rsidRPr="006C5C3B">
        <w:rPr>
          <w:b/>
          <w:i/>
        </w:rPr>
        <w:fldChar w:fldCharType="end"/>
      </w:r>
      <w:r w:rsidRPr="006C5C3B">
        <w:rPr>
          <w:b/>
          <w:i/>
        </w:rPr>
        <w:t>:</w:t>
      </w:r>
      <w:r w:rsidRPr="000C40D9">
        <w:rPr>
          <w:b/>
          <w:i/>
        </w:rPr>
        <w:t xml:space="preserve"> </w:t>
      </w:r>
      <w:r>
        <w:rPr>
          <w:b/>
          <w:i/>
        </w:rPr>
        <w:t>T</w:t>
      </w:r>
      <w:r w:rsidRPr="00000892">
        <w:rPr>
          <w:b/>
          <w:i/>
        </w:rPr>
        <w:t xml:space="preserve">he configuration of SRS for positioning per UL BWP </w:t>
      </w:r>
      <w:r>
        <w:rPr>
          <w:b/>
          <w:i/>
        </w:rPr>
        <w:t>follows the</w:t>
      </w:r>
      <w:r w:rsidRPr="00000892">
        <w:rPr>
          <w:b/>
          <w:i/>
        </w:rPr>
        <w:t xml:space="preserve"> Rel. 15 NR</w:t>
      </w:r>
      <w:r>
        <w:rPr>
          <w:b/>
          <w:i/>
        </w:rPr>
        <w:t xml:space="preserve"> specification</w:t>
      </w:r>
      <w:r w:rsidRPr="00000892">
        <w:rPr>
          <w:b/>
          <w:i/>
        </w:rPr>
        <w:t xml:space="preserve">. </w:t>
      </w:r>
    </w:p>
    <w:p w14:paraId="626B8C6D" w14:textId="77777777" w:rsidR="006765F3" w:rsidRDefault="006765F3" w:rsidP="006765F3">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21</w:t>
      </w:r>
      <w:r w:rsidRPr="006C5C3B">
        <w:rPr>
          <w:b/>
          <w:i/>
        </w:rPr>
        <w:fldChar w:fldCharType="end"/>
      </w:r>
      <w:r w:rsidRPr="006C5C3B">
        <w:rPr>
          <w:b/>
          <w:i/>
        </w:rPr>
        <w:t>:</w:t>
      </w:r>
      <w:r w:rsidRPr="000C40D9">
        <w:rPr>
          <w:b/>
          <w:i/>
        </w:rPr>
        <w:t xml:space="preserve"> </w:t>
      </w:r>
      <w:r>
        <w:rPr>
          <w:b/>
          <w:i/>
        </w:rPr>
        <w:t>For positioning, the</w:t>
      </w:r>
      <w:r w:rsidRPr="00000892">
        <w:rPr>
          <w:b/>
          <w:i/>
        </w:rPr>
        <w:t xml:space="preserve"> SRS transmission in the active UL BWP of an active cell and SRS carrier switching </w:t>
      </w:r>
      <w:r>
        <w:rPr>
          <w:b/>
          <w:i/>
        </w:rPr>
        <w:t>feature follow the</w:t>
      </w:r>
      <w:r w:rsidRPr="00000892">
        <w:rPr>
          <w:b/>
          <w:i/>
        </w:rPr>
        <w:t xml:space="preserve"> Rel. 15 NR</w:t>
      </w:r>
      <w:r>
        <w:rPr>
          <w:b/>
          <w:i/>
        </w:rPr>
        <w:t xml:space="preserve"> specification</w:t>
      </w:r>
      <w:r w:rsidRPr="00000892">
        <w:rPr>
          <w:b/>
          <w:i/>
        </w:rPr>
        <w:t>.</w:t>
      </w:r>
    </w:p>
    <w:p w14:paraId="5D3873B1" w14:textId="353561B1" w:rsidR="006765F3" w:rsidRDefault="006765F3" w:rsidP="008757CA">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22</w:t>
      </w:r>
      <w:r w:rsidRPr="006C5C3B">
        <w:rPr>
          <w:b/>
          <w:i/>
        </w:rPr>
        <w:fldChar w:fldCharType="end"/>
      </w:r>
      <w:r w:rsidRPr="006C5C3B">
        <w:rPr>
          <w:b/>
          <w:i/>
        </w:rPr>
        <w:t>:</w:t>
      </w:r>
      <w:r w:rsidRPr="000C40D9">
        <w:rPr>
          <w:b/>
          <w:i/>
        </w:rPr>
        <w:t xml:space="preserve"> </w:t>
      </w:r>
      <w:r>
        <w:rPr>
          <w:b/>
          <w:bCs/>
          <w:i/>
          <w:iCs/>
        </w:rPr>
        <w:t xml:space="preserve">Aperiodic SRS for positioning is </w:t>
      </w:r>
      <w:r w:rsidRPr="0025015C">
        <w:rPr>
          <w:b/>
          <w:bCs/>
          <w:i/>
          <w:iCs/>
        </w:rPr>
        <w:t xml:space="preserve">only </w:t>
      </w:r>
      <w:r w:rsidRPr="00BA072A">
        <w:rPr>
          <w:b/>
          <w:bCs/>
          <w:i/>
          <w:iCs/>
        </w:rPr>
        <w:t xml:space="preserve">sent to </w:t>
      </w:r>
      <w:r w:rsidRPr="0025015C">
        <w:rPr>
          <w:b/>
          <w:bCs/>
          <w:i/>
          <w:iCs/>
        </w:rPr>
        <w:t xml:space="preserve">the </w:t>
      </w:r>
      <w:r>
        <w:rPr>
          <w:b/>
          <w:bCs/>
          <w:i/>
          <w:iCs/>
        </w:rPr>
        <w:t>serving gNB(s)</w:t>
      </w:r>
      <w:r w:rsidRPr="003707A4">
        <w:rPr>
          <w:b/>
          <w:i/>
        </w:rPr>
        <w:t xml:space="preserve">. </w:t>
      </w:r>
    </w:p>
    <w:p w14:paraId="1E389439" w14:textId="77777777" w:rsidR="008757CA" w:rsidRPr="008757CA" w:rsidRDefault="008757CA" w:rsidP="008757CA">
      <w:pPr>
        <w:rPr>
          <w:lang w:val="en-GB"/>
        </w:rPr>
      </w:pPr>
    </w:p>
    <w:p w14:paraId="34841D88" w14:textId="77777777" w:rsidR="001D780E" w:rsidRDefault="001D780E" w:rsidP="00CF195E">
      <w:pPr>
        <w:pStyle w:val="1"/>
        <w:numPr>
          <w:ilvl w:val="0"/>
          <w:numId w:val="0"/>
        </w:numPr>
        <w:ind w:left="432" w:hanging="432"/>
      </w:pPr>
      <w:bookmarkStart w:id="19" w:name="_Ref124589665"/>
      <w:bookmarkStart w:id="20" w:name="_Ref71620620"/>
      <w:bookmarkStart w:id="21" w:name="_Ref124671424"/>
      <w:r w:rsidRPr="00CF195E">
        <w:t>References</w:t>
      </w:r>
    </w:p>
    <w:p w14:paraId="2F5D39E1" w14:textId="2D82579C" w:rsidR="002B0D89" w:rsidRPr="00E325FC" w:rsidRDefault="002B0D89" w:rsidP="00E325FC">
      <w:pPr>
        <w:pStyle w:val="af"/>
        <w:numPr>
          <w:ilvl w:val="0"/>
          <w:numId w:val="12"/>
        </w:numPr>
        <w:wordWrap w:val="0"/>
        <w:autoSpaceDE w:val="0"/>
        <w:autoSpaceDN w:val="0"/>
        <w:adjustRightInd w:val="0"/>
        <w:snapToGrid w:val="0"/>
        <w:spacing w:after="120"/>
        <w:ind w:leftChars="0" w:left="794" w:right="442" w:hanging="505"/>
        <w:contextualSpacing/>
        <w:jc w:val="both"/>
        <w:rPr>
          <w:rFonts w:ascii="Times New Roman" w:hAnsi="Times New Roman"/>
          <w:szCs w:val="20"/>
        </w:rPr>
      </w:pPr>
      <w:bookmarkStart w:id="22" w:name="_Ref16354660"/>
      <w:bookmarkStart w:id="23" w:name="_Ref6934323"/>
      <w:bookmarkStart w:id="24" w:name="_Ref6936063"/>
      <w:r w:rsidRPr="00E325FC">
        <w:rPr>
          <w:rFonts w:ascii="Times New Roman" w:hAnsi="Times New Roman"/>
          <w:szCs w:val="20"/>
        </w:rPr>
        <w:t>R1-</w:t>
      </w:r>
      <w:r w:rsidR="00223600" w:rsidRPr="00E325FC">
        <w:rPr>
          <w:rFonts w:ascii="Times New Roman" w:hAnsi="Times New Roman"/>
          <w:szCs w:val="20"/>
        </w:rPr>
        <w:t>19</w:t>
      </w:r>
      <w:r w:rsidR="00223600">
        <w:rPr>
          <w:rFonts w:ascii="Times New Roman" w:hAnsi="Times New Roman"/>
          <w:szCs w:val="20"/>
        </w:rPr>
        <w:t>10036</w:t>
      </w:r>
      <w:r w:rsidRPr="00E325FC">
        <w:rPr>
          <w:rFonts w:ascii="Times New Roman" w:hAnsi="Times New Roman"/>
          <w:szCs w:val="20"/>
        </w:rPr>
        <w:t>, “Physical layer procedure for NR positioning”, Huawei, HiSilicon, RAN1#98</w:t>
      </w:r>
      <w:r w:rsidR="002837A1" w:rsidRPr="00E325FC">
        <w:rPr>
          <w:rFonts w:ascii="Times New Roman" w:hAnsi="Times New Roman"/>
          <w:szCs w:val="20"/>
        </w:rPr>
        <w:t>bis</w:t>
      </w:r>
      <w:r w:rsidRPr="00E325FC">
        <w:rPr>
          <w:rFonts w:ascii="Times New Roman" w:hAnsi="Times New Roman"/>
          <w:szCs w:val="20"/>
        </w:rPr>
        <w:t xml:space="preserve">, </w:t>
      </w:r>
      <w:bookmarkEnd w:id="22"/>
      <w:r w:rsidR="002837A1" w:rsidRPr="00E325FC">
        <w:rPr>
          <w:rFonts w:ascii="Times New Roman" w:hAnsi="Times New Roman"/>
          <w:szCs w:val="20"/>
        </w:rPr>
        <w:t xml:space="preserve">Chongqing, China, Oct. 14th – </w:t>
      </w:r>
      <w:r w:rsidR="002D5E05">
        <w:rPr>
          <w:rFonts w:ascii="Times New Roman" w:hAnsi="Times New Roman"/>
          <w:szCs w:val="20"/>
        </w:rPr>
        <w:t>20</w:t>
      </w:r>
      <w:r w:rsidR="002D5E05" w:rsidRPr="00E325FC">
        <w:rPr>
          <w:rFonts w:ascii="Times New Roman" w:hAnsi="Times New Roman"/>
          <w:szCs w:val="20"/>
        </w:rPr>
        <w:t>th</w:t>
      </w:r>
      <w:r w:rsidR="002837A1" w:rsidRPr="00E325FC">
        <w:rPr>
          <w:rFonts w:ascii="Times New Roman" w:hAnsi="Times New Roman"/>
          <w:szCs w:val="20"/>
        </w:rPr>
        <w:t>, 2019</w:t>
      </w:r>
    </w:p>
    <w:p w14:paraId="735C4A59" w14:textId="26823439" w:rsidR="009577FE" w:rsidRPr="00E325FC" w:rsidRDefault="009577FE" w:rsidP="00C83E06">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b/>
          <w:szCs w:val="20"/>
          <w:lang w:eastAsia="zh-CN"/>
        </w:rPr>
      </w:pPr>
      <w:bookmarkStart w:id="25" w:name="_Ref16354773"/>
      <w:r w:rsidRPr="00E325FC">
        <w:rPr>
          <w:rFonts w:ascii="Times New Roman" w:hAnsi="Times New Roman"/>
          <w:szCs w:val="20"/>
        </w:rPr>
        <w:t>3GPP RAN1, Chairman's Notes RAN1 97, Reno, USA, May 13</w:t>
      </w:r>
      <w:r w:rsidR="00267914" w:rsidRPr="00E325FC">
        <w:rPr>
          <w:rFonts w:ascii="Times New Roman" w:hAnsi="Times New Roman"/>
          <w:szCs w:val="20"/>
        </w:rPr>
        <w:t>-17</w:t>
      </w:r>
      <w:r w:rsidRPr="00E325FC">
        <w:rPr>
          <w:rFonts w:ascii="Times New Roman" w:hAnsi="Times New Roman"/>
          <w:szCs w:val="20"/>
        </w:rPr>
        <w:t>, 2019.</w:t>
      </w:r>
      <w:bookmarkEnd w:id="23"/>
      <w:bookmarkEnd w:id="25"/>
      <w:r w:rsidRPr="00E325FC">
        <w:rPr>
          <w:rFonts w:ascii="Times New Roman" w:hAnsi="Times New Roman"/>
          <w:szCs w:val="20"/>
        </w:rPr>
        <w:t xml:space="preserve"> </w:t>
      </w:r>
    </w:p>
    <w:p w14:paraId="3EE1AE34" w14:textId="77777777" w:rsidR="00A26B4B" w:rsidRPr="00E325FC" w:rsidRDefault="00A26B4B" w:rsidP="00A26B4B">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b/>
          <w:szCs w:val="20"/>
          <w:lang w:eastAsia="zh-CN"/>
        </w:rPr>
      </w:pPr>
      <w:bookmarkStart w:id="26" w:name="_Ref16357091"/>
      <w:r w:rsidRPr="00E325FC">
        <w:rPr>
          <w:rFonts w:ascii="Times New Roman" w:hAnsi="Times New Roman"/>
          <w:szCs w:val="20"/>
        </w:rPr>
        <w:t>3GPP TS 38.211, “Physical channels and modulation”.</w:t>
      </w:r>
      <w:bookmarkEnd w:id="26"/>
    </w:p>
    <w:p w14:paraId="5EA13E47" w14:textId="43E5E42D" w:rsidR="00E97EB6" w:rsidRPr="00E325FC" w:rsidRDefault="00E97EB6">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b/>
          <w:szCs w:val="20"/>
          <w:lang w:eastAsia="zh-CN"/>
        </w:rPr>
      </w:pPr>
      <w:bookmarkStart w:id="27" w:name="_Ref16333711"/>
      <w:r w:rsidRPr="00E325FC">
        <w:rPr>
          <w:rFonts w:ascii="Times New Roman" w:hAnsi="Times New Roman"/>
          <w:szCs w:val="20"/>
        </w:rPr>
        <w:t>3GPP TS 38.213, “</w:t>
      </w:r>
      <w:r w:rsidRPr="002B3F62">
        <w:rPr>
          <w:szCs w:val="20"/>
        </w:rPr>
        <w:t>Physical layer procedures for control</w:t>
      </w:r>
      <w:r w:rsidRPr="00E325FC">
        <w:rPr>
          <w:rFonts w:ascii="Times New Roman" w:hAnsi="Times New Roman"/>
          <w:szCs w:val="20"/>
        </w:rPr>
        <w:t>”.</w:t>
      </w:r>
      <w:bookmarkEnd w:id="27"/>
    </w:p>
    <w:p w14:paraId="369D2B93" w14:textId="77777777" w:rsidR="009577FE" w:rsidRPr="00E325FC" w:rsidRDefault="009577FE" w:rsidP="009577FE">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b/>
          <w:szCs w:val="20"/>
          <w:lang w:eastAsia="zh-CN"/>
        </w:rPr>
      </w:pPr>
      <w:bookmarkStart w:id="28" w:name="_Ref14964164"/>
      <w:r w:rsidRPr="00E325FC">
        <w:rPr>
          <w:rFonts w:ascii="Times New Roman" w:hAnsi="Times New Roman"/>
          <w:szCs w:val="20"/>
        </w:rPr>
        <w:t>3GPP RAN1, Chairman's Notes RAN1 96b, Xi’an, China, April 8-12, 2019.</w:t>
      </w:r>
      <w:bookmarkEnd w:id="28"/>
      <w:r w:rsidRPr="00E325FC">
        <w:rPr>
          <w:rFonts w:ascii="Times New Roman" w:hAnsi="Times New Roman"/>
          <w:szCs w:val="20"/>
        </w:rPr>
        <w:t xml:space="preserve"> </w:t>
      </w:r>
    </w:p>
    <w:p w14:paraId="7CC0DE9D" w14:textId="77777777" w:rsidR="000D54DB" w:rsidRPr="00E325FC" w:rsidRDefault="000D54DB" w:rsidP="000D54DB">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Cs w:val="20"/>
        </w:rPr>
      </w:pPr>
      <w:bookmarkStart w:id="29" w:name="_Ref16359291"/>
      <w:r w:rsidRPr="00E325FC">
        <w:rPr>
          <w:rFonts w:ascii="Times New Roman" w:hAnsi="Times New Roman"/>
          <w:szCs w:val="20"/>
        </w:rPr>
        <w:t>3GPP TS 38.214, “Physical layer procedures for data”.</w:t>
      </w:r>
      <w:bookmarkEnd w:id="29"/>
      <w:r w:rsidRPr="00E325FC">
        <w:rPr>
          <w:rFonts w:ascii="Times New Roman" w:hAnsi="Times New Roman"/>
          <w:szCs w:val="20"/>
        </w:rPr>
        <w:t xml:space="preserve"> </w:t>
      </w:r>
    </w:p>
    <w:p w14:paraId="0E2935B5" w14:textId="77777777" w:rsidR="000D54DB" w:rsidRPr="00E325FC" w:rsidRDefault="000D54DB" w:rsidP="000D54DB">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Cs w:val="20"/>
        </w:rPr>
      </w:pPr>
      <w:bookmarkStart w:id="30" w:name="_Ref16359293"/>
      <w:r w:rsidRPr="00E325FC">
        <w:rPr>
          <w:rFonts w:ascii="Times New Roman" w:hAnsi="Times New Roman"/>
          <w:szCs w:val="20"/>
        </w:rPr>
        <w:t>3GPP TS 38.331, “Radio Resource Control (RRC) protocol specification”.</w:t>
      </w:r>
      <w:bookmarkEnd w:id="30"/>
    </w:p>
    <w:p w14:paraId="55F12549" w14:textId="77777777" w:rsidR="00F70785" w:rsidRPr="00E325FC" w:rsidRDefault="00F70785" w:rsidP="00F70785">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Cs w:val="20"/>
        </w:rPr>
      </w:pPr>
      <w:bookmarkStart w:id="31" w:name="_Ref16360757"/>
      <w:r w:rsidRPr="00E325FC">
        <w:rPr>
          <w:rFonts w:ascii="Times New Roman" w:hAnsi="Times New Roman"/>
          <w:szCs w:val="20"/>
        </w:rPr>
        <w:t xml:space="preserve">3GPP TS 36.305, “Evolved Universal Terrestrial Radio Access Network (E-UTRAN); </w:t>
      </w:r>
      <w:r w:rsidRPr="002B3F62">
        <w:rPr>
          <w:szCs w:val="20"/>
        </w:rPr>
        <w:t>Stage</w:t>
      </w:r>
      <w:r w:rsidRPr="00E325FC">
        <w:rPr>
          <w:rFonts w:ascii="Times New Roman" w:hAnsi="Times New Roman"/>
          <w:szCs w:val="20"/>
        </w:rPr>
        <w:t xml:space="preserve"> 2 functional specification of User Equipment (UE) positioning in E-UTRAN.</w:t>
      </w:r>
      <w:bookmarkEnd w:id="31"/>
    </w:p>
    <w:p w14:paraId="29D536F6" w14:textId="55DFE6D7" w:rsidR="002837A1" w:rsidRPr="00E325FC" w:rsidRDefault="002837A1" w:rsidP="002837A1">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b/>
          <w:szCs w:val="20"/>
          <w:lang w:eastAsia="zh-CN"/>
        </w:rPr>
      </w:pPr>
      <w:bookmarkStart w:id="32" w:name="_Ref19525676"/>
      <w:r w:rsidRPr="00E325FC">
        <w:rPr>
          <w:rFonts w:ascii="Times New Roman" w:hAnsi="Times New Roman"/>
          <w:szCs w:val="20"/>
        </w:rPr>
        <w:t xml:space="preserve">3GPP RAN1, Chairman's Notes RAN1 98, </w:t>
      </w:r>
      <w:r w:rsidR="00085D54" w:rsidRPr="00E325FC">
        <w:rPr>
          <w:rFonts w:ascii="Times New Roman" w:hAnsi="Times New Roman"/>
          <w:szCs w:val="20"/>
        </w:rPr>
        <w:t>Prague, Czech Republic, August 26 – 30, 2019.</w:t>
      </w:r>
      <w:bookmarkEnd w:id="32"/>
    </w:p>
    <w:p w14:paraId="46D5E677" w14:textId="5DA36859" w:rsidR="006D708D" w:rsidRPr="006D708D" w:rsidRDefault="006D708D" w:rsidP="00E325FC">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Cs w:val="20"/>
        </w:rPr>
      </w:pPr>
      <w:bookmarkStart w:id="33" w:name="_Ref19974930"/>
      <w:r>
        <w:rPr>
          <w:rFonts w:ascii="Times New Roman" w:hAnsi="Times New Roman"/>
          <w:szCs w:val="20"/>
        </w:rPr>
        <w:t xml:space="preserve">3GPP </w:t>
      </w:r>
      <w:r w:rsidRPr="006D708D">
        <w:rPr>
          <w:rFonts w:ascii="Times New Roman" w:hAnsi="Times New Roman"/>
          <w:szCs w:val="20"/>
        </w:rPr>
        <w:t>TR 38.855, Study on NR positioning support.</w:t>
      </w:r>
      <w:bookmarkEnd w:id="33"/>
    </w:p>
    <w:p w14:paraId="19D7C3AE" w14:textId="77777777" w:rsidR="00236C42" w:rsidRDefault="00236C42" w:rsidP="00E325FC">
      <w:pPr>
        <w:wordWrap w:val="0"/>
        <w:ind w:right="440"/>
        <w:contextualSpacing/>
      </w:pPr>
      <w:bookmarkStart w:id="34" w:name="_Ref4512097"/>
      <w:bookmarkEnd w:id="24"/>
    </w:p>
    <w:p w14:paraId="420EAAE9" w14:textId="17CE0949" w:rsidR="00E4091D" w:rsidRDefault="00E4091D" w:rsidP="00BA072A">
      <w:pPr>
        <w:pStyle w:val="1"/>
        <w:numPr>
          <w:ilvl w:val="0"/>
          <w:numId w:val="0"/>
        </w:numPr>
        <w:ind w:left="432" w:hanging="432"/>
      </w:pPr>
      <w:r>
        <w:t>Appendix</w:t>
      </w:r>
    </w:p>
    <w:p w14:paraId="47BF7A92" w14:textId="56AAD637" w:rsidR="00E4091D" w:rsidRDefault="00E4091D" w:rsidP="00BA072A">
      <w:r>
        <w:t xml:space="preserve">The procedures in LTE to enable </w:t>
      </w:r>
      <w:r w:rsidR="00253F6B">
        <w:t>neighboring</w:t>
      </w:r>
      <w:r>
        <w:t xml:space="preserve"> eNB to receive SRS, including uplink information request procedure and uplink positioning information update procedure, are given by </w:t>
      </w:r>
      <w:r w:rsidR="00503BCC">
        <w:t xml:space="preserve">Figure </w:t>
      </w:r>
      <w:r w:rsidR="00503BCC">
        <w:rPr>
          <w:noProof/>
        </w:rPr>
        <w:t>5</w:t>
      </w:r>
      <w:r>
        <w:t xml:space="preserve"> and </w:t>
      </w:r>
      <w:r w:rsidR="00503BCC">
        <w:t xml:space="preserve">Figure </w:t>
      </w:r>
      <w:r w:rsidR="00503BCC">
        <w:rPr>
          <w:noProof/>
        </w:rPr>
        <w:t>6</w:t>
      </w:r>
      <w:r>
        <w:t>, respectively.</w:t>
      </w:r>
    </w:p>
    <w:p w14:paraId="65AE282C" w14:textId="7062831A" w:rsidR="00E4091D" w:rsidRDefault="00E4091D" w:rsidP="00BA072A">
      <w:r>
        <w:t xml:space="preserve">For periodic SRS, a single message would trigger LMU to receive multiple SRS occasions given by the higher layer parameter </w:t>
      </w:r>
      <w:r w:rsidRPr="00D6698F">
        <w:rPr>
          <w:i/>
        </w:rPr>
        <w:t>number of transmissions</w:t>
      </w:r>
      <w:r>
        <w:t>.</w:t>
      </w:r>
    </w:p>
    <w:p w14:paraId="526A12CE" w14:textId="77777777" w:rsidR="00E4091D" w:rsidRPr="00D6698F" w:rsidRDefault="00E4091D" w:rsidP="00E4091D">
      <w:pPr>
        <w:rPr>
          <w:lang w:eastAsia="zh-CN"/>
        </w:rPr>
      </w:pPr>
    </w:p>
    <w:p w14:paraId="4A603E8E" w14:textId="3DA8682D" w:rsidR="00E4091D" w:rsidRDefault="00C07682" w:rsidP="00E4091D">
      <w:pPr>
        <w:keepNext/>
        <w:jc w:val="center"/>
      </w:pPr>
      <w:r>
        <w:pict w14:anchorId="20B793A8">
          <v:shape id="_x0000_i1047" type="#_x0000_t75" style="width:275.95pt;height:240.15pt">
            <v:imagedata r:id="rId53" o:title=""/>
          </v:shape>
        </w:pict>
      </w:r>
    </w:p>
    <w:p w14:paraId="694C9FA1" w14:textId="6B29C8D6" w:rsidR="00E4091D" w:rsidRDefault="00E4091D" w:rsidP="00E4091D">
      <w:pPr>
        <w:pStyle w:val="a5"/>
      </w:pPr>
      <w:bookmarkStart w:id="35" w:name="_Ref7160192"/>
      <w:r>
        <w:t xml:space="preserve">Figure </w:t>
      </w:r>
      <w:r w:rsidR="00503BCC">
        <w:rPr>
          <w:noProof/>
        </w:rPr>
        <w:t>5</w:t>
      </w:r>
      <w:bookmarkEnd w:id="35"/>
      <w:r>
        <w:t xml:space="preserve"> </w:t>
      </w:r>
      <w:r w:rsidRPr="00B47950">
        <w:t>Uplink information request procedure</w:t>
      </w:r>
    </w:p>
    <w:p w14:paraId="3B94DFB8" w14:textId="7009344A" w:rsidR="00E4091D" w:rsidRDefault="00C07682" w:rsidP="00E4091D">
      <w:pPr>
        <w:keepNext/>
        <w:jc w:val="center"/>
      </w:pPr>
      <w:r>
        <w:rPr>
          <w:b/>
        </w:rPr>
        <w:lastRenderedPageBreak/>
        <w:pict w14:anchorId="67EFA7E7">
          <v:shape id="_x0000_i1048" type="#_x0000_t75" style="width:304.1pt;height:88.5pt">
            <v:imagedata r:id="rId54" o:title=""/>
          </v:shape>
        </w:pict>
      </w:r>
    </w:p>
    <w:p w14:paraId="595775D3" w14:textId="794F9768" w:rsidR="00E4091D" w:rsidRPr="0074285C" w:rsidRDefault="00E4091D" w:rsidP="00E4091D">
      <w:pPr>
        <w:pStyle w:val="a5"/>
      </w:pPr>
      <w:bookmarkStart w:id="36" w:name="_Ref7160628"/>
      <w:r>
        <w:t xml:space="preserve">Figure </w:t>
      </w:r>
      <w:r w:rsidR="00503BCC">
        <w:rPr>
          <w:noProof/>
        </w:rPr>
        <w:t>6</w:t>
      </w:r>
      <w:bookmarkEnd w:id="36"/>
      <w:r>
        <w:t xml:space="preserve"> Uplink positioning information update procedure</w:t>
      </w:r>
    </w:p>
    <w:bookmarkEnd w:id="18"/>
    <w:bookmarkEnd w:id="19"/>
    <w:bookmarkEnd w:id="20"/>
    <w:bookmarkEnd w:id="21"/>
    <w:bookmarkEnd w:id="34"/>
    <w:p w14:paraId="4F20B554" w14:textId="7E815A64" w:rsidR="009457F1" w:rsidRPr="00BA072A" w:rsidRDefault="009457F1" w:rsidP="00BA072A">
      <w:pPr>
        <w:pStyle w:val="af"/>
        <w:wordWrap w:val="0"/>
        <w:autoSpaceDE w:val="0"/>
        <w:autoSpaceDN w:val="0"/>
        <w:adjustRightInd w:val="0"/>
        <w:snapToGrid w:val="0"/>
        <w:spacing w:after="120"/>
        <w:ind w:leftChars="0" w:left="794" w:right="442"/>
        <w:contextualSpacing/>
        <w:jc w:val="both"/>
        <w:rPr>
          <w:rFonts w:ascii="Times New Roman" w:hAnsi="Times New Roman"/>
          <w:sz w:val="22"/>
          <w:szCs w:val="22"/>
        </w:rPr>
      </w:pPr>
    </w:p>
    <w:sectPr w:rsidR="009457F1" w:rsidRPr="00BA072A"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Keyvan Zarifi" w:date="2019-09-26T07:42:00Z" w:initials="KZ">
    <w:p w14:paraId="108E391F" w14:textId="3BF4E99B" w:rsidR="00157362" w:rsidRDefault="00157362">
      <w:pPr>
        <w:pStyle w:val="af1"/>
      </w:pPr>
      <w:r>
        <w:rPr>
          <w:rStyle w:val="af0"/>
        </w:rPr>
        <w:annotationRef/>
      </w:r>
      <w:r>
        <w:t xml:space="preserve">Looks much better. A couple of editorial comments and also another comment regarding the association of CS and phase rotation follow.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8E391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2A57C" w14:textId="77777777" w:rsidR="008D7632" w:rsidRDefault="008D7632">
      <w:r>
        <w:separator/>
      </w:r>
    </w:p>
  </w:endnote>
  <w:endnote w:type="continuationSeparator" w:id="0">
    <w:p w14:paraId="64B3AD3D" w14:textId="77777777" w:rsidR="008D7632" w:rsidRDefault="008D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91C3A" w14:textId="77777777" w:rsidR="008D7632" w:rsidRDefault="008D7632">
      <w:r>
        <w:separator/>
      </w:r>
    </w:p>
  </w:footnote>
  <w:footnote w:type="continuationSeparator" w:id="0">
    <w:p w14:paraId="1DDFF95B" w14:textId="77777777" w:rsidR="008D7632" w:rsidRDefault="008D76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15ED0"/>
    <w:multiLevelType w:val="hybridMultilevel"/>
    <w:tmpl w:val="4ED4A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5063E"/>
    <w:multiLevelType w:val="hybridMultilevel"/>
    <w:tmpl w:val="56406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377EE"/>
    <w:multiLevelType w:val="hybridMultilevel"/>
    <w:tmpl w:val="F022D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3495C"/>
    <w:multiLevelType w:val="hybridMultilevel"/>
    <w:tmpl w:val="3A4CE908"/>
    <w:lvl w:ilvl="0" w:tplc="5AE20CE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A71E0C"/>
    <w:multiLevelType w:val="hybridMultilevel"/>
    <w:tmpl w:val="E74E5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F9385A"/>
    <w:multiLevelType w:val="hybridMultilevel"/>
    <w:tmpl w:val="5334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3D266F"/>
    <w:multiLevelType w:val="hybridMultilevel"/>
    <w:tmpl w:val="7110E606"/>
    <w:lvl w:ilvl="0" w:tplc="12686BC2">
      <w:start w:val="1"/>
      <w:numFmt w:val="bullet"/>
      <w:lvlText w:val=""/>
      <w:lvlJc w:val="left"/>
      <w:pPr>
        <w:tabs>
          <w:tab w:val="num" w:pos="720"/>
        </w:tabs>
        <w:ind w:left="720" w:hanging="360"/>
      </w:pPr>
      <w:rPr>
        <w:rFonts w:ascii="Wingdings" w:hAnsi="Wingdings" w:hint="default"/>
      </w:rPr>
    </w:lvl>
    <w:lvl w:ilvl="1" w:tplc="4894B8A2" w:tentative="1">
      <w:start w:val="1"/>
      <w:numFmt w:val="bullet"/>
      <w:lvlText w:val=""/>
      <w:lvlJc w:val="left"/>
      <w:pPr>
        <w:tabs>
          <w:tab w:val="num" w:pos="1440"/>
        </w:tabs>
        <w:ind w:left="1440" w:hanging="360"/>
      </w:pPr>
      <w:rPr>
        <w:rFonts w:ascii="Wingdings" w:hAnsi="Wingdings" w:hint="default"/>
      </w:rPr>
    </w:lvl>
    <w:lvl w:ilvl="2" w:tplc="AB60020C" w:tentative="1">
      <w:start w:val="1"/>
      <w:numFmt w:val="bullet"/>
      <w:lvlText w:val=""/>
      <w:lvlJc w:val="left"/>
      <w:pPr>
        <w:tabs>
          <w:tab w:val="num" w:pos="2160"/>
        </w:tabs>
        <w:ind w:left="2160" w:hanging="360"/>
      </w:pPr>
      <w:rPr>
        <w:rFonts w:ascii="Wingdings" w:hAnsi="Wingdings" w:hint="default"/>
      </w:rPr>
    </w:lvl>
    <w:lvl w:ilvl="3" w:tplc="FE88743E" w:tentative="1">
      <w:start w:val="1"/>
      <w:numFmt w:val="bullet"/>
      <w:lvlText w:val=""/>
      <w:lvlJc w:val="left"/>
      <w:pPr>
        <w:tabs>
          <w:tab w:val="num" w:pos="2880"/>
        </w:tabs>
        <w:ind w:left="2880" w:hanging="360"/>
      </w:pPr>
      <w:rPr>
        <w:rFonts w:ascii="Wingdings" w:hAnsi="Wingdings" w:hint="default"/>
      </w:rPr>
    </w:lvl>
    <w:lvl w:ilvl="4" w:tplc="F95CCC9E" w:tentative="1">
      <w:start w:val="1"/>
      <w:numFmt w:val="bullet"/>
      <w:lvlText w:val=""/>
      <w:lvlJc w:val="left"/>
      <w:pPr>
        <w:tabs>
          <w:tab w:val="num" w:pos="3600"/>
        </w:tabs>
        <w:ind w:left="3600" w:hanging="360"/>
      </w:pPr>
      <w:rPr>
        <w:rFonts w:ascii="Wingdings" w:hAnsi="Wingdings" w:hint="default"/>
      </w:rPr>
    </w:lvl>
    <w:lvl w:ilvl="5" w:tplc="717C3FCC" w:tentative="1">
      <w:start w:val="1"/>
      <w:numFmt w:val="bullet"/>
      <w:lvlText w:val=""/>
      <w:lvlJc w:val="left"/>
      <w:pPr>
        <w:tabs>
          <w:tab w:val="num" w:pos="4320"/>
        </w:tabs>
        <w:ind w:left="4320" w:hanging="360"/>
      </w:pPr>
      <w:rPr>
        <w:rFonts w:ascii="Wingdings" w:hAnsi="Wingdings" w:hint="default"/>
      </w:rPr>
    </w:lvl>
    <w:lvl w:ilvl="6" w:tplc="D24C3676" w:tentative="1">
      <w:start w:val="1"/>
      <w:numFmt w:val="bullet"/>
      <w:lvlText w:val=""/>
      <w:lvlJc w:val="left"/>
      <w:pPr>
        <w:tabs>
          <w:tab w:val="num" w:pos="5040"/>
        </w:tabs>
        <w:ind w:left="5040" w:hanging="360"/>
      </w:pPr>
      <w:rPr>
        <w:rFonts w:ascii="Wingdings" w:hAnsi="Wingdings" w:hint="default"/>
      </w:rPr>
    </w:lvl>
    <w:lvl w:ilvl="7" w:tplc="C3ECCD5A" w:tentative="1">
      <w:start w:val="1"/>
      <w:numFmt w:val="bullet"/>
      <w:lvlText w:val=""/>
      <w:lvlJc w:val="left"/>
      <w:pPr>
        <w:tabs>
          <w:tab w:val="num" w:pos="5760"/>
        </w:tabs>
        <w:ind w:left="5760" w:hanging="360"/>
      </w:pPr>
      <w:rPr>
        <w:rFonts w:ascii="Wingdings" w:hAnsi="Wingdings" w:hint="default"/>
      </w:rPr>
    </w:lvl>
    <w:lvl w:ilvl="8" w:tplc="9CB086E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972B87"/>
    <w:multiLevelType w:val="hybridMultilevel"/>
    <w:tmpl w:val="A06E2384"/>
    <w:lvl w:ilvl="0" w:tplc="C9323A5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E934475"/>
    <w:multiLevelType w:val="hybridMultilevel"/>
    <w:tmpl w:val="F3187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6B15D5"/>
    <w:multiLevelType w:val="hybridMultilevel"/>
    <w:tmpl w:val="7380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D35EE"/>
    <w:multiLevelType w:val="hybridMultilevel"/>
    <w:tmpl w:val="FE1E61E6"/>
    <w:lvl w:ilvl="0" w:tplc="2E141C4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6F9128C"/>
    <w:multiLevelType w:val="hybridMultilevel"/>
    <w:tmpl w:val="941C9124"/>
    <w:lvl w:ilvl="0" w:tplc="937C72D6">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E1719E"/>
    <w:multiLevelType w:val="hybridMultilevel"/>
    <w:tmpl w:val="8D5805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E1ECE"/>
    <w:multiLevelType w:val="hybridMultilevel"/>
    <w:tmpl w:val="0EE6E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EF35A0"/>
    <w:multiLevelType w:val="hybridMultilevel"/>
    <w:tmpl w:val="B896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2F3A35"/>
    <w:multiLevelType w:val="hybridMultilevel"/>
    <w:tmpl w:val="6D46B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211966"/>
    <w:multiLevelType w:val="hybridMultilevel"/>
    <w:tmpl w:val="941C9124"/>
    <w:lvl w:ilvl="0" w:tplc="937C72D6">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193DDF"/>
    <w:multiLevelType w:val="hybridMultilevel"/>
    <w:tmpl w:val="4BE02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4823D3"/>
    <w:multiLevelType w:val="hybridMultilevel"/>
    <w:tmpl w:val="61FEE848"/>
    <w:lvl w:ilvl="0" w:tplc="379CDBEA">
      <w:start w:val="1"/>
      <w:numFmt w:val="lowerLetter"/>
      <w:lvlText w:val="%1."/>
      <w:lvlJc w:val="left"/>
      <w:pPr>
        <w:ind w:left="1240" w:hanging="360"/>
      </w:pPr>
      <w:rPr>
        <w:rFonts w:hint="default"/>
        <w:b/>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21" w15:restartNumberingAfterBreak="0">
    <w:nsid w:val="24AE5E8F"/>
    <w:multiLevelType w:val="hybridMultilevel"/>
    <w:tmpl w:val="CF5C87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800"/>
        </w:tabs>
        <w:ind w:left="18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6E35C03"/>
    <w:multiLevelType w:val="hybridMultilevel"/>
    <w:tmpl w:val="72A23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7B22F2"/>
    <w:multiLevelType w:val="hybridMultilevel"/>
    <w:tmpl w:val="BE149EAA"/>
    <w:lvl w:ilvl="0" w:tplc="740A40D2">
      <w:start w:val="1"/>
      <w:numFmt w:val="bullet"/>
      <w:lvlText w:val=""/>
      <w:lvlJc w:val="left"/>
      <w:pPr>
        <w:tabs>
          <w:tab w:val="num" w:pos="720"/>
        </w:tabs>
        <w:ind w:left="720" w:hanging="360"/>
      </w:pPr>
      <w:rPr>
        <w:rFonts w:ascii="Wingdings" w:hAnsi="Wingdings" w:hint="default"/>
      </w:rPr>
    </w:lvl>
    <w:lvl w:ilvl="1" w:tplc="050C011A">
      <w:numFmt w:val="bullet"/>
      <w:lvlText w:val=""/>
      <w:lvlJc w:val="left"/>
      <w:pPr>
        <w:tabs>
          <w:tab w:val="num" w:pos="1440"/>
        </w:tabs>
        <w:ind w:left="1440" w:hanging="360"/>
      </w:pPr>
      <w:rPr>
        <w:rFonts w:ascii="Wingdings" w:hAnsi="Wingdings" w:hint="default"/>
      </w:rPr>
    </w:lvl>
    <w:lvl w:ilvl="2" w:tplc="B7CE1072">
      <w:numFmt w:val="bullet"/>
      <w:lvlText w:val=""/>
      <w:lvlJc w:val="left"/>
      <w:pPr>
        <w:tabs>
          <w:tab w:val="num" w:pos="2160"/>
        </w:tabs>
        <w:ind w:left="2160" w:hanging="360"/>
      </w:pPr>
      <w:rPr>
        <w:rFonts w:ascii="Wingdings" w:hAnsi="Wingdings" w:hint="default"/>
      </w:rPr>
    </w:lvl>
    <w:lvl w:ilvl="3" w:tplc="59188242" w:tentative="1">
      <w:start w:val="1"/>
      <w:numFmt w:val="bullet"/>
      <w:lvlText w:val=""/>
      <w:lvlJc w:val="left"/>
      <w:pPr>
        <w:tabs>
          <w:tab w:val="num" w:pos="2880"/>
        </w:tabs>
        <w:ind w:left="2880" w:hanging="360"/>
      </w:pPr>
      <w:rPr>
        <w:rFonts w:ascii="Wingdings" w:hAnsi="Wingdings" w:hint="default"/>
      </w:rPr>
    </w:lvl>
    <w:lvl w:ilvl="4" w:tplc="B936BCBE" w:tentative="1">
      <w:start w:val="1"/>
      <w:numFmt w:val="bullet"/>
      <w:lvlText w:val=""/>
      <w:lvlJc w:val="left"/>
      <w:pPr>
        <w:tabs>
          <w:tab w:val="num" w:pos="3600"/>
        </w:tabs>
        <w:ind w:left="3600" w:hanging="360"/>
      </w:pPr>
      <w:rPr>
        <w:rFonts w:ascii="Wingdings" w:hAnsi="Wingdings" w:hint="default"/>
      </w:rPr>
    </w:lvl>
    <w:lvl w:ilvl="5" w:tplc="5520125E" w:tentative="1">
      <w:start w:val="1"/>
      <w:numFmt w:val="bullet"/>
      <w:lvlText w:val=""/>
      <w:lvlJc w:val="left"/>
      <w:pPr>
        <w:tabs>
          <w:tab w:val="num" w:pos="4320"/>
        </w:tabs>
        <w:ind w:left="4320" w:hanging="360"/>
      </w:pPr>
      <w:rPr>
        <w:rFonts w:ascii="Wingdings" w:hAnsi="Wingdings" w:hint="default"/>
      </w:rPr>
    </w:lvl>
    <w:lvl w:ilvl="6" w:tplc="0BF4152A" w:tentative="1">
      <w:start w:val="1"/>
      <w:numFmt w:val="bullet"/>
      <w:lvlText w:val=""/>
      <w:lvlJc w:val="left"/>
      <w:pPr>
        <w:tabs>
          <w:tab w:val="num" w:pos="5040"/>
        </w:tabs>
        <w:ind w:left="5040" w:hanging="360"/>
      </w:pPr>
      <w:rPr>
        <w:rFonts w:ascii="Wingdings" w:hAnsi="Wingdings" w:hint="default"/>
      </w:rPr>
    </w:lvl>
    <w:lvl w:ilvl="7" w:tplc="58C846FE" w:tentative="1">
      <w:start w:val="1"/>
      <w:numFmt w:val="bullet"/>
      <w:lvlText w:val=""/>
      <w:lvlJc w:val="left"/>
      <w:pPr>
        <w:tabs>
          <w:tab w:val="num" w:pos="5760"/>
        </w:tabs>
        <w:ind w:left="5760" w:hanging="360"/>
      </w:pPr>
      <w:rPr>
        <w:rFonts w:ascii="Wingdings" w:hAnsi="Wingdings" w:hint="default"/>
      </w:rPr>
    </w:lvl>
    <w:lvl w:ilvl="8" w:tplc="EC5293E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BE1F66"/>
    <w:multiLevelType w:val="hybridMultilevel"/>
    <w:tmpl w:val="D9367542"/>
    <w:lvl w:ilvl="0" w:tplc="6CB2651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D814E8F"/>
    <w:multiLevelType w:val="hybridMultilevel"/>
    <w:tmpl w:val="39200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C57686"/>
    <w:multiLevelType w:val="hybridMultilevel"/>
    <w:tmpl w:val="9B687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A5F51"/>
    <w:multiLevelType w:val="hybridMultilevel"/>
    <w:tmpl w:val="04A2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E6ED6"/>
    <w:multiLevelType w:val="hybridMultilevel"/>
    <w:tmpl w:val="B5AAC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950FA8"/>
    <w:multiLevelType w:val="hybridMultilevel"/>
    <w:tmpl w:val="91B8CA22"/>
    <w:lvl w:ilvl="0" w:tplc="F2D47858">
      <w:start w:val="1"/>
      <w:numFmt w:val="lowerLetter"/>
      <w:lvlText w:val="%1."/>
      <w:lvlJc w:val="left"/>
      <w:pPr>
        <w:ind w:left="1210" w:hanging="360"/>
      </w:pPr>
      <w:rPr>
        <w:rFonts w:ascii="Times New Roman" w:eastAsia="宋体" w:hAnsi="Times New Roman" w:cs="Times New Roman"/>
        <w:b/>
      </w:rPr>
    </w:lvl>
    <w:lvl w:ilvl="1" w:tplc="5C9E7486">
      <w:start w:val="1"/>
      <w:numFmt w:val="lowerLetter"/>
      <w:lvlText w:val="%2."/>
      <w:lvlJc w:val="left"/>
      <w:pPr>
        <w:ind w:left="1930" w:hanging="360"/>
      </w:pPr>
      <w:rPr>
        <w:b/>
      </w:r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6" w15:restartNumberingAfterBreak="0">
    <w:nsid w:val="4F6D5A58"/>
    <w:multiLevelType w:val="hybridMultilevel"/>
    <w:tmpl w:val="449A4E86"/>
    <w:lvl w:ilvl="0" w:tplc="EFA664FC">
      <w:start w:val="1"/>
      <w:numFmt w:val="bullet"/>
      <w:lvlText w:val=""/>
      <w:lvlJc w:val="left"/>
      <w:pPr>
        <w:tabs>
          <w:tab w:val="num" w:pos="720"/>
        </w:tabs>
        <w:ind w:left="720" w:hanging="360"/>
      </w:pPr>
      <w:rPr>
        <w:rFonts w:ascii="Wingdings" w:hAnsi="Wingdings" w:hint="default"/>
      </w:rPr>
    </w:lvl>
    <w:lvl w:ilvl="1" w:tplc="89E0FCCE">
      <w:numFmt w:val="bullet"/>
      <w:lvlText w:val=""/>
      <w:lvlJc w:val="left"/>
      <w:pPr>
        <w:tabs>
          <w:tab w:val="num" w:pos="1440"/>
        </w:tabs>
        <w:ind w:left="1440" w:hanging="360"/>
      </w:pPr>
      <w:rPr>
        <w:rFonts w:ascii="Wingdings" w:hAnsi="Wingdings" w:hint="default"/>
      </w:rPr>
    </w:lvl>
    <w:lvl w:ilvl="2" w:tplc="31C604E0">
      <w:numFmt w:val="bullet"/>
      <w:lvlText w:val=""/>
      <w:lvlJc w:val="left"/>
      <w:pPr>
        <w:tabs>
          <w:tab w:val="num" w:pos="2160"/>
        </w:tabs>
        <w:ind w:left="2160" w:hanging="360"/>
      </w:pPr>
      <w:rPr>
        <w:rFonts w:ascii="Wingdings" w:hAnsi="Wingdings" w:hint="default"/>
      </w:rPr>
    </w:lvl>
    <w:lvl w:ilvl="3" w:tplc="718C83C4" w:tentative="1">
      <w:start w:val="1"/>
      <w:numFmt w:val="bullet"/>
      <w:lvlText w:val=""/>
      <w:lvlJc w:val="left"/>
      <w:pPr>
        <w:tabs>
          <w:tab w:val="num" w:pos="2880"/>
        </w:tabs>
        <w:ind w:left="2880" w:hanging="360"/>
      </w:pPr>
      <w:rPr>
        <w:rFonts w:ascii="Wingdings" w:hAnsi="Wingdings" w:hint="default"/>
      </w:rPr>
    </w:lvl>
    <w:lvl w:ilvl="4" w:tplc="69FA2242" w:tentative="1">
      <w:start w:val="1"/>
      <w:numFmt w:val="bullet"/>
      <w:lvlText w:val=""/>
      <w:lvlJc w:val="left"/>
      <w:pPr>
        <w:tabs>
          <w:tab w:val="num" w:pos="3600"/>
        </w:tabs>
        <w:ind w:left="3600" w:hanging="360"/>
      </w:pPr>
      <w:rPr>
        <w:rFonts w:ascii="Wingdings" w:hAnsi="Wingdings" w:hint="default"/>
      </w:rPr>
    </w:lvl>
    <w:lvl w:ilvl="5" w:tplc="9E2A17C8" w:tentative="1">
      <w:start w:val="1"/>
      <w:numFmt w:val="bullet"/>
      <w:lvlText w:val=""/>
      <w:lvlJc w:val="left"/>
      <w:pPr>
        <w:tabs>
          <w:tab w:val="num" w:pos="4320"/>
        </w:tabs>
        <w:ind w:left="4320" w:hanging="360"/>
      </w:pPr>
      <w:rPr>
        <w:rFonts w:ascii="Wingdings" w:hAnsi="Wingdings" w:hint="default"/>
      </w:rPr>
    </w:lvl>
    <w:lvl w:ilvl="6" w:tplc="DD20A272" w:tentative="1">
      <w:start w:val="1"/>
      <w:numFmt w:val="bullet"/>
      <w:lvlText w:val=""/>
      <w:lvlJc w:val="left"/>
      <w:pPr>
        <w:tabs>
          <w:tab w:val="num" w:pos="5040"/>
        </w:tabs>
        <w:ind w:left="5040" w:hanging="360"/>
      </w:pPr>
      <w:rPr>
        <w:rFonts w:ascii="Wingdings" w:hAnsi="Wingdings" w:hint="default"/>
      </w:rPr>
    </w:lvl>
    <w:lvl w:ilvl="7" w:tplc="6264FDC0" w:tentative="1">
      <w:start w:val="1"/>
      <w:numFmt w:val="bullet"/>
      <w:lvlText w:val=""/>
      <w:lvlJc w:val="left"/>
      <w:pPr>
        <w:tabs>
          <w:tab w:val="num" w:pos="5760"/>
        </w:tabs>
        <w:ind w:left="5760" w:hanging="360"/>
      </w:pPr>
      <w:rPr>
        <w:rFonts w:ascii="Wingdings" w:hAnsi="Wingdings" w:hint="default"/>
      </w:rPr>
    </w:lvl>
    <w:lvl w:ilvl="8" w:tplc="5B9827C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04F1B84"/>
    <w:multiLevelType w:val="hybridMultilevel"/>
    <w:tmpl w:val="CCF8BB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D530C0"/>
    <w:multiLevelType w:val="hybridMultilevel"/>
    <w:tmpl w:val="DC927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37A2A4F"/>
    <w:multiLevelType w:val="hybridMultilevel"/>
    <w:tmpl w:val="856E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3244D6"/>
    <w:multiLevelType w:val="hybridMultilevel"/>
    <w:tmpl w:val="F4283EA4"/>
    <w:lvl w:ilvl="0" w:tplc="85688CC2">
      <w:start w:val="1"/>
      <w:numFmt w:val="bullet"/>
      <w:lvlText w:val=""/>
      <w:lvlJc w:val="left"/>
      <w:pPr>
        <w:tabs>
          <w:tab w:val="num" w:pos="720"/>
        </w:tabs>
        <w:ind w:left="720" w:hanging="360"/>
      </w:pPr>
      <w:rPr>
        <w:rFonts w:ascii="Wingdings" w:hAnsi="Wingdings" w:hint="default"/>
      </w:rPr>
    </w:lvl>
    <w:lvl w:ilvl="1" w:tplc="6BA4ECAA">
      <w:numFmt w:val="bullet"/>
      <w:lvlText w:val=""/>
      <w:lvlJc w:val="left"/>
      <w:pPr>
        <w:tabs>
          <w:tab w:val="num" w:pos="1440"/>
        </w:tabs>
        <w:ind w:left="1440" w:hanging="360"/>
      </w:pPr>
      <w:rPr>
        <w:rFonts w:ascii="Wingdings" w:hAnsi="Wingdings" w:hint="default"/>
      </w:rPr>
    </w:lvl>
    <w:lvl w:ilvl="2" w:tplc="ECBEB618" w:tentative="1">
      <w:start w:val="1"/>
      <w:numFmt w:val="bullet"/>
      <w:lvlText w:val=""/>
      <w:lvlJc w:val="left"/>
      <w:pPr>
        <w:tabs>
          <w:tab w:val="num" w:pos="2160"/>
        </w:tabs>
        <w:ind w:left="2160" w:hanging="360"/>
      </w:pPr>
      <w:rPr>
        <w:rFonts w:ascii="Wingdings" w:hAnsi="Wingdings" w:hint="default"/>
      </w:rPr>
    </w:lvl>
    <w:lvl w:ilvl="3" w:tplc="477E0346" w:tentative="1">
      <w:start w:val="1"/>
      <w:numFmt w:val="bullet"/>
      <w:lvlText w:val=""/>
      <w:lvlJc w:val="left"/>
      <w:pPr>
        <w:tabs>
          <w:tab w:val="num" w:pos="2880"/>
        </w:tabs>
        <w:ind w:left="2880" w:hanging="360"/>
      </w:pPr>
      <w:rPr>
        <w:rFonts w:ascii="Wingdings" w:hAnsi="Wingdings" w:hint="default"/>
      </w:rPr>
    </w:lvl>
    <w:lvl w:ilvl="4" w:tplc="15E4425E" w:tentative="1">
      <w:start w:val="1"/>
      <w:numFmt w:val="bullet"/>
      <w:lvlText w:val=""/>
      <w:lvlJc w:val="left"/>
      <w:pPr>
        <w:tabs>
          <w:tab w:val="num" w:pos="3600"/>
        </w:tabs>
        <w:ind w:left="3600" w:hanging="360"/>
      </w:pPr>
      <w:rPr>
        <w:rFonts w:ascii="Wingdings" w:hAnsi="Wingdings" w:hint="default"/>
      </w:rPr>
    </w:lvl>
    <w:lvl w:ilvl="5" w:tplc="9014EDE4" w:tentative="1">
      <w:start w:val="1"/>
      <w:numFmt w:val="bullet"/>
      <w:lvlText w:val=""/>
      <w:lvlJc w:val="left"/>
      <w:pPr>
        <w:tabs>
          <w:tab w:val="num" w:pos="4320"/>
        </w:tabs>
        <w:ind w:left="4320" w:hanging="360"/>
      </w:pPr>
      <w:rPr>
        <w:rFonts w:ascii="Wingdings" w:hAnsi="Wingdings" w:hint="default"/>
      </w:rPr>
    </w:lvl>
    <w:lvl w:ilvl="6" w:tplc="E6BA0470" w:tentative="1">
      <w:start w:val="1"/>
      <w:numFmt w:val="bullet"/>
      <w:lvlText w:val=""/>
      <w:lvlJc w:val="left"/>
      <w:pPr>
        <w:tabs>
          <w:tab w:val="num" w:pos="5040"/>
        </w:tabs>
        <w:ind w:left="5040" w:hanging="360"/>
      </w:pPr>
      <w:rPr>
        <w:rFonts w:ascii="Wingdings" w:hAnsi="Wingdings" w:hint="default"/>
      </w:rPr>
    </w:lvl>
    <w:lvl w:ilvl="7" w:tplc="B40E23B8" w:tentative="1">
      <w:start w:val="1"/>
      <w:numFmt w:val="bullet"/>
      <w:lvlText w:val=""/>
      <w:lvlJc w:val="left"/>
      <w:pPr>
        <w:tabs>
          <w:tab w:val="num" w:pos="5760"/>
        </w:tabs>
        <w:ind w:left="5760" w:hanging="360"/>
      </w:pPr>
      <w:rPr>
        <w:rFonts w:ascii="Wingdings" w:hAnsi="Wingdings" w:hint="default"/>
      </w:rPr>
    </w:lvl>
    <w:lvl w:ilvl="8" w:tplc="D598B7A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59906D0"/>
    <w:multiLevelType w:val="hybridMultilevel"/>
    <w:tmpl w:val="9EEAE614"/>
    <w:lvl w:ilvl="0" w:tplc="3FD0A30E">
      <w:start w:val="1"/>
      <w:numFmt w:val="decimal"/>
      <w:lvlText w:val="%1)"/>
      <w:lvlJc w:val="left"/>
      <w:pPr>
        <w:ind w:left="420" w:hanging="360"/>
      </w:pPr>
      <w:rPr>
        <w:rFonts w:hint="default"/>
        <w:b/>
        <w:sz w:val="22"/>
        <w:szCs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15:restartNumberingAfterBreak="0">
    <w:nsid w:val="5AFE185C"/>
    <w:multiLevelType w:val="hybridMultilevel"/>
    <w:tmpl w:val="714C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0B7414"/>
    <w:multiLevelType w:val="hybridMultilevel"/>
    <w:tmpl w:val="73060A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8A18CB"/>
    <w:multiLevelType w:val="hybridMultilevel"/>
    <w:tmpl w:val="DAF478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7B54B87"/>
    <w:multiLevelType w:val="hybridMultilevel"/>
    <w:tmpl w:val="1096ADE6"/>
    <w:lvl w:ilvl="0" w:tplc="AC920B5C">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B20372"/>
    <w:multiLevelType w:val="hybridMultilevel"/>
    <w:tmpl w:val="C19C0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FF6252"/>
    <w:multiLevelType w:val="hybridMultilevel"/>
    <w:tmpl w:val="44E0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1158A5"/>
    <w:multiLevelType w:val="hybridMultilevel"/>
    <w:tmpl w:val="1ACA11F8"/>
    <w:lvl w:ilvl="0" w:tplc="A4C48DC2">
      <w:start w:val="1"/>
      <w:numFmt w:val="bullet"/>
      <w:lvlText w:val=""/>
      <w:lvlJc w:val="left"/>
      <w:pPr>
        <w:tabs>
          <w:tab w:val="num" w:pos="720"/>
        </w:tabs>
        <w:ind w:left="720" w:hanging="360"/>
      </w:pPr>
      <w:rPr>
        <w:rFonts w:ascii="Wingdings" w:hAnsi="Wingdings" w:hint="default"/>
      </w:rPr>
    </w:lvl>
    <w:lvl w:ilvl="1" w:tplc="BD0CE900">
      <w:numFmt w:val="bullet"/>
      <w:lvlText w:val=""/>
      <w:lvlJc w:val="left"/>
      <w:pPr>
        <w:tabs>
          <w:tab w:val="num" w:pos="1440"/>
        </w:tabs>
        <w:ind w:left="1440" w:hanging="360"/>
      </w:pPr>
      <w:rPr>
        <w:rFonts w:ascii="Wingdings" w:hAnsi="Wingdings" w:hint="default"/>
      </w:rPr>
    </w:lvl>
    <w:lvl w:ilvl="2" w:tplc="4A807214">
      <w:numFmt w:val="bullet"/>
      <w:lvlText w:val=""/>
      <w:lvlJc w:val="left"/>
      <w:pPr>
        <w:tabs>
          <w:tab w:val="num" w:pos="2160"/>
        </w:tabs>
        <w:ind w:left="2160" w:hanging="360"/>
      </w:pPr>
      <w:rPr>
        <w:rFonts w:ascii="Wingdings" w:hAnsi="Wingdings" w:hint="default"/>
      </w:rPr>
    </w:lvl>
    <w:lvl w:ilvl="3" w:tplc="E5C68EEC" w:tentative="1">
      <w:start w:val="1"/>
      <w:numFmt w:val="bullet"/>
      <w:lvlText w:val=""/>
      <w:lvlJc w:val="left"/>
      <w:pPr>
        <w:tabs>
          <w:tab w:val="num" w:pos="2880"/>
        </w:tabs>
        <w:ind w:left="2880" w:hanging="360"/>
      </w:pPr>
      <w:rPr>
        <w:rFonts w:ascii="Wingdings" w:hAnsi="Wingdings" w:hint="default"/>
      </w:rPr>
    </w:lvl>
    <w:lvl w:ilvl="4" w:tplc="9F4A40DE" w:tentative="1">
      <w:start w:val="1"/>
      <w:numFmt w:val="bullet"/>
      <w:lvlText w:val=""/>
      <w:lvlJc w:val="left"/>
      <w:pPr>
        <w:tabs>
          <w:tab w:val="num" w:pos="3600"/>
        </w:tabs>
        <w:ind w:left="3600" w:hanging="360"/>
      </w:pPr>
      <w:rPr>
        <w:rFonts w:ascii="Wingdings" w:hAnsi="Wingdings" w:hint="default"/>
      </w:rPr>
    </w:lvl>
    <w:lvl w:ilvl="5" w:tplc="FFC2427A" w:tentative="1">
      <w:start w:val="1"/>
      <w:numFmt w:val="bullet"/>
      <w:lvlText w:val=""/>
      <w:lvlJc w:val="left"/>
      <w:pPr>
        <w:tabs>
          <w:tab w:val="num" w:pos="4320"/>
        </w:tabs>
        <w:ind w:left="4320" w:hanging="360"/>
      </w:pPr>
      <w:rPr>
        <w:rFonts w:ascii="Wingdings" w:hAnsi="Wingdings" w:hint="default"/>
      </w:rPr>
    </w:lvl>
    <w:lvl w:ilvl="6" w:tplc="AD74E810" w:tentative="1">
      <w:start w:val="1"/>
      <w:numFmt w:val="bullet"/>
      <w:lvlText w:val=""/>
      <w:lvlJc w:val="left"/>
      <w:pPr>
        <w:tabs>
          <w:tab w:val="num" w:pos="5040"/>
        </w:tabs>
        <w:ind w:left="5040" w:hanging="360"/>
      </w:pPr>
      <w:rPr>
        <w:rFonts w:ascii="Wingdings" w:hAnsi="Wingdings" w:hint="default"/>
      </w:rPr>
    </w:lvl>
    <w:lvl w:ilvl="7" w:tplc="4E1026A2" w:tentative="1">
      <w:start w:val="1"/>
      <w:numFmt w:val="bullet"/>
      <w:lvlText w:val=""/>
      <w:lvlJc w:val="left"/>
      <w:pPr>
        <w:tabs>
          <w:tab w:val="num" w:pos="5760"/>
        </w:tabs>
        <w:ind w:left="5760" w:hanging="360"/>
      </w:pPr>
      <w:rPr>
        <w:rFonts w:ascii="Wingdings" w:hAnsi="Wingdings" w:hint="default"/>
      </w:rPr>
    </w:lvl>
    <w:lvl w:ilvl="8" w:tplc="775A552E"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F99198D"/>
    <w:multiLevelType w:val="hybridMultilevel"/>
    <w:tmpl w:val="C8DC490E"/>
    <w:lvl w:ilvl="0" w:tplc="0D468B1C">
      <w:start w:val="1"/>
      <w:numFmt w:val="bullet"/>
      <w:lvlText w:val=""/>
      <w:lvlJc w:val="left"/>
      <w:pPr>
        <w:tabs>
          <w:tab w:val="num" w:pos="720"/>
        </w:tabs>
        <w:ind w:left="720" w:hanging="360"/>
      </w:pPr>
      <w:rPr>
        <w:rFonts w:ascii="Wingdings" w:hAnsi="Wingdings" w:hint="default"/>
      </w:rPr>
    </w:lvl>
    <w:lvl w:ilvl="1" w:tplc="26BA3184">
      <w:start w:val="1"/>
      <w:numFmt w:val="bullet"/>
      <w:lvlText w:val=""/>
      <w:lvlJc w:val="left"/>
      <w:pPr>
        <w:tabs>
          <w:tab w:val="num" w:pos="1440"/>
        </w:tabs>
        <w:ind w:left="1440" w:hanging="360"/>
      </w:pPr>
      <w:rPr>
        <w:rFonts w:ascii="Wingdings" w:hAnsi="Wingdings" w:hint="default"/>
      </w:rPr>
    </w:lvl>
    <w:lvl w:ilvl="2" w:tplc="0A8E456E">
      <w:numFmt w:val="bullet"/>
      <w:lvlText w:val=""/>
      <w:lvlJc w:val="left"/>
      <w:pPr>
        <w:tabs>
          <w:tab w:val="num" w:pos="2160"/>
        </w:tabs>
        <w:ind w:left="2160" w:hanging="360"/>
      </w:pPr>
      <w:rPr>
        <w:rFonts w:ascii="Wingdings" w:hAnsi="Wingdings" w:hint="default"/>
      </w:rPr>
    </w:lvl>
    <w:lvl w:ilvl="3" w:tplc="19482994">
      <w:numFmt w:val="bullet"/>
      <w:lvlText w:val="–"/>
      <w:lvlJc w:val="left"/>
      <w:pPr>
        <w:tabs>
          <w:tab w:val="num" w:pos="2880"/>
        </w:tabs>
        <w:ind w:left="2880" w:hanging="360"/>
      </w:pPr>
      <w:rPr>
        <w:rFonts w:ascii="Times New Roman" w:hAnsi="Times New Roman" w:hint="default"/>
      </w:rPr>
    </w:lvl>
    <w:lvl w:ilvl="4" w:tplc="9B0EF0AA" w:tentative="1">
      <w:start w:val="1"/>
      <w:numFmt w:val="bullet"/>
      <w:lvlText w:val=""/>
      <w:lvlJc w:val="left"/>
      <w:pPr>
        <w:tabs>
          <w:tab w:val="num" w:pos="3600"/>
        </w:tabs>
        <w:ind w:left="3600" w:hanging="360"/>
      </w:pPr>
      <w:rPr>
        <w:rFonts w:ascii="Wingdings" w:hAnsi="Wingdings" w:hint="default"/>
      </w:rPr>
    </w:lvl>
    <w:lvl w:ilvl="5" w:tplc="2F6487E0" w:tentative="1">
      <w:start w:val="1"/>
      <w:numFmt w:val="bullet"/>
      <w:lvlText w:val=""/>
      <w:lvlJc w:val="left"/>
      <w:pPr>
        <w:tabs>
          <w:tab w:val="num" w:pos="4320"/>
        </w:tabs>
        <w:ind w:left="4320" w:hanging="360"/>
      </w:pPr>
      <w:rPr>
        <w:rFonts w:ascii="Wingdings" w:hAnsi="Wingdings" w:hint="default"/>
      </w:rPr>
    </w:lvl>
    <w:lvl w:ilvl="6" w:tplc="1E200058" w:tentative="1">
      <w:start w:val="1"/>
      <w:numFmt w:val="bullet"/>
      <w:lvlText w:val=""/>
      <w:lvlJc w:val="left"/>
      <w:pPr>
        <w:tabs>
          <w:tab w:val="num" w:pos="5040"/>
        </w:tabs>
        <w:ind w:left="5040" w:hanging="360"/>
      </w:pPr>
      <w:rPr>
        <w:rFonts w:ascii="Wingdings" w:hAnsi="Wingdings" w:hint="default"/>
      </w:rPr>
    </w:lvl>
    <w:lvl w:ilvl="7" w:tplc="A8EAAED6" w:tentative="1">
      <w:start w:val="1"/>
      <w:numFmt w:val="bullet"/>
      <w:lvlText w:val=""/>
      <w:lvlJc w:val="left"/>
      <w:pPr>
        <w:tabs>
          <w:tab w:val="num" w:pos="5760"/>
        </w:tabs>
        <w:ind w:left="5760" w:hanging="360"/>
      </w:pPr>
      <w:rPr>
        <w:rFonts w:ascii="Wingdings" w:hAnsi="Wingdings" w:hint="default"/>
      </w:rPr>
    </w:lvl>
    <w:lvl w:ilvl="8" w:tplc="DB503114"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AF2933"/>
    <w:multiLevelType w:val="hybridMultilevel"/>
    <w:tmpl w:val="E48C8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C31C3C"/>
    <w:multiLevelType w:val="hybridMultilevel"/>
    <w:tmpl w:val="9D5666AE"/>
    <w:lvl w:ilvl="0" w:tplc="17AEF1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34101A"/>
    <w:multiLevelType w:val="hybridMultilevel"/>
    <w:tmpl w:val="0FF20C22"/>
    <w:lvl w:ilvl="0" w:tplc="B86C9FDA">
      <w:start w:val="1"/>
      <w:numFmt w:val="decimal"/>
      <w:lvlText w:val="[%1]"/>
      <w:lvlJc w:val="left"/>
      <w:pPr>
        <w:ind w:left="792" w:hanging="360"/>
      </w:pPr>
      <w:rPr>
        <w:rFonts w:hint="eastAsia"/>
        <w:b w:val="0"/>
        <w:sz w:val="20"/>
        <w:szCs w:val="22"/>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4" w15:restartNumberingAfterBreak="0">
    <w:nsid w:val="753A12AA"/>
    <w:multiLevelType w:val="hybridMultilevel"/>
    <w:tmpl w:val="7BCA6BC6"/>
    <w:lvl w:ilvl="0" w:tplc="6CAC88D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97007E"/>
    <w:multiLevelType w:val="hybridMultilevel"/>
    <w:tmpl w:val="962CA53A"/>
    <w:lvl w:ilvl="0" w:tplc="5BB0CA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DDB0EAF"/>
    <w:multiLevelType w:val="hybridMultilevel"/>
    <w:tmpl w:val="E5E66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3A31E8"/>
    <w:multiLevelType w:val="hybridMultilevel"/>
    <w:tmpl w:val="283615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3"/>
  </w:num>
  <w:num w:numId="3">
    <w:abstractNumId w:val="29"/>
  </w:num>
  <w:num w:numId="4">
    <w:abstractNumId w:val="16"/>
  </w:num>
  <w:num w:numId="5">
    <w:abstractNumId w:val="47"/>
  </w:num>
  <w:num w:numId="6">
    <w:abstractNumId w:val="35"/>
  </w:num>
  <w:num w:numId="7">
    <w:abstractNumId w:val="41"/>
  </w:num>
  <w:num w:numId="8">
    <w:abstractNumId w:val="12"/>
  </w:num>
  <w:num w:numId="9">
    <w:abstractNumId w:val="9"/>
  </w:num>
  <w:num w:numId="10">
    <w:abstractNumId w:val="27"/>
  </w:num>
  <w:num w:numId="11">
    <w:abstractNumId w:val="5"/>
  </w:num>
  <w:num w:numId="12">
    <w:abstractNumId w:val="53"/>
  </w:num>
  <w:num w:numId="13">
    <w:abstractNumId w:val="10"/>
  </w:num>
  <w:num w:numId="14">
    <w:abstractNumId w:val="17"/>
  </w:num>
  <w:num w:numId="15">
    <w:abstractNumId w:val="28"/>
  </w:num>
  <w:num w:numId="16">
    <w:abstractNumId w:val="20"/>
  </w:num>
  <w:num w:numId="17">
    <w:abstractNumId w:val="34"/>
  </w:num>
  <w:num w:numId="18">
    <w:abstractNumId w:val="51"/>
  </w:num>
  <w:num w:numId="19">
    <w:abstractNumId w:val="50"/>
  </w:num>
  <w:num w:numId="20">
    <w:abstractNumId w:val="33"/>
  </w:num>
  <w:num w:numId="21">
    <w:abstractNumId w:val="1"/>
  </w:num>
  <w:num w:numId="22">
    <w:abstractNumId w:val="42"/>
  </w:num>
  <w:num w:numId="23">
    <w:abstractNumId w:val="31"/>
  </w:num>
  <w:num w:numId="24">
    <w:abstractNumId w:val="11"/>
  </w:num>
  <w:num w:numId="25">
    <w:abstractNumId w:val="43"/>
  </w:num>
  <w:num w:numId="26">
    <w:abstractNumId w:val="38"/>
  </w:num>
  <w:num w:numId="27">
    <w:abstractNumId w:val="4"/>
  </w:num>
  <w:num w:numId="28">
    <w:abstractNumId w:val="18"/>
  </w:num>
  <w:num w:numId="29">
    <w:abstractNumId w:val="49"/>
  </w:num>
  <w:num w:numId="30">
    <w:abstractNumId w:val="26"/>
  </w:num>
  <w:num w:numId="31">
    <w:abstractNumId w:val="8"/>
  </w:num>
  <w:num w:numId="32">
    <w:abstractNumId w:val="48"/>
  </w:num>
  <w:num w:numId="33">
    <w:abstractNumId w:val="36"/>
  </w:num>
  <w:num w:numId="34">
    <w:abstractNumId w:val="40"/>
  </w:num>
  <w:num w:numId="35">
    <w:abstractNumId w:val="37"/>
  </w:num>
  <w:num w:numId="36">
    <w:abstractNumId w:val="19"/>
  </w:num>
  <w:num w:numId="37">
    <w:abstractNumId w:val="3"/>
  </w:num>
  <w:num w:numId="38">
    <w:abstractNumId w:val="7"/>
  </w:num>
  <w:num w:numId="39">
    <w:abstractNumId w:val="44"/>
  </w:num>
  <w:num w:numId="40">
    <w:abstractNumId w:val="59"/>
  </w:num>
  <w:num w:numId="41">
    <w:abstractNumId w:val="45"/>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14"/>
  </w:num>
  <w:num w:numId="45">
    <w:abstractNumId w:val="56"/>
  </w:num>
  <w:num w:numId="46">
    <w:abstractNumId w:val="22"/>
  </w:num>
  <w:num w:numId="47">
    <w:abstractNumId w:val="55"/>
  </w:num>
  <w:num w:numId="48">
    <w:abstractNumId w:val="24"/>
  </w:num>
  <w:num w:numId="49">
    <w:abstractNumId w:val="39"/>
  </w:num>
  <w:num w:numId="50">
    <w:abstractNumId w:val="46"/>
  </w:num>
  <w:num w:numId="51">
    <w:abstractNumId w:val="30"/>
  </w:num>
  <w:num w:numId="52">
    <w:abstractNumId w:val="15"/>
  </w:num>
  <w:num w:numId="53">
    <w:abstractNumId w:val="6"/>
  </w:num>
  <w:num w:numId="54">
    <w:abstractNumId w:val="58"/>
  </w:num>
  <w:num w:numId="55">
    <w:abstractNumId w:val="54"/>
  </w:num>
  <w:num w:numId="56">
    <w:abstractNumId w:val="13"/>
  </w:num>
  <w:num w:numId="57">
    <w:abstractNumId w:val="21"/>
  </w:num>
  <w:num w:numId="58">
    <w:abstractNumId w:val="57"/>
  </w:num>
  <w:num w:numId="59">
    <w:abstractNumId w:val="52"/>
  </w:num>
  <w:num w:numId="60">
    <w:abstractNumId w:val="2"/>
  </w:num>
  <w:num w:numId="61">
    <w:abstractNumId w:val="32"/>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yvan Zarifi">
    <w15:presenceInfo w15:providerId="None" w15:userId="Keyvan Zarif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92"/>
    <w:rsid w:val="00000D04"/>
    <w:rsid w:val="00000DB2"/>
    <w:rsid w:val="0000163B"/>
    <w:rsid w:val="000020F6"/>
    <w:rsid w:val="00002893"/>
    <w:rsid w:val="00002B4D"/>
    <w:rsid w:val="00002E55"/>
    <w:rsid w:val="000033A3"/>
    <w:rsid w:val="00003605"/>
    <w:rsid w:val="00003C56"/>
    <w:rsid w:val="00003EC2"/>
    <w:rsid w:val="000040A9"/>
    <w:rsid w:val="0000458E"/>
    <w:rsid w:val="00004612"/>
    <w:rsid w:val="000046EA"/>
    <w:rsid w:val="00004E70"/>
    <w:rsid w:val="0000560A"/>
    <w:rsid w:val="000072B6"/>
    <w:rsid w:val="00007813"/>
    <w:rsid w:val="00007DA5"/>
    <w:rsid w:val="000109E6"/>
    <w:rsid w:val="00011378"/>
    <w:rsid w:val="000114E7"/>
    <w:rsid w:val="00011F67"/>
    <w:rsid w:val="00012862"/>
    <w:rsid w:val="000128E6"/>
    <w:rsid w:val="00013DF6"/>
    <w:rsid w:val="0001407F"/>
    <w:rsid w:val="000145BA"/>
    <w:rsid w:val="00015EFB"/>
    <w:rsid w:val="000165E2"/>
    <w:rsid w:val="00016990"/>
    <w:rsid w:val="000172BE"/>
    <w:rsid w:val="00017D8A"/>
    <w:rsid w:val="00021F40"/>
    <w:rsid w:val="00023388"/>
    <w:rsid w:val="00023425"/>
    <w:rsid w:val="0002351A"/>
    <w:rsid w:val="000236F9"/>
    <w:rsid w:val="000241BE"/>
    <w:rsid w:val="000242F2"/>
    <w:rsid w:val="00024635"/>
    <w:rsid w:val="00025185"/>
    <w:rsid w:val="00026D4B"/>
    <w:rsid w:val="000275C6"/>
    <w:rsid w:val="00027654"/>
    <w:rsid w:val="00027879"/>
    <w:rsid w:val="00027AD6"/>
    <w:rsid w:val="0003024C"/>
    <w:rsid w:val="00031ADB"/>
    <w:rsid w:val="00032056"/>
    <w:rsid w:val="000325F8"/>
    <w:rsid w:val="000328CA"/>
    <w:rsid w:val="00032E40"/>
    <w:rsid w:val="0003376B"/>
    <w:rsid w:val="00034676"/>
    <w:rsid w:val="000346E6"/>
    <w:rsid w:val="000352B3"/>
    <w:rsid w:val="00035B74"/>
    <w:rsid w:val="00035EB7"/>
    <w:rsid w:val="00036BA4"/>
    <w:rsid w:val="0004023E"/>
    <w:rsid w:val="0004024B"/>
    <w:rsid w:val="00040384"/>
    <w:rsid w:val="00041A34"/>
    <w:rsid w:val="00041C57"/>
    <w:rsid w:val="000434B7"/>
    <w:rsid w:val="000435E4"/>
    <w:rsid w:val="00046796"/>
    <w:rsid w:val="000467FD"/>
    <w:rsid w:val="00046AAF"/>
    <w:rsid w:val="00047225"/>
    <w:rsid w:val="00047E60"/>
    <w:rsid w:val="00050522"/>
    <w:rsid w:val="00052052"/>
    <w:rsid w:val="00052806"/>
    <w:rsid w:val="00052AD2"/>
    <w:rsid w:val="00052B1B"/>
    <w:rsid w:val="000530DF"/>
    <w:rsid w:val="0005469B"/>
    <w:rsid w:val="00054E0C"/>
    <w:rsid w:val="0005541D"/>
    <w:rsid w:val="00055908"/>
    <w:rsid w:val="000565C8"/>
    <w:rsid w:val="0005668A"/>
    <w:rsid w:val="00057DC8"/>
    <w:rsid w:val="000601EB"/>
    <w:rsid w:val="000607A6"/>
    <w:rsid w:val="00060E53"/>
    <w:rsid w:val="000612E1"/>
    <w:rsid w:val="000614FE"/>
    <w:rsid w:val="000638EC"/>
    <w:rsid w:val="00064007"/>
    <w:rsid w:val="00064667"/>
    <w:rsid w:val="00064D26"/>
    <w:rsid w:val="00064F19"/>
    <w:rsid w:val="0006598B"/>
    <w:rsid w:val="00065D38"/>
    <w:rsid w:val="000677F6"/>
    <w:rsid w:val="00067DD1"/>
    <w:rsid w:val="00070447"/>
    <w:rsid w:val="00070502"/>
    <w:rsid w:val="000706E7"/>
    <w:rsid w:val="00070EF8"/>
    <w:rsid w:val="00071192"/>
    <w:rsid w:val="000713A7"/>
    <w:rsid w:val="00071D40"/>
    <w:rsid w:val="00072011"/>
    <w:rsid w:val="00072A80"/>
    <w:rsid w:val="00072C4D"/>
    <w:rsid w:val="000731A0"/>
    <w:rsid w:val="000736C1"/>
    <w:rsid w:val="00073797"/>
    <w:rsid w:val="00073CE1"/>
    <w:rsid w:val="00073DEC"/>
    <w:rsid w:val="000745AA"/>
    <w:rsid w:val="00074A04"/>
    <w:rsid w:val="00074E86"/>
    <w:rsid w:val="000754AF"/>
    <w:rsid w:val="00076097"/>
    <w:rsid w:val="000761D5"/>
    <w:rsid w:val="00076541"/>
    <w:rsid w:val="000772F4"/>
    <w:rsid w:val="000776EB"/>
    <w:rsid w:val="00081C54"/>
    <w:rsid w:val="000823B0"/>
    <w:rsid w:val="00082FE3"/>
    <w:rsid w:val="0008335B"/>
    <w:rsid w:val="00083379"/>
    <w:rsid w:val="00083587"/>
    <w:rsid w:val="00083838"/>
    <w:rsid w:val="00083B3E"/>
    <w:rsid w:val="00083B6A"/>
    <w:rsid w:val="000848A8"/>
    <w:rsid w:val="00085D54"/>
    <w:rsid w:val="00085E04"/>
    <w:rsid w:val="00086800"/>
    <w:rsid w:val="000871AA"/>
    <w:rsid w:val="00087913"/>
    <w:rsid w:val="00087DE9"/>
    <w:rsid w:val="00087F77"/>
    <w:rsid w:val="000902DC"/>
    <w:rsid w:val="000911AE"/>
    <w:rsid w:val="000913C4"/>
    <w:rsid w:val="00093697"/>
    <w:rsid w:val="00093D42"/>
    <w:rsid w:val="00093DD0"/>
    <w:rsid w:val="00094A16"/>
    <w:rsid w:val="00094DE6"/>
    <w:rsid w:val="000950EC"/>
    <w:rsid w:val="00096356"/>
    <w:rsid w:val="00097C99"/>
    <w:rsid w:val="000A0F14"/>
    <w:rsid w:val="000A1263"/>
    <w:rsid w:val="000A1441"/>
    <w:rsid w:val="000A1A06"/>
    <w:rsid w:val="000A1B60"/>
    <w:rsid w:val="000A21B4"/>
    <w:rsid w:val="000A2CC7"/>
    <w:rsid w:val="000A2ED6"/>
    <w:rsid w:val="000A4205"/>
    <w:rsid w:val="000A4A19"/>
    <w:rsid w:val="000A4DFE"/>
    <w:rsid w:val="000A623B"/>
    <w:rsid w:val="000A6351"/>
    <w:rsid w:val="000A63D6"/>
    <w:rsid w:val="000A66F2"/>
    <w:rsid w:val="000A6BA0"/>
    <w:rsid w:val="000A6E18"/>
    <w:rsid w:val="000A78F2"/>
    <w:rsid w:val="000A7B38"/>
    <w:rsid w:val="000B0343"/>
    <w:rsid w:val="000B2370"/>
    <w:rsid w:val="000B28D2"/>
    <w:rsid w:val="000B2985"/>
    <w:rsid w:val="000B2C88"/>
    <w:rsid w:val="000B3342"/>
    <w:rsid w:val="000B3643"/>
    <w:rsid w:val="000B51FA"/>
    <w:rsid w:val="000B5747"/>
    <w:rsid w:val="000B5905"/>
    <w:rsid w:val="000B5975"/>
    <w:rsid w:val="000B6621"/>
    <w:rsid w:val="000B68A8"/>
    <w:rsid w:val="000B6E2C"/>
    <w:rsid w:val="000B76C5"/>
    <w:rsid w:val="000B7A10"/>
    <w:rsid w:val="000C09DD"/>
    <w:rsid w:val="000C115D"/>
    <w:rsid w:val="000C1535"/>
    <w:rsid w:val="000C252B"/>
    <w:rsid w:val="000C2FBD"/>
    <w:rsid w:val="000C3AAE"/>
    <w:rsid w:val="000C3B0C"/>
    <w:rsid w:val="000C41E6"/>
    <w:rsid w:val="000C422D"/>
    <w:rsid w:val="000C5F91"/>
    <w:rsid w:val="000C6025"/>
    <w:rsid w:val="000C725C"/>
    <w:rsid w:val="000C76BD"/>
    <w:rsid w:val="000D0565"/>
    <w:rsid w:val="000D0BB3"/>
    <w:rsid w:val="000D0E4E"/>
    <w:rsid w:val="000D1011"/>
    <w:rsid w:val="000D113C"/>
    <w:rsid w:val="000D12D1"/>
    <w:rsid w:val="000D159A"/>
    <w:rsid w:val="000D1796"/>
    <w:rsid w:val="000D22CC"/>
    <w:rsid w:val="000D2E4A"/>
    <w:rsid w:val="000D36AE"/>
    <w:rsid w:val="000D38A1"/>
    <w:rsid w:val="000D480E"/>
    <w:rsid w:val="000D4911"/>
    <w:rsid w:val="000D4C4E"/>
    <w:rsid w:val="000D5077"/>
    <w:rsid w:val="000D5362"/>
    <w:rsid w:val="000D54DB"/>
    <w:rsid w:val="000D57F8"/>
    <w:rsid w:val="000D5851"/>
    <w:rsid w:val="000D5B9E"/>
    <w:rsid w:val="000D5C60"/>
    <w:rsid w:val="000D71E2"/>
    <w:rsid w:val="000D73A5"/>
    <w:rsid w:val="000D7BCF"/>
    <w:rsid w:val="000E07D6"/>
    <w:rsid w:val="000E1380"/>
    <w:rsid w:val="000E14A7"/>
    <w:rsid w:val="000E18DF"/>
    <w:rsid w:val="000E34F3"/>
    <w:rsid w:val="000E44A1"/>
    <w:rsid w:val="000E59A0"/>
    <w:rsid w:val="000E7A84"/>
    <w:rsid w:val="000F06AD"/>
    <w:rsid w:val="000F15BC"/>
    <w:rsid w:val="000F180A"/>
    <w:rsid w:val="000F1C92"/>
    <w:rsid w:val="000F2EEE"/>
    <w:rsid w:val="000F3697"/>
    <w:rsid w:val="000F3A8D"/>
    <w:rsid w:val="000F3C52"/>
    <w:rsid w:val="000F53E9"/>
    <w:rsid w:val="000F5725"/>
    <w:rsid w:val="000F6DD2"/>
    <w:rsid w:val="000F7E87"/>
    <w:rsid w:val="000F7F58"/>
    <w:rsid w:val="00100128"/>
    <w:rsid w:val="00100487"/>
    <w:rsid w:val="001004C0"/>
    <w:rsid w:val="00100FF3"/>
    <w:rsid w:val="001014EA"/>
    <w:rsid w:val="001026CA"/>
    <w:rsid w:val="00102F44"/>
    <w:rsid w:val="00103C09"/>
    <w:rsid w:val="00103FDA"/>
    <w:rsid w:val="001043C2"/>
    <w:rsid w:val="001043E1"/>
    <w:rsid w:val="00104AE7"/>
    <w:rsid w:val="0010505A"/>
    <w:rsid w:val="00105CC7"/>
    <w:rsid w:val="00107779"/>
    <w:rsid w:val="001078C2"/>
    <w:rsid w:val="00107DDD"/>
    <w:rsid w:val="00107E1C"/>
    <w:rsid w:val="00107EA1"/>
    <w:rsid w:val="00110243"/>
    <w:rsid w:val="001112C4"/>
    <w:rsid w:val="00111425"/>
    <w:rsid w:val="00111444"/>
    <w:rsid w:val="00111723"/>
    <w:rsid w:val="00112144"/>
    <w:rsid w:val="00112436"/>
    <w:rsid w:val="001129B5"/>
    <w:rsid w:val="00112BE6"/>
    <w:rsid w:val="00113ED6"/>
    <w:rsid w:val="001141E3"/>
    <w:rsid w:val="001142DC"/>
    <w:rsid w:val="001144DF"/>
    <w:rsid w:val="00114DE8"/>
    <w:rsid w:val="0011557B"/>
    <w:rsid w:val="001165BA"/>
    <w:rsid w:val="00116E4A"/>
    <w:rsid w:val="001178A5"/>
    <w:rsid w:val="00117C85"/>
    <w:rsid w:val="00120184"/>
    <w:rsid w:val="00120B13"/>
    <w:rsid w:val="001222D8"/>
    <w:rsid w:val="00124D84"/>
    <w:rsid w:val="001250DD"/>
    <w:rsid w:val="00125733"/>
    <w:rsid w:val="001263AA"/>
    <w:rsid w:val="0013038F"/>
    <w:rsid w:val="00130779"/>
    <w:rsid w:val="001307A1"/>
    <w:rsid w:val="001321D3"/>
    <w:rsid w:val="0013263B"/>
    <w:rsid w:val="00133448"/>
    <w:rsid w:val="00133599"/>
    <w:rsid w:val="00133BF7"/>
    <w:rsid w:val="00133C9E"/>
    <w:rsid w:val="0013459A"/>
    <w:rsid w:val="00134B88"/>
    <w:rsid w:val="00136A23"/>
    <w:rsid w:val="00136B99"/>
    <w:rsid w:val="00140459"/>
    <w:rsid w:val="0014063E"/>
    <w:rsid w:val="0014087D"/>
    <w:rsid w:val="00140F74"/>
    <w:rsid w:val="00141191"/>
    <w:rsid w:val="0014159C"/>
    <w:rsid w:val="00142665"/>
    <w:rsid w:val="00142D61"/>
    <w:rsid w:val="0014306F"/>
    <w:rsid w:val="0014384A"/>
    <w:rsid w:val="0014450F"/>
    <w:rsid w:val="00144D8F"/>
    <w:rsid w:val="00145864"/>
    <w:rsid w:val="00145C74"/>
    <w:rsid w:val="001462E9"/>
    <w:rsid w:val="00146476"/>
    <w:rsid w:val="00146E32"/>
    <w:rsid w:val="00146F10"/>
    <w:rsid w:val="001473AE"/>
    <w:rsid w:val="00151619"/>
    <w:rsid w:val="00152835"/>
    <w:rsid w:val="00152B9E"/>
    <w:rsid w:val="00154207"/>
    <w:rsid w:val="00155490"/>
    <w:rsid w:val="001559FA"/>
    <w:rsid w:val="00156374"/>
    <w:rsid w:val="00156749"/>
    <w:rsid w:val="00157362"/>
    <w:rsid w:val="00157425"/>
    <w:rsid w:val="001577D8"/>
    <w:rsid w:val="00157FC3"/>
    <w:rsid w:val="00160342"/>
    <w:rsid w:val="00160739"/>
    <w:rsid w:val="001617C2"/>
    <w:rsid w:val="0016271E"/>
    <w:rsid w:val="00162931"/>
    <w:rsid w:val="00162D7A"/>
    <w:rsid w:val="00164DAB"/>
    <w:rsid w:val="00165110"/>
    <w:rsid w:val="00165956"/>
    <w:rsid w:val="00165BBB"/>
    <w:rsid w:val="0016613F"/>
    <w:rsid w:val="00166215"/>
    <w:rsid w:val="00166235"/>
    <w:rsid w:val="00166591"/>
    <w:rsid w:val="00166F4B"/>
    <w:rsid w:val="00167A69"/>
    <w:rsid w:val="00167B80"/>
    <w:rsid w:val="00170CE0"/>
    <w:rsid w:val="00171045"/>
    <w:rsid w:val="00171143"/>
    <w:rsid w:val="00172864"/>
    <w:rsid w:val="00172B82"/>
    <w:rsid w:val="00172EFA"/>
    <w:rsid w:val="00173282"/>
    <w:rsid w:val="00173608"/>
    <w:rsid w:val="001745EC"/>
    <w:rsid w:val="001747B7"/>
    <w:rsid w:val="00174B80"/>
    <w:rsid w:val="00175C30"/>
    <w:rsid w:val="00176E03"/>
    <w:rsid w:val="00177069"/>
    <w:rsid w:val="00177FC1"/>
    <w:rsid w:val="001815A2"/>
    <w:rsid w:val="00181B29"/>
    <w:rsid w:val="00181FC1"/>
    <w:rsid w:val="001829A4"/>
    <w:rsid w:val="00183034"/>
    <w:rsid w:val="001830F7"/>
    <w:rsid w:val="00183EE6"/>
    <w:rsid w:val="00183EEE"/>
    <w:rsid w:val="00184079"/>
    <w:rsid w:val="0018588A"/>
    <w:rsid w:val="00186DB3"/>
    <w:rsid w:val="00187252"/>
    <w:rsid w:val="0018765D"/>
    <w:rsid w:val="00190BFF"/>
    <w:rsid w:val="00190EBD"/>
    <w:rsid w:val="00191C91"/>
    <w:rsid w:val="00191D95"/>
    <w:rsid w:val="00192DD9"/>
    <w:rsid w:val="00194339"/>
    <w:rsid w:val="00194848"/>
    <w:rsid w:val="00194F52"/>
    <w:rsid w:val="001958EA"/>
    <w:rsid w:val="00195C80"/>
    <w:rsid w:val="00195E0E"/>
    <w:rsid w:val="001965B8"/>
    <w:rsid w:val="0019703F"/>
    <w:rsid w:val="001A0AC0"/>
    <w:rsid w:val="001A0BBE"/>
    <w:rsid w:val="001A180D"/>
    <w:rsid w:val="001A1BAC"/>
    <w:rsid w:val="001A1D72"/>
    <w:rsid w:val="001A23CE"/>
    <w:rsid w:val="001A2C89"/>
    <w:rsid w:val="001A3FD0"/>
    <w:rsid w:val="001A4C99"/>
    <w:rsid w:val="001A673E"/>
    <w:rsid w:val="001A7763"/>
    <w:rsid w:val="001B0944"/>
    <w:rsid w:val="001B0F5E"/>
    <w:rsid w:val="001B3964"/>
    <w:rsid w:val="001B3D19"/>
    <w:rsid w:val="001B4051"/>
    <w:rsid w:val="001B4452"/>
    <w:rsid w:val="001B466C"/>
    <w:rsid w:val="001B4F34"/>
    <w:rsid w:val="001B52EC"/>
    <w:rsid w:val="001B554A"/>
    <w:rsid w:val="001B56DC"/>
    <w:rsid w:val="001B5907"/>
    <w:rsid w:val="001B5DFD"/>
    <w:rsid w:val="001B61A3"/>
    <w:rsid w:val="001B6564"/>
    <w:rsid w:val="001B691A"/>
    <w:rsid w:val="001B7533"/>
    <w:rsid w:val="001B78C0"/>
    <w:rsid w:val="001C02D8"/>
    <w:rsid w:val="001C04E3"/>
    <w:rsid w:val="001C1B8D"/>
    <w:rsid w:val="001C2378"/>
    <w:rsid w:val="001C32CD"/>
    <w:rsid w:val="001C3DC7"/>
    <w:rsid w:val="001C3EE9"/>
    <w:rsid w:val="001C3FA4"/>
    <w:rsid w:val="001C40F9"/>
    <w:rsid w:val="001C4155"/>
    <w:rsid w:val="001C458B"/>
    <w:rsid w:val="001C4952"/>
    <w:rsid w:val="001C4BEB"/>
    <w:rsid w:val="001C5281"/>
    <w:rsid w:val="001C5D4F"/>
    <w:rsid w:val="001C64C0"/>
    <w:rsid w:val="001C665F"/>
    <w:rsid w:val="001C69DA"/>
    <w:rsid w:val="001C6F06"/>
    <w:rsid w:val="001C7209"/>
    <w:rsid w:val="001D0565"/>
    <w:rsid w:val="001D0A41"/>
    <w:rsid w:val="001D0B7F"/>
    <w:rsid w:val="001D2360"/>
    <w:rsid w:val="001D3109"/>
    <w:rsid w:val="001D332E"/>
    <w:rsid w:val="001D356C"/>
    <w:rsid w:val="001D3FAA"/>
    <w:rsid w:val="001D5033"/>
    <w:rsid w:val="001D56A4"/>
    <w:rsid w:val="001D5C88"/>
    <w:rsid w:val="001D5C98"/>
    <w:rsid w:val="001D6567"/>
    <w:rsid w:val="001D695C"/>
    <w:rsid w:val="001D6FAB"/>
    <w:rsid w:val="001D6FD9"/>
    <w:rsid w:val="001D780E"/>
    <w:rsid w:val="001D798A"/>
    <w:rsid w:val="001E02F8"/>
    <w:rsid w:val="001E05C3"/>
    <w:rsid w:val="001E0AD3"/>
    <w:rsid w:val="001E22B4"/>
    <w:rsid w:val="001E2C52"/>
    <w:rsid w:val="001E32F8"/>
    <w:rsid w:val="001E36E4"/>
    <w:rsid w:val="001E379D"/>
    <w:rsid w:val="001E3914"/>
    <w:rsid w:val="001E3A3C"/>
    <w:rsid w:val="001E4F02"/>
    <w:rsid w:val="001E5076"/>
    <w:rsid w:val="001E5C23"/>
    <w:rsid w:val="001E621E"/>
    <w:rsid w:val="001E6803"/>
    <w:rsid w:val="001E7504"/>
    <w:rsid w:val="001E76DF"/>
    <w:rsid w:val="001F03C1"/>
    <w:rsid w:val="001F1136"/>
    <w:rsid w:val="001F1308"/>
    <w:rsid w:val="001F1525"/>
    <w:rsid w:val="001F1E87"/>
    <w:rsid w:val="001F1EB6"/>
    <w:rsid w:val="001F2858"/>
    <w:rsid w:val="001F28BE"/>
    <w:rsid w:val="001F2D1C"/>
    <w:rsid w:val="001F2E23"/>
    <w:rsid w:val="001F341F"/>
    <w:rsid w:val="001F3772"/>
    <w:rsid w:val="001F383F"/>
    <w:rsid w:val="001F3911"/>
    <w:rsid w:val="001F3F1A"/>
    <w:rsid w:val="001F4CBD"/>
    <w:rsid w:val="001F5545"/>
    <w:rsid w:val="001F5777"/>
    <w:rsid w:val="001F5937"/>
    <w:rsid w:val="001F59E3"/>
    <w:rsid w:val="001F59ED"/>
    <w:rsid w:val="001F7121"/>
    <w:rsid w:val="00200639"/>
    <w:rsid w:val="00200D2C"/>
    <w:rsid w:val="00201888"/>
    <w:rsid w:val="002019D8"/>
    <w:rsid w:val="00201EC7"/>
    <w:rsid w:val="00202306"/>
    <w:rsid w:val="00202D7A"/>
    <w:rsid w:val="00202E6C"/>
    <w:rsid w:val="00202E9F"/>
    <w:rsid w:val="0020349A"/>
    <w:rsid w:val="002034B4"/>
    <w:rsid w:val="00203DD8"/>
    <w:rsid w:val="00204032"/>
    <w:rsid w:val="00204BAD"/>
    <w:rsid w:val="00204D60"/>
    <w:rsid w:val="00205627"/>
    <w:rsid w:val="00205664"/>
    <w:rsid w:val="002056D0"/>
    <w:rsid w:val="00205E9A"/>
    <w:rsid w:val="00210860"/>
    <w:rsid w:val="00210B6A"/>
    <w:rsid w:val="00212CB6"/>
    <w:rsid w:val="00212E37"/>
    <w:rsid w:val="002140FF"/>
    <w:rsid w:val="00215D6C"/>
    <w:rsid w:val="0021717E"/>
    <w:rsid w:val="00217D55"/>
    <w:rsid w:val="002205C7"/>
    <w:rsid w:val="00220894"/>
    <w:rsid w:val="002219E2"/>
    <w:rsid w:val="00223600"/>
    <w:rsid w:val="002239BA"/>
    <w:rsid w:val="0022466A"/>
    <w:rsid w:val="00224952"/>
    <w:rsid w:val="00224DD2"/>
    <w:rsid w:val="002252C6"/>
    <w:rsid w:val="00225A6A"/>
    <w:rsid w:val="00225AC7"/>
    <w:rsid w:val="00225ACC"/>
    <w:rsid w:val="002266BC"/>
    <w:rsid w:val="00227873"/>
    <w:rsid w:val="00230C34"/>
    <w:rsid w:val="00230DFE"/>
    <w:rsid w:val="00231C25"/>
    <w:rsid w:val="00231C6F"/>
    <w:rsid w:val="00232A90"/>
    <w:rsid w:val="00233251"/>
    <w:rsid w:val="00234151"/>
    <w:rsid w:val="00234C6D"/>
    <w:rsid w:val="00234F8C"/>
    <w:rsid w:val="00235542"/>
    <w:rsid w:val="002360DD"/>
    <w:rsid w:val="00236993"/>
    <w:rsid w:val="002369B0"/>
    <w:rsid w:val="00236AD8"/>
    <w:rsid w:val="00236C42"/>
    <w:rsid w:val="00237F01"/>
    <w:rsid w:val="002401F5"/>
    <w:rsid w:val="002406F6"/>
    <w:rsid w:val="00240E54"/>
    <w:rsid w:val="002451C5"/>
    <w:rsid w:val="00245F1F"/>
    <w:rsid w:val="00246000"/>
    <w:rsid w:val="0024663B"/>
    <w:rsid w:val="00247103"/>
    <w:rsid w:val="00250067"/>
    <w:rsid w:val="0025015C"/>
    <w:rsid w:val="002516DE"/>
    <w:rsid w:val="00251F81"/>
    <w:rsid w:val="00252BE0"/>
    <w:rsid w:val="00253588"/>
    <w:rsid w:val="00253F6B"/>
    <w:rsid w:val="002546F4"/>
    <w:rsid w:val="002551D0"/>
    <w:rsid w:val="0025535F"/>
    <w:rsid w:val="00255374"/>
    <w:rsid w:val="00256C06"/>
    <w:rsid w:val="00257BF4"/>
    <w:rsid w:val="00260003"/>
    <w:rsid w:val="0026035D"/>
    <w:rsid w:val="002606D6"/>
    <w:rsid w:val="002609AC"/>
    <w:rsid w:val="00261C98"/>
    <w:rsid w:val="0026248E"/>
    <w:rsid w:val="00262914"/>
    <w:rsid w:val="002634A3"/>
    <w:rsid w:val="00263797"/>
    <w:rsid w:val="002647BF"/>
    <w:rsid w:val="002647D5"/>
    <w:rsid w:val="00264C8F"/>
    <w:rsid w:val="00265032"/>
    <w:rsid w:val="002651FB"/>
    <w:rsid w:val="0026538C"/>
    <w:rsid w:val="00265781"/>
    <w:rsid w:val="00266B13"/>
    <w:rsid w:val="0026752B"/>
    <w:rsid w:val="00267914"/>
    <w:rsid w:val="00270728"/>
    <w:rsid w:val="00270D42"/>
    <w:rsid w:val="0027195D"/>
    <w:rsid w:val="00272B03"/>
    <w:rsid w:val="00272C87"/>
    <w:rsid w:val="00272F47"/>
    <w:rsid w:val="002733E2"/>
    <w:rsid w:val="00274FC8"/>
    <w:rsid w:val="0027508F"/>
    <w:rsid w:val="002750B1"/>
    <w:rsid w:val="0027546B"/>
    <w:rsid w:val="00275523"/>
    <w:rsid w:val="00276A35"/>
    <w:rsid w:val="00277835"/>
    <w:rsid w:val="00280204"/>
    <w:rsid w:val="00280524"/>
    <w:rsid w:val="00280A4F"/>
    <w:rsid w:val="00280AB1"/>
    <w:rsid w:val="002837A1"/>
    <w:rsid w:val="00283B56"/>
    <w:rsid w:val="00283B9C"/>
    <w:rsid w:val="00283C8D"/>
    <w:rsid w:val="00284BAE"/>
    <w:rsid w:val="002859AF"/>
    <w:rsid w:val="00286AE7"/>
    <w:rsid w:val="00287243"/>
    <w:rsid w:val="00290647"/>
    <w:rsid w:val="002907DB"/>
    <w:rsid w:val="00291385"/>
    <w:rsid w:val="00291422"/>
    <w:rsid w:val="002914D3"/>
    <w:rsid w:val="00291EC2"/>
    <w:rsid w:val="0029237F"/>
    <w:rsid w:val="00292715"/>
    <w:rsid w:val="00292797"/>
    <w:rsid w:val="00293008"/>
    <w:rsid w:val="00293E57"/>
    <w:rsid w:val="002947D1"/>
    <w:rsid w:val="002948DF"/>
    <w:rsid w:val="00294B22"/>
    <w:rsid w:val="00294D90"/>
    <w:rsid w:val="00294DD3"/>
    <w:rsid w:val="00295FFE"/>
    <w:rsid w:val="002A1A99"/>
    <w:rsid w:val="002A1E92"/>
    <w:rsid w:val="002A204D"/>
    <w:rsid w:val="002A2616"/>
    <w:rsid w:val="002A26E1"/>
    <w:rsid w:val="002A28BF"/>
    <w:rsid w:val="002A2D8B"/>
    <w:rsid w:val="002A368A"/>
    <w:rsid w:val="002A4065"/>
    <w:rsid w:val="002A59F0"/>
    <w:rsid w:val="002A6432"/>
    <w:rsid w:val="002A6F25"/>
    <w:rsid w:val="002A6FD3"/>
    <w:rsid w:val="002A753B"/>
    <w:rsid w:val="002A7CC7"/>
    <w:rsid w:val="002A7ED1"/>
    <w:rsid w:val="002B0A7D"/>
    <w:rsid w:val="002B0D89"/>
    <w:rsid w:val="002B1622"/>
    <w:rsid w:val="002B1A69"/>
    <w:rsid w:val="002B2723"/>
    <w:rsid w:val="002B2F26"/>
    <w:rsid w:val="002B303A"/>
    <w:rsid w:val="002B3F62"/>
    <w:rsid w:val="002B41C7"/>
    <w:rsid w:val="002B4F41"/>
    <w:rsid w:val="002B538E"/>
    <w:rsid w:val="002B5DCA"/>
    <w:rsid w:val="002B6BDC"/>
    <w:rsid w:val="002B75B0"/>
    <w:rsid w:val="002B7EAF"/>
    <w:rsid w:val="002B7F4F"/>
    <w:rsid w:val="002C0141"/>
    <w:rsid w:val="002C099C"/>
    <w:rsid w:val="002C0B74"/>
    <w:rsid w:val="002C0C8B"/>
    <w:rsid w:val="002C0CBB"/>
    <w:rsid w:val="002C1201"/>
    <w:rsid w:val="002C1460"/>
    <w:rsid w:val="002C1FD5"/>
    <w:rsid w:val="002C20F2"/>
    <w:rsid w:val="002C3684"/>
    <w:rsid w:val="002C38B2"/>
    <w:rsid w:val="002C3F9C"/>
    <w:rsid w:val="002C471C"/>
    <w:rsid w:val="002C4F33"/>
    <w:rsid w:val="002C5AFA"/>
    <w:rsid w:val="002C6DFC"/>
    <w:rsid w:val="002D0439"/>
    <w:rsid w:val="002D11B7"/>
    <w:rsid w:val="002D1672"/>
    <w:rsid w:val="002D2B28"/>
    <w:rsid w:val="002D3BBC"/>
    <w:rsid w:val="002D438A"/>
    <w:rsid w:val="002D4D4F"/>
    <w:rsid w:val="002D50B1"/>
    <w:rsid w:val="002D5738"/>
    <w:rsid w:val="002D5E05"/>
    <w:rsid w:val="002D5E53"/>
    <w:rsid w:val="002E0230"/>
    <w:rsid w:val="002E0319"/>
    <w:rsid w:val="002E179B"/>
    <w:rsid w:val="002E1C9E"/>
    <w:rsid w:val="002E1E03"/>
    <w:rsid w:val="002E257B"/>
    <w:rsid w:val="002E2C7D"/>
    <w:rsid w:val="002E3C65"/>
    <w:rsid w:val="002E3F5B"/>
    <w:rsid w:val="002E4362"/>
    <w:rsid w:val="002E47BC"/>
    <w:rsid w:val="002E5D27"/>
    <w:rsid w:val="002E63D9"/>
    <w:rsid w:val="002E640E"/>
    <w:rsid w:val="002E769E"/>
    <w:rsid w:val="002F0C28"/>
    <w:rsid w:val="002F208E"/>
    <w:rsid w:val="002F3CDE"/>
    <w:rsid w:val="002F3E21"/>
    <w:rsid w:val="002F47BF"/>
    <w:rsid w:val="002F49D8"/>
    <w:rsid w:val="002F588C"/>
    <w:rsid w:val="002F5DD6"/>
    <w:rsid w:val="002F5FEA"/>
    <w:rsid w:val="002F63E7"/>
    <w:rsid w:val="002F7BE3"/>
    <w:rsid w:val="002F7E6A"/>
    <w:rsid w:val="00300165"/>
    <w:rsid w:val="003010CF"/>
    <w:rsid w:val="00303082"/>
    <w:rsid w:val="00303440"/>
    <w:rsid w:val="00304B42"/>
    <w:rsid w:val="00304C59"/>
    <w:rsid w:val="00304D9B"/>
    <w:rsid w:val="00305ADE"/>
    <w:rsid w:val="00305BA5"/>
    <w:rsid w:val="00305D2F"/>
    <w:rsid w:val="00305FF9"/>
    <w:rsid w:val="003063DC"/>
    <w:rsid w:val="003069D6"/>
    <w:rsid w:val="00306E0C"/>
    <w:rsid w:val="00306E6B"/>
    <w:rsid w:val="003100C8"/>
    <w:rsid w:val="00311161"/>
    <w:rsid w:val="003120A7"/>
    <w:rsid w:val="00312400"/>
    <w:rsid w:val="00312739"/>
    <w:rsid w:val="00312D10"/>
    <w:rsid w:val="00313C27"/>
    <w:rsid w:val="003144FA"/>
    <w:rsid w:val="00316A60"/>
    <w:rsid w:val="00316EDC"/>
    <w:rsid w:val="003178DA"/>
    <w:rsid w:val="00317DB8"/>
    <w:rsid w:val="00320618"/>
    <w:rsid w:val="0032100B"/>
    <w:rsid w:val="003215E2"/>
    <w:rsid w:val="00321BD7"/>
    <w:rsid w:val="0032228A"/>
    <w:rsid w:val="0032260F"/>
    <w:rsid w:val="0032266D"/>
    <w:rsid w:val="003228DA"/>
    <w:rsid w:val="0032362D"/>
    <w:rsid w:val="00323D6B"/>
    <w:rsid w:val="00326957"/>
    <w:rsid w:val="00326AE2"/>
    <w:rsid w:val="00326BD7"/>
    <w:rsid w:val="00327034"/>
    <w:rsid w:val="00331426"/>
    <w:rsid w:val="0033171D"/>
    <w:rsid w:val="00331FC3"/>
    <w:rsid w:val="003325ED"/>
    <w:rsid w:val="003336B3"/>
    <w:rsid w:val="00334D33"/>
    <w:rsid w:val="00335B75"/>
    <w:rsid w:val="00335D8C"/>
    <w:rsid w:val="00335E5F"/>
    <w:rsid w:val="00336072"/>
    <w:rsid w:val="003363A1"/>
    <w:rsid w:val="0033659F"/>
    <w:rsid w:val="00336772"/>
    <w:rsid w:val="003373C4"/>
    <w:rsid w:val="003379BD"/>
    <w:rsid w:val="0034226D"/>
    <w:rsid w:val="00342972"/>
    <w:rsid w:val="00342FDD"/>
    <w:rsid w:val="0034429B"/>
    <w:rsid w:val="00344866"/>
    <w:rsid w:val="0034638C"/>
    <w:rsid w:val="0034686E"/>
    <w:rsid w:val="00346F7F"/>
    <w:rsid w:val="00350108"/>
    <w:rsid w:val="00350762"/>
    <w:rsid w:val="003507C4"/>
    <w:rsid w:val="0035140A"/>
    <w:rsid w:val="003517D1"/>
    <w:rsid w:val="003519A1"/>
    <w:rsid w:val="00352480"/>
    <w:rsid w:val="003530D2"/>
    <w:rsid w:val="0035331A"/>
    <w:rsid w:val="003534E1"/>
    <w:rsid w:val="0035442C"/>
    <w:rsid w:val="003548D8"/>
    <w:rsid w:val="003554CA"/>
    <w:rsid w:val="00355BBC"/>
    <w:rsid w:val="003601E2"/>
    <w:rsid w:val="00360232"/>
    <w:rsid w:val="003602E0"/>
    <w:rsid w:val="00360D01"/>
    <w:rsid w:val="00362569"/>
    <w:rsid w:val="003636CD"/>
    <w:rsid w:val="0036487C"/>
    <w:rsid w:val="00364F8A"/>
    <w:rsid w:val="00365411"/>
    <w:rsid w:val="00365AC2"/>
    <w:rsid w:val="00365FA2"/>
    <w:rsid w:val="00366C69"/>
    <w:rsid w:val="00367041"/>
    <w:rsid w:val="00367441"/>
    <w:rsid w:val="00367B1D"/>
    <w:rsid w:val="003707A4"/>
    <w:rsid w:val="00370E4F"/>
    <w:rsid w:val="00371215"/>
    <w:rsid w:val="0037228A"/>
    <w:rsid w:val="00372DCA"/>
    <w:rsid w:val="00372F0D"/>
    <w:rsid w:val="00374059"/>
    <w:rsid w:val="00374768"/>
    <w:rsid w:val="0037535B"/>
    <w:rsid w:val="0037552D"/>
    <w:rsid w:val="003756DB"/>
    <w:rsid w:val="0037575B"/>
    <w:rsid w:val="00375928"/>
    <w:rsid w:val="003766F7"/>
    <w:rsid w:val="003770BB"/>
    <w:rsid w:val="003774C3"/>
    <w:rsid w:val="0037771A"/>
    <w:rsid w:val="003802DC"/>
    <w:rsid w:val="00380E4E"/>
    <w:rsid w:val="00380FBF"/>
    <w:rsid w:val="00381F42"/>
    <w:rsid w:val="00382787"/>
    <w:rsid w:val="00382A43"/>
    <w:rsid w:val="00382D60"/>
    <w:rsid w:val="00382F29"/>
    <w:rsid w:val="00383C8D"/>
    <w:rsid w:val="003847AD"/>
    <w:rsid w:val="003852FB"/>
    <w:rsid w:val="00385429"/>
    <w:rsid w:val="00385B05"/>
    <w:rsid w:val="003860D3"/>
    <w:rsid w:val="00386382"/>
    <w:rsid w:val="003865EF"/>
    <w:rsid w:val="00386BA9"/>
    <w:rsid w:val="00386D1E"/>
    <w:rsid w:val="00390017"/>
    <w:rsid w:val="003901A3"/>
    <w:rsid w:val="0039072F"/>
    <w:rsid w:val="00390F40"/>
    <w:rsid w:val="00392197"/>
    <w:rsid w:val="00392D7D"/>
    <w:rsid w:val="00393B28"/>
    <w:rsid w:val="00393B86"/>
    <w:rsid w:val="003940CE"/>
    <w:rsid w:val="003957CD"/>
    <w:rsid w:val="00395AD0"/>
    <w:rsid w:val="00397C1D"/>
    <w:rsid w:val="003A180F"/>
    <w:rsid w:val="003A18DD"/>
    <w:rsid w:val="003A20C8"/>
    <w:rsid w:val="003A2C29"/>
    <w:rsid w:val="003A2EC3"/>
    <w:rsid w:val="003A36F2"/>
    <w:rsid w:val="003A3D39"/>
    <w:rsid w:val="003A3EC7"/>
    <w:rsid w:val="003A40B4"/>
    <w:rsid w:val="003A441A"/>
    <w:rsid w:val="003A48F2"/>
    <w:rsid w:val="003A70C4"/>
    <w:rsid w:val="003A7834"/>
    <w:rsid w:val="003B0B5B"/>
    <w:rsid w:val="003B0E79"/>
    <w:rsid w:val="003B19A2"/>
    <w:rsid w:val="003B24C1"/>
    <w:rsid w:val="003B2818"/>
    <w:rsid w:val="003B3212"/>
    <w:rsid w:val="003B33BB"/>
    <w:rsid w:val="003B3575"/>
    <w:rsid w:val="003B50BC"/>
    <w:rsid w:val="003B5D97"/>
    <w:rsid w:val="003B63A4"/>
    <w:rsid w:val="003B667B"/>
    <w:rsid w:val="003B68FE"/>
    <w:rsid w:val="003B6D7D"/>
    <w:rsid w:val="003B7D7E"/>
    <w:rsid w:val="003C1012"/>
    <w:rsid w:val="003C11C9"/>
    <w:rsid w:val="003C1229"/>
    <w:rsid w:val="003C1FD4"/>
    <w:rsid w:val="003C2044"/>
    <w:rsid w:val="003C213D"/>
    <w:rsid w:val="003C25AD"/>
    <w:rsid w:val="003C2D21"/>
    <w:rsid w:val="003C2E45"/>
    <w:rsid w:val="003C346D"/>
    <w:rsid w:val="003C44DF"/>
    <w:rsid w:val="003C48CE"/>
    <w:rsid w:val="003C5E6B"/>
    <w:rsid w:val="003C63E3"/>
    <w:rsid w:val="003C6FCB"/>
    <w:rsid w:val="003C7AD7"/>
    <w:rsid w:val="003C7BB4"/>
    <w:rsid w:val="003D0FC3"/>
    <w:rsid w:val="003D1031"/>
    <w:rsid w:val="003D2697"/>
    <w:rsid w:val="003D2C1D"/>
    <w:rsid w:val="003D2C34"/>
    <w:rsid w:val="003D39EC"/>
    <w:rsid w:val="003D3CC8"/>
    <w:rsid w:val="003D3DDD"/>
    <w:rsid w:val="003D43EF"/>
    <w:rsid w:val="003D4E0A"/>
    <w:rsid w:val="003D5668"/>
    <w:rsid w:val="003D5BE4"/>
    <w:rsid w:val="003D5CBF"/>
    <w:rsid w:val="003D66D2"/>
    <w:rsid w:val="003D66E3"/>
    <w:rsid w:val="003D71B0"/>
    <w:rsid w:val="003E0320"/>
    <w:rsid w:val="003E058B"/>
    <w:rsid w:val="003E07AE"/>
    <w:rsid w:val="003E0AC3"/>
    <w:rsid w:val="003E0F84"/>
    <w:rsid w:val="003E1029"/>
    <w:rsid w:val="003E1276"/>
    <w:rsid w:val="003E14FC"/>
    <w:rsid w:val="003E2976"/>
    <w:rsid w:val="003E2C80"/>
    <w:rsid w:val="003E4858"/>
    <w:rsid w:val="003E6081"/>
    <w:rsid w:val="003E6205"/>
    <w:rsid w:val="003E6316"/>
    <w:rsid w:val="003E6724"/>
    <w:rsid w:val="003E6884"/>
    <w:rsid w:val="003E6AC5"/>
    <w:rsid w:val="003E7ECC"/>
    <w:rsid w:val="003F0096"/>
    <w:rsid w:val="003F0850"/>
    <w:rsid w:val="003F0D12"/>
    <w:rsid w:val="003F160C"/>
    <w:rsid w:val="003F27AE"/>
    <w:rsid w:val="003F324F"/>
    <w:rsid w:val="003F33BC"/>
    <w:rsid w:val="003F3D4E"/>
    <w:rsid w:val="003F477E"/>
    <w:rsid w:val="003F6CD2"/>
    <w:rsid w:val="003F788D"/>
    <w:rsid w:val="004007FC"/>
    <w:rsid w:val="0040126E"/>
    <w:rsid w:val="004020D4"/>
    <w:rsid w:val="004021B6"/>
    <w:rsid w:val="004047C4"/>
    <w:rsid w:val="00405670"/>
    <w:rsid w:val="0040570B"/>
    <w:rsid w:val="00405EDB"/>
    <w:rsid w:val="00405F60"/>
    <w:rsid w:val="00405FB1"/>
    <w:rsid w:val="00406460"/>
    <w:rsid w:val="00406DB6"/>
    <w:rsid w:val="00407776"/>
    <w:rsid w:val="0041093D"/>
    <w:rsid w:val="0041094C"/>
    <w:rsid w:val="00411C1F"/>
    <w:rsid w:val="00412461"/>
    <w:rsid w:val="00412546"/>
    <w:rsid w:val="00412662"/>
    <w:rsid w:val="00413053"/>
    <w:rsid w:val="0041319C"/>
    <w:rsid w:val="004137B6"/>
    <w:rsid w:val="00413A54"/>
    <w:rsid w:val="00413C10"/>
    <w:rsid w:val="00413CD9"/>
    <w:rsid w:val="00413F9A"/>
    <w:rsid w:val="004140CA"/>
    <w:rsid w:val="00414C65"/>
    <w:rsid w:val="00415B6B"/>
    <w:rsid w:val="00415D76"/>
    <w:rsid w:val="00416665"/>
    <w:rsid w:val="00416A67"/>
    <w:rsid w:val="00416ACB"/>
    <w:rsid w:val="00417DE1"/>
    <w:rsid w:val="00420209"/>
    <w:rsid w:val="00421B71"/>
    <w:rsid w:val="00421DCF"/>
    <w:rsid w:val="00422341"/>
    <w:rsid w:val="00423641"/>
    <w:rsid w:val="00423ABD"/>
    <w:rsid w:val="00426266"/>
    <w:rsid w:val="004265F4"/>
    <w:rsid w:val="00427178"/>
    <w:rsid w:val="00430982"/>
    <w:rsid w:val="00430A2D"/>
    <w:rsid w:val="00431505"/>
    <w:rsid w:val="00431AF0"/>
    <w:rsid w:val="00431BA1"/>
    <w:rsid w:val="0043213A"/>
    <w:rsid w:val="004330F4"/>
    <w:rsid w:val="00433590"/>
    <w:rsid w:val="0043393D"/>
    <w:rsid w:val="004344C7"/>
    <w:rsid w:val="00435274"/>
    <w:rsid w:val="004352AD"/>
    <w:rsid w:val="0043545D"/>
    <w:rsid w:val="00435717"/>
    <w:rsid w:val="00435801"/>
    <w:rsid w:val="00435FE2"/>
    <w:rsid w:val="00436E2F"/>
    <w:rsid w:val="00436EAB"/>
    <w:rsid w:val="00440FAC"/>
    <w:rsid w:val="00441AE5"/>
    <w:rsid w:val="0044219E"/>
    <w:rsid w:val="004428D3"/>
    <w:rsid w:val="004430EF"/>
    <w:rsid w:val="00445F98"/>
    <w:rsid w:val="004461D9"/>
    <w:rsid w:val="004464AE"/>
    <w:rsid w:val="0044653B"/>
    <w:rsid w:val="00446A6A"/>
    <w:rsid w:val="00446AC6"/>
    <w:rsid w:val="0044759B"/>
    <w:rsid w:val="00447F54"/>
    <w:rsid w:val="00450019"/>
    <w:rsid w:val="00450B7E"/>
    <w:rsid w:val="0045136B"/>
    <w:rsid w:val="00451C7E"/>
    <w:rsid w:val="004522DD"/>
    <w:rsid w:val="004532A5"/>
    <w:rsid w:val="00453725"/>
    <w:rsid w:val="00453BB6"/>
    <w:rsid w:val="00453CAA"/>
    <w:rsid w:val="00454F94"/>
    <w:rsid w:val="00455113"/>
    <w:rsid w:val="00455124"/>
    <w:rsid w:val="004551BF"/>
    <w:rsid w:val="00456421"/>
    <w:rsid w:val="00456DAB"/>
    <w:rsid w:val="00457065"/>
    <w:rsid w:val="00457C50"/>
    <w:rsid w:val="004603D7"/>
    <w:rsid w:val="00460CC3"/>
    <w:rsid w:val="00460E86"/>
    <w:rsid w:val="00461676"/>
    <w:rsid w:val="004642ED"/>
    <w:rsid w:val="004646B4"/>
    <w:rsid w:val="00464A88"/>
    <w:rsid w:val="004651A0"/>
    <w:rsid w:val="0046548F"/>
    <w:rsid w:val="00466532"/>
    <w:rsid w:val="00467488"/>
    <w:rsid w:val="004676BA"/>
    <w:rsid w:val="0047083E"/>
    <w:rsid w:val="00470EB5"/>
    <w:rsid w:val="0047199B"/>
    <w:rsid w:val="0047286B"/>
    <w:rsid w:val="00472E27"/>
    <w:rsid w:val="00473317"/>
    <w:rsid w:val="00474220"/>
    <w:rsid w:val="004752D3"/>
    <w:rsid w:val="004754E1"/>
    <w:rsid w:val="00475CE0"/>
    <w:rsid w:val="00476827"/>
    <w:rsid w:val="00476BD4"/>
    <w:rsid w:val="00477C35"/>
    <w:rsid w:val="00480988"/>
    <w:rsid w:val="00480E05"/>
    <w:rsid w:val="00480ED3"/>
    <w:rsid w:val="0048253C"/>
    <w:rsid w:val="00482849"/>
    <w:rsid w:val="00482A92"/>
    <w:rsid w:val="00482BBE"/>
    <w:rsid w:val="00483A12"/>
    <w:rsid w:val="00484A77"/>
    <w:rsid w:val="00484FF6"/>
    <w:rsid w:val="0048540F"/>
    <w:rsid w:val="00485970"/>
    <w:rsid w:val="00485C0D"/>
    <w:rsid w:val="00486575"/>
    <w:rsid w:val="004866D0"/>
    <w:rsid w:val="00486936"/>
    <w:rsid w:val="004871C0"/>
    <w:rsid w:val="0048793E"/>
    <w:rsid w:val="00487A2B"/>
    <w:rsid w:val="00490199"/>
    <w:rsid w:val="0049042F"/>
    <w:rsid w:val="00491B15"/>
    <w:rsid w:val="00491F25"/>
    <w:rsid w:val="00492D1A"/>
    <w:rsid w:val="0049374D"/>
    <w:rsid w:val="00494242"/>
    <w:rsid w:val="004949D2"/>
    <w:rsid w:val="00494E8E"/>
    <w:rsid w:val="00495002"/>
    <w:rsid w:val="004955BC"/>
    <w:rsid w:val="0049580F"/>
    <w:rsid w:val="00495D63"/>
    <w:rsid w:val="0049648F"/>
    <w:rsid w:val="00496606"/>
    <w:rsid w:val="00496E68"/>
    <w:rsid w:val="00496F05"/>
    <w:rsid w:val="00497370"/>
    <w:rsid w:val="004A0BAF"/>
    <w:rsid w:val="004A0F39"/>
    <w:rsid w:val="004A251F"/>
    <w:rsid w:val="004A26EF"/>
    <w:rsid w:val="004A3BF1"/>
    <w:rsid w:val="004A3E42"/>
    <w:rsid w:val="004A4715"/>
    <w:rsid w:val="004A5046"/>
    <w:rsid w:val="004A565E"/>
    <w:rsid w:val="004A5A25"/>
    <w:rsid w:val="004A5DF3"/>
    <w:rsid w:val="004A6134"/>
    <w:rsid w:val="004A6CD2"/>
    <w:rsid w:val="004A7092"/>
    <w:rsid w:val="004B25DE"/>
    <w:rsid w:val="004B26D8"/>
    <w:rsid w:val="004B3097"/>
    <w:rsid w:val="004B49E6"/>
    <w:rsid w:val="004B4D69"/>
    <w:rsid w:val="004B591E"/>
    <w:rsid w:val="004B5AB4"/>
    <w:rsid w:val="004B5B35"/>
    <w:rsid w:val="004B5F68"/>
    <w:rsid w:val="004B6426"/>
    <w:rsid w:val="004B73CF"/>
    <w:rsid w:val="004C01A8"/>
    <w:rsid w:val="004C1840"/>
    <w:rsid w:val="004C2221"/>
    <w:rsid w:val="004C24C9"/>
    <w:rsid w:val="004C25EF"/>
    <w:rsid w:val="004C31B6"/>
    <w:rsid w:val="004C328D"/>
    <w:rsid w:val="004C3706"/>
    <w:rsid w:val="004C3B05"/>
    <w:rsid w:val="004C3CF5"/>
    <w:rsid w:val="004C3F84"/>
    <w:rsid w:val="004C5319"/>
    <w:rsid w:val="004C559F"/>
    <w:rsid w:val="004C621F"/>
    <w:rsid w:val="004C6639"/>
    <w:rsid w:val="004C7948"/>
    <w:rsid w:val="004C7BB8"/>
    <w:rsid w:val="004C7C60"/>
    <w:rsid w:val="004D0DFE"/>
    <w:rsid w:val="004D1D91"/>
    <w:rsid w:val="004D22C3"/>
    <w:rsid w:val="004D3891"/>
    <w:rsid w:val="004D49CA"/>
    <w:rsid w:val="004D521C"/>
    <w:rsid w:val="004D6F4D"/>
    <w:rsid w:val="004D6F95"/>
    <w:rsid w:val="004D72FE"/>
    <w:rsid w:val="004D74E9"/>
    <w:rsid w:val="004D7E91"/>
    <w:rsid w:val="004E003A"/>
    <w:rsid w:val="004E0768"/>
    <w:rsid w:val="004E0DAF"/>
    <w:rsid w:val="004E1A31"/>
    <w:rsid w:val="004E1B28"/>
    <w:rsid w:val="004E278B"/>
    <w:rsid w:val="004E2DE0"/>
    <w:rsid w:val="004E32C1"/>
    <w:rsid w:val="004E4060"/>
    <w:rsid w:val="004E409A"/>
    <w:rsid w:val="004E59AF"/>
    <w:rsid w:val="004F0FB9"/>
    <w:rsid w:val="004F1002"/>
    <w:rsid w:val="004F1537"/>
    <w:rsid w:val="004F2092"/>
    <w:rsid w:val="004F2A32"/>
    <w:rsid w:val="004F2F7E"/>
    <w:rsid w:val="004F32B5"/>
    <w:rsid w:val="004F407E"/>
    <w:rsid w:val="004F4619"/>
    <w:rsid w:val="004F4D48"/>
    <w:rsid w:val="004F50C0"/>
    <w:rsid w:val="004F5479"/>
    <w:rsid w:val="004F61F2"/>
    <w:rsid w:val="004F7528"/>
    <w:rsid w:val="004F7928"/>
    <w:rsid w:val="004F7BCA"/>
    <w:rsid w:val="004F7BF0"/>
    <w:rsid w:val="004F7D89"/>
    <w:rsid w:val="00501981"/>
    <w:rsid w:val="00501A85"/>
    <w:rsid w:val="00501BB3"/>
    <w:rsid w:val="0050213C"/>
    <w:rsid w:val="005021DD"/>
    <w:rsid w:val="0050227B"/>
    <w:rsid w:val="005022C8"/>
    <w:rsid w:val="005026CA"/>
    <w:rsid w:val="00502B72"/>
    <w:rsid w:val="00503BCC"/>
    <w:rsid w:val="005049BB"/>
    <w:rsid w:val="00504BC1"/>
    <w:rsid w:val="00505134"/>
    <w:rsid w:val="00505C04"/>
    <w:rsid w:val="00511F15"/>
    <w:rsid w:val="00512469"/>
    <w:rsid w:val="00512AD2"/>
    <w:rsid w:val="0051318C"/>
    <w:rsid w:val="00513B5D"/>
    <w:rsid w:val="005142CD"/>
    <w:rsid w:val="005143C9"/>
    <w:rsid w:val="005157A9"/>
    <w:rsid w:val="00516CD1"/>
    <w:rsid w:val="005173A7"/>
    <w:rsid w:val="005177E1"/>
    <w:rsid w:val="00517F7C"/>
    <w:rsid w:val="00520C0A"/>
    <w:rsid w:val="0052136D"/>
    <w:rsid w:val="00521569"/>
    <w:rsid w:val="005218B6"/>
    <w:rsid w:val="005222A2"/>
    <w:rsid w:val="00522589"/>
    <w:rsid w:val="00522C2E"/>
    <w:rsid w:val="00524545"/>
    <w:rsid w:val="005255BF"/>
    <w:rsid w:val="005257DE"/>
    <w:rsid w:val="00525CEA"/>
    <w:rsid w:val="00526022"/>
    <w:rsid w:val="005262EB"/>
    <w:rsid w:val="00526A24"/>
    <w:rsid w:val="00527194"/>
    <w:rsid w:val="00527200"/>
    <w:rsid w:val="00527A6B"/>
    <w:rsid w:val="00530157"/>
    <w:rsid w:val="00530243"/>
    <w:rsid w:val="00531A30"/>
    <w:rsid w:val="00531EBE"/>
    <w:rsid w:val="00532ED9"/>
    <w:rsid w:val="00532F8B"/>
    <w:rsid w:val="00533737"/>
    <w:rsid w:val="00535B79"/>
    <w:rsid w:val="00535D7C"/>
    <w:rsid w:val="00536579"/>
    <w:rsid w:val="00536665"/>
    <w:rsid w:val="00536C1E"/>
    <w:rsid w:val="005375AF"/>
    <w:rsid w:val="005409F3"/>
    <w:rsid w:val="00541C8F"/>
    <w:rsid w:val="0054343A"/>
    <w:rsid w:val="00543974"/>
    <w:rsid w:val="00543EBF"/>
    <w:rsid w:val="00544ABA"/>
    <w:rsid w:val="00544F5C"/>
    <w:rsid w:val="0054593A"/>
    <w:rsid w:val="005467FB"/>
    <w:rsid w:val="00546994"/>
    <w:rsid w:val="00546AE9"/>
    <w:rsid w:val="00546BA9"/>
    <w:rsid w:val="00547303"/>
    <w:rsid w:val="00547989"/>
    <w:rsid w:val="00551320"/>
    <w:rsid w:val="005518A4"/>
    <w:rsid w:val="00551F02"/>
    <w:rsid w:val="00552768"/>
    <w:rsid w:val="00552935"/>
    <w:rsid w:val="00552D26"/>
    <w:rsid w:val="0055311C"/>
    <w:rsid w:val="00553127"/>
    <w:rsid w:val="005537D5"/>
    <w:rsid w:val="0055441A"/>
    <w:rsid w:val="00554BE7"/>
    <w:rsid w:val="00556D68"/>
    <w:rsid w:val="00557173"/>
    <w:rsid w:val="005576A1"/>
    <w:rsid w:val="00557A64"/>
    <w:rsid w:val="005605C0"/>
    <w:rsid w:val="00560D23"/>
    <w:rsid w:val="005610D8"/>
    <w:rsid w:val="005615D8"/>
    <w:rsid w:val="005626D6"/>
    <w:rsid w:val="005638D4"/>
    <w:rsid w:val="00564850"/>
    <w:rsid w:val="005656ED"/>
    <w:rsid w:val="00565703"/>
    <w:rsid w:val="00566544"/>
    <w:rsid w:val="00566608"/>
    <w:rsid w:val="0056680E"/>
    <w:rsid w:val="00566C83"/>
    <w:rsid w:val="005700FE"/>
    <w:rsid w:val="00570E24"/>
    <w:rsid w:val="005713FA"/>
    <w:rsid w:val="00572693"/>
    <w:rsid w:val="00572760"/>
    <w:rsid w:val="005738C7"/>
    <w:rsid w:val="005740E8"/>
    <w:rsid w:val="005743DE"/>
    <w:rsid w:val="00574F3F"/>
    <w:rsid w:val="005755D9"/>
    <w:rsid w:val="0057562C"/>
    <w:rsid w:val="005759F6"/>
    <w:rsid w:val="00575E3E"/>
    <w:rsid w:val="005765F5"/>
    <w:rsid w:val="00576D6C"/>
    <w:rsid w:val="005772DA"/>
    <w:rsid w:val="00577808"/>
    <w:rsid w:val="005779EA"/>
    <w:rsid w:val="00577A2E"/>
    <w:rsid w:val="00577E23"/>
    <w:rsid w:val="00577F45"/>
    <w:rsid w:val="0058061C"/>
    <w:rsid w:val="00580E48"/>
    <w:rsid w:val="00580F0A"/>
    <w:rsid w:val="00580F97"/>
    <w:rsid w:val="00581246"/>
    <w:rsid w:val="00581704"/>
    <w:rsid w:val="00582C3A"/>
    <w:rsid w:val="00582E05"/>
    <w:rsid w:val="00582E1A"/>
    <w:rsid w:val="00583147"/>
    <w:rsid w:val="0058381B"/>
    <w:rsid w:val="00584416"/>
    <w:rsid w:val="00584B39"/>
    <w:rsid w:val="00585028"/>
    <w:rsid w:val="005854D1"/>
    <w:rsid w:val="00585D48"/>
    <w:rsid w:val="00585F5B"/>
    <w:rsid w:val="0058620A"/>
    <w:rsid w:val="00586F72"/>
    <w:rsid w:val="00587FC0"/>
    <w:rsid w:val="005906AD"/>
    <w:rsid w:val="00590834"/>
    <w:rsid w:val="00590DA6"/>
    <w:rsid w:val="005915A8"/>
    <w:rsid w:val="00591787"/>
    <w:rsid w:val="00591C7D"/>
    <w:rsid w:val="00592157"/>
    <w:rsid w:val="00592B03"/>
    <w:rsid w:val="00593678"/>
    <w:rsid w:val="00593AB9"/>
    <w:rsid w:val="00593C4D"/>
    <w:rsid w:val="005942FA"/>
    <w:rsid w:val="00594ABB"/>
    <w:rsid w:val="00594D1C"/>
    <w:rsid w:val="00594E36"/>
    <w:rsid w:val="00594F0A"/>
    <w:rsid w:val="0059525E"/>
    <w:rsid w:val="00595887"/>
    <w:rsid w:val="005961F7"/>
    <w:rsid w:val="00596727"/>
    <w:rsid w:val="00596B9C"/>
    <w:rsid w:val="005A054D"/>
    <w:rsid w:val="005A0A46"/>
    <w:rsid w:val="005A10B9"/>
    <w:rsid w:val="005A11EA"/>
    <w:rsid w:val="005A269F"/>
    <w:rsid w:val="005A305E"/>
    <w:rsid w:val="005A30BB"/>
    <w:rsid w:val="005A3510"/>
    <w:rsid w:val="005A3887"/>
    <w:rsid w:val="005A3A14"/>
    <w:rsid w:val="005A3EA3"/>
    <w:rsid w:val="005A584F"/>
    <w:rsid w:val="005A73A2"/>
    <w:rsid w:val="005A7F07"/>
    <w:rsid w:val="005B0542"/>
    <w:rsid w:val="005B2225"/>
    <w:rsid w:val="005B2799"/>
    <w:rsid w:val="005B2B77"/>
    <w:rsid w:val="005B3C75"/>
    <w:rsid w:val="005B3D4A"/>
    <w:rsid w:val="005B4D87"/>
    <w:rsid w:val="005B7D29"/>
    <w:rsid w:val="005B7DD1"/>
    <w:rsid w:val="005C00A0"/>
    <w:rsid w:val="005C14B4"/>
    <w:rsid w:val="005C18F0"/>
    <w:rsid w:val="005C1F71"/>
    <w:rsid w:val="005C28FA"/>
    <w:rsid w:val="005C40F4"/>
    <w:rsid w:val="005C43BE"/>
    <w:rsid w:val="005C44F3"/>
    <w:rsid w:val="005C4E08"/>
    <w:rsid w:val="005C52B4"/>
    <w:rsid w:val="005C5462"/>
    <w:rsid w:val="005C712D"/>
    <w:rsid w:val="005C75D3"/>
    <w:rsid w:val="005C7C75"/>
    <w:rsid w:val="005D03E3"/>
    <w:rsid w:val="005D0E4F"/>
    <w:rsid w:val="005D196E"/>
    <w:rsid w:val="005D1DBB"/>
    <w:rsid w:val="005D1E32"/>
    <w:rsid w:val="005D206B"/>
    <w:rsid w:val="005D22B7"/>
    <w:rsid w:val="005D2BDE"/>
    <w:rsid w:val="005D359E"/>
    <w:rsid w:val="005D3CD1"/>
    <w:rsid w:val="005D3D76"/>
    <w:rsid w:val="005D4033"/>
    <w:rsid w:val="005D4578"/>
    <w:rsid w:val="005D4EFA"/>
    <w:rsid w:val="005D50BF"/>
    <w:rsid w:val="005D55BA"/>
    <w:rsid w:val="005D5ADB"/>
    <w:rsid w:val="005D648A"/>
    <w:rsid w:val="005D6534"/>
    <w:rsid w:val="005D75B2"/>
    <w:rsid w:val="005D7C90"/>
    <w:rsid w:val="005D7E0D"/>
    <w:rsid w:val="005E08AF"/>
    <w:rsid w:val="005E0E98"/>
    <w:rsid w:val="005E234A"/>
    <w:rsid w:val="005E35CC"/>
    <w:rsid w:val="005E371E"/>
    <w:rsid w:val="005E53F9"/>
    <w:rsid w:val="005E6A1B"/>
    <w:rsid w:val="005E6B7D"/>
    <w:rsid w:val="005E775D"/>
    <w:rsid w:val="005F0A43"/>
    <w:rsid w:val="005F27BF"/>
    <w:rsid w:val="005F2F48"/>
    <w:rsid w:val="005F4171"/>
    <w:rsid w:val="005F46D6"/>
    <w:rsid w:val="005F4DD6"/>
    <w:rsid w:val="005F50D8"/>
    <w:rsid w:val="005F53A1"/>
    <w:rsid w:val="005F6B77"/>
    <w:rsid w:val="005F7487"/>
    <w:rsid w:val="005F7D05"/>
    <w:rsid w:val="006002C7"/>
    <w:rsid w:val="00600F95"/>
    <w:rsid w:val="00601198"/>
    <w:rsid w:val="00601839"/>
    <w:rsid w:val="00602759"/>
    <w:rsid w:val="0060277A"/>
    <w:rsid w:val="00602B7C"/>
    <w:rsid w:val="00603312"/>
    <w:rsid w:val="006040EC"/>
    <w:rsid w:val="00604DC7"/>
    <w:rsid w:val="00604E47"/>
    <w:rsid w:val="00605441"/>
    <w:rsid w:val="00606970"/>
    <w:rsid w:val="00606A20"/>
    <w:rsid w:val="006072C6"/>
    <w:rsid w:val="00607A2E"/>
    <w:rsid w:val="00607A8A"/>
    <w:rsid w:val="00611B01"/>
    <w:rsid w:val="006130F7"/>
    <w:rsid w:val="00613AF8"/>
    <w:rsid w:val="00613D8E"/>
    <w:rsid w:val="006142E0"/>
    <w:rsid w:val="0061483A"/>
    <w:rsid w:val="00616112"/>
    <w:rsid w:val="006205CA"/>
    <w:rsid w:val="00621A10"/>
    <w:rsid w:val="00621F53"/>
    <w:rsid w:val="00622350"/>
    <w:rsid w:val="00622E2A"/>
    <w:rsid w:val="00623089"/>
    <w:rsid w:val="0062308E"/>
    <w:rsid w:val="006234C4"/>
    <w:rsid w:val="006237A6"/>
    <w:rsid w:val="006244C9"/>
    <w:rsid w:val="006245F6"/>
    <w:rsid w:val="0062475D"/>
    <w:rsid w:val="0062495F"/>
    <w:rsid w:val="006249D3"/>
    <w:rsid w:val="00624E3C"/>
    <w:rsid w:val="00625D58"/>
    <w:rsid w:val="00625FD9"/>
    <w:rsid w:val="0062660B"/>
    <w:rsid w:val="00626A0B"/>
    <w:rsid w:val="00626AD1"/>
    <w:rsid w:val="00626D12"/>
    <w:rsid w:val="00627860"/>
    <w:rsid w:val="00627BDA"/>
    <w:rsid w:val="006304BC"/>
    <w:rsid w:val="00630CDF"/>
    <w:rsid w:val="00630DCE"/>
    <w:rsid w:val="00630F07"/>
    <w:rsid w:val="0063120A"/>
    <w:rsid w:val="0063150B"/>
    <w:rsid w:val="00631585"/>
    <w:rsid w:val="006315DB"/>
    <w:rsid w:val="006321D7"/>
    <w:rsid w:val="00632255"/>
    <w:rsid w:val="00633877"/>
    <w:rsid w:val="00633E0B"/>
    <w:rsid w:val="00634ACF"/>
    <w:rsid w:val="00635035"/>
    <w:rsid w:val="0063580D"/>
    <w:rsid w:val="00635CAE"/>
    <w:rsid w:val="00636252"/>
    <w:rsid w:val="006370C6"/>
    <w:rsid w:val="00637240"/>
    <w:rsid w:val="0064143C"/>
    <w:rsid w:val="00641447"/>
    <w:rsid w:val="00643660"/>
    <w:rsid w:val="00645492"/>
    <w:rsid w:val="00650139"/>
    <w:rsid w:val="006515B2"/>
    <w:rsid w:val="00652756"/>
    <w:rsid w:val="00652AD8"/>
    <w:rsid w:val="00652B11"/>
    <w:rsid w:val="00652B79"/>
    <w:rsid w:val="006533C3"/>
    <w:rsid w:val="00654068"/>
    <w:rsid w:val="00654B38"/>
    <w:rsid w:val="00654B83"/>
    <w:rsid w:val="00655061"/>
    <w:rsid w:val="0065510C"/>
    <w:rsid w:val="00655B63"/>
    <w:rsid w:val="006570DD"/>
    <w:rsid w:val="006571F6"/>
    <w:rsid w:val="006579A8"/>
    <w:rsid w:val="006611BD"/>
    <w:rsid w:val="006618CC"/>
    <w:rsid w:val="00662111"/>
    <w:rsid w:val="00662118"/>
    <w:rsid w:val="006638AD"/>
    <w:rsid w:val="00664B3C"/>
    <w:rsid w:val="0066514D"/>
    <w:rsid w:val="006667D1"/>
    <w:rsid w:val="0066732C"/>
    <w:rsid w:val="006679F5"/>
    <w:rsid w:val="00667B77"/>
    <w:rsid w:val="006716DA"/>
    <w:rsid w:val="006724A3"/>
    <w:rsid w:val="00672515"/>
    <w:rsid w:val="006728ED"/>
    <w:rsid w:val="006732B1"/>
    <w:rsid w:val="0067446F"/>
    <w:rsid w:val="006746A4"/>
    <w:rsid w:val="0067537C"/>
    <w:rsid w:val="00675558"/>
    <w:rsid w:val="00675611"/>
    <w:rsid w:val="00675A60"/>
    <w:rsid w:val="006764E6"/>
    <w:rsid w:val="006765F3"/>
    <w:rsid w:val="00676658"/>
    <w:rsid w:val="0067697E"/>
    <w:rsid w:val="00677393"/>
    <w:rsid w:val="00677443"/>
    <w:rsid w:val="0067769A"/>
    <w:rsid w:val="006806A3"/>
    <w:rsid w:val="006806A6"/>
    <w:rsid w:val="00680A91"/>
    <w:rsid w:val="00681211"/>
    <w:rsid w:val="00681879"/>
    <w:rsid w:val="00681B36"/>
    <w:rsid w:val="00682E14"/>
    <w:rsid w:val="00683955"/>
    <w:rsid w:val="0068436C"/>
    <w:rsid w:val="00684491"/>
    <w:rsid w:val="0068476D"/>
    <w:rsid w:val="00684D5C"/>
    <w:rsid w:val="0068545E"/>
    <w:rsid w:val="006858F9"/>
    <w:rsid w:val="00685FD4"/>
    <w:rsid w:val="006860F2"/>
    <w:rsid w:val="00686612"/>
    <w:rsid w:val="0068661E"/>
    <w:rsid w:val="00687F0D"/>
    <w:rsid w:val="00690A49"/>
    <w:rsid w:val="00690BB6"/>
    <w:rsid w:val="00691AB0"/>
    <w:rsid w:val="00691B30"/>
    <w:rsid w:val="006929FF"/>
    <w:rsid w:val="00693A9F"/>
    <w:rsid w:val="00693E1F"/>
    <w:rsid w:val="00693ECB"/>
    <w:rsid w:val="00694797"/>
    <w:rsid w:val="00694845"/>
    <w:rsid w:val="00694B90"/>
    <w:rsid w:val="00695887"/>
    <w:rsid w:val="00695A06"/>
    <w:rsid w:val="006962E1"/>
    <w:rsid w:val="00697127"/>
    <w:rsid w:val="00697733"/>
    <w:rsid w:val="006A0191"/>
    <w:rsid w:val="006A0FDA"/>
    <w:rsid w:val="006A1C70"/>
    <w:rsid w:val="006A1CEA"/>
    <w:rsid w:val="006A254E"/>
    <w:rsid w:val="006A2C30"/>
    <w:rsid w:val="006A301C"/>
    <w:rsid w:val="006A3AA2"/>
    <w:rsid w:val="006A3AA5"/>
    <w:rsid w:val="006A3E2B"/>
    <w:rsid w:val="006A5FDB"/>
    <w:rsid w:val="006A688A"/>
    <w:rsid w:val="006A6971"/>
    <w:rsid w:val="006A6E17"/>
    <w:rsid w:val="006B120D"/>
    <w:rsid w:val="006B17E7"/>
    <w:rsid w:val="006B19E8"/>
    <w:rsid w:val="006B1A8A"/>
    <w:rsid w:val="006B1FD5"/>
    <w:rsid w:val="006B2E86"/>
    <w:rsid w:val="006B4545"/>
    <w:rsid w:val="006B46B7"/>
    <w:rsid w:val="006B4E43"/>
    <w:rsid w:val="006B52A0"/>
    <w:rsid w:val="006B555A"/>
    <w:rsid w:val="006B5F7C"/>
    <w:rsid w:val="006B600A"/>
    <w:rsid w:val="006B631E"/>
    <w:rsid w:val="006B6635"/>
    <w:rsid w:val="006B7888"/>
    <w:rsid w:val="006B7D22"/>
    <w:rsid w:val="006B7D2C"/>
    <w:rsid w:val="006B7EE8"/>
    <w:rsid w:val="006C0762"/>
    <w:rsid w:val="006C08E9"/>
    <w:rsid w:val="006C1019"/>
    <w:rsid w:val="006C267E"/>
    <w:rsid w:val="006C2BB5"/>
    <w:rsid w:val="006C2BEE"/>
    <w:rsid w:val="006C3663"/>
    <w:rsid w:val="006C3AD8"/>
    <w:rsid w:val="006C4516"/>
    <w:rsid w:val="006C455E"/>
    <w:rsid w:val="006C45FD"/>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08D"/>
    <w:rsid w:val="006D7251"/>
    <w:rsid w:val="006D7EB0"/>
    <w:rsid w:val="006E0138"/>
    <w:rsid w:val="006E0BB0"/>
    <w:rsid w:val="006E12C3"/>
    <w:rsid w:val="006E12D5"/>
    <w:rsid w:val="006E240B"/>
    <w:rsid w:val="006E2529"/>
    <w:rsid w:val="006E25AD"/>
    <w:rsid w:val="006E2958"/>
    <w:rsid w:val="006E45F3"/>
    <w:rsid w:val="006E4A2F"/>
    <w:rsid w:val="006E4ED4"/>
    <w:rsid w:val="006E5E19"/>
    <w:rsid w:val="006E61C3"/>
    <w:rsid w:val="006E799D"/>
    <w:rsid w:val="006F02BE"/>
    <w:rsid w:val="006F0593"/>
    <w:rsid w:val="006F1064"/>
    <w:rsid w:val="006F159A"/>
    <w:rsid w:val="006F1EB7"/>
    <w:rsid w:val="006F2534"/>
    <w:rsid w:val="006F44D6"/>
    <w:rsid w:val="006F52E5"/>
    <w:rsid w:val="006F55FA"/>
    <w:rsid w:val="006F6066"/>
    <w:rsid w:val="006F6850"/>
    <w:rsid w:val="006F707E"/>
    <w:rsid w:val="006F7730"/>
    <w:rsid w:val="007001DC"/>
    <w:rsid w:val="007025CB"/>
    <w:rsid w:val="00702DD9"/>
    <w:rsid w:val="007034AA"/>
    <w:rsid w:val="00703C9D"/>
    <w:rsid w:val="00703CB1"/>
    <w:rsid w:val="0070490C"/>
    <w:rsid w:val="00705C38"/>
    <w:rsid w:val="00705EFC"/>
    <w:rsid w:val="00706465"/>
    <w:rsid w:val="0070695A"/>
    <w:rsid w:val="00706FDB"/>
    <w:rsid w:val="0070782D"/>
    <w:rsid w:val="007109C2"/>
    <w:rsid w:val="00711340"/>
    <w:rsid w:val="007124D7"/>
    <w:rsid w:val="00712C42"/>
    <w:rsid w:val="00713DE4"/>
    <w:rsid w:val="00714490"/>
    <w:rsid w:val="00714C47"/>
    <w:rsid w:val="00716462"/>
    <w:rsid w:val="007177B7"/>
    <w:rsid w:val="007205B7"/>
    <w:rsid w:val="00721084"/>
    <w:rsid w:val="00721262"/>
    <w:rsid w:val="00721388"/>
    <w:rsid w:val="00721D9B"/>
    <w:rsid w:val="00722121"/>
    <w:rsid w:val="00722209"/>
    <w:rsid w:val="007224B9"/>
    <w:rsid w:val="00722F94"/>
    <w:rsid w:val="0072341A"/>
    <w:rsid w:val="00723AA7"/>
    <w:rsid w:val="0072432E"/>
    <w:rsid w:val="007247D6"/>
    <w:rsid w:val="00726036"/>
    <w:rsid w:val="00726279"/>
    <w:rsid w:val="00726A9B"/>
    <w:rsid w:val="00727530"/>
    <w:rsid w:val="007314A1"/>
    <w:rsid w:val="00731E7C"/>
    <w:rsid w:val="0073281A"/>
    <w:rsid w:val="007329EF"/>
    <w:rsid w:val="0073327A"/>
    <w:rsid w:val="007334F2"/>
    <w:rsid w:val="00734373"/>
    <w:rsid w:val="00734EBE"/>
    <w:rsid w:val="0073692E"/>
    <w:rsid w:val="00736DD8"/>
    <w:rsid w:val="007372E4"/>
    <w:rsid w:val="00737C5D"/>
    <w:rsid w:val="00737D02"/>
    <w:rsid w:val="0074076A"/>
    <w:rsid w:val="00741AF4"/>
    <w:rsid w:val="00741DCC"/>
    <w:rsid w:val="0074203A"/>
    <w:rsid w:val="007427B5"/>
    <w:rsid w:val="0074285C"/>
    <w:rsid w:val="00742865"/>
    <w:rsid w:val="0074296C"/>
    <w:rsid w:val="00742C83"/>
    <w:rsid w:val="0074360F"/>
    <w:rsid w:val="00744091"/>
    <w:rsid w:val="00744A64"/>
    <w:rsid w:val="00744D47"/>
    <w:rsid w:val="00744EA0"/>
    <w:rsid w:val="0074638D"/>
    <w:rsid w:val="00746484"/>
    <w:rsid w:val="00746B33"/>
    <w:rsid w:val="0074704F"/>
    <w:rsid w:val="00747F48"/>
    <w:rsid w:val="00747F4C"/>
    <w:rsid w:val="00751091"/>
    <w:rsid w:val="00751B83"/>
    <w:rsid w:val="00752A01"/>
    <w:rsid w:val="00753817"/>
    <w:rsid w:val="0075398A"/>
    <w:rsid w:val="00754359"/>
    <w:rsid w:val="00754411"/>
    <w:rsid w:val="00754BD9"/>
    <w:rsid w:val="00754E7A"/>
    <w:rsid w:val="0075540C"/>
    <w:rsid w:val="00755456"/>
    <w:rsid w:val="00755AAF"/>
    <w:rsid w:val="00755DB1"/>
    <w:rsid w:val="00756431"/>
    <w:rsid w:val="007574FC"/>
    <w:rsid w:val="00760975"/>
    <w:rsid w:val="00761FDA"/>
    <w:rsid w:val="007621FF"/>
    <w:rsid w:val="00762D68"/>
    <w:rsid w:val="007634E3"/>
    <w:rsid w:val="00764194"/>
    <w:rsid w:val="00765ED3"/>
    <w:rsid w:val="0076681D"/>
    <w:rsid w:val="00766A65"/>
    <w:rsid w:val="007671F5"/>
    <w:rsid w:val="007676B8"/>
    <w:rsid w:val="0077052A"/>
    <w:rsid w:val="00771332"/>
    <w:rsid w:val="0077175C"/>
    <w:rsid w:val="00771870"/>
    <w:rsid w:val="00771BF9"/>
    <w:rsid w:val="007720D2"/>
    <w:rsid w:val="00772F8A"/>
    <w:rsid w:val="007739C6"/>
    <w:rsid w:val="00774853"/>
    <w:rsid w:val="00774889"/>
    <w:rsid w:val="00774FF5"/>
    <w:rsid w:val="007750B3"/>
    <w:rsid w:val="00775F76"/>
    <w:rsid w:val="00776AEA"/>
    <w:rsid w:val="00776CEF"/>
    <w:rsid w:val="00776F99"/>
    <w:rsid w:val="00777BA0"/>
    <w:rsid w:val="007803BD"/>
    <w:rsid w:val="007811DC"/>
    <w:rsid w:val="0078158F"/>
    <w:rsid w:val="007820FA"/>
    <w:rsid w:val="0078285F"/>
    <w:rsid w:val="00783207"/>
    <w:rsid w:val="00783E1D"/>
    <w:rsid w:val="0078483B"/>
    <w:rsid w:val="00784EED"/>
    <w:rsid w:val="007850F3"/>
    <w:rsid w:val="00785670"/>
    <w:rsid w:val="00785900"/>
    <w:rsid w:val="00786832"/>
    <w:rsid w:val="00786958"/>
    <w:rsid w:val="00786E71"/>
    <w:rsid w:val="007909BC"/>
    <w:rsid w:val="0079162F"/>
    <w:rsid w:val="00791C04"/>
    <w:rsid w:val="00794047"/>
    <w:rsid w:val="00794924"/>
    <w:rsid w:val="00795985"/>
    <w:rsid w:val="007A04B2"/>
    <w:rsid w:val="007A0BC2"/>
    <w:rsid w:val="007A1F44"/>
    <w:rsid w:val="007A23FF"/>
    <w:rsid w:val="007A295B"/>
    <w:rsid w:val="007A3424"/>
    <w:rsid w:val="007A35EF"/>
    <w:rsid w:val="007A43A2"/>
    <w:rsid w:val="007A4D04"/>
    <w:rsid w:val="007A5A9F"/>
    <w:rsid w:val="007A7654"/>
    <w:rsid w:val="007A7A96"/>
    <w:rsid w:val="007B0114"/>
    <w:rsid w:val="007B03AF"/>
    <w:rsid w:val="007B06F4"/>
    <w:rsid w:val="007B0796"/>
    <w:rsid w:val="007B0A4A"/>
    <w:rsid w:val="007B0F2E"/>
    <w:rsid w:val="007B1543"/>
    <w:rsid w:val="007B1AC0"/>
    <w:rsid w:val="007B270A"/>
    <w:rsid w:val="007B2D3B"/>
    <w:rsid w:val="007B448D"/>
    <w:rsid w:val="007B4DDC"/>
    <w:rsid w:val="007B52CD"/>
    <w:rsid w:val="007B6FCE"/>
    <w:rsid w:val="007B73DA"/>
    <w:rsid w:val="007B7DC1"/>
    <w:rsid w:val="007B7E9F"/>
    <w:rsid w:val="007B7EDB"/>
    <w:rsid w:val="007C19AD"/>
    <w:rsid w:val="007C299E"/>
    <w:rsid w:val="007C3598"/>
    <w:rsid w:val="007C3FA8"/>
    <w:rsid w:val="007C5147"/>
    <w:rsid w:val="007C68DA"/>
    <w:rsid w:val="007C6F32"/>
    <w:rsid w:val="007D01FB"/>
    <w:rsid w:val="007D229A"/>
    <w:rsid w:val="007D2F44"/>
    <w:rsid w:val="007D2F4D"/>
    <w:rsid w:val="007D3C0B"/>
    <w:rsid w:val="007D3DD2"/>
    <w:rsid w:val="007D4178"/>
    <w:rsid w:val="007D4D33"/>
    <w:rsid w:val="007D5355"/>
    <w:rsid w:val="007D5884"/>
    <w:rsid w:val="007D66F7"/>
    <w:rsid w:val="007D6CF2"/>
    <w:rsid w:val="007D70DA"/>
    <w:rsid w:val="007D7175"/>
    <w:rsid w:val="007E01D4"/>
    <w:rsid w:val="007E0F91"/>
    <w:rsid w:val="007E113A"/>
    <w:rsid w:val="007E11FB"/>
    <w:rsid w:val="007E1369"/>
    <w:rsid w:val="007E1A1B"/>
    <w:rsid w:val="007E1A88"/>
    <w:rsid w:val="007E282F"/>
    <w:rsid w:val="007E37AA"/>
    <w:rsid w:val="007E3CA0"/>
    <w:rsid w:val="007E4C88"/>
    <w:rsid w:val="007E4D98"/>
    <w:rsid w:val="007E585E"/>
    <w:rsid w:val="007E5A35"/>
    <w:rsid w:val="007E6FF6"/>
    <w:rsid w:val="007E7DDF"/>
    <w:rsid w:val="007F11C8"/>
    <w:rsid w:val="007F1CFB"/>
    <w:rsid w:val="007F220B"/>
    <w:rsid w:val="007F27DD"/>
    <w:rsid w:val="007F2C37"/>
    <w:rsid w:val="007F3507"/>
    <w:rsid w:val="007F4863"/>
    <w:rsid w:val="007F4DD4"/>
    <w:rsid w:val="007F6880"/>
    <w:rsid w:val="007F76B4"/>
    <w:rsid w:val="007F7989"/>
    <w:rsid w:val="008001B4"/>
    <w:rsid w:val="00800769"/>
    <w:rsid w:val="00800ED2"/>
    <w:rsid w:val="00800F18"/>
    <w:rsid w:val="00801A72"/>
    <w:rsid w:val="00802E74"/>
    <w:rsid w:val="00803C0C"/>
    <w:rsid w:val="00804465"/>
    <w:rsid w:val="00804B92"/>
    <w:rsid w:val="00804E21"/>
    <w:rsid w:val="00805092"/>
    <w:rsid w:val="0080643D"/>
    <w:rsid w:val="00806AAF"/>
    <w:rsid w:val="008070AC"/>
    <w:rsid w:val="008075F9"/>
    <w:rsid w:val="008101FD"/>
    <w:rsid w:val="00810D8D"/>
    <w:rsid w:val="00811835"/>
    <w:rsid w:val="008141E4"/>
    <w:rsid w:val="00814E9D"/>
    <w:rsid w:val="0081581D"/>
    <w:rsid w:val="008172BE"/>
    <w:rsid w:val="00817A16"/>
    <w:rsid w:val="00817B71"/>
    <w:rsid w:val="00820244"/>
    <w:rsid w:val="008216BA"/>
    <w:rsid w:val="008221B3"/>
    <w:rsid w:val="0082248E"/>
    <w:rsid w:val="00824FDF"/>
    <w:rsid w:val="00825125"/>
    <w:rsid w:val="008257CC"/>
    <w:rsid w:val="008267CF"/>
    <w:rsid w:val="008274BF"/>
    <w:rsid w:val="0083050B"/>
    <w:rsid w:val="00830DC3"/>
    <w:rsid w:val="00830EB3"/>
    <w:rsid w:val="00831555"/>
    <w:rsid w:val="0083159E"/>
    <w:rsid w:val="00831F52"/>
    <w:rsid w:val="00832154"/>
    <w:rsid w:val="00832AE8"/>
    <w:rsid w:val="00832F5C"/>
    <w:rsid w:val="0083386D"/>
    <w:rsid w:val="00834DAA"/>
    <w:rsid w:val="008359E0"/>
    <w:rsid w:val="008376F6"/>
    <w:rsid w:val="00837D5B"/>
    <w:rsid w:val="00840607"/>
    <w:rsid w:val="00841CD2"/>
    <w:rsid w:val="00842295"/>
    <w:rsid w:val="008426C5"/>
    <w:rsid w:val="00842747"/>
    <w:rsid w:val="00842B77"/>
    <w:rsid w:val="0084309F"/>
    <w:rsid w:val="008443FB"/>
    <w:rsid w:val="00845C12"/>
    <w:rsid w:val="008469D9"/>
    <w:rsid w:val="00846DC0"/>
    <w:rsid w:val="008471AF"/>
    <w:rsid w:val="008474A7"/>
    <w:rsid w:val="00847BC2"/>
    <w:rsid w:val="008506B6"/>
    <w:rsid w:val="0085077A"/>
    <w:rsid w:val="00850AE0"/>
    <w:rsid w:val="00851143"/>
    <w:rsid w:val="008524D2"/>
    <w:rsid w:val="00852E19"/>
    <w:rsid w:val="0085425C"/>
    <w:rsid w:val="00855AB3"/>
    <w:rsid w:val="00855B45"/>
    <w:rsid w:val="00856833"/>
    <w:rsid w:val="00856840"/>
    <w:rsid w:val="00856E5D"/>
    <w:rsid w:val="00857A5F"/>
    <w:rsid w:val="0086087C"/>
    <w:rsid w:val="00860D8E"/>
    <w:rsid w:val="00860DEF"/>
    <w:rsid w:val="00861D9D"/>
    <w:rsid w:val="0086275E"/>
    <w:rsid w:val="00862862"/>
    <w:rsid w:val="00862CCF"/>
    <w:rsid w:val="008642B7"/>
    <w:rsid w:val="00864440"/>
    <w:rsid w:val="00864D76"/>
    <w:rsid w:val="008650FC"/>
    <w:rsid w:val="00865D96"/>
    <w:rsid w:val="00866EB3"/>
    <w:rsid w:val="0086701A"/>
    <w:rsid w:val="00867BD2"/>
    <w:rsid w:val="00867DE9"/>
    <w:rsid w:val="00870382"/>
    <w:rsid w:val="008712FD"/>
    <w:rsid w:val="008716A1"/>
    <w:rsid w:val="00871FAE"/>
    <w:rsid w:val="0087217C"/>
    <w:rsid w:val="00872904"/>
    <w:rsid w:val="00872D3F"/>
    <w:rsid w:val="008733E4"/>
    <w:rsid w:val="00873F15"/>
    <w:rsid w:val="00874096"/>
    <w:rsid w:val="008756A4"/>
    <w:rsid w:val="00875744"/>
    <w:rsid w:val="008757CA"/>
    <w:rsid w:val="00875F73"/>
    <w:rsid w:val="0087626C"/>
    <w:rsid w:val="0087677A"/>
    <w:rsid w:val="00880F30"/>
    <w:rsid w:val="00881104"/>
    <w:rsid w:val="0088319D"/>
    <w:rsid w:val="008833E8"/>
    <w:rsid w:val="00883BFA"/>
    <w:rsid w:val="0088604E"/>
    <w:rsid w:val="00887B48"/>
    <w:rsid w:val="00887EBE"/>
    <w:rsid w:val="008914BD"/>
    <w:rsid w:val="0089176E"/>
    <w:rsid w:val="008917E0"/>
    <w:rsid w:val="00891A4D"/>
    <w:rsid w:val="00892365"/>
    <w:rsid w:val="00892B13"/>
    <w:rsid w:val="00892BE5"/>
    <w:rsid w:val="00893042"/>
    <w:rsid w:val="00893485"/>
    <w:rsid w:val="0089387C"/>
    <w:rsid w:val="0089424F"/>
    <w:rsid w:val="0089444E"/>
    <w:rsid w:val="008949DF"/>
    <w:rsid w:val="00894A75"/>
    <w:rsid w:val="008951DB"/>
    <w:rsid w:val="00896C81"/>
    <w:rsid w:val="00896D83"/>
    <w:rsid w:val="008A01F7"/>
    <w:rsid w:val="008A07C7"/>
    <w:rsid w:val="008A0AB2"/>
    <w:rsid w:val="008A0CFC"/>
    <w:rsid w:val="008A0D6F"/>
    <w:rsid w:val="008A12FE"/>
    <w:rsid w:val="008A28B6"/>
    <w:rsid w:val="008A2BB1"/>
    <w:rsid w:val="008A2BDA"/>
    <w:rsid w:val="008A2DFD"/>
    <w:rsid w:val="008A329A"/>
    <w:rsid w:val="008A3466"/>
    <w:rsid w:val="008A36AC"/>
    <w:rsid w:val="008A389F"/>
    <w:rsid w:val="008A3D02"/>
    <w:rsid w:val="008A4E07"/>
    <w:rsid w:val="008A577E"/>
    <w:rsid w:val="008A5940"/>
    <w:rsid w:val="008A625C"/>
    <w:rsid w:val="008A73B2"/>
    <w:rsid w:val="008A7907"/>
    <w:rsid w:val="008B028B"/>
    <w:rsid w:val="008B043F"/>
    <w:rsid w:val="008B06FC"/>
    <w:rsid w:val="008B0808"/>
    <w:rsid w:val="008B0AEC"/>
    <w:rsid w:val="008B0DEC"/>
    <w:rsid w:val="008B1209"/>
    <w:rsid w:val="008B1E53"/>
    <w:rsid w:val="008B1E5B"/>
    <w:rsid w:val="008B269F"/>
    <w:rsid w:val="008B389D"/>
    <w:rsid w:val="008B3C5C"/>
    <w:rsid w:val="008B5299"/>
    <w:rsid w:val="008B5A5F"/>
    <w:rsid w:val="008B5AB0"/>
    <w:rsid w:val="008B6054"/>
    <w:rsid w:val="008B6C51"/>
    <w:rsid w:val="008B7B08"/>
    <w:rsid w:val="008C0024"/>
    <w:rsid w:val="008C13F0"/>
    <w:rsid w:val="008C1F26"/>
    <w:rsid w:val="008C2A3A"/>
    <w:rsid w:val="008C300F"/>
    <w:rsid w:val="008C345F"/>
    <w:rsid w:val="008C4C7E"/>
    <w:rsid w:val="008C5C46"/>
    <w:rsid w:val="008C6184"/>
    <w:rsid w:val="008C785E"/>
    <w:rsid w:val="008D04BC"/>
    <w:rsid w:val="008D0AFB"/>
    <w:rsid w:val="008D1511"/>
    <w:rsid w:val="008D32DF"/>
    <w:rsid w:val="008D33DA"/>
    <w:rsid w:val="008D35E9"/>
    <w:rsid w:val="008D3959"/>
    <w:rsid w:val="008D3966"/>
    <w:rsid w:val="008D4352"/>
    <w:rsid w:val="008D5572"/>
    <w:rsid w:val="008D60BC"/>
    <w:rsid w:val="008D6C50"/>
    <w:rsid w:val="008D6D7B"/>
    <w:rsid w:val="008D7233"/>
    <w:rsid w:val="008D740C"/>
    <w:rsid w:val="008D7632"/>
    <w:rsid w:val="008D7EB7"/>
    <w:rsid w:val="008E0EB8"/>
    <w:rsid w:val="008E10A6"/>
    <w:rsid w:val="008E1271"/>
    <w:rsid w:val="008E2251"/>
    <w:rsid w:val="008E24B3"/>
    <w:rsid w:val="008E24CA"/>
    <w:rsid w:val="008E2F6E"/>
    <w:rsid w:val="008E38AD"/>
    <w:rsid w:val="008E3EEC"/>
    <w:rsid w:val="008E4910"/>
    <w:rsid w:val="008E4B88"/>
    <w:rsid w:val="008E5BF2"/>
    <w:rsid w:val="008E5C81"/>
    <w:rsid w:val="008E60B2"/>
    <w:rsid w:val="008F0A38"/>
    <w:rsid w:val="008F0F84"/>
    <w:rsid w:val="008F1014"/>
    <w:rsid w:val="008F11C9"/>
    <w:rsid w:val="008F1FD1"/>
    <w:rsid w:val="008F23D8"/>
    <w:rsid w:val="008F2FD5"/>
    <w:rsid w:val="008F37E5"/>
    <w:rsid w:val="008F38DB"/>
    <w:rsid w:val="008F48C2"/>
    <w:rsid w:val="008F4ED4"/>
    <w:rsid w:val="008F5840"/>
    <w:rsid w:val="008F5EEF"/>
    <w:rsid w:val="008F6034"/>
    <w:rsid w:val="008F6179"/>
    <w:rsid w:val="008F6311"/>
    <w:rsid w:val="008F66FE"/>
    <w:rsid w:val="008F72CC"/>
    <w:rsid w:val="008F72CD"/>
    <w:rsid w:val="00900BD8"/>
    <w:rsid w:val="0090275A"/>
    <w:rsid w:val="00903802"/>
    <w:rsid w:val="00903B72"/>
    <w:rsid w:val="00904F37"/>
    <w:rsid w:val="0090593A"/>
    <w:rsid w:val="0090696D"/>
    <w:rsid w:val="00906A1B"/>
    <w:rsid w:val="00906CD6"/>
    <w:rsid w:val="00906E4D"/>
    <w:rsid w:val="00906F31"/>
    <w:rsid w:val="0090712D"/>
    <w:rsid w:val="009078B3"/>
    <w:rsid w:val="00907A77"/>
    <w:rsid w:val="00907E00"/>
    <w:rsid w:val="00910101"/>
    <w:rsid w:val="0091088D"/>
    <w:rsid w:val="00910FC9"/>
    <w:rsid w:val="0091291A"/>
    <w:rsid w:val="00913612"/>
    <w:rsid w:val="0091366A"/>
    <w:rsid w:val="00913824"/>
    <w:rsid w:val="00914EA4"/>
    <w:rsid w:val="009155CC"/>
    <w:rsid w:val="00915757"/>
    <w:rsid w:val="009159B3"/>
    <w:rsid w:val="0091612B"/>
    <w:rsid w:val="00916181"/>
    <w:rsid w:val="00916A4D"/>
    <w:rsid w:val="0091782B"/>
    <w:rsid w:val="009204C5"/>
    <w:rsid w:val="0092180D"/>
    <w:rsid w:val="00922E68"/>
    <w:rsid w:val="009232C9"/>
    <w:rsid w:val="00923608"/>
    <w:rsid w:val="009238E5"/>
    <w:rsid w:val="00923F12"/>
    <w:rsid w:val="00924218"/>
    <w:rsid w:val="0092439A"/>
    <w:rsid w:val="00924E79"/>
    <w:rsid w:val="00924FF8"/>
    <w:rsid w:val="00925939"/>
    <w:rsid w:val="00925BA8"/>
    <w:rsid w:val="00926DA7"/>
    <w:rsid w:val="009271B2"/>
    <w:rsid w:val="009278F3"/>
    <w:rsid w:val="00927AC8"/>
    <w:rsid w:val="00927F8B"/>
    <w:rsid w:val="009301C2"/>
    <w:rsid w:val="009303D5"/>
    <w:rsid w:val="0093094D"/>
    <w:rsid w:val="00931B78"/>
    <w:rsid w:val="009328C7"/>
    <w:rsid w:val="009336EC"/>
    <w:rsid w:val="00933F56"/>
    <w:rsid w:val="00934C13"/>
    <w:rsid w:val="0093506A"/>
    <w:rsid w:val="0093514E"/>
    <w:rsid w:val="00935228"/>
    <w:rsid w:val="009355A2"/>
    <w:rsid w:val="00935F9E"/>
    <w:rsid w:val="00936D98"/>
    <w:rsid w:val="009400E3"/>
    <w:rsid w:val="00941FF5"/>
    <w:rsid w:val="00942C80"/>
    <w:rsid w:val="00943192"/>
    <w:rsid w:val="00943197"/>
    <w:rsid w:val="00943254"/>
    <w:rsid w:val="009435F2"/>
    <w:rsid w:val="009438FA"/>
    <w:rsid w:val="00943BF3"/>
    <w:rsid w:val="00945180"/>
    <w:rsid w:val="009457F1"/>
    <w:rsid w:val="0094590C"/>
    <w:rsid w:val="00946355"/>
    <w:rsid w:val="009464E4"/>
    <w:rsid w:val="009468B7"/>
    <w:rsid w:val="00947117"/>
    <w:rsid w:val="0094724E"/>
    <w:rsid w:val="00947973"/>
    <w:rsid w:val="00947B9C"/>
    <w:rsid w:val="00947BE6"/>
    <w:rsid w:val="00947DE7"/>
    <w:rsid w:val="0095048D"/>
    <w:rsid w:val="009504A0"/>
    <w:rsid w:val="00951ADB"/>
    <w:rsid w:val="00951E2F"/>
    <w:rsid w:val="00952E22"/>
    <w:rsid w:val="0095380C"/>
    <w:rsid w:val="00954353"/>
    <w:rsid w:val="009544D4"/>
    <w:rsid w:val="0095584A"/>
    <w:rsid w:val="00955C0A"/>
    <w:rsid w:val="00955C4F"/>
    <w:rsid w:val="00957534"/>
    <w:rsid w:val="009577FE"/>
    <w:rsid w:val="00957C8B"/>
    <w:rsid w:val="00960AB5"/>
    <w:rsid w:val="00961BD5"/>
    <w:rsid w:val="00964FB5"/>
    <w:rsid w:val="009651F2"/>
    <w:rsid w:val="0096552F"/>
    <w:rsid w:val="009657F1"/>
    <w:rsid w:val="00965B95"/>
    <w:rsid w:val="0096625D"/>
    <w:rsid w:val="00966F9B"/>
    <w:rsid w:val="009709F8"/>
    <w:rsid w:val="00970A46"/>
    <w:rsid w:val="0097138B"/>
    <w:rsid w:val="0097253D"/>
    <w:rsid w:val="00972929"/>
    <w:rsid w:val="00972F91"/>
    <w:rsid w:val="00973827"/>
    <w:rsid w:val="009742D3"/>
    <w:rsid w:val="00974308"/>
    <w:rsid w:val="009769E9"/>
    <w:rsid w:val="00977BA7"/>
    <w:rsid w:val="00980517"/>
    <w:rsid w:val="009807A8"/>
    <w:rsid w:val="00980C81"/>
    <w:rsid w:val="0098194F"/>
    <w:rsid w:val="009826C8"/>
    <w:rsid w:val="009836E4"/>
    <w:rsid w:val="00983A11"/>
    <w:rsid w:val="0098412F"/>
    <w:rsid w:val="00984B4B"/>
    <w:rsid w:val="009854AE"/>
    <w:rsid w:val="00985F28"/>
    <w:rsid w:val="00986149"/>
    <w:rsid w:val="00986176"/>
    <w:rsid w:val="00986DB9"/>
    <w:rsid w:val="00986E7F"/>
    <w:rsid w:val="00987536"/>
    <w:rsid w:val="009878E7"/>
    <w:rsid w:val="00987B1A"/>
    <w:rsid w:val="00990BD5"/>
    <w:rsid w:val="0099196F"/>
    <w:rsid w:val="00991B18"/>
    <w:rsid w:val="0099278D"/>
    <w:rsid w:val="00992B98"/>
    <w:rsid w:val="0099359F"/>
    <w:rsid w:val="00994871"/>
    <w:rsid w:val="00994E08"/>
    <w:rsid w:val="009951F9"/>
    <w:rsid w:val="00995C95"/>
    <w:rsid w:val="00995E85"/>
    <w:rsid w:val="00996468"/>
    <w:rsid w:val="00996876"/>
    <w:rsid w:val="00996FFA"/>
    <w:rsid w:val="009973F1"/>
    <w:rsid w:val="009973F3"/>
    <w:rsid w:val="00997F52"/>
    <w:rsid w:val="009A010D"/>
    <w:rsid w:val="009A0289"/>
    <w:rsid w:val="009A0C6F"/>
    <w:rsid w:val="009A14EF"/>
    <w:rsid w:val="009A2190"/>
    <w:rsid w:val="009A2DF9"/>
    <w:rsid w:val="009A3141"/>
    <w:rsid w:val="009A3A86"/>
    <w:rsid w:val="009A41E7"/>
    <w:rsid w:val="009A4787"/>
    <w:rsid w:val="009A4869"/>
    <w:rsid w:val="009A63AD"/>
    <w:rsid w:val="009A6A6B"/>
    <w:rsid w:val="009A72AC"/>
    <w:rsid w:val="009B0124"/>
    <w:rsid w:val="009B1EF9"/>
    <w:rsid w:val="009B26AC"/>
    <w:rsid w:val="009B31D7"/>
    <w:rsid w:val="009B37E2"/>
    <w:rsid w:val="009B4519"/>
    <w:rsid w:val="009B506B"/>
    <w:rsid w:val="009B57EF"/>
    <w:rsid w:val="009B5B85"/>
    <w:rsid w:val="009B7204"/>
    <w:rsid w:val="009B75F1"/>
    <w:rsid w:val="009C0074"/>
    <w:rsid w:val="009C0564"/>
    <w:rsid w:val="009C1212"/>
    <w:rsid w:val="009C1386"/>
    <w:rsid w:val="009C1444"/>
    <w:rsid w:val="009C1AD4"/>
    <w:rsid w:val="009C1D07"/>
    <w:rsid w:val="009C1E40"/>
    <w:rsid w:val="009C2393"/>
    <w:rsid w:val="009C2685"/>
    <w:rsid w:val="009C39BC"/>
    <w:rsid w:val="009C44B2"/>
    <w:rsid w:val="009C4BC2"/>
    <w:rsid w:val="009C4D22"/>
    <w:rsid w:val="009C5739"/>
    <w:rsid w:val="009C5C8C"/>
    <w:rsid w:val="009C6090"/>
    <w:rsid w:val="009C7320"/>
    <w:rsid w:val="009C7E50"/>
    <w:rsid w:val="009D0729"/>
    <w:rsid w:val="009D0F66"/>
    <w:rsid w:val="009D1A06"/>
    <w:rsid w:val="009D1BA4"/>
    <w:rsid w:val="009D22E4"/>
    <w:rsid w:val="009D22F7"/>
    <w:rsid w:val="009D275F"/>
    <w:rsid w:val="009D319C"/>
    <w:rsid w:val="009D409F"/>
    <w:rsid w:val="009D47BD"/>
    <w:rsid w:val="009D5BAB"/>
    <w:rsid w:val="009D6A0A"/>
    <w:rsid w:val="009D7D56"/>
    <w:rsid w:val="009E058F"/>
    <w:rsid w:val="009E0A9E"/>
    <w:rsid w:val="009E19A2"/>
    <w:rsid w:val="009E3AFD"/>
    <w:rsid w:val="009E3CDD"/>
    <w:rsid w:val="009E4B16"/>
    <w:rsid w:val="009E5C60"/>
    <w:rsid w:val="009E5DBF"/>
    <w:rsid w:val="009E64DB"/>
    <w:rsid w:val="009E6794"/>
    <w:rsid w:val="009E6D0A"/>
    <w:rsid w:val="009E7189"/>
    <w:rsid w:val="009E7E46"/>
    <w:rsid w:val="009E7ECB"/>
    <w:rsid w:val="009E7FC1"/>
    <w:rsid w:val="009F01E1"/>
    <w:rsid w:val="009F0B4D"/>
    <w:rsid w:val="009F1096"/>
    <w:rsid w:val="009F10D3"/>
    <w:rsid w:val="009F1181"/>
    <w:rsid w:val="009F150E"/>
    <w:rsid w:val="009F1AD1"/>
    <w:rsid w:val="009F1E00"/>
    <w:rsid w:val="009F22EB"/>
    <w:rsid w:val="009F27AD"/>
    <w:rsid w:val="009F3D2A"/>
    <w:rsid w:val="009F3FB5"/>
    <w:rsid w:val="009F4029"/>
    <w:rsid w:val="009F402A"/>
    <w:rsid w:val="009F521F"/>
    <w:rsid w:val="009F553C"/>
    <w:rsid w:val="009F59F8"/>
    <w:rsid w:val="009F5ACB"/>
    <w:rsid w:val="009F63B8"/>
    <w:rsid w:val="009F76BC"/>
    <w:rsid w:val="009F7CF3"/>
    <w:rsid w:val="00A0041B"/>
    <w:rsid w:val="00A005B0"/>
    <w:rsid w:val="00A00AB9"/>
    <w:rsid w:val="00A01048"/>
    <w:rsid w:val="00A01F17"/>
    <w:rsid w:val="00A022A5"/>
    <w:rsid w:val="00A02575"/>
    <w:rsid w:val="00A03241"/>
    <w:rsid w:val="00A03A22"/>
    <w:rsid w:val="00A04634"/>
    <w:rsid w:val="00A04876"/>
    <w:rsid w:val="00A04AE0"/>
    <w:rsid w:val="00A06119"/>
    <w:rsid w:val="00A072E1"/>
    <w:rsid w:val="00A07A48"/>
    <w:rsid w:val="00A108EE"/>
    <w:rsid w:val="00A10BB8"/>
    <w:rsid w:val="00A1125B"/>
    <w:rsid w:val="00A113C8"/>
    <w:rsid w:val="00A1200D"/>
    <w:rsid w:val="00A13430"/>
    <w:rsid w:val="00A137E4"/>
    <w:rsid w:val="00A144E7"/>
    <w:rsid w:val="00A14813"/>
    <w:rsid w:val="00A1566A"/>
    <w:rsid w:val="00A15AB3"/>
    <w:rsid w:val="00A160FD"/>
    <w:rsid w:val="00A165BF"/>
    <w:rsid w:val="00A172E8"/>
    <w:rsid w:val="00A179FF"/>
    <w:rsid w:val="00A20250"/>
    <w:rsid w:val="00A20859"/>
    <w:rsid w:val="00A20AC1"/>
    <w:rsid w:val="00A20B8E"/>
    <w:rsid w:val="00A21186"/>
    <w:rsid w:val="00A2163B"/>
    <w:rsid w:val="00A21A36"/>
    <w:rsid w:val="00A21BBA"/>
    <w:rsid w:val="00A2280A"/>
    <w:rsid w:val="00A22F9B"/>
    <w:rsid w:val="00A23ACC"/>
    <w:rsid w:val="00A25052"/>
    <w:rsid w:val="00A25294"/>
    <w:rsid w:val="00A254EE"/>
    <w:rsid w:val="00A25BE7"/>
    <w:rsid w:val="00A26B4B"/>
    <w:rsid w:val="00A27008"/>
    <w:rsid w:val="00A27C38"/>
    <w:rsid w:val="00A27CDF"/>
    <w:rsid w:val="00A30938"/>
    <w:rsid w:val="00A309C6"/>
    <w:rsid w:val="00A30D13"/>
    <w:rsid w:val="00A314F9"/>
    <w:rsid w:val="00A319D0"/>
    <w:rsid w:val="00A31ADC"/>
    <w:rsid w:val="00A32316"/>
    <w:rsid w:val="00A33172"/>
    <w:rsid w:val="00A3432B"/>
    <w:rsid w:val="00A34426"/>
    <w:rsid w:val="00A346BA"/>
    <w:rsid w:val="00A34B96"/>
    <w:rsid w:val="00A34C67"/>
    <w:rsid w:val="00A34D62"/>
    <w:rsid w:val="00A3611D"/>
    <w:rsid w:val="00A36339"/>
    <w:rsid w:val="00A366E4"/>
    <w:rsid w:val="00A43157"/>
    <w:rsid w:val="00A43398"/>
    <w:rsid w:val="00A4376F"/>
    <w:rsid w:val="00A43E53"/>
    <w:rsid w:val="00A43F99"/>
    <w:rsid w:val="00A4475F"/>
    <w:rsid w:val="00A44E58"/>
    <w:rsid w:val="00A4549F"/>
    <w:rsid w:val="00A45B9B"/>
    <w:rsid w:val="00A462FE"/>
    <w:rsid w:val="00A46616"/>
    <w:rsid w:val="00A4671E"/>
    <w:rsid w:val="00A501C9"/>
    <w:rsid w:val="00A50506"/>
    <w:rsid w:val="00A50DDB"/>
    <w:rsid w:val="00A51C7A"/>
    <w:rsid w:val="00A521B8"/>
    <w:rsid w:val="00A531FC"/>
    <w:rsid w:val="00A53F17"/>
    <w:rsid w:val="00A53F55"/>
    <w:rsid w:val="00A5417B"/>
    <w:rsid w:val="00A54599"/>
    <w:rsid w:val="00A54B82"/>
    <w:rsid w:val="00A569D4"/>
    <w:rsid w:val="00A57412"/>
    <w:rsid w:val="00A57F1A"/>
    <w:rsid w:val="00A60163"/>
    <w:rsid w:val="00A6038D"/>
    <w:rsid w:val="00A60B39"/>
    <w:rsid w:val="00A60CF0"/>
    <w:rsid w:val="00A61429"/>
    <w:rsid w:val="00A61514"/>
    <w:rsid w:val="00A61645"/>
    <w:rsid w:val="00A61914"/>
    <w:rsid w:val="00A61B92"/>
    <w:rsid w:val="00A62080"/>
    <w:rsid w:val="00A630A2"/>
    <w:rsid w:val="00A63126"/>
    <w:rsid w:val="00A632B8"/>
    <w:rsid w:val="00A63BF3"/>
    <w:rsid w:val="00A64942"/>
    <w:rsid w:val="00A64AEE"/>
    <w:rsid w:val="00A6519F"/>
    <w:rsid w:val="00A6523C"/>
    <w:rsid w:val="00A65911"/>
    <w:rsid w:val="00A65FC1"/>
    <w:rsid w:val="00A6643C"/>
    <w:rsid w:val="00A66D9D"/>
    <w:rsid w:val="00A67544"/>
    <w:rsid w:val="00A7075B"/>
    <w:rsid w:val="00A707DC"/>
    <w:rsid w:val="00A71455"/>
    <w:rsid w:val="00A717F8"/>
    <w:rsid w:val="00A71CE6"/>
    <w:rsid w:val="00A71D23"/>
    <w:rsid w:val="00A725C4"/>
    <w:rsid w:val="00A7333A"/>
    <w:rsid w:val="00A73D0D"/>
    <w:rsid w:val="00A74A92"/>
    <w:rsid w:val="00A75054"/>
    <w:rsid w:val="00A75CC1"/>
    <w:rsid w:val="00A75E88"/>
    <w:rsid w:val="00A76A7C"/>
    <w:rsid w:val="00A77F01"/>
    <w:rsid w:val="00A8056E"/>
    <w:rsid w:val="00A8094B"/>
    <w:rsid w:val="00A82463"/>
    <w:rsid w:val="00A82D58"/>
    <w:rsid w:val="00A83652"/>
    <w:rsid w:val="00A8399D"/>
    <w:rsid w:val="00A83B72"/>
    <w:rsid w:val="00A83E3D"/>
    <w:rsid w:val="00A8443A"/>
    <w:rsid w:val="00A8479C"/>
    <w:rsid w:val="00A8557B"/>
    <w:rsid w:val="00A85A05"/>
    <w:rsid w:val="00A86D63"/>
    <w:rsid w:val="00A87797"/>
    <w:rsid w:val="00A90270"/>
    <w:rsid w:val="00A90E72"/>
    <w:rsid w:val="00A922A2"/>
    <w:rsid w:val="00A9327B"/>
    <w:rsid w:val="00A93B69"/>
    <w:rsid w:val="00A93F6B"/>
    <w:rsid w:val="00A9419E"/>
    <w:rsid w:val="00A94231"/>
    <w:rsid w:val="00A946F3"/>
    <w:rsid w:val="00A94C52"/>
    <w:rsid w:val="00A963C7"/>
    <w:rsid w:val="00A97C54"/>
    <w:rsid w:val="00AA05E1"/>
    <w:rsid w:val="00AA0A39"/>
    <w:rsid w:val="00AA0D1F"/>
    <w:rsid w:val="00AA1133"/>
    <w:rsid w:val="00AA1626"/>
    <w:rsid w:val="00AA1AE6"/>
    <w:rsid w:val="00AA1C25"/>
    <w:rsid w:val="00AA1FF4"/>
    <w:rsid w:val="00AA26D1"/>
    <w:rsid w:val="00AA3DB7"/>
    <w:rsid w:val="00AA3F19"/>
    <w:rsid w:val="00AA443E"/>
    <w:rsid w:val="00AA51F5"/>
    <w:rsid w:val="00AA5E3B"/>
    <w:rsid w:val="00AA6495"/>
    <w:rsid w:val="00AA66EE"/>
    <w:rsid w:val="00AA68B4"/>
    <w:rsid w:val="00AB0543"/>
    <w:rsid w:val="00AB07B3"/>
    <w:rsid w:val="00AB0AC9"/>
    <w:rsid w:val="00AB185A"/>
    <w:rsid w:val="00AB1BA7"/>
    <w:rsid w:val="00AB1E04"/>
    <w:rsid w:val="00AB21AE"/>
    <w:rsid w:val="00AB29CF"/>
    <w:rsid w:val="00AB2A15"/>
    <w:rsid w:val="00AB3113"/>
    <w:rsid w:val="00AB348A"/>
    <w:rsid w:val="00AB3F38"/>
    <w:rsid w:val="00AB43EC"/>
    <w:rsid w:val="00AB4BF4"/>
    <w:rsid w:val="00AB5ADF"/>
    <w:rsid w:val="00AB5E57"/>
    <w:rsid w:val="00AB5FCB"/>
    <w:rsid w:val="00AB725F"/>
    <w:rsid w:val="00AB7F2C"/>
    <w:rsid w:val="00AC0355"/>
    <w:rsid w:val="00AC0532"/>
    <w:rsid w:val="00AC0705"/>
    <w:rsid w:val="00AC109B"/>
    <w:rsid w:val="00AC118E"/>
    <w:rsid w:val="00AC1429"/>
    <w:rsid w:val="00AC339A"/>
    <w:rsid w:val="00AC431B"/>
    <w:rsid w:val="00AC4BC8"/>
    <w:rsid w:val="00AC5764"/>
    <w:rsid w:val="00AC61CE"/>
    <w:rsid w:val="00AC6E5A"/>
    <w:rsid w:val="00AC74DA"/>
    <w:rsid w:val="00AC784D"/>
    <w:rsid w:val="00AC7A2B"/>
    <w:rsid w:val="00AC7C25"/>
    <w:rsid w:val="00AD05C6"/>
    <w:rsid w:val="00AD0A51"/>
    <w:rsid w:val="00AD0B37"/>
    <w:rsid w:val="00AD11F7"/>
    <w:rsid w:val="00AD1DB7"/>
    <w:rsid w:val="00AD282B"/>
    <w:rsid w:val="00AD2852"/>
    <w:rsid w:val="00AD313F"/>
    <w:rsid w:val="00AD3908"/>
    <w:rsid w:val="00AD3976"/>
    <w:rsid w:val="00AD4156"/>
    <w:rsid w:val="00AD4651"/>
    <w:rsid w:val="00AD46CA"/>
    <w:rsid w:val="00AD46D3"/>
    <w:rsid w:val="00AD4D2A"/>
    <w:rsid w:val="00AD542F"/>
    <w:rsid w:val="00AD6A00"/>
    <w:rsid w:val="00AD7305"/>
    <w:rsid w:val="00AD7E64"/>
    <w:rsid w:val="00AE0C56"/>
    <w:rsid w:val="00AE12DE"/>
    <w:rsid w:val="00AE149E"/>
    <w:rsid w:val="00AE1547"/>
    <w:rsid w:val="00AE1AD3"/>
    <w:rsid w:val="00AE1C6D"/>
    <w:rsid w:val="00AE1D1F"/>
    <w:rsid w:val="00AE22F2"/>
    <w:rsid w:val="00AE26AA"/>
    <w:rsid w:val="00AE29FC"/>
    <w:rsid w:val="00AE2F3F"/>
    <w:rsid w:val="00AE3B4E"/>
    <w:rsid w:val="00AE47FA"/>
    <w:rsid w:val="00AE49A2"/>
    <w:rsid w:val="00AE4E07"/>
    <w:rsid w:val="00AE59EC"/>
    <w:rsid w:val="00AE67B3"/>
    <w:rsid w:val="00AE6A5B"/>
    <w:rsid w:val="00AE7864"/>
    <w:rsid w:val="00AE7949"/>
    <w:rsid w:val="00AF037E"/>
    <w:rsid w:val="00AF136F"/>
    <w:rsid w:val="00AF157C"/>
    <w:rsid w:val="00AF25D5"/>
    <w:rsid w:val="00AF2655"/>
    <w:rsid w:val="00AF2D62"/>
    <w:rsid w:val="00AF31B3"/>
    <w:rsid w:val="00AF3DBB"/>
    <w:rsid w:val="00AF426A"/>
    <w:rsid w:val="00AF5051"/>
    <w:rsid w:val="00AF5194"/>
    <w:rsid w:val="00AF53EF"/>
    <w:rsid w:val="00AF5A2F"/>
    <w:rsid w:val="00AF71A8"/>
    <w:rsid w:val="00AF73C3"/>
    <w:rsid w:val="00AF795C"/>
    <w:rsid w:val="00B00752"/>
    <w:rsid w:val="00B0086B"/>
    <w:rsid w:val="00B01F43"/>
    <w:rsid w:val="00B02638"/>
    <w:rsid w:val="00B026C1"/>
    <w:rsid w:val="00B02B9C"/>
    <w:rsid w:val="00B03488"/>
    <w:rsid w:val="00B0353B"/>
    <w:rsid w:val="00B03B1A"/>
    <w:rsid w:val="00B040B2"/>
    <w:rsid w:val="00B07A86"/>
    <w:rsid w:val="00B07D07"/>
    <w:rsid w:val="00B07D86"/>
    <w:rsid w:val="00B07E10"/>
    <w:rsid w:val="00B10558"/>
    <w:rsid w:val="00B118F3"/>
    <w:rsid w:val="00B11DB3"/>
    <w:rsid w:val="00B124B0"/>
    <w:rsid w:val="00B146BB"/>
    <w:rsid w:val="00B1521D"/>
    <w:rsid w:val="00B156A9"/>
    <w:rsid w:val="00B15CE8"/>
    <w:rsid w:val="00B15F83"/>
    <w:rsid w:val="00B1606C"/>
    <w:rsid w:val="00B160FF"/>
    <w:rsid w:val="00B16322"/>
    <w:rsid w:val="00B1662E"/>
    <w:rsid w:val="00B16A6F"/>
    <w:rsid w:val="00B17144"/>
    <w:rsid w:val="00B209B9"/>
    <w:rsid w:val="00B227C6"/>
    <w:rsid w:val="00B2297E"/>
    <w:rsid w:val="00B22C0D"/>
    <w:rsid w:val="00B23A67"/>
    <w:rsid w:val="00B23AF4"/>
    <w:rsid w:val="00B23C15"/>
    <w:rsid w:val="00B24013"/>
    <w:rsid w:val="00B24249"/>
    <w:rsid w:val="00B24675"/>
    <w:rsid w:val="00B25762"/>
    <w:rsid w:val="00B25B40"/>
    <w:rsid w:val="00B25FDE"/>
    <w:rsid w:val="00B26AB0"/>
    <w:rsid w:val="00B26AD2"/>
    <w:rsid w:val="00B26CA2"/>
    <w:rsid w:val="00B30868"/>
    <w:rsid w:val="00B308CE"/>
    <w:rsid w:val="00B30B4E"/>
    <w:rsid w:val="00B31246"/>
    <w:rsid w:val="00B3161F"/>
    <w:rsid w:val="00B326FF"/>
    <w:rsid w:val="00B340AA"/>
    <w:rsid w:val="00B347EE"/>
    <w:rsid w:val="00B34A9F"/>
    <w:rsid w:val="00B34B80"/>
    <w:rsid w:val="00B35CDA"/>
    <w:rsid w:val="00B35F1A"/>
    <w:rsid w:val="00B37D97"/>
    <w:rsid w:val="00B411BD"/>
    <w:rsid w:val="00B41559"/>
    <w:rsid w:val="00B418E8"/>
    <w:rsid w:val="00B41ED3"/>
    <w:rsid w:val="00B42285"/>
    <w:rsid w:val="00B426C8"/>
    <w:rsid w:val="00B4274B"/>
    <w:rsid w:val="00B435B1"/>
    <w:rsid w:val="00B4367F"/>
    <w:rsid w:val="00B438BA"/>
    <w:rsid w:val="00B438C8"/>
    <w:rsid w:val="00B44F99"/>
    <w:rsid w:val="00B45876"/>
    <w:rsid w:val="00B45C50"/>
    <w:rsid w:val="00B460AD"/>
    <w:rsid w:val="00B465B2"/>
    <w:rsid w:val="00B47283"/>
    <w:rsid w:val="00B47469"/>
    <w:rsid w:val="00B51542"/>
    <w:rsid w:val="00B5170C"/>
    <w:rsid w:val="00B519E6"/>
    <w:rsid w:val="00B51D1D"/>
    <w:rsid w:val="00B5310E"/>
    <w:rsid w:val="00B53D99"/>
    <w:rsid w:val="00B54018"/>
    <w:rsid w:val="00B54ACC"/>
    <w:rsid w:val="00B54DCB"/>
    <w:rsid w:val="00B55AC2"/>
    <w:rsid w:val="00B560C9"/>
    <w:rsid w:val="00B56533"/>
    <w:rsid w:val="00B56CFC"/>
    <w:rsid w:val="00B57033"/>
    <w:rsid w:val="00B57777"/>
    <w:rsid w:val="00B57A17"/>
    <w:rsid w:val="00B57A2A"/>
    <w:rsid w:val="00B611EB"/>
    <w:rsid w:val="00B61BE2"/>
    <w:rsid w:val="00B61F2A"/>
    <w:rsid w:val="00B622F8"/>
    <w:rsid w:val="00B623DF"/>
    <w:rsid w:val="00B6266F"/>
    <w:rsid w:val="00B62E0B"/>
    <w:rsid w:val="00B63C32"/>
    <w:rsid w:val="00B64434"/>
    <w:rsid w:val="00B649A1"/>
    <w:rsid w:val="00B66C4A"/>
    <w:rsid w:val="00B67EF3"/>
    <w:rsid w:val="00B70296"/>
    <w:rsid w:val="00B711CE"/>
    <w:rsid w:val="00B71CF9"/>
    <w:rsid w:val="00B71DC8"/>
    <w:rsid w:val="00B72072"/>
    <w:rsid w:val="00B746C6"/>
    <w:rsid w:val="00B75CC2"/>
    <w:rsid w:val="00B7604C"/>
    <w:rsid w:val="00B7652C"/>
    <w:rsid w:val="00B766BF"/>
    <w:rsid w:val="00B76D5D"/>
    <w:rsid w:val="00B76FA6"/>
    <w:rsid w:val="00B80910"/>
    <w:rsid w:val="00B818F4"/>
    <w:rsid w:val="00B81BC9"/>
    <w:rsid w:val="00B81F73"/>
    <w:rsid w:val="00B8222F"/>
    <w:rsid w:val="00B82615"/>
    <w:rsid w:val="00B83444"/>
    <w:rsid w:val="00B836ED"/>
    <w:rsid w:val="00B845C8"/>
    <w:rsid w:val="00B853BE"/>
    <w:rsid w:val="00B86476"/>
    <w:rsid w:val="00B86A3D"/>
    <w:rsid w:val="00B875C7"/>
    <w:rsid w:val="00B87A67"/>
    <w:rsid w:val="00B9017F"/>
    <w:rsid w:val="00B90AF5"/>
    <w:rsid w:val="00B90D10"/>
    <w:rsid w:val="00B90FE5"/>
    <w:rsid w:val="00B91555"/>
    <w:rsid w:val="00B919AD"/>
    <w:rsid w:val="00B91A2B"/>
    <w:rsid w:val="00B9269E"/>
    <w:rsid w:val="00B93188"/>
    <w:rsid w:val="00B93204"/>
    <w:rsid w:val="00B93747"/>
    <w:rsid w:val="00B93FA0"/>
    <w:rsid w:val="00B94E17"/>
    <w:rsid w:val="00B95709"/>
    <w:rsid w:val="00B957FE"/>
    <w:rsid w:val="00B95F02"/>
    <w:rsid w:val="00B96BEF"/>
    <w:rsid w:val="00B96FC0"/>
    <w:rsid w:val="00B97260"/>
    <w:rsid w:val="00B97A69"/>
    <w:rsid w:val="00B97E41"/>
    <w:rsid w:val="00BA0632"/>
    <w:rsid w:val="00BA072A"/>
    <w:rsid w:val="00BA081B"/>
    <w:rsid w:val="00BA0AAA"/>
    <w:rsid w:val="00BA0DFB"/>
    <w:rsid w:val="00BA2FEF"/>
    <w:rsid w:val="00BA513A"/>
    <w:rsid w:val="00BA5233"/>
    <w:rsid w:val="00BA62D8"/>
    <w:rsid w:val="00BB02B3"/>
    <w:rsid w:val="00BB02BC"/>
    <w:rsid w:val="00BB0BCF"/>
    <w:rsid w:val="00BB1548"/>
    <w:rsid w:val="00BB192D"/>
    <w:rsid w:val="00BB1CE7"/>
    <w:rsid w:val="00BB2FD3"/>
    <w:rsid w:val="00BB2FDF"/>
    <w:rsid w:val="00BB2FFF"/>
    <w:rsid w:val="00BB55BA"/>
    <w:rsid w:val="00BB5F85"/>
    <w:rsid w:val="00BB5FCB"/>
    <w:rsid w:val="00BB6017"/>
    <w:rsid w:val="00BB604B"/>
    <w:rsid w:val="00BB7A4C"/>
    <w:rsid w:val="00BC00EC"/>
    <w:rsid w:val="00BC03B3"/>
    <w:rsid w:val="00BC08C5"/>
    <w:rsid w:val="00BC12FB"/>
    <w:rsid w:val="00BC13C9"/>
    <w:rsid w:val="00BC1C3C"/>
    <w:rsid w:val="00BC25C5"/>
    <w:rsid w:val="00BC307F"/>
    <w:rsid w:val="00BC3159"/>
    <w:rsid w:val="00BC3257"/>
    <w:rsid w:val="00BC39DB"/>
    <w:rsid w:val="00BC3A32"/>
    <w:rsid w:val="00BC3B07"/>
    <w:rsid w:val="00BC46EF"/>
    <w:rsid w:val="00BC630B"/>
    <w:rsid w:val="00BC6601"/>
    <w:rsid w:val="00BC6FD6"/>
    <w:rsid w:val="00BC7FE7"/>
    <w:rsid w:val="00BD008E"/>
    <w:rsid w:val="00BD07CF"/>
    <w:rsid w:val="00BD0ECE"/>
    <w:rsid w:val="00BD128C"/>
    <w:rsid w:val="00BD2995"/>
    <w:rsid w:val="00BD2F3B"/>
    <w:rsid w:val="00BD3269"/>
    <w:rsid w:val="00BD3372"/>
    <w:rsid w:val="00BD43B8"/>
    <w:rsid w:val="00BD50AA"/>
    <w:rsid w:val="00BD5135"/>
    <w:rsid w:val="00BD5AA5"/>
    <w:rsid w:val="00BD7291"/>
    <w:rsid w:val="00BD7EA3"/>
    <w:rsid w:val="00BD7FE2"/>
    <w:rsid w:val="00BE0B19"/>
    <w:rsid w:val="00BE0DD8"/>
    <w:rsid w:val="00BE1213"/>
    <w:rsid w:val="00BE13F0"/>
    <w:rsid w:val="00BE1D82"/>
    <w:rsid w:val="00BE1EE4"/>
    <w:rsid w:val="00BE1F8B"/>
    <w:rsid w:val="00BE2B4F"/>
    <w:rsid w:val="00BE2C2F"/>
    <w:rsid w:val="00BE2F39"/>
    <w:rsid w:val="00BE332D"/>
    <w:rsid w:val="00BE3CF1"/>
    <w:rsid w:val="00BE3E66"/>
    <w:rsid w:val="00BE4691"/>
    <w:rsid w:val="00BE4B20"/>
    <w:rsid w:val="00BE59C2"/>
    <w:rsid w:val="00BE5FC4"/>
    <w:rsid w:val="00BE66A4"/>
    <w:rsid w:val="00BE6B26"/>
    <w:rsid w:val="00BE71A9"/>
    <w:rsid w:val="00BE7C4D"/>
    <w:rsid w:val="00BE7F6A"/>
    <w:rsid w:val="00BF0274"/>
    <w:rsid w:val="00BF08C4"/>
    <w:rsid w:val="00BF0BAF"/>
    <w:rsid w:val="00BF11BC"/>
    <w:rsid w:val="00BF18C3"/>
    <w:rsid w:val="00BF19CE"/>
    <w:rsid w:val="00BF25D0"/>
    <w:rsid w:val="00BF2B6F"/>
    <w:rsid w:val="00BF351A"/>
    <w:rsid w:val="00BF3914"/>
    <w:rsid w:val="00BF49B1"/>
    <w:rsid w:val="00BF5552"/>
    <w:rsid w:val="00BF5F0E"/>
    <w:rsid w:val="00BF73F2"/>
    <w:rsid w:val="00C00036"/>
    <w:rsid w:val="00C00518"/>
    <w:rsid w:val="00C01671"/>
    <w:rsid w:val="00C01FBA"/>
    <w:rsid w:val="00C023FA"/>
    <w:rsid w:val="00C02419"/>
    <w:rsid w:val="00C02766"/>
    <w:rsid w:val="00C03EE8"/>
    <w:rsid w:val="00C05BEC"/>
    <w:rsid w:val="00C06760"/>
    <w:rsid w:val="00C06E7D"/>
    <w:rsid w:val="00C06FED"/>
    <w:rsid w:val="00C07171"/>
    <w:rsid w:val="00C07682"/>
    <w:rsid w:val="00C1112B"/>
    <w:rsid w:val="00C11603"/>
    <w:rsid w:val="00C11A88"/>
    <w:rsid w:val="00C11CB4"/>
    <w:rsid w:val="00C12012"/>
    <w:rsid w:val="00C12874"/>
    <w:rsid w:val="00C12BC1"/>
    <w:rsid w:val="00C13BDA"/>
    <w:rsid w:val="00C13FFD"/>
    <w:rsid w:val="00C14632"/>
    <w:rsid w:val="00C15F5D"/>
    <w:rsid w:val="00C160B5"/>
    <w:rsid w:val="00C16C30"/>
    <w:rsid w:val="00C2049F"/>
    <w:rsid w:val="00C209A2"/>
    <w:rsid w:val="00C20A00"/>
    <w:rsid w:val="00C20DF0"/>
    <w:rsid w:val="00C21506"/>
    <w:rsid w:val="00C21673"/>
    <w:rsid w:val="00C21C7A"/>
    <w:rsid w:val="00C22041"/>
    <w:rsid w:val="00C22932"/>
    <w:rsid w:val="00C23130"/>
    <w:rsid w:val="00C2451F"/>
    <w:rsid w:val="00C252F5"/>
    <w:rsid w:val="00C255A5"/>
    <w:rsid w:val="00C2584B"/>
    <w:rsid w:val="00C25942"/>
    <w:rsid w:val="00C25D90"/>
    <w:rsid w:val="00C25DD9"/>
    <w:rsid w:val="00C2663F"/>
    <w:rsid w:val="00C26DB8"/>
    <w:rsid w:val="00C2705A"/>
    <w:rsid w:val="00C270F7"/>
    <w:rsid w:val="00C2711E"/>
    <w:rsid w:val="00C32BD6"/>
    <w:rsid w:val="00C33F46"/>
    <w:rsid w:val="00C3400F"/>
    <w:rsid w:val="00C34533"/>
    <w:rsid w:val="00C34AD1"/>
    <w:rsid w:val="00C34B64"/>
    <w:rsid w:val="00C34C36"/>
    <w:rsid w:val="00C352B3"/>
    <w:rsid w:val="00C3654C"/>
    <w:rsid w:val="00C36BF5"/>
    <w:rsid w:val="00C36DBC"/>
    <w:rsid w:val="00C376BA"/>
    <w:rsid w:val="00C40373"/>
    <w:rsid w:val="00C4082D"/>
    <w:rsid w:val="00C40AE6"/>
    <w:rsid w:val="00C411AF"/>
    <w:rsid w:val="00C4138D"/>
    <w:rsid w:val="00C41E3A"/>
    <w:rsid w:val="00C41FBC"/>
    <w:rsid w:val="00C4266C"/>
    <w:rsid w:val="00C4304C"/>
    <w:rsid w:val="00C43315"/>
    <w:rsid w:val="00C439D5"/>
    <w:rsid w:val="00C44EA6"/>
    <w:rsid w:val="00C452F5"/>
    <w:rsid w:val="00C46555"/>
    <w:rsid w:val="00C46774"/>
    <w:rsid w:val="00C468DA"/>
    <w:rsid w:val="00C46B15"/>
    <w:rsid w:val="00C46F7D"/>
    <w:rsid w:val="00C479B5"/>
    <w:rsid w:val="00C50242"/>
    <w:rsid w:val="00C5034D"/>
    <w:rsid w:val="00C5050E"/>
    <w:rsid w:val="00C50E99"/>
    <w:rsid w:val="00C524DE"/>
    <w:rsid w:val="00C52744"/>
    <w:rsid w:val="00C534B3"/>
    <w:rsid w:val="00C53BBE"/>
    <w:rsid w:val="00C53EB3"/>
    <w:rsid w:val="00C542D4"/>
    <w:rsid w:val="00C547AC"/>
    <w:rsid w:val="00C54D71"/>
    <w:rsid w:val="00C54FD3"/>
    <w:rsid w:val="00C55DCE"/>
    <w:rsid w:val="00C563F5"/>
    <w:rsid w:val="00C570F7"/>
    <w:rsid w:val="00C57B37"/>
    <w:rsid w:val="00C57E51"/>
    <w:rsid w:val="00C60C5F"/>
    <w:rsid w:val="00C61FDB"/>
    <w:rsid w:val="00C626C6"/>
    <w:rsid w:val="00C62CD5"/>
    <w:rsid w:val="00C636E6"/>
    <w:rsid w:val="00C639D6"/>
    <w:rsid w:val="00C63F8E"/>
    <w:rsid w:val="00C647FB"/>
    <w:rsid w:val="00C654E0"/>
    <w:rsid w:val="00C6596F"/>
    <w:rsid w:val="00C67EAB"/>
    <w:rsid w:val="00C70582"/>
    <w:rsid w:val="00C70DFF"/>
    <w:rsid w:val="00C71528"/>
    <w:rsid w:val="00C735A5"/>
    <w:rsid w:val="00C741BE"/>
    <w:rsid w:val="00C74C25"/>
    <w:rsid w:val="00C75537"/>
    <w:rsid w:val="00C75844"/>
    <w:rsid w:val="00C75A6B"/>
    <w:rsid w:val="00C763B6"/>
    <w:rsid w:val="00C7644F"/>
    <w:rsid w:val="00C768F6"/>
    <w:rsid w:val="00C7792F"/>
    <w:rsid w:val="00C80073"/>
    <w:rsid w:val="00C802B1"/>
    <w:rsid w:val="00C80DEA"/>
    <w:rsid w:val="00C8158A"/>
    <w:rsid w:val="00C81A09"/>
    <w:rsid w:val="00C81DB9"/>
    <w:rsid w:val="00C832DC"/>
    <w:rsid w:val="00C8377F"/>
    <w:rsid w:val="00C83E06"/>
    <w:rsid w:val="00C8646D"/>
    <w:rsid w:val="00C86D78"/>
    <w:rsid w:val="00C87676"/>
    <w:rsid w:val="00C911C3"/>
    <w:rsid w:val="00C9188F"/>
    <w:rsid w:val="00C91DE3"/>
    <w:rsid w:val="00C9218F"/>
    <w:rsid w:val="00C92C7F"/>
    <w:rsid w:val="00C9369D"/>
    <w:rsid w:val="00C938E5"/>
    <w:rsid w:val="00C944FA"/>
    <w:rsid w:val="00C94B6B"/>
    <w:rsid w:val="00C94E47"/>
    <w:rsid w:val="00C9584C"/>
    <w:rsid w:val="00C95854"/>
    <w:rsid w:val="00C95EFF"/>
    <w:rsid w:val="00C96E6F"/>
    <w:rsid w:val="00C97872"/>
    <w:rsid w:val="00C97AC3"/>
    <w:rsid w:val="00CA0532"/>
    <w:rsid w:val="00CA2241"/>
    <w:rsid w:val="00CA2797"/>
    <w:rsid w:val="00CA2FD4"/>
    <w:rsid w:val="00CA3947"/>
    <w:rsid w:val="00CA3CDD"/>
    <w:rsid w:val="00CA403B"/>
    <w:rsid w:val="00CA4070"/>
    <w:rsid w:val="00CA4ED7"/>
    <w:rsid w:val="00CA505A"/>
    <w:rsid w:val="00CA59DD"/>
    <w:rsid w:val="00CA6B52"/>
    <w:rsid w:val="00CB008E"/>
    <w:rsid w:val="00CB01FA"/>
    <w:rsid w:val="00CB037C"/>
    <w:rsid w:val="00CB0737"/>
    <w:rsid w:val="00CB097A"/>
    <w:rsid w:val="00CB1310"/>
    <w:rsid w:val="00CB26EC"/>
    <w:rsid w:val="00CB2D2A"/>
    <w:rsid w:val="00CB44A8"/>
    <w:rsid w:val="00CB5B1E"/>
    <w:rsid w:val="00CB644D"/>
    <w:rsid w:val="00CB77E4"/>
    <w:rsid w:val="00CB787A"/>
    <w:rsid w:val="00CC02F5"/>
    <w:rsid w:val="00CC061E"/>
    <w:rsid w:val="00CC0C4A"/>
    <w:rsid w:val="00CC17F0"/>
    <w:rsid w:val="00CC1853"/>
    <w:rsid w:val="00CC1BF2"/>
    <w:rsid w:val="00CC1FAE"/>
    <w:rsid w:val="00CC2213"/>
    <w:rsid w:val="00CC2C1D"/>
    <w:rsid w:val="00CC3A23"/>
    <w:rsid w:val="00CC428E"/>
    <w:rsid w:val="00CC639D"/>
    <w:rsid w:val="00CC6832"/>
    <w:rsid w:val="00CC7256"/>
    <w:rsid w:val="00CC737C"/>
    <w:rsid w:val="00CD087D"/>
    <w:rsid w:val="00CD0F5D"/>
    <w:rsid w:val="00CD0FB1"/>
    <w:rsid w:val="00CD1C0B"/>
    <w:rsid w:val="00CD239A"/>
    <w:rsid w:val="00CD2DB1"/>
    <w:rsid w:val="00CD313C"/>
    <w:rsid w:val="00CD334B"/>
    <w:rsid w:val="00CD3610"/>
    <w:rsid w:val="00CD4D34"/>
    <w:rsid w:val="00CD5512"/>
    <w:rsid w:val="00CD61EF"/>
    <w:rsid w:val="00CD697C"/>
    <w:rsid w:val="00CD6C80"/>
    <w:rsid w:val="00CD6E3D"/>
    <w:rsid w:val="00CD71AB"/>
    <w:rsid w:val="00CD7497"/>
    <w:rsid w:val="00CE0109"/>
    <w:rsid w:val="00CE1FC5"/>
    <w:rsid w:val="00CE2D4F"/>
    <w:rsid w:val="00CE46E5"/>
    <w:rsid w:val="00CE485A"/>
    <w:rsid w:val="00CE5279"/>
    <w:rsid w:val="00CE5A78"/>
    <w:rsid w:val="00CE78AE"/>
    <w:rsid w:val="00CE7B19"/>
    <w:rsid w:val="00CE7C37"/>
    <w:rsid w:val="00CE7E62"/>
    <w:rsid w:val="00CF1637"/>
    <w:rsid w:val="00CF195E"/>
    <w:rsid w:val="00CF19DA"/>
    <w:rsid w:val="00CF1ACD"/>
    <w:rsid w:val="00CF1C7F"/>
    <w:rsid w:val="00CF1CC0"/>
    <w:rsid w:val="00CF2253"/>
    <w:rsid w:val="00CF24F8"/>
    <w:rsid w:val="00CF2653"/>
    <w:rsid w:val="00CF332F"/>
    <w:rsid w:val="00CF4247"/>
    <w:rsid w:val="00CF5263"/>
    <w:rsid w:val="00CF60B5"/>
    <w:rsid w:val="00D004FA"/>
    <w:rsid w:val="00D00FC2"/>
    <w:rsid w:val="00D01B21"/>
    <w:rsid w:val="00D01E2F"/>
    <w:rsid w:val="00D03102"/>
    <w:rsid w:val="00D0315D"/>
    <w:rsid w:val="00D03727"/>
    <w:rsid w:val="00D0378A"/>
    <w:rsid w:val="00D05132"/>
    <w:rsid w:val="00D05EA9"/>
    <w:rsid w:val="00D071F8"/>
    <w:rsid w:val="00D07252"/>
    <w:rsid w:val="00D074F4"/>
    <w:rsid w:val="00D07CE1"/>
    <w:rsid w:val="00D07DA9"/>
    <w:rsid w:val="00D1026A"/>
    <w:rsid w:val="00D107CF"/>
    <w:rsid w:val="00D11B0B"/>
    <w:rsid w:val="00D12293"/>
    <w:rsid w:val="00D13822"/>
    <w:rsid w:val="00D14236"/>
    <w:rsid w:val="00D14494"/>
    <w:rsid w:val="00D14551"/>
    <w:rsid w:val="00D14553"/>
    <w:rsid w:val="00D14DB1"/>
    <w:rsid w:val="00D159E4"/>
    <w:rsid w:val="00D15F43"/>
    <w:rsid w:val="00D16E87"/>
    <w:rsid w:val="00D20810"/>
    <w:rsid w:val="00D20B8B"/>
    <w:rsid w:val="00D2162C"/>
    <w:rsid w:val="00D217AE"/>
    <w:rsid w:val="00D21848"/>
    <w:rsid w:val="00D21886"/>
    <w:rsid w:val="00D21A3C"/>
    <w:rsid w:val="00D233F1"/>
    <w:rsid w:val="00D23770"/>
    <w:rsid w:val="00D252FD"/>
    <w:rsid w:val="00D25605"/>
    <w:rsid w:val="00D256F8"/>
    <w:rsid w:val="00D2685C"/>
    <w:rsid w:val="00D26A3B"/>
    <w:rsid w:val="00D302FD"/>
    <w:rsid w:val="00D3038A"/>
    <w:rsid w:val="00D30624"/>
    <w:rsid w:val="00D3098D"/>
    <w:rsid w:val="00D31A02"/>
    <w:rsid w:val="00D3323C"/>
    <w:rsid w:val="00D33456"/>
    <w:rsid w:val="00D3396F"/>
    <w:rsid w:val="00D33D4D"/>
    <w:rsid w:val="00D34343"/>
    <w:rsid w:val="00D34A0B"/>
    <w:rsid w:val="00D35C3E"/>
    <w:rsid w:val="00D36234"/>
    <w:rsid w:val="00D36371"/>
    <w:rsid w:val="00D367BB"/>
    <w:rsid w:val="00D37EA2"/>
    <w:rsid w:val="00D406BC"/>
    <w:rsid w:val="00D40833"/>
    <w:rsid w:val="00D408F2"/>
    <w:rsid w:val="00D41436"/>
    <w:rsid w:val="00D4188E"/>
    <w:rsid w:val="00D42062"/>
    <w:rsid w:val="00D4379D"/>
    <w:rsid w:val="00D437D8"/>
    <w:rsid w:val="00D4383D"/>
    <w:rsid w:val="00D43A86"/>
    <w:rsid w:val="00D43F47"/>
    <w:rsid w:val="00D44994"/>
    <w:rsid w:val="00D44D22"/>
    <w:rsid w:val="00D45C9B"/>
    <w:rsid w:val="00D45DF3"/>
    <w:rsid w:val="00D45ED8"/>
    <w:rsid w:val="00D46174"/>
    <w:rsid w:val="00D46C3E"/>
    <w:rsid w:val="00D47A84"/>
    <w:rsid w:val="00D47DD0"/>
    <w:rsid w:val="00D50183"/>
    <w:rsid w:val="00D51D12"/>
    <w:rsid w:val="00D529C6"/>
    <w:rsid w:val="00D5362B"/>
    <w:rsid w:val="00D55072"/>
    <w:rsid w:val="00D551B5"/>
    <w:rsid w:val="00D56DB2"/>
    <w:rsid w:val="00D5747F"/>
    <w:rsid w:val="00D57495"/>
    <w:rsid w:val="00D574FA"/>
    <w:rsid w:val="00D60BB1"/>
    <w:rsid w:val="00D60C8D"/>
    <w:rsid w:val="00D61374"/>
    <w:rsid w:val="00D6168A"/>
    <w:rsid w:val="00D616A5"/>
    <w:rsid w:val="00D61FF0"/>
    <w:rsid w:val="00D6211D"/>
    <w:rsid w:val="00D62C97"/>
    <w:rsid w:val="00D63517"/>
    <w:rsid w:val="00D63B75"/>
    <w:rsid w:val="00D64E43"/>
    <w:rsid w:val="00D650ED"/>
    <w:rsid w:val="00D659B1"/>
    <w:rsid w:val="00D665EA"/>
    <w:rsid w:val="00D66E18"/>
    <w:rsid w:val="00D670BB"/>
    <w:rsid w:val="00D6734D"/>
    <w:rsid w:val="00D679CF"/>
    <w:rsid w:val="00D679D3"/>
    <w:rsid w:val="00D67AB6"/>
    <w:rsid w:val="00D72132"/>
    <w:rsid w:val="00D7227C"/>
    <w:rsid w:val="00D7334A"/>
    <w:rsid w:val="00D7356F"/>
    <w:rsid w:val="00D73587"/>
    <w:rsid w:val="00D73EBB"/>
    <w:rsid w:val="00D74E38"/>
    <w:rsid w:val="00D751FB"/>
    <w:rsid w:val="00D75319"/>
    <w:rsid w:val="00D754D6"/>
    <w:rsid w:val="00D761AA"/>
    <w:rsid w:val="00D76B3A"/>
    <w:rsid w:val="00D76FAE"/>
    <w:rsid w:val="00D777D7"/>
    <w:rsid w:val="00D80A3B"/>
    <w:rsid w:val="00D80AB8"/>
    <w:rsid w:val="00D81148"/>
    <w:rsid w:val="00D81792"/>
    <w:rsid w:val="00D819B1"/>
    <w:rsid w:val="00D82494"/>
    <w:rsid w:val="00D82B02"/>
    <w:rsid w:val="00D83AE9"/>
    <w:rsid w:val="00D83B58"/>
    <w:rsid w:val="00D857B8"/>
    <w:rsid w:val="00D8659D"/>
    <w:rsid w:val="00D86E4B"/>
    <w:rsid w:val="00D87175"/>
    <w:rsid w:val="00D87ABF"/>
    <w:rsid w:val="00D908F7"/>
    <w:rsid w:val="00D90CD3"/>
    <w:rsid w:val="00D91075"/>
    <w:rsid w:val="00D919E6"/>
    <w:rsid w:val="00D91BE1"/>
    <w:rsid w:val="00D92C29"/>
    <w:rsid w:val="00D936E2"/>
    <w:rsid w:val="00D945A4"/>
    <w:rsid w:val="00D95104"/>
    <w:rsid w:val="00D95600"/>
    <w:rsid w:val="00D965F3"/>
    <w:rsid w:val="00D9683C"/>
    <w:rsid w:val="00D96EA3"/>
    <w:rsid w:val="00D97884"/>
    <w:rsid w:val="00DA0A7F"/>
    <w:rsid w:val="00DA1C31"/>
    <w:rsid w:val="00DA20BC"/>
    <w:rsid w:val="00DA2ED7"/>
    <w:rsid w:val="00DA33A9"/>
    <w:rsid w:val="00DA3E7A"/>
    <w:rsid w:val="00DA430C"/>
    <w:rsid w:val="00DA615D"/>
    <w:rsid w:val="00DA6598"/>
    <w:rsid w:val="00DA6C0F"/>
    <w:rsid w:val="00DA702F"/>
    <w:rsid w:val="00DA7357"/>
    <w:rsid w:val="00DA7EE0"/>
    <w:rsid w:val="00DA7F8A"/>
    <w:rsid w:val="00DB0176"/>
    <w:rsid w:val="00DB0404"/>
    <w:rsid w:val="00DB11F8"/>
    <w:rsid w:val="00DB17DF"/>
    <w:rsid w:val="00DB18F8"/>
    <w:rsid w:val="00DB1B4D"/>
    <w:rsid w:val="00DB1F2A"/>
    <w:rsid w:val="00DB27A4"/>
    <w:rsid w:val="00DB297F"/>
    <w:rsid w:val="00DB3153"/>
    <w:rsid w:val="00DB317A"/>
    <w:rsid w:val="00DB3B82"/>
    <w:rsid w:val="00DB485D"/>
    <w:rsid w:val="00DB5D39"/>
    <w:rsid w:val="00DB7C6C"/>
    <w:rsid w:val="00DB7FF0"/>
    <w:rsid w:val="00DC04FA"/>
    <w:rsid w:val="00DC1327"/>
    <w:rsid w:val="00DC1350"/>
    <w:rsid w:val="00DC23F8"/>
    <w:rsid w:val="00DC3237"/>
    <w:rsid w:val="00DC41A4"/>
    <w:rsid w:val="00DC4544"/>
    <w:rsid w:val="00DC4CF3"/>
    <w:rsid w:val="00DC5337"/>
    <w:rsid w:val="00DC5672"/>
    <w:rsid w:val="00DC60A2"/>
    <w:rsid w:val="00DC6600"/>
    <w:rsid w:val="00DC67BD"/>
    <w:rsid w:val="00DC6924"/>
    <w:rsid w:val="00DC71F2"/>
    <w:rsid w:val="00DD03DC"/>
    <w:rsid w:val="00DD0C08"/>
    <w:rsid w:val="00DD2025"/>
    <w:rsid w:val="00DD22EA"/>
    <w:rsid w:val="00DD23A0"/>
    <w:rsid w:val="00DD2C20"/>
    <w:rsid w:val="00DD3EF5"/>
    <w:rsid w:val="00DD4F72"/>
    <w:rsid w:val="00DD53FA"/>
    <w:rsid w:val="00DD5F42"/>
    <w:rsid w:val="00DD617B"/>
    <w:rsid w:val="00DD6A75"/>
    <w:rsid w:val="00DD775F"/>
    <w:rsid w:val="00DD7D06"/>
    <w:rsid w:val="00DE0E59"/>
    <w:rsid w:val="00DE0F6C"/>
    <w:rsid w:val="00DE219B"/>
    <w:rsid w:val="00DE2715"/>
    <w:rsid w:val="00DE38C7"/>
    <w:rsid w:val="00DE52E3"/>
    <w:rsid w:val="00DE605C"/>
    <w:rsid w:val="00DE7C00"/>
    <w:rsid w:val="00DF03E9"/>
    <w:rsid w:val="00DF03ED"/>
    <w:rsid w:val="00DF04EE"/>
    <w:rsid w:val="00DF0BF4"/>
    <w:rsid w:val="00DF1254"/>
    <w:rsid w:val="00DF179D"/>
    <w:rsid w:val="00DF17CF"/>
    <w:rsid w:val="00DF1E9C"/>
    <w:rsid w:val="00DF4572"/>
    <w:rsid w:val="00DF4658"/>
    <w:rsid w:val="00DF5571"/>
    <w:rsid w:val="00DF5AF2"/>
    <w:rsid w:val="00DF669F"/>
    <w:rsid w:val="00DF6C8B"/>
    <w:rsid w:val="00DF6F17"/>
    <w:rsid w:val="00DF78FA"/>
    <w:rsid w:val="00DF7F0D"/>
    <w:rsid w:val="00E002F1"/>
    <w:rsid w:val="00E0082C"/>
    <w:rsid w:val="00E01DAA"/>
    <w:rsid w:val="00E022D1"/>
    <w:rsid w:val="00E023E5"/>
    <w:rsid w:val="00E02432"/>
    <w:rsid w:val="00E04022"/>
    <w:rsid w:val="00E04890"/>
    <w:rsid w:val="00E05FA1"/>
    <w:rsid w:val="00E061DC"/>
    <w:rsid w:val="00E0728F"/>
    <w:rsid w:val="00E0755C"/>
    <w:rsid w:val="00E10C4E"/>
    <w:rsid w:val="00E11849"/>
    <w:rsid w:val="00E11C51"/>
    <w:rsid w:val="00E14A7E"/>
    <w:rsid w:val="00E151E1"/>
    <w:rsid w:val="00E16029"/>
    <w:rsid w:val="00E1622B"/>
    <w:rsid w:val="00E1646A"/>
    <w:rsid w:val="00E17619"/>
    <w:rsid w:val="00E17805"/>
    <w:rsid w:val="00E20F79"/>
    <w:rsid w:val="00E21278"/>
    <w:rsid w:val="00E22C09"/>
    <w:rsid w:val="00E22CCD"/>
    <w:rsid w:val="00E23655"/>
    <w:rsid w:val="00E23A11"/>
    <w:rsid w:val="00E23FB7"/>
    <w:rsid w:val="00E24A27"/>
    <w:rsid w:val="00E25E0F"/>
    <w:rsid w:val="00E25F89"/>
    <w:rsid w:val="00E268FE"/>
    <w:rsid w:val="00E26E8D"/>
    <w:rsid w:val="00E2768E"/>
    <w:rsid w:val="00E30914"/>
    <w:rsid w:val="00E30ED7"/>
    <w:rsid w:val="00E32536"/>
    <w:rsid w:val="00E325FC"/>
    <w:rsid w:val="00E32D62"/>
    <w:rsid w:val="00E330FE"/>
    <w:rsid w:val="00E33495"/>
    <w:rsid w:val="00E339DC"/>
    <w:rsid w:val="00E33E15"/>
    <w:rsid w:val="00E35239"/>
    <w:rsid w:val="00E361B8"/>
    <w:rsid w:val="00E362DC"/>
    <w:rsid w:val="00E3639C"/>
    <w:rsid w:val="00E36A1B"/>
    <w:rsid w:val="00E3741B"/>
    <w:rsid w:val="00E4091D"/>
    <w:rsid w:val="00E40FB7"/>
    <w:rsid w:val="00E42719"/>
    <w:rsid w:val="00E429ED"/>
    <w:rsid w:val="00E438EA"/>
    <w:rsid w:val="00E43F37"/>
    <w:rsid w:val="00E447B9"/>
    <w:rsid w:val="00E450ED"/>
    <w:rsid w:val="00E45DDD"/>
    <w:rsid w:val="00E46E6C"/>
    <w:rsid w:val="00E478F7"/>
    <w:rsid w:val="00E4791B"/>
    <w:rsid w:val="00E47C52"/>
    <w:rsid w:val="00E47E31"/>
    <w:rsid w:val="00E50259"/>
    <w:rsid w:val="00E50AC6"/>
    <w:rsid w:val="00E51DDD"/>
    <w:rsid w:val="00E51FDD"/>
    <w:rsid w:val="00E52093"/>
    <w:rsid w:val="00E52435"/>
    <w:rsid w:val="00E53122"/>
    <w:rsid w:val="00E5351B"/>
    <w:rsid w:val="00E53FA9"/>
    <w:rsid w:val="00E5414C"/>
    <w:rsid w:val="00E542EF"/>
    <w:rsid w:val="00E547B3"/>
    <w:rsid w:val="00E5733D"/>
    <w:rsid w:val="00E61CC0"/>
    <w:rsid w:val="00E623D2"/>
    <w:rsid w:val="00E6277B"/>
    <w:rsid w:val="00E6322B"/>
    <w:rsid w:val="00E6414C"/>
    <w:rsid w:val="00E64424"/>
    <w:rsid w:val="00E64C99"/>
    <w:rsid w:val="00E64CD3"/>
    <w:rsid w:val="00E65D91"/>
    <w:rsid w:val="00E671C9"/>
    <w:rsid w:val="00E6743F"/>
    <w:rsid w:val="00E6758E"/>
    <w:rsid w:val="00E67721"/>
    <w:rsid w:val="00E67E23"/>
    <w:rsid w:val="00E70016"/>
    <w:rsid w:val="00E70851"/>
    <w:rsid w:val="00E70BC7"/>
    <w:rsid w:val="00E70FBC"/>
    <w:rsid w:val="00E71EEB"/>
    <w:rsid w:val="00E71FF2"/>
    <w:rsid w:val="00E722EF"/>
    <w:rsid w:val="00E72C01"/>
    <w:rsid w:val="00E7394F"/>
    <w:rsid w:val="00E73B24"/>
    <w:rsid w:val="00E74043"/>
    <w:rsid w:val="00E741AC"/>
    <w:rsid w:val="00E74497"/>
    <w:rsid w:val="00E75174"/>
    <w:rsid w:val="00E754B4"/>
    <w:rsid w:val="00E75DC8"/>
    <w:rsid w:val="00E75EBA"/>
    <w:rsid w:val="00E75F81"/>
    <w:rsid w:val="00E763B4"/>
    <w:rsid w:val="00E76E07"/>
    <w:rsid w:val="00E77848"/>
    <w:rsid w:val="00E80514"/>
    <w:rsid w:val="00E80E5B"/>
    <w:rsid w:val="00E816C5"/>
    <w:rsid w:val="00E81CE0"/>
    <w:rsid w:val="00E81E7C"/>
    <w:rsid w:val="00E8224D"/>
    <w:rsid w:val="00E83563"/>
    <w:rsid w:val="00E84CBC"/>
    <w:rsid w:val="00E8519F"/>
    <w:rsid w:val="00E85CC3"/>
    <w:rsid w:val="00E8644A"/>
    <w:rsid w:val="00E869B0"/>
    <w:rsid w:val="00E87173"/>
    <w:rsid w:val="00E875E0"/>
    <w:rsid w:val="00E90279"/>
    <w:rsid w:val="00E90635"/>
    <w:rsid w:val="00E909A1"/>
    <w:rsid w:val="00E90BFF"/>
    <w:rsid w:val="00E914E9"/>
    <w:rsid w:val="00E917D9"/>
    <w:rsid w:val="00E91922"/>
    <w:rsid w:val="00E91F04"/>
    <w:rsid w:val="00E91F35"/>
    <w:rsid w:val="00E926C0"/>
    <w:rsid w:val="00E927A8"/>
    <w:rsid w:val="00E949CB"/>
    <w:rsid w:val="00E94E71"/>
    <w:rsid w:val="00E95060"/>
    <w:rsid w:val="00E957F7"/>
    <w:rsid w:val="00E95BA6"/>
    <w:rsid w:val="00E962EE"/>
    <w:rsid w:val="00E96E0C"/>
    <w:rsid w:val="00E9707E"/>
    <w:rsid w:val="00E97648"/>
    <w:rsid w:val="00E97944"/>
    <w:rsid w:val="00E97EB6"/>
    <w:rsid w:val="00EA0E1E"/>
    <w:rsid w:val="00EA0E4A"/>
    <w:rsid w:val="00EA1A54"/>
    <w:rsid w:val="00EA1F9B"/>
    <w:rsid w:val="00EA2226"/>
    <w:rsid w:val="00EA26FC"/>
    <w:rsid w:val="00EA2F36"/>
    <w:rsid w:val="00EA3B5A"/>
    <w:rsid w:val="00EA410E"/>
    <w:rsid w:val="00EA4FD1"/>
    <w:rsid w:val="00EA53C2"/>
    <w:rsid w:val="00EA5695"/>
    <w:rsid w:val="00EA5B0A"/>
    <w:rsid w:val="00EA65AD"/>
    <w:rsid w:val="00EA73AD"/>
    <w:rsid w:val="00EA75D1"/>
    <w:rsid w:val="00EA7FCF"/>
    <w:rsid w:val="00EB0CA3"/>
    <w:rsid w:val="00EB104F"/>
    <w:rsid w:val="00EB1B27"/>
    <w:rsid w:val="00EB1DA8"/>
    <w:rsid w:val="00EB1DB6"/>
    <w:rsid w:val="00EB3504"/>
    <w:rsid w:val="00EB3982"/>
    <w:rsid w:val="00EB4CFF"/>
    <w:rsid w:val="00EB5476"/>
    <w:rsid w:val="00EB5E26"/>
    <w:rsid w:val="00EB6CF3"/>
    <w:rsid w:val="00EB6E69"/>
    <w:rsid w:val="00EB70B0"/>
    <w:rsid w:val="00EB70E4"/>
    <w:rsid w:val="00EB7633"/>
    <w:rsid w:val="00EB7736"/>
    <w:rsid w:val="00EC011B"/>
    <w:rsid w:val="00EC0349"/>
    <w:rsid w:val="00EC0E61"/>
    <w:rsid w:val="00EC12DB"/>
    <w:rsid w:val="00EC24F6"/>
    <w:rsid w:val="00EC2C85"/>
    <w:rsid w:val="00EC2CA4"/>
    <w:rsid w:val="00EC2E2D"/>
    <w:rsid w:val="00EC36AD"/>
    <w:rsid w:val="00EC462B"/>
    <w:rsid w:val="00EC4723"/>
    <w:rsid w:val="00EC561E"/>
    <w:rsid w:val="00EC56E0"/>
    <w:rsid w:val="00EC6057"/>
    <w:rsid w:val="00EC6847"/>
    <w:rsid w:val="00EC7DB6"/>
    <w:rsid w:val="00ED1445"/>
    <w:rsid w:val="00ED162F"/>
    <w:rsid w:val="00ED1EB4"/>
    <w:rsid w:val="00ED2E52"/>
    <w:rsid w:val="00ED3024"/>
    <w:rsid w:val="00ED3932"/>
    <w:rsid w:val="00ED3C79"/>
    <w:rsid w:val="00ED5FE4"/>
    <w:rsid w:val="00ED6B64"/>
    <w:rsid w:val="00ED71C5"/>
    <w:rsid w:val="00EE0001"/>
    <w:rsid w:val="00EE16FA"/>
    <w:rsid w:val="00EE269C"/>
    <w:rsid w:val="00EE36E5"/>
    <w:rsid w:val="00EE3C42"/>
    <w:rsid w:val="00EE3D4F"/>
    <w:rsid w:val="00EE4243"/>
    <w:rsid w:val="00EE4C2E"/>
    <w:rsid w:val="00EE4D62"/>
    <w:rsid w:val="00EE5312"/>
    <w:rsid w:val="00EE534D"/>
    <w:rsid w:val="00EE5560"/>
    <w:rsid w:val="00EE604C"/>
    <w:rsid w:val="00EE6F1E"/>
    <w:rsid w:val="00EE79EE"/>
    <w:rsid w:val="00EF0348"/>
    <w:rsid w:val="00EF15E7"/>
    <w:rsid w:val="00EF1F9C"/>
    <w:rsid w:val="00EF3370"/>
    <w:rsid w:val="00EF3416"/>
    <w:rsid w:val="00EF40AA"/>
    <w:rsid w:val="00EF40F0"/>
    <w:rsid w:val="00EF4366"/>
    <w:rsid w:val="00EF4CD6"/>
    <w:rsid w:val="00EF4F1C"/>
    <w:rsid w:val="00EF5598"/>
    <w:rsid w:val="00EF55A0"/>
    <w:rsid w:val="00EF63D1"/>
    <w:rsid w:val="00EF6513"/>
    <w:rsid w:val="00EF6683"/>
    <w:rsid w:val="00EF7002"/>
    <w:rsid w:val="00EF769B"/>
    <w:rsid w:val="00F00790"/>
    <w:rsid w:val="00F00C2A"/>
    <w:rsid w:val="00F027BA"/>
    <w:rsid w:val="00F03E79"/>
    <w:rsid w:val="00F0628D"/>
    <w:rsid w:val="00F06651"/>
    <w:rsid w:val="00F07DE6"/>
    <w:rsid w:val="00F1056C"/>
    <w:rsid w:val="00F107F1"/>
    <w:rsid w:val="00F10FC1"/>
    <w:rsid w:val="00F112FD"/>
    <w:rsid w:val="00F12773"/>
    <w:rsid w:val="00F12968"/>
    <w:rsid w:val="00F131E5"/>
    <w:rsid w:val="00F133A1"/>
    <w:rsid w:val="00F13ECD"/>
    <w:rsid w:val="00F14B51"/>
    <w:rsid w:val="00F155CE"/>
    <w:rsid w:val="00F157F5"/>
    <w:rsid w:val="00F1583A"/>
    <w:rsid w:val="00F16BF2"/>
    <w:rsid w:val="00F16CBF"/>
    <w:rsid w:val="00F16E2C"/>
    <w:rsid w:val="00F170C0"/>
    <w:rsid w:val="00F17D98"/>
    <w:rsid w:val="00F17EAE"/>
    <w:rsid w:val="00F2070A"/>
    <w:rsid w:val="00F20A90"/>
    <w:rsid w:val="00F218D4"/>
    <w:rsid w:val="00F21F17"/>
    <w:rsid w:val="00F2250A"/>
    <w:rsid w:val="00F232E3"/>
    <w:rsid w:val="00F24788"/>
    <w:rsid w:val="00F248EE"/>
    <w:rsid w:val="00F256AB"/>
    <w:rsid w:val="00F25769"/>
    <w:rsid w:val="00F2640F"/>
    <w:rsid w:val="00F27355"/>
    <w:rsid w:val="00F27C34"/>
    <w:rsid w:val="00F27E46"/>
    <w:rsid w:val="00F301C2"/>
    <w:rsid w:val="00F302E1"/>
    <w:rsid w:val="00F3033C"/>
    <w:rsid w:val="00F30DBE"/>
    <w:rsid w:val="00F31589"/>
    <w:rsid w:val="00F31B22"/>
    <w:rsid w:val="00F31B49"/>
    <w:rsid w:val="00F31CDF"/>
    <w:rsid w:val="00F31D6C"/>
    <w:rsid w:val="00F32F56"/>
    <w:rsid w:val="00F33D4F"/>
    <w:rsid w:val="00F34889"/>
    <w:rsid w:val="00F34CD6"/>
    <w:rsid w:val="00F35873"/>
    <w:rsid w:val="00F35920"/>
    <w:rsid w:val="00F35F59"/>
    <w:rsid w:val="00F366A5"/>
    <w:rsid w:val="00F36C5F"/>
    <w:rsid w:val="00F37259"/>
    <w:rsid w:val="00F375EC"/>
    <w:rsid w:val="00F4025B"/>
    <w:rsid w:val="00F405A4"/>
    <w:rsid w:val="00F41F05"/>
    <w:rsid w:val="00F428BA"/>
    <w:rsid w:val="00F42E20"/>
    <w:rsid w:val="00F433BD"/>
    <w:rsid w:val="00F43ABC"/>
    <w:rsid w:val="00F44EC5"/>
    <w:rsid w:val="00F47498"/>
    <w:rsid w:val="00F50641"/>
    <w:rsid w:val="00F5103C"/>
    <w:rsid w:val="00F512B2"/>
    <w:rsid w:val="00F5283D"/>
    <w:rsid w:val="00F52ABA"/>
    <w:rsid w:val="00F52BC7"/>
    <w:rsid w:val="00F53BF4"/>
    <w:rsid w:val="00F54266"/>
    <w:rsid w:val="00F55043"/>
    <w:rsid w:val="00F56131"/>
    <w:rsid w:val="00F56DCF"/>
    <w:rsid w:val="00F57034"/>
    <w:rsid w:val="00F60BE9"/>
    <w:rsid w:val="00F613D8"/>
    <w:rsid w:val="00F61FD8"/>
    <w:rsid w:val="00F62DBF"/>
    <w:rsid w:val="00F63438"/>
    <w:rsid w:val="00F641FC"/>
    <w:rsid w:val="00F64572"/>
    <w:rsid w:val="00F6467E"/>
    <w:rsid w:val="00F647F7"/>
    <w:rsid w:val="00F6583C"/>
    <w:rsid w:val="00F6589A"/>
    <w:rsid w:val="00F6713E"/>
    <w:rsid w:val="00F6783E"/>
    <w:rsid w:val="00F6785A"/>
    <w:rsid w:val="00F70785"/>
    <w:rsid w:val="00F70DBE"/>
    <w:rsid w:val="00F71124"/>
    <w:rsid w:val="00F71888"/>
    <w:rsid w:val="00F719CD"/>
    <w:rsid w:val="00F71BB8"/>
    <w:rsid w:val="00F724B8"/>
    <w:rsid w:val="00F72584"/>
    <w:rsid w:val="00F7290D"/>
    <w:rsid w:val="00F72C7E"/>
    <w:rsid w:val="00F7302F"/>
    <w:rsid w:val="00F732EC"/>
    <w:rsid w:val="00F73D08"/>
    <w:rsid w:val="00F7586B"/>
    <w:rsid w:val="00F75F2F"/>
    <w:rsid w:val="00F76017"/>
    <w:rsid w:val="00F76445"/>
    <w:rsid w:val="00F7694D"/>
    <w:rsid w:val="00F76ECC"/>
    <w:rsid w:val="00F80399"/>
    <w:rsid w:val="00F80C17"/>
    <w:rsid w:val="00F812C8"/>
    <w:rsid w:val="00F8132D"/>
    <w:rsid w:val="00F818AE"/>
    <w:rsid w:val="00F81B40"/>
    <w:rsid w:val="00F820C4"/>
    <w:rsid w:val="00F83829"/>
    <w:rsid w:val="00F84069"/>
    <w:rsid w:val="00F843D7"/>
    <w:rsid w:val="00F846E1"/>
    <w:rsid w:val="00F85536"/>
    <w:rsid w:val="00F8597A"/>
    <w:rsid w:val="00F8657A"/>
    <w:rsid w:val="00F8679A"/>
    <w:rsid w:val="00F87117"/>
    <w:rsid w:val="00F8736C"/>
    <w:rsid w:val="00F90258"/>
    <w:rsid w:val="00F9030E"/>
    <w:rsid w:val="00F90ADB"/>
    <w:rsid w:val="00F90E78"/>
    <w:rsid w:val="00F91209"/>
    <w:rsid w:val="00F91FDE"/>
    <w:rsid w:val="00F921DA"/>
    <w:rsid w:val="00F9221F"/>
    <w:rsid w:val="00F931C7"/>
    <w:rsid w:val="00F9354E"/>
    <w:rsid w:val="00F93559"/>
    <w:rsid w:val="00F93D72"/>
    <w:rsid w:val="00F93E65"/>
    <w:rsid w:val="00F94063"/>
    <w:rsid w:val="00F94070"/>
    <w:rsid w:val="00F944C8"/>
    <w:rsid w:val="00F94B1D"/>
    <w:rsid w:val="00F950B5"/>
    <w:rsid w:val="00F9513F"/>
    <w:rsid w:val="00F96856"/>
    <w:rsid w:val="00F97601"/>
    <w:rsid w:val="00F9760C"/>
    <w:rsid w:val="00F97908"/>
    <w:rsid w:val="00F97B43"/>
    <w:rsid w:val="00FA07F8"/>
    <w:rsid w:val="00FA105C"/>
    <w:rsid w:val="00FA1475"/>
    <w:rsid w:val="00FA148A"/>
    <w:rsid w:val="00FA19ED"/>
    <w:rsid w:val="00FA24F3"/>
    <w:rsid w:val="00FA25EF"/>
    <w:rsid w:val="00FA27C8"/>
    <w:rsid w:val="00FA30B3"/>
    <w:rsid w:val="00FA3B76"/>
    <w:rsid w:val="00FA4D66"/>
    <w:rsid w:val="00FA57A8"/>
    <w:rsid w:val="00FA5A4E"/>
    <w:rsid w:val="00FB0082"/>
    <w:rsid w:val="00FB0243"/>
    <w:rsid w:val="00FB1527"/>
    <w:rsid w:val="00FB2537"/>
    <w:rsid w:val="00FB33DC"/>
    <w:rsid w:val="00FB3532"/>
    <w:rsid w:val="00FB4338"/>
    <w:rsid w:val="00FB43F7"/>
    <w:rsid w:val="00FB477E"/>
    <w:rsid w:val="00FB4C9C"/>
    <w:rsid w:val="00FB5910"/>
    <w:rsid w:val="00FB6165"/>
    <w:rsid w:val="00FC0150"/>
    <w:rsid w:val="00FC03AB"/>
    <w:rsid w:val="00FC154F"/>
    <w:rsid w:val="00FC2149"/>
    <w:rsid w:val="00FC4729"/>
    <w:rsid w:val="00FC479E"/>
    <w:rsid w:val="00FC4865"/>
    <w:rsid w:val="00FC4992"/>
    <w:rsid w:val="00FC4A8C"/>
    <w:rsid w:val="00FC53DB"/>
    <w:rsid w:val="00FC5FC2"/>
    <w:rsid w:val="00FC6177"/>
    <w:rsid w:val="00FC63D1"/>
    <w:rsid w:val="00FC7528"/>
    <w:rsid w:val="00FD0572"/>
    <w:rsid w:val="00FD1A97"/>
    <w:rsid w:val="00FD1BF4"/>
    <w:rsid w:val="00FD2B99"/>
    <w:rsid w:val="00FD2D7B"/>
    <w:rsid w:val="00FD3608"/>
    <w:rsid w:val="00FD37F6"/>
    <w:rsid w:val="00FD43BF"/>
    <w:rsid w:val="00FD4589"/>
    <w:rsid w:val="00FD473E"/>
    <w:rsid w:val="00FD6E40"/>
    <w:rsid w:val="00FD78BE"/>
    <w:rsid w:val="00FD7DF9"/>
    <w:rsid w:val="00FE0B51"/>
    <w:rsid w:val="00FE0B78"/>
    <w:rsid w:val="00FE0ED4"/>
    <w:rsid w:val="00FE1EAB"/>
    <w:rsid w:val="00FE3465"/>
    <w:rsid w:val="00FE40BA"/>
    <w:rsid w:val="00FE4E15"/>
    <w:rsid w:val="00FE65D3"/>
    <w:rsid w:val="00FE67CF"/>
    <w:rsid w:val="00FE6D20"/>
    <w:rsid w:val="00FE6FB9"/>
    <w:rsid w:val="00FE7549"/>
    <w:rsid w:val="00FE7BCC"/>
    <w:rsid w:val="00FF08BA"/>
    <w:rsid w:val="00FF126D"/>
    <w:rsid w:val="00FF146A"/>
    <w:rsid w:val="00FF2310"/>
    <w:rsid w:val="00FF27E8"/>
    <w:rsid w:val="00FF2984"/>
    <w:rsid w:val="00FF2D63"/>
    <w:rsid w:val="00FF2E73"/>
    <w:rsid w:val="00FF4166"/>
    <w:rsid w:val="00FF4AE2"/>
    <w:rsid w:val="00FF4EA8"/>
    <w:rsid w:val="00FF50A8"/>
    <w:rsid w:val="00FF50AD"/>
    <w:rsid w:val="00FF571E"/>
    <w:rsid w:val="00FF6B00"/>
    <w:rsid w:val="00FF6BD1"/>
    <w:rsid w:val="00FF6C2C"/>
    <w:rsid w:val="00FF6CC0"/>
    <w:rsid w:val="00FF6E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B3BEB3"/>
  <w15:docId w15:val="{29F15C81-0778-48E6-8B1F-7737EA6C4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B6C51"/>
    <w:pPr>
      <w:keepNext/>
      <w:numPr>
        <w:numId w:val="2"/>
      </w:numPr>
      <w:spacing w:before="120"/>
      <w:outlineLvl w:val="0"/>
    </w:pPr>
    <w:rPr>
      <w:b/>
      <w:bCs/>
      <w:sz w:val="28"/>
      <w:szCs w:val="28"/>
    </w:rPr>
  </w:style>
  <w:style w:type="paragraph" w:styleId="2">
    <w:name w:val="heading 2"/>
    <w:basedOn w:val="a"/>
    <w:next w:val="a"/>
    <w:link w:val="2Char"/>
    <w:qFormat/>
    <w:rsid w:val="008B6C51"/>
    <w:pPr>
      <w:keepNext/>
      <w:numPr>
        <w:ilvl w:val="1"/>
        <w:numId w:val="2"/>
      </w:numPr>
      <w:spacing w:before="120"/>
      <w:outlineLvl w:val="1"/>
    </w:pPr>
    <w:rPr>
      <w:b/>
      <w:bCs/>
      <w:sz w:val="24"/>
    </w:rPr>
  </w:style>
  <w:style w:type="paragraph" w:styleId="3">
    <w:name w:val="heading 3"/>
    <w:basedOn w:val="a"/>
    <w:next w:val="a"/>
    <w:qFormat/>
    <w:rsid w:val="008B6C51"/>
    <w:pPr>
      <w:keepNext/>
      <w:numPr>
        <w:ilvl w:val="2"/>
        <w:numId w:val="2"/>
      </w:numPr>
      <w:spacing w:before="120"/>
      <w:outlineLvl w:val="2"/>
    </w:pPr>
    <w:rPr>
      <w:b/>
    </w:rPr>
  </w:style>
  <w:style w:type="paragraph" w:styleId="4">
    <w:name w:val="heading 4"/>
    <w:basedOn w:val="a"/>
    <w:next w:val="a"/>
    <w:qFormat/>
    <w:rsid w:val="008B6C51"/>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B6C5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B6C51"/>
    <w:pPr>
      <w:numPr>
        <w:ilvl w:val="5"/>
        <w:numId w:val="2"/>
      </w:numPr>
      <w:spacing w:before="240" w:after="60"/>
      <w:outlineLvl w:val="5"/>
    </w:pPr>
    <w:rPr>
      <w:b/>
      <w:bCs/>
    </w:rPr>
  </w:style>
  <w:style w:type="paragraph" w:styleId="7">
    <w:name w:val="heading 7"/>
    <w:basedOn w:val="a"/>
    <w:next w:val="a"/>
    <w:qFormat/>
    <w:rsid w:val="008B6C51"/>
    <w:pPr>
      <w:numPr>
        <w:ilvl w:val="6"/>
        <w:numId w:val="2"/>
      </w:numPr>
      <w:spacing w:before="240" w:after="60"/>
      <w:outlineLvl w:val="6"/>
    </w:pPr>
    <w:rPr>
      <w:sz w:val="24"/>
      <w:szCs w:val="24"/>
    </w:rPr>
  </w:style>
  <w:style w:type="paragraph" w:styleId="8">
    <w:name w:val="heading 8"/>
    <w:basedOn w:val="a"/>
    <w:next w:val="a"/>
    <w:qFormat/>
    <w:rsid w:val="008B6C51"/>
    <w:pPr>
      <w:numPr>
        <w:ilvl w:val="7"/>
        <w:numId w:val="2"/>
      </w:numPr>
      <w:spacing w:before="240" w:after="60"/>
      <w:outlineLvl w:val="7"/>
    </w:pPr>
    <w:rPr>
      <w:i/>
      <w:iCs/>
      <w:sz w:val="24"/>
      <w:szCs w:val="24"/>
    </w:rPr>
  </w:style>
  <w:style w:type="paragraph" w:styleId="9">
    <w:name w:val="heading 9"/>
    <w:basedOn w:val="a"/>
    <w:next w:val="a"/>
    <w:qFormat/>
    <w:rsid w:val="008B6C5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B6C51"/>
    <w:rPr>
      <w:sz w:val="20"/>
      <w:szCs w:val="20"/>
    </w:rPr>
  </w:style>
  <w:style w:type="character" w:customStyle="1" w:styleId="Char">
    <w:name w:val="正文文本 Char"/>
    <w:basedOn w:val="a0"/>
    <w:link w:val="a3"/>
    <w:rsid w:val="00CF195E"/>
  </w:style>
  <w:style w:type="character" w:styleId="a4">
    <w:name w:val="Hyperlink"/>
    <w:basedOn w:val="a0"/>
    <w:rsid w:val="008B6C51"/>
    <w:rPr>
      <w:color w:val="0000FF"/>
      <w:u w:val="single"/>
    </w:rPr>
  </w:style>
  <w:style w:type="paragraph" w:styleId="a5">
    <w:name w:val="caption"/>
    <w:aliases w:val="cap"/>
    <w:basedOn w:val="a"/>
    <w:next w:val="a"/>
    <w:link w:val="Char0"/>
    <w:qFormat/>
    <w:rsid w:val="008B6C51"/>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8B6C51"/>
    <w:pPr>
      <w:autoSpaceDE/>
      <w:autoSpaceDN/>
      <w:adjustRightInd/>
      <w:spacing w:after="180"/>
      <w:ind w:left="568" w:hanging="284"/>
      <w:jc w:val="left"/>
    </w:pPr>
    <w:rPr>
      <w:sz w:val="20"/>
      <w:szCs w:val="20"/>
      <w:lang w:val="en-GB"/>
    </w:rPr>
  </w:style>
  <w:style w:type="paragraph" w:styleId="a7">
    <w:name w:val="List"/>
    <w:basedOn w:val="a"/>
    <w:rsid w:val="008B6C51"/>
    <w:pPr>
      <w:ind w:left="360" w:hanging="360"/>
    </w:pPr>
  </w:style>
  <w:style w:type="paragraph" w:styleId="20">
    <w:name w:val="Body Text 2"/>
    <w:basedOn w:val="a"/>
    <w:rsid w:val="008B6C51"/>
    <w:pPr>
      <w:spacing w:after="0"/>
      <w:jc w:val="left"/>
    </w:pPr>
    <w:rPr>
      <w:szCs w:val="20"/>
    </w:rPr>
  </w:style>
  <w:style w:type="paragraph" w:styleId="a8">
    <w:name w:val="Balloon Text"/>
    <w:basedOn w:val="a"/>
    <w:semiHidden/>
    <w:rsid w:val="008B6C5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B6C51"/>
    <w:rPr>
      <w:color w:val="800080"/>
      <w:u w:val="single"/>
    </w:rPr>
  </w:style>
  <w:style w:type="paragraph" w:styleId="aa">
    <w:name w:val="footnote text"/>
    <w:basedOn w:val="a"/>
    <w:semiHidden/>
    <w:rsid w:val="008B6C51"/>
    <w:rPr>
      <w:sz w:val="20"/>
      <w:szCs w:val="20"/>
    </w:rPr>
  </w:style>
  <w:style w:type="character" w:styleId="ab">
    <w:name w:val="footnote reference"/>
    <w:basedOn w:val="a0"/>
    <w:semiHidden/>
    <w:rsid w:val="008B6C51"/>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a"/>
    <w:link w:val="Char3"/>
    <w:uiPriority w:val="34"/>
    <w:qFormat/>
    <w:rsid w:val="00632255"/>
    <w:pPr>
      <w:autoSpaceDE/>
      <w:autoSpaceDN/>
      <w:adjustRightInd/>
      <w:snapToGrid/>
      <w:spacing w:after="0"/>
      <w:ind w:leftChars="400" w:left="840"/>
      <w:jc w:val="left"/>
    </w:pPr>
    <w:rPr>
      <w:rFonts w:ascii="Times" w:eastAsia="Batang" w:hAnsi="Times"/>
      <w:sz w:val="20"/>
      <w:szCs w:val="24"/>
      <w:lang w:val="en-GB"/>
    </w:rPr>
  </w:style>
  <w:style w:type="character" w:customStyle="1" w:styleId="Char3">
    <w:name w:val="列出段落 Char"/>
    <w:aliases w:val="- Bullets Char,?? ?? Char,????? Char,???? Char,Lista1 Char,목록 단락 Char,リスト段落 Char,列出段落1 Char,中等深浅网格 1 - 着色 21 Char,列表段落 Char,¥¡¡¡¡ì¬º¥¹¥È¶ÎÂä Char,ÁÐ³ö¶ÎÂä Char,¥ê¥¹¥È¶ÎÂä Char,列表段落1 Char,—ño’i—Ž Char,1st level - Bullet List Paragraph Char"/>
    <w:link w:val="af"/>
    <w:uiPriority w:val="34"/>
    <w:qFormat/>
    <w:rsid w:val="00632255"/>
    <w:rPr>
      <w:rFonts w:ascii="Times" w:eastAsia="Batang" w:hAnsi="Times"/>
      <w:szCs w:val="24"/>
      <w:lang w:val="en-GB"/>
    </w:rPr>
  </w:style>
  <w:style w:type="paragraph" w:customStyle="1" w:styleId="3GPPAgreements">
    <w:name w:val="3GPP Agreements"/>
    <w:basedOn w:val="a"/>
    <w:link w:val="3GPPAgreementsChar"/>
    <w:qFormat/>
    <w:rsid w:val="00482A92"/>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482A92"/>
    <w:rPr>
      <w:sz w:val="22"/>
      <w:lang w:eastAsia="zh-CN"/>
    </w:rPr>
  </w:style>
  <w:style w:type="paragraph" w:customStyle="1" w:styleId="B1">
    <w:name w:val="B1"/>
    <w:basedOn w:val="a"/>
    <w:link w:val="B1Zchn"/>
    <w:uiPriority w:val="99"/>
    <w:qFormat/>
    <w:rsid w:val="00F6785A"/>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sid w:val="00F6785A"/>
    <w:rPr>
      <w:rFonts w:eastAsia="Times New Roman"/>
    </w:rPr>
  </w:style>
  <w:style w:type="character" w:styleId="af0">
    <w:name w:val="annotation reference"/>
    <w:basedOn w:val="a0"/>
    <w:semiHidden/>
    <w:unhideWhenUsed/>
    <w:rsid w:val="00652B11"/>
    <w:rPr>
      <w:sz w:val="16"/>
      <w:szCs w:val="16"/>
    </w:rPr>
  </w:style>
  <w:style w:type="paragraph" w:styleId="af1">
    <w:name w:val="annotation text"/>
    <w:basedOn w:val="a"/>
    <w:link w:val="Char4"/>
    <w:semiHidden/>
    <w:unhideWhenUsed/>
    <w:rsid w:val="00652B11"/>
    <w:rPr>
      <w:sz w:val="20"/>
      <w:szCs w:val="20"/>
    </w:rPr>
  </w:style>
  <w:style w:type="character" w:customStyle="1" w:styleId="Char4">
    <w:name w:val="批注文字 Char"/>
    <w:basedOn w:val="a0"/>
    <w:link w:val="af1"/>
    <w:semiHidden/>
    <w:rsid w:val="00652B11"/>
  </w:style>
  <w:style w:type="paragraph" w:styleId="af2">
    <w:name w:val="annotation subject"/>
    <w:basedOn w:val="af1"/>
    <w:next w:val="af1"/>
    <w:link w:val="Char5"/>
    <w:semiHidden/>
    <w:unhideWhenUsed/>
    <w:rsid w:val="00652B11"/>
    <w:rPr>
      <w:b/>
      <w:bCs/>
    </w:rPr>
  </w:style>
  <w:style w:type="character" w:customStyle="1" w:styleId="Char5">
    <w:name w:val="批注主题 Char"/>
    <w:basedOn w:val="Char4"/>
    <w:link w:val="af2"/>
    <w:semiHidden/>
    <w:rsid w:val="00652B11"/>
    <w:rPr>
      <w:b/>
      <w:bCs/>
    </w:rPr>
  </w:style>
  <w:style w:type="paragraph" w:styleId="af3">
    <w:name w:val="Normal (Web)"/>
    <w:basedOn w:val="a"/>
    <w:uiPriority w:val="99"/>
    <w:semiHidden/>
    <w:unhideWhenUsed/>
    <w:rsid w:val="00EF15E7"/>
    <w:pPr>
      <w:autoSpaceDE/>
      <w:autoSpaceDN/>
      <w:adjustRightInd/>
      <w:snapToGrid/>
      <w:spacing w:before="100" w:beforeAutospacing="1" w:after="100" w:afterAutospacing="1"/>
      <w:jc w:val="left"/>
    </w:pPr>
    <w:rPr>
      <w:sz w:val="24"/>
      <w:szCs w:val="24"/>
      <w:lang w:eastAsia="zh-CN"/>
    </w:rPr>
  </w:style>
  <w:style w:type="character" w:customStyle="1" w:styleId="1Char">
    <w:name w:val="标题 1 Char"/>
    <w:basedOn w:val="a0"/>
    <w:link w:val="1"/>
    <w:rsid w:val="00870382"/>
    <w:rPr>
      <w:b/>
      <w:bCs/>
      <w:sz w:val="28"/>
      <w:szCs w:val="28"/>
    </w:rPr>
  </w:style>
  <w:style w:type="character" w:customStyle="1" w:styleId="2Char">
    <w:name w:val="标题 2 Char"/>
    <w:basedOn w:val="a0"/>
    <w:link w:val="2"/>
    <w:rsid w:val="00870382"/>
    <w:rPr>
      <w:b/>
      <w:bCs/>
      <w:sz w:val="24"/>
      <w:szCs w:val="22"/>
    </w:rPr>
  </w:style>
  <w:style w:type="character" w:customStyle="1" w:styleId="B1Char1">
    <w:name w:val="B1 Char1"/>
    <w:qFormat/>
    <w:rsid w:val="00870382"/>
    <w:rPr>
      <w:rFonts w:eastAsia="Times New Roman"/>
      <w:lang w:val="en-GB"/>
    </w:rPr>
  </w:style>
  <w:style w:type="paragraph" w:styleId="af4">
    <w:name w:val="Revision"/>
    <w:hidden/>
    <w:uiPriority w:val="99"/>
    <w:semiHidden/>
    <w:rsid w:val="00C00036"/>
    <w:rPr>
      <w:sz w:val="22"/>
      <w:szCs w:val="22"/>
    </w:rPr>
  </w:style>
  <w:style w:type="paragraph" w:customStyle="1" w:styleId="PL">
    <w:name w:val="PL"/>
    <w:link w:val="PLChar"/>
    <w:qFormat/>
    <w:rsid w:val="00C46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46774"/>
    <w:rPr>
      <w:rFonts w:ascii="Courier New" w:eastAsia="Times New Roman" w:hAnsi="Courier New"/>
      <w:noProof/>
      <w:sz w:val="16"/>
      <w:shd w:val="clear" w:color="auto" w:fill="E6E6E6"/>
      <w:lang w:val="en-GB" w:eastAsia="en-GB"/>
    </w:rPr>
  </w:style>
  <w:style w:type="paragraph" w:customStyle="1" w:styleId="EQ">
    <w:name w:val="EQ"/>
    <w:basedOn w:val="a"/>
    <w:next w:val="a"/>
    <w:uiPriority w:val="99"/>
    <w:qFormat/>
    <w:rsid w:val="00AE1C6D"/>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AE1C6D"/>
    <w:rPr>
      <w:lang w:val="en-GB"/>
    </w:rPr>
  </w:style>
  <w:style w:type="character" w:styleId="af5">
    <w:name w:val="Placeholder Text"/>
    <w:basedOn w:val="a0"/>
    <w:uiPriority w:val="99"/>
    <w:semiHidden/>
    <w:rsid w:val="00625D58"/>
    <w:rPr>
      <w:color w:val="808080"/>
    </w:rPr>
  </w:style>
  <w:style w:type="paragraph" w:customStyle="1" w:styleId="B2">
    <w:name w:val="B2"/>
    <w:basedOn w:val="a"/>
    <w:link w:val="B2Char"/>
    <w:qFormat/>
    <w:rsid w:val="007C5147"/>
    <w:pPr>
      <w:autoSpaceDE/>
      <w:autoSpaceDN/>
      <w:adjustRightInd/>
      <w:snapToGrid/>
      <w:spacing w:after="180"/>
      <w:ind w:left="851" w:hanging="284"/>
      <w:jc w:val="left"/>
    </w:pPr>
    <w:rPr>
      <w:rFonts w:eastAsia="Times New Roman"/>
      <w:sz w:val="20"/>
      <w:szCs w:val="20"/>
      <w:lang w:val="x-none"/>
    </w:rPr>
  </w:style>
  <w:style w:type="character" w:customStyle="1" w:styleId="B2Char">
    <w:name w:val="B2 Char"/>
    <w:link w:val="B2"/>
    <w:qFormat/>
    <w:rsid w:val="007C5147"/>
    <w:rPr>
      <w:rFonts w:eastAsia="Times New Roman"/>
      <w:lang w:val="x-none"/>
    </w:rPr>
  </w:style>
  <w:style w:type="paragraph" w:customStyle="1" w:styleId="RAN1bullet1">
    <w:name w:val="RAN1 bullet1"/>
    <w:basedOn w:val="a"/>
    <w:qFormat/>
    <w:rsid w:val="00040384"/>
    <w:pPr>
      <w:numPr>
        <w:numId w:val="27"/>
      </w:numPr>
      <w:autoSpaceDE/>
      <w:autoSpaceDN/>
      <w:adjustRightInd/>
      <w:snapToGrid/>
      <w:spacing w:after="0"/>
      <w:jc w:val="left"/>
    </w:pPr>
    <w:rPr>
      <w:rFonts w:ascii="Times" w:eastAsia="Batang" w:hAnsi="Times"/>
      <w:sz w:val="20"/>
      <w:szCs w:val="24"/>
      <w:lang w:val="en-GB" w:eastAsia="x-none"/>
    </w:rPr>
  </w:style>
  <w:style w:type="paragraph" w:customStyle="1" w:styleId="TAL">
    <w:name w:val="TAL"/>
    <w:basedOn w:val="a"/>
    <w:link w:val="TALChar"/>
    <w:rsid w:val="00BD0ECE"/>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BD0ECE"/>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04141">
      <w:bodyDiv w:val="1"/>
      <w:marLeft w:val="0"/>
      <w:marRight w:val="0"/>
      <w:marTop w:val="0"/>
      <w:marBottom w:val="0"/>
      <w:divBdr>
        <w:top w:val="none" w:sz="0" w:space="0" w:color="auto"/>
        <w:left w:val="none" w:sz="0" w:space="0" w:color="auto"/>
        <w:bottom w:val="none" w:sz="0" w:space="0" w:color="auto"/>
        <w:right w:val="none" w:sz="0" w:space="0" w:color="auto"/>
      </w:divBdr>
      <w:divsChild>
        <w:div w:id="654381271">
          <w:marLeft w:val="547"/>
          <w:marRight w:val="0"/>
          <w:marTop w:val="0"/>
          <w:marBottom w:val="0"/>
          <w:divBdr>
            <w:top w:val="none" w:sz="0" w:space="0" w:color="auto"/>
            <w:left w:val="none" w:sz="0" w:space="0" w:color="auto"/>
            <w:bottom w:val="none" w:sz="0" w:space="0" w:color="auto"/>
            <w:right w:val="none" w:sz="0" w:space="0" w:color="auto"/>
          </w:divBdr>
        </w:div>
        <w:div w:id="1067342489">
          <w:marLeft w:val="547"/>
          <w:marRight w:val="0"/>
          <w:marTop w:val="0"/>
          <w:marBottom w:val="0"/>
          <w:divBdr>
            <w:top w:val="none" w:sz="0" w:space="0" w:color="auto"/>
            <w:left w:val="none" w:sz="0" w:space="0" w:color="auto"/>
            <w:bottom w:val="none" w:sz="0" w:space="0" w:color="auto"/>
            <w:right w:val="none" w:sz="0" w:space="0" w:color="auto"/>
          </w:divBdr>
        </w:div>
        <w:div w:id="1447238507">
          <w:marLeft w:val="1166"/>
          <w:marRight w:val="0"/>
          <w:marTop w:val="0"/>
          <w:marBottom w:val="0"/>
          <w:divBdr>
            <w:top w:val="none" w:sz="0" w:space="0" w:color="auto"/>
            <w:left w:val="none" w:sz="0" w:space="0" w:color="auto"/>
            <w:bottom w:val="none" w:sz="0" w:space="0" w:color="auto"/>
            <w:right w:val="none" w:sz="0" w:space="0" w:color="auto"/>
          </w:divBdr>
        </w:div>
        <w:div w:id="931816569">
          <w:marLeft w:val="1800"/>
          <w:marRight w:val="0"/>
          <w:marTop w:val="0"/>
          <w:marBottom w:val="0"/>
          <w:divBdr>
            <w:top w:val="none" w:sz="0" w:space="0" w:color="auto"/>
            <w:left w:val="none" w:sz="0" w:space="0" w:color="auto"/>
            <w:bottom w:val="none" w:sz="0" w:space="0" w:color="auto"/>
            <w:right w:val="none" w:sz="0" w:space="0" w:color="auto"/>
          </w:divBdr>
        </w:div>
        <w:div w:id="1625624081">
          <w:marLeft w:val="1800"/>
          <w:marRight w:val="0"/>
          <w:marTop w:val="0"/>
          <w:marBottom w:val="0"/>
          <w:divBdr>
            <w:top w:val="none" w:sz="0" w:space="0" w:color="auto"/>
            <w:left w:val="none" w:sz="0" w:space="0" w:color="auto"/>
            <w:bottom w:val="none" w:sz="0" w:space="0" w:color="auto"/>
            <w:right w:val="none" w:sz="0" w:space="0" w:color="auto"/>
          </w:divBdr>
        </w:div>
        <w:div w:id="1548834313">
          <w:marLeft w:val="1800"/>
          <w:marRight w:val="0"/>
          <w:marTop w:val="0"/>
          <w:marBottom w:val="0"/>
          <w:divBdr>
            <w:top w:val="none" w:sz="0" w:space="0" w:color="auto"/>
            <w:left w:val="none" w:sz="0" w:space="0" w:color="auto"/>
            <w:bottom w:val="none" w:sz="0" w:space="0" w:color="auto"/>
            <w:right w:val="none" w:sz="0" w:space="0" w:color="auto"/>
          </w:divBdr>
        </w:div>
        <w:div w:id="2125613899">
          <w:marLeft w:val="1800"/>
          <w:marRight w:val="0"/>
          <w:marTop w:val="0"/>
          <w:marBottom w:val="0"/>
          <w:divBdr>
            <w:top w:val="none" w:sz="0" w:space="0" w:color="auto"/>
            <w:left w:val="none" w:sz="0" w:space="0" w:color="auto"/>
            <w:bottom w:val="none" w:sz="0" w:space="0" w:color="auto"/>
            <w:right w:val="none" w:sz="0" w:space="0" w:color="auto"/>
          </w:divBdr>
        </w:div>
        <w:div w:id="991560834">
          <w:marLeft w:val="1800"/>
          <w:marRight w:val="0"/>
          <w:marTop w:val="0"/>
          <w:marBottom w:val="0"/>
          <w:divBdr>
            <w:top w:val="none" w:sz="0" w:space="0" w:color="auto"/>
            <w:left w:val="none" w:sz="0" w:space="0" w:color="auto"/>
            <w:bottom w:val="none" w:sz="0" w:space="0" w:color="auto"/>
            <w:right w:val="none" w:sz="0" w:space="0" w:color="auto"/>
          </w:divBdr>
        </w:div>
        <w:div w:id="767434074">
          <w:marLeft w:val="1800"/>
          <w:marRight w:val="0"/>
          <w:marTop w:val="0"/>
          <w:marBottom w:val="0"/>
          <w:divBdr>
            <w:top w:val="none" w:sz="0" w:space="0" w:color="auto"/>
            <w:left w:val="none" w:sz="0" w:space="0" w:color="auto"/>
            <w:bottom w:val="none" w:sz="0" w:space="0" w:color="auto"/>
            <w:right w:val="none" w:sz="0" w:space="0" w:color="auto"/>
          </w:divBdr>
        </w:div>
        <w:div w:id="2082211656">
          <w:marLeft w:val="1800"/>
          <w:marRight w:val="0"/>
          <w:marTop w:val="0"/>
          <w:marBottom w:val="0"/>
          <w:divBdr>
            <w:top w:val="none" w:sz="0" w:space="0" w:color="auto"/>
            <w:left w:val="none" w:sz="0" w:space="0" w:color="auto"/>
            <w:bottom w:val="none" w:sz="0" w:space="0" w:color="auto"/>
            <w:right w:val="none" w:sz="0" w:space="0" w:color="auto"/>
          </w:divBdr>
        </w:div>
        <w:div w:id="1307930422">
          <w:marLeft w:val="1800"/>
          <w:marRight w:val="0"/>
          <w:marTop w:val="0"/>
          <w:marBottom w:val="0"/>
          <w:divBdr>
            <w:top w:val="none" w:sz="0" w:space="0" w:color="auto"/>
            <w:left w:val="none" w:sz="0" w:space="0" w:color="auto"/>
            <w:bottom w:val="none" w:sz="0" w:space="0" w:color="auto"/>
            <w:right w:val="none" w:sz="0" w:space="0" w:color="auto"/>
          </w:divBdr>
        </w:div>
        <w:div w:id="1652557310">
          <w:marLeft w:val="1800"/>
          <w:marRight w:val="0"/>
          <w:marTop w:val="0"/>
          <w:marBottom w:val="0"/>
          <w:divBdr>
            <w:top w:val="none" w:sz="0" w:space="0" w:color="auto"/>
            <w:left w:val="none" w:sz="0" w:space="0" w:color="auto"/>
            <w:bottom w:val="none" w:sz="0" w:space="0" w:color="auto"/>
            <w:right w:val="none" w:sz="0" w:space="0" w:color="auto"/>
          </w:divBdr>
        </w:div>
        <w:div w:id="1723138106">
          <w:marLeft w:val="1800"/>
          <w:marRight w:val="0"/>
          <w:marTop w:val="0"/>
          <w:marBottom w:val="0"/>
          <w:divBdr>
            <w:top w:val="none" w:sz="0" w:space="0" w:color="auto"/>
            <w:left w:val="none" w:sz="0" w:space="0" w:color="auto"/>
            <w:bottom w:val="none" w:sz="0" w:space="0" w:color="auto"/>
            <w:right w:val="none" w:sz="0" w:space="0" w:color="auto"/>
          </w:divBdr>
        </w:div>
        <w:div w:id="1359509412">
          <w:marLeft w:val="1800"/>
          <w:marRight w:val="0"/>
          <w:marTop w:val="0"/>
          <w:marBottom w:val="0"/>
          <w:divBdr>
            <w:top w:val="none" w:sz="0" w:space="0" w:color="auto"/>
            <w:left w:val="none" w:sz="0" w:space="0" w:color="auto"/>
            <w:bottom w:val="none" w:sz="0" w:space="0" w:color="auto"/>
            <w:right w:val="none" w:sz="0" w:space="0" w:color="auto"/>
          </w:divBdr>
        </w:div>
        <w:div w:id="1524707667">
          <w:marLeft w:val="1800"/>
          <w:marRight w:val="0"/>
          <w:marTop w:val="0"/>
          <w:marBottom w:val="0"/>
          <w:divBdr>
            <w:top w:val="none" w:sz="0" w:space="0" w:color="auto"/>
            <w:left w:val="none" w:sz="0" w:space="0" w:color="auto"/>
            <w:bottom w:val="none" w:sz="0" w:space="0" w:color="auto"/>
            <w:right w:val="none" w:sz="0" w:space="0" w:color="auto"/>
          </w:divBdr>
        </w:div>
        <w:div w:id="767654296">
          <w:marLeft w:val="1800"/>
          <w:marRight w:val="0"/>
          <w:marTop w:val="0"/>
          <w:marBottom w:val="0"/>
          <w:divBdr>
            <w:top w:val="none" w:sz="0" w:space="0" w:color="auto"/>
            <w:left w:val="none" w:sz="0" w:space="0" w:color="auto"/>
            <w:bottom w:val="none" w:sz="0" w:space="0" w:color="auto"/>
            <w:right w:val="none" w:sz="0" w:space="0" w:color="auto"/>
          </w:divBdr>
        </w:div>
        <w:div w:id="2038700364">
          <w:marLeft w:val="1800"/>
          <w:marRight w:val="0"/>
          <w:marTop w:val="0"/>
          <w:marBottom w:val="0"/>
          <w:divBdr>
            <w:top w:val="none" w:sz="0" w:space="0" w:color="auto"/>
            <w:left w:val="none" w:sz="0" w:space="0" w:color="auto"/>
            <w:bottom w:val="none" w:sz="0" w:space="0" w:color="auto"/>
            <w:right w:val="none" w:sz="0" w:space="0" w:color="auto"/>
          </w:divBdr>
        </w:div>
      </w:divsChild>
    </w:div>
    <w:div w:id="78451097">
      <w:bodyDiv w:val="1"/>
      <w:marLeft w:val="0"/>
      <w:marRight w:val="0"/>
      <w:marTop w:val="0"/>
      <w:marBottom w:val="0"/>
      <w:divBdr>
        <w:top w:val="none" w:sz="0" w:space="0" w:color="auto"/>
        <w:left w:val="none" w:sz="0" w:space="0" w:color="auto"/>
        <w:bottom w:val="none" w:sz="0" w:space="0" w:color="auto"/>
        <w:right w:val="none" w:sz="0" w:space="0" w:color="auto"/>
      </w:divBdr>
    </w:div>
    <w:div w:id="184950834">
      <w:bodyDiv w:val="1"/>
      <w:marLeft w:val="0"/>
      <w:marRight w:val="0"/>
      <w:marTop w:val="0"/>
      <w:marBottom w:val="0"/>
      <w:divBdr>
        <w:top w:val="none" w:sz="0" w:space="0" w:color="auto"/>
        <w:left w:val="none" w:sz="0" w:space="0" w:color="auto"/>
        <w:bottom w:val="none" w:sz="0" w:space="0" w:color="auto"/>
        <w:right w:val="none" w:sz="0" w:space="0" w:color="auto"/>
      </w:divBdr>
    </w:div>
    <w:div w:id="21666952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666190">
      <w:bodyDiv w:val="1"/>
      <w:marLeft w:val="0"/>
      <w:marRight w:val="0"/>
      <w:marTop w:val="0"/>
      <w:marBottom w:val="0"/>
      <w:divBdr>
        <w:top w:val="none" w:sz="0" w:space="0" w:color="auto"/>
        <w:left w:val="none" w:sz="0" w:space="0" w:color="auto"/>
        <w:bottom w:val="none" w:sz="0" w:space="0" w:color="auto"/>
        <w:right w:val="none" w:sz="0" w:space="0" w:color="auto"/>
      </w:divBdr>
      <w:divsChild>
        <w:div w:id="224947675">
          <w:marLeft w:val="1166"/>
          <w:marRight w:val="0"/>
          <w:marTop w:val="0"/>
          <w:marBottom w:val="0"/>
          <w:divBdr>
            <w:top w:val="none" w:sz="0" w:space="0" w:color="auto"/>
            <w:left w:val="none" w:sz="0" w:space="0" w:color="auto"/>
            <w:bottom w:val="none" w:sz="0" w:space="0" w:color="auto"/>
            <w:right w:val="none" w:sz="0" w:space="0" w:color="auto"/>
          </w:divBdr>
        </w:div>
      </w:divsChild>
    </w:div>
    <w:div w:id="3043580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163644">
      <w:bodyDiv w:val="1"/>
      <w:marLeft w:val="0"/>
      <w:marRight w:val="0"/>
      <w:marTop w:val="0"/>
      <w:marBottom w:val="0"/>
      <w:divBdr>
        <w:top w:val="none" w:sz="0" w:space="0" w:color="auto"/>
        <w:left w:val="none" w:sz="0" w:space="0" w:color="auto"/>
        <w:bottom w:val="none" w:sz="0" w:space="0" w:color="auto"/>
        <w:right w:val="none" w:sz="0" w:space="0" w:color="auto"/>
      </w:divBdr>
      <w:divsChild>
        <w:div w:id="1491870517">
          <w:marLeft w:val="547"/>
          <w:marRight w:val="0"/>
          <w:marTop w:val="0"/>
          <w:marBottom w:val="0"/>
          <w:divBdr>
            <w:top w:val="none" w:sz="0" w:space="0" w:color="auto"/>
            <w:left w:val="none" w:sz="0" w:space="0" w:color="auto"/>
            <w:bottom w:val="none" w:sz="0" w:space="0" w:color="auto"/>
            <w:right w:val="none" w:sz="0" w:space="0" w:color="auto"/>
          </w:divBdr>
        </w:div>
        <w:div w:id="1141652942">
          <w:marLeft w:val="1166"/>
          <w:marRight w:val="0"/>
          <w:marTop w:val="0"/>
          <w:marBottom w:val="0"/>
          <w:divBdr>
            <w:top w:val="none" w:sz="0" w:space="0" w:color="auto"/>
            <w:left w:val="none" w:sz="0" w:space="0" w:color="auto"/>
            <w:bottom w:val="none" w:sz="0" w:space="0" w:color="auto"/>
            <w:right w:val="none" w:sz="0" w:space="0" w:color="auto"/>
          </w:divBdr>
        </w:div>
        <w:div w:id="1927955850">
          <w:marLeft w:val="1800"/>
          <w:marRight w:val="0"/>
          <w:marTop w:val="0"/>
          <w:marBottom w:val="0"/>
          <w:divBdr>
            <w:top w:val="none" w:sz="0" w:space="0" w:color="auto"/>
            <w:left w:val="none" w:sz="0" w:space="0" w:color="auto"/>
            <w:bottom w:val="none" w:sz="0" w:space="0" w:color="auto"/>
            <w:right w:val="none" w:sz="0" w:space="0" w:color="auto"/>
          </w:divBdr>
        </w:div>
        <w:div w:id="1756391429">
          <w:marLeft w:val="1800"/>
          <w:marRight w:val="0"/>
          <w:marTop w:val="0"/>
          <w:marBottom w:val="0"/>
          <w:divBdr>
            <w:top w:val="none" w:sz="0" w:space="0" w:color="auto"/>
            <w:left w:val="none" w:sz="0" w:space="0" w:color="auto"/>
            <w:bottom w:val="none" w:sz="0" w:space="0" w:color="auto"/>
            <w:right w:val="none" w:sz="0" w:space="0" w:color="auto"/>
          </w:divBdr>
        </w:div>
        <w:div w:id="330111357">
          <w:marLeft w:val="1166"/>
          <w:marRight w:val="0"/>
          <w:marTop w:val="0"/>
          <w:marBottom w:val="0"/>
          <w:divBdr>
            <w:top w:val="none" w:sz="0" w:space="0" w:color="auto"/>
            <w:left w:val="none" w:sz="0" w:space="0" w:color="auto"/>
            <w:bottom w:val="none" w:sz="0" w:space="0" w:color="auto"/>
            <w:right w:val="none" w:sz="0" w:space="0" w:color="auto"/>
          </w:divBdr>
        </w:div>
        <w:div w:id="361131997">
          <w:marLeft w:val="1800"/>
          <w:marRight w:val="0"/>
          <w:marTop w:val="0"/>
          <w:marBottom w:val="0"/>
          <w:divBdr>
            <w:top w:val="none" w:sz="0" w:space="0" w:color="auto"/>
            <w:left w:val="none" w:sz="0" w:space="0" w:color="auto"/>
            <w:bottom w:val="none" w:sz="0" w:space="0" w:color="auto"/>
            <w:right w:val="none" w:sz="0" w:space="0" w:color="auto"/>
          </w:divBdr>
        </w:div>
        <w:div w:id="51274340">
          <w:marLeft w:val="1800"/>
          <w:marRight w:val="0"/>
          <w:marTop w:val="0"/>
          <w:marBottom w:val="0"/>
          <w:divBdr>
            <w:top w:val="none" w:sz="0" w:space="0" w:color="auto"/>
            <w:left w:val="none" w:sz="0" w:space="0" w:color="auto"/>
            <w:bottom w:val="none" w:sz="0" w:space="0" w:color="auto"/>
            <w:right w:val="none" w:sz="0" w:space="0" w:color="auto"/>
          </w:divBdr>
        </w:div>
        <w:div w:id="1098675618">
          <w:marLeft w:val="1166"/>
          <w:marRight w:val="0"/>
          <w:marTop w:val="0"/>
          <w:marBottom w:val="0"/>
          <w:divBdr>
            <w:top w:val="none" w:sz="0" w:space="0" w:color="auto"/>
            <w:left w:val="none" w:sz="0" w:space="0" w:color="auto"/>
            <w:bottom w:val="none" w:sz="0" w:space="0" w:color="auto"/>
            <w:right w:val="none" w:sz="0" w:space="0" w:color="auto"/>
          </w:divBdr>
        </w:div>
        <w:div w:id="1553999742">
          <w:marLeft w:val="1166"/>
          <w:marRight w:val="0"/>
          <w:marTop w:val="0"/>
          <w:marBottom w:val="0"/>
          <w:divBdr>
            <w:top w:val="none" w:sz="0" w:space="0" w:color="auto"/>
            <w:left w:val="none" w:sz="0" w:space="0" w:color="auto"/>
            <w:bottom w:val="none" w:sz="0" w:space="0" w:color="auto"/>
            <w:right w:val="none" w:sz="0" w:space="0" w:color="auto"/>
          </w:divBdr>
        </w:div>
        <w:div w:id="454181891">
          <w:marLeft w:val="1166"/>
          <w:marRight w:val="0"/>
          <w:marTop w:val="0"/>
          <w:marBottom w:val="0"/>
          <w:divBdr>
            <w:top w:val="none" w:sz="0" w:space="0" w:color="auto"/>
            <w:left w:val="none" w:sz="0" w:space="0" w:color="auto"/>
            <w:bottom w:val="none" w:sz="0" w:space="0" w:color="auto"/>
            <w:right w:val="none" w:sz="0" w:space="0" w:color="auto"/>
          </w:divBdr>
        </w:div>
        <w:div w:id="1519008019">
          <w:marLeft w:val="1166"/>
          <w:marRight w:val="0"/>
          <w:marTop w:val="0"/>
          <w:marBottom w:val="0"/>
          <w:divBdr>
            <w:top w:val="none" w:sz="0" w:space="0" w:color="auto"/>
            <w:left w:val="none" w:sz="0" w:space="0" w:color="auto"/>
            <w:bottom w:val="none" w:sz="0" w:space="0" w:color="auto"/>
            <w:right w:val="none" w:sz="0" w:space="0" w:color="auto"/>
          </w:divBdr>
        </w:div>
      </w:divsChild>
    </w:div>
    <w:div w:id="432747670">
      <w:bodyDiv w:val="1"/>
      <w:marLeft w:val="0"/>
      <w:marRight w:val="0"/>
      <w:marTop w:val="0"/>
      <w:marBottom w:val="0"/>
      <w:divBdr>
        <w:top w:val="none" w:sz="0" w:space="0" w:color="auto"/>
        <w:left w:val="none" w:sz="0" w:space="0" w:color="auto"/>
        <w:bottom w:val="none" w:sz="0" w:space="0" w:color="auto"/>
        <w:right w:val="none" w:sz="0" w:space="0" w:color="auto"/>
      </w:divBdr>
    </w:div>
    <w:div w:id="4946160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3167073">
      <w:bodyDiv w:val="1"/>
      <w:marLeft w:val="0"/>
      <w:marRight w:val="0"/>
      <w:marTop w:val="0"/>
      <w:marBottom w:val="0"/>
      <w:divBdr>
        <w:top w:val="none" w:sz="0" w:space="0" w:color="auto"/>
        <w:left w:val="none" w:sz="0" w:space="0" w:color="auto"/>
        <w:bottom w:val="none" w:sz="0" w:space="0" w:color="auto"/>
        <w:right w:val="none" w:sz="0" w:space="0" w:color="auto"/>
      </w:divBdr>
    </w:div>
    <w:div w:id="853569445">
      <w:bodyDiv w:val="1"/>
      <w:marLeft w:val="0"/>
      <w:marRight w:val="0"/>
      <w:marTop w:val="0"/>
      <w:marBottom w:val="0"/>
      <w:divBdr>
        <w:top w:val="none" w:sz="0" w:space="0" w:color="auto"/>
        <w:left w:val="none" w:sz="0" w:space="0" w:color="auto"/>
        <w:bottom w:val="none" w:sz="0" w:space="0" w:color="auto"/>
        <w:right w:val="none" w:sz="0" w:space="0" w:color="auto"/>
      </w:divBdr>
    </w:div>
    <w:div w:id="958730726">
      <w:bodyDiv w:val="1"/>
      <w:marLeft w:val="0"/>
      <w:marRight w:val="0"/>
      <w:marTop w:val="0"/>
      <w:marBottom w:val="0"/>
      <w:divBdr>
        <w:top w:val="none" w:sz="0" w:space="0" w:color="auto"/>
        <w:left w:val="none" w:sz="0" w:space="0" w:color="auto"/>
        <w:bottom w:val="none" w:sz="0" w:space="0" w:color="auto"/>
        <w:right w:val="none" w:sz="0" w:space="0" w:color="auto"/>
      </w:divBdr>
      <w:divsChild>
        <w:div w:id="2007976644">
          <w:marLeft w:val="547"/>
          <w:marRight w:val="0"/>
          <w:marTop w:val="0"/>
          <w:marBottom w:val="0"/>
          <w:divBdr>
            <w:top w:val="none" w:sz="0" w:space="0" w:color="auto"/>
            <w:left w:val="none" w:sz="0" w:space="0" w:color="auto"/>
            <w:bottom w:val="none" w:sz="0" w:space="0" w:color="auto"/>
            <w:right w:val="none" w:sz="0" w:space="0" w:color="auto"/>
          </w:divBdr>
        </w:div>
        <w:div w:id="1317875370">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346515">
      <w:bodyDiv w:val="1"/>
      <w:marLeft w:val="0"/>
      <w:marRight w:val="0"/>
      <w:marTop w:val="0"/>
      <w:marBottom w:val="0"/>
      <w:divBdr>
        <w:top w:val="none" w:sz="0" w:space="0" w:color="auto"/>
        <w:left w:val="none" w:sz="0" w:space="0" w:color="auto"/>
        <w:bottom w:val="none" w:sz="0" w:space="0" w:color="auto"/>
        <w:right w:val="none" w:sz="0" w:space="0" w:color="auto"/>
      </w:divBdr>
      <w:divsChild>
        <w:div w:id="1982230755">
          <w:marLeft w:val="547"/>
          <w:marRight w:val="0"/>
          <w:marTop w:val="0"/>
          <w:marBottom w:val="0"/>
          <w:divBdr>
            <w:top w:val="none" w:sz="0" w:space="0" w:color="auto"/>
            <w:left w:val="none" w:sz="0" w:space="0" w:color="auto"/>
            <w:bottom w:val="none" w:sz="0" w:space="0" w:color="auto"/>
            <w:right w:val="none" w:sz="0" w:space="0" w:color="auto"/>
          </w:divBdr>
        </w:div>
        <w:div w:id="1246263699">
          <w:marLeft w:val="547"/>
          <w:marRight w:val="0"/>
          <w:marTop w:val="0"/>
          <w:marBottom w:val="0"/>
          <w:divBdr>
            <w:top w:val="none" w:sz="0" w:space="0" w:color="auto"/>
            <w:left w:val="none" w:sz="0" w:space="0" w:color="auto"/>
            <w:bottom w:val="none" w:sz="0" w:space="0" w:color="auto"/>
            <w:right w:val="none" w:sz="0" w:space="0" w:color="auto"/>
          </w:divBdr>
        </w:div>
      </w:divsChild>
    </w:div>
    <w:div w:id="1063217991">
      <w:bodyDiv w:val="1"/>
      <w:marLeft w:val="0"/>
      <w:marRight w:val="0"/>
      <w:marTop w:val="0"/>
      <w:marBottom w:val="0"/>
      <w:divBdr>
        <w:top w:val="none" w:sz="0" w:space="0" w:color="auto"/>
        <w:left w:val="none" w:sz="0" w:space="0" w:color="auto"/>
        <w:bottom w:val="none" w:sz="0" w:space="0" w:color="auto"/>
        <w:right w:val="none" w:sz="0" w:space="0" w:color="auto"/>
      </w:divBdr>
    </w:div>
    <w:div w:id="1161385655">
      <w:bodyDiv w:val="1"/>
      <w:marLeft w:val="0"/>
      <w:marRight w:val="0"/>
      <w:marTop w:val="0"/>
      <w:marBottom w:val="0"/>
      <w:divBdr>
        <w:top w:val="none" w:sz="0" w:space="0" w:color="auto"/>
        <w:left w:val="none" w:sz="0" w:space="0" w:color="auto"/>
        <w:bottom w:val="none" w:sz="0" w:space="0" w:color="auto"/>
        <w:right w:val="none" w:sz="0" w:space="0" w:color="auto"/>
      </w:divBdr>
      <w:divsChild>
        <w:div w:id="1033730283">
          <w:marLeft w:val="547"/>
          <w:marRight w:val="0"/>
          <w:marTop w:val="0"/>
          <w:marBottom w:val="0"/>
          <w:divBdr>
            <w:top w:val="none" w:sz="0" w:space="0" w:color="auto"/>
            <w:left w:val="none" w:sz="0" w:space="0" w:color="auto"/>
            <w:bottom w:val="none" w:sz="0" w:space="0" w:color="auto"/>
            <w:right w:val="none" w:sz="0" w:space="0" w:color="auto"/>
          </w:divBdr>
        </w:div>
        <w:div w:id="1674798146">
          <w:marLeft w:val="1166"/>
          <w:marRight w:val="0"/>
          <w:marTop w:val="0"/>
          <w:marBottom w:val="0"/>
          <w:divBdr>
            <w:top w:val="none" w:sz="0" w:space="0" w:color="auto"/>
            <w:left w:val="none" w:sz="0" w:space="0" w:color="auto"/>
            <w:bottom w:val="none" w:sz="0" w:space="0" w:color="auto"/>
            <w:right w:val="none" w:sz="0" w:space="0" w:color="auto"/>
          </w:divBdr>
        </w:div>
        <w:div w:id="1522548558">
          <w:marLeft w:val="1800"/>
          <w:marRight w:val="0"/>
          <w:marTop w:val="0"/>
          <w:marBottom w:val="0"/>
          <w:divBdr>
            <w:top w:val="none" w:sz="0" w:space="0" w:color="auto"/>
            <w:left w:val="none" w:sz="0" w:space="0" w:color="auto"/>
            <w:bottom w:val="none" w:sz="0" w:space="0" w:color="auto"/>
            <w:right w:val="none" w:sz="0" w:space="0" w:color="auto"/>
          </w:divBdr>
        </w:div>
        <w:div w:id="577789683">
          <w:marLeft w:val="1800"/>
          <w:marRight w:val="0"/>
          <w:marTop w:val="0"/>
          <w:marBottom w:val="0"/>
          <w:divBdr>
            <w:top w:val="none" w:sz="0" w:space="0" w:color="auto"/>
            <w:left w:val="none" w:sz="0" w:space="0" w:color="auto"/>
            <w:bottom w:val="none" w:sz="0" w:space="0" w:color="auto"/>
            <w:right w:val="none" w:sz="0" w:space="0" w:color="auto"/>
          </w:divBdr>
        </w:div>
        <w:div w:id="1744718862">
          <w:marLeft w:val="1166"/>
          <w:marRight w:val="0"/>
          <w:marTop w:val="0"/>
          <w:marBottom w:val="0"/>
          <w:divBdr>
            <w:top w:val="none" w:sz="0" w:space="0" w:color="auto"/>
            <w:left w:val="none" w:sz="0" w:space="0" w:color="auto"/>
            <w:bottom w:val="none" w:sz="0" w:space="0" w:color="auto"/>
            <w:right w:val="none" w:sz="0" w:space="0" w:color="auto"/>
          </w:divBdr>
        </w:div>
        <w:div w:id="1427533680">
          <w:marLeft w:val="1800"/>
          <w:marRight w:val="0"/>
          <w:marTop w:val="0"/>
          <w:marBottom w:val="0"/>
          <w:divBdr>
            <w:top w:val="none" w:sz="0" w:space="0" w:color="auto"/>
            <w:left w:val="none" w:sz="0" w:space="0" w:color="auto"/>
            <w:bottom w:val="none" w:sz="0" w:space="0" w:color="auto"/>
            <w:right w:val="none" w:sz="0" w:space="0" w:color="auto"/>
          </w:divBdr>
        </w:div>
        <w:div w:id="442263677">
          <w:marLeft w:val="1800"/>
          <w:marRight w:val="0"/>
          <w:marTop w:val="0"/>
          <w:marBottom w:val="0"/>
          <w:divBdr>
            <w:top w:val="none" w:sz="0" w:space="0" w:color="auto"/>
            <w:left w:val="none" w:sz="0" w:space="0" w:color="auto"/>
            <w:bottom w:val="none" w:sz="0" w:space="0" w:color="auto"/>
            <w:right w:val="none" w:sz="0" w:space="0" w:color="auto"/>
          </w:divBdr>
        </w:div>
        <w:div w:id="1606570937">
          <w:marLeft w:val="1166"/>
          <w:marRight w:val="0"/>
          <w:marTop w:val="0"/>
          <w:marBottom w:val="0"/>
          <w:divBdr>
            <w:top w:val="none" w:sz="0" w:space="0" w:color="auto"/>
            <w:left w:val="none" w:sz="0" w:space="0" w:color="auto"/>
            <w:bottom w:val="none" w:sz="0" w:space="0" w:color="auto"/>
            <w:right w:val="none" w:sz="0" w:space="0" w:color="auto"/>
          </w:divBdr>
        </w:div>
        <w:div w:id="1404914750">
          <w:marLeft w:val="1166"/>
          <w:marRight w:val="0"/>
          <w:marTop w:val="0"/>
          <w:marBottom w:val="0"/>
          <w:divBdr>
            <w:top w:val="none" w:sz="0" w:space="0" w:color="auto"/>
            <w:left w:val="none" w:sz="0" w:space="0" w:color="auto"/>
            <w:bottom w:val="none" w:sz="0" w:space="0" w:color="auto"/>
            <w:right w:val="none" w:sz="0" w:space="0" w:color="auto"/>
          </w:divBdr>
        </w:div>
        <w:div w:id="1722317705">
          <w:marLeft w:val="1166"/>
          <w:marRight w:val="0"/>
          <w:marTop w:val="0"/>
          <w:marBottom w:val="0"/>
          <w:divBdr>
            <w:top w:val="none" w:sz="0" w:space="0" w:color="auto"/>
            <w:left w:val="none" w:sz="0" w:space="0" w:color="auto"/>
            <w:bottom w:val="none" w:sz="0" w:space="0" w:color="auto"/>
            <w:right w:val="none" w:sz="0" w:space="0" w:color="auto"/>
          </w:divBdr>
        </w:div>
        <w:div w:id="2126922545">
          <w:marLeft w:val="1166"/>
          <w:marRight w:val="0"/>
          <w:marTop w:val="0"/>
          <w:marBottom w:val="0"/>
          <w:divBdr>
            <w:top w:val="none" w:sz="0" w:space="0" w:color="auto"/>
            <w:left w:val="none" w:sz="0" w:space="0" w:color="auto"/>
            <w:bottom w:val="none" w:sz="0" w:space="0" w:color="auto"/>
            <w:right w:val="none" w:sz="0" w:space="0" w:color="auto"/>
          </w:divBdr>
        </w:div>
      </w:divsChild>
    </w:div>
    <w:div w:id="1187258003">
      <w:bodyDiv w:val="1"/>
      <w:marLeft w:val="0"/>
      <w:marRight w:val="0"/>
      <w:marTop w:val="0"/>
      <w:marBottom w:val="0"/>
      <w:divBdr>
        <w:top w:val="none" w:sz="0" w:space="0" w:color="auto"/>
        <w:left w:val="none" w:sz="0" w:space="0" w:color="auto"/>
        <w:bottom w:val="none" w:sz="0" w:space="0" w:color="auto"/>
        <w:right w:val="none" w:sz="0" w:space="0" w:color="auto"/>
      </w:divBdr>
    </w:div>
    <w:div w:id="1202523310">
      <w:bodyDiv w:val="1"/>
      <w:marLeft w:val="0"/>
      <w:marRight w:val="0"/>
      <w:marTop w:val="0"/>
      <w:marBottom w:val="0"/>
      <w:divBdr>
        <w:top w:val="none" w:sz="0" w:space="0" w:color="auto"/>
        <w:left w:val="none" w:sz="0" w:space="0" w:color="auto"/>
        <w:bottom w:val="none" w:sz="0" w:space="0" w:color="auto"/>
        <w:right w:val="none" w:sz="0" w:space="0" w:color="auto"/>
      </w:divBdr>
    </w:div>
    <w:div w:id="1467626280">
      <w:bodyDiv w:val="1"/>
      <w:marLeft w:val="0"/>
      <w:marRight w:val="0"/>
      <w:marTop w:val="0"/>
      <w:marBottom w:val="0"/>
      <w:divBdr>
        <w:top w:val="none" w:sz="0" w:space="0" w:color="auto"/>
        <w:left w:val="none" w:sz="0" w:space="0" w:color="auto"/>
        <w:bottom w:val="none" w:sz="0" w:space="0" w:color="auto"/>
        <w:right w:val="none" w:sz="0" w:space="0" w:color="auto"/>
      </w:divBdr>
      <w:divsChild>
        <w:div w:id="219248719">
          <w:marLeft w:val="1166"/>
          <w:marRight w:val="0"/>
          <w:marTop w:val="0"/>
          <w:marBottom w:val="0"/>
          <w:divBdr>
            <w:top w:val="none" w:sz="0" w:space="0" w:color="auto"/>
            <w:left w:val="none" w:sz="0" w:space="0" w:color="auto"/>
            <w:bottom w:val="none" w:sz="0" w:space="0" w:color="auto"/>
            <w:right w:val="none" w:sz="0" w:space="0" w:color="auto"/>
          </w:divBdr>
        </w:div>
        <w:div w:id="1667438170">
          <w:marLeft w:val="1800"/>
          <w:marRight w:val="0"/>
          <w:marTop w:val="0"/>
          <w:marBottom w:val="0"/>
          <w:divBdr>
            <w:top w:val="none" w:sz="0" w:space="0" w:color="auto"/>
            <w:left w:val="none" w:sz="0" w:space="0" w:color="auto"/>
            <w:bottom w:val="none" w:sz="0" w:space="0" w:color="auto"/>
            <w:right w:val="none" w:sz="0" w:space="0" w:color="auto"/>
          </w:divBdr>
        </w:div>
        <w:div w:id="1869904378">
          <w:marLeft w:val="2520"/>
          <w:marRight w:val="0"/>
          <w:marTop w:val="0"/>
          <w:marBottom w:val="0"/>
          <w:divBdr>
            <w:top w:val="none" w:sz="0" w:space="0" w:color="auto"/>
            <w:left w:val="none" w:sz="0" w:space="0" w:color="auto"/>
            <w:bottom w:val="none" w:sz="0" w:space="0" w:color="auto"/>
            <w:right w:val="none" w:sz="0" w:space="0" w:color="auto"/>
          </w:divBdr>
        </w:div>
        <w:div w:id="1411466537">
          <w:marLeft w:val="1800"/>
          <w:marRight w:val="0"/>
          <w:marTop w:val="0"/>
          <w:marBottom w:val="0"/>
          <w:divBdr>
            <w:top w:val="none" w:sz="0" w:space="0" w:color="auto"/>
            <w:left w:val="none" w:sz="0" w:space="0" w:color="auto"/>
            <w:bottom w:val="none" w:sz="0" w:space="0" w:color="auto"/>
            <w:right w:val="none" w:sz="0" w:space="0" w:color="auto"/>
          </w:divBdr>
        </w:div>
        <w:div w:id="570189762">
          <w:marLeft w:val="1800"/>
          <w:marRight w:val="0"/>
          <w:marTop w:val="0"/>
          <w:marBottom w:val="0"/>
          <w:divBdr>
            <w:top w:val="none" w:sz="0" w:space="0" w:color="auto"/>
            <w:left w:val="none" w:sz="0" w:space="0" w:color="auto"/>
            <w:bottom w:val="none" w:sz="0" w:space="0" w:color="auto"/>
            <w:right w:val="none" w:sz="0" w:space="0" w:color="auto"/>
          </w:divBdr>
        </w:div>
        <w:div w:id="1515416457">
          <w:marLeft w:val="2520"/>
          <w:marRight w:val="0"/>
          <w:marTop w:val="0"/>
          <w:marBottom w:val="0"/>
          <w:divBdr>
            <w:top w:val="none" w:sz="0" w:space="0" w:color="auto"/>
            <w:left w:val="none" w:sz="0" w:space="0" w:color="auto"/>
            <w:bottom w:val="none" w:sz="0" w:space="0" w:color="auto"/>
            <w:right w:val="none" w:sz="0" w:space="0" w:color="auto"/>
          </w:divBdr>
        </w:div>
        <w:div w:id="1530683875">
          <w:marLeft w:val="1800"/>
          <w:marRight w:val="0"/>
          <w:marTop w:val="0"/>
          <w:marBottom w:val="0"/>
          <w:divBdr>
            <w:top w:val="none" w:sz="0" w:space="0" w:color="auto"/>
            <w:left w:val="none" w:sz="0" w:space="0" w:color="auto"/>
            <w:bottom w:val="none" w:sz="0" w:space="0" w:color="auto"/>
            <w:right w:val="none" w:sz="0" w:space="0" w:color="auto"/>
          </w:divBdr>
        </w:div>
      </w:divsChild>
    </w:div>
    <w:div w:id="1660574721">
      <w:bodyDiv w:val="1"/>
      <w:marLeft w:val="0"/>
      <w:marRight w:val="0"/>
      <w:marTop w:val="0"/>
      <w:marBottom w:val="0"/>
      <w:divBdr>
        <w:top w:val="none" w:sz="0" w:space="0" w:color="auto"/>
        <w:left w:val="none" w:sz="0" w:space="0" w:color="auto"/>
        <w:bottom w:val="none" w:sz="0" w:space="0" w:color="auto"/>
        <w:right w:val="none" w:sz="0" w:space="0" w:color="auto"/>
      </w:divBdr>
    </w:div>
    <w:div w:id="1682663170">
      <w:bodyDiv w:val="1"/>
      <w:marLeft w:val="0"/>
      <w:marRight w:val="0"/>
      <w:marTop w:val="0"/>
      <w:marBottom w:val="0"/>
      <w:divBdr>
        <w:top w:val="none" w:sz="0" w:space="0" w:color="auto"/>
        <w:left w:val="none" w:sz="0" w:space="0" w:color="auto"/>
        <w:bottom w:val="none" w:sz="0" w:space="0" w:color="auto"/>
        <w:right w:val="none" w:sz="0" w:space="0" w:color="auto"/>
      </w:divBdr>
    </w:div>
    <w:div w:id="16993124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492122">
      <w:bodyDiv w:val="1"/>
      <w:marLeft w:val="0"/>
      <w:marRight w:val="0"/>
      <w:marTop w:val="0"/>
      <w:marBottom w:val="0"/>
      <w:divBdr>
        <w:top w:val="none" w:sz="0" w:space="0" w:color="auto"/>
        <w:left w:val="none" w:sz="0" w:space="0" w:color="auto"/>
        <w:bottom w:val="none" w:sz="0" w:space="0" w:color="auto"/>
        <w:right w:val="none" w:sz="0" w:space="0" w:color="auto"/>
      </w:divBdr>
    </w:div>
    <w:div w:id="1967352742">
      <w:bodyDiv w:val="1"/>
      <w:marLeft w:val="0"/>
      <w:marRight w:val="0"/>
      <w:marTop w:val="0"/>
      <w:marBottom w:val="0"/>
      <w:divBdr>
        <w:top w:val="none" w:sz="0" w:space="0" w:color="auto"/>
        <w:left w:val="none" w:sz="0" w:space="0" w:color="auto"/>
        <w:bottom w:val="none" w:sz="0" w:space="0" w:color="auto"/>
        <w:right w:val="none" w:sz="0" w:space="0" w:color="auto"/>
      </w:divBdr>
    </w:div>
    <w:div w:id="208189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8.png"/><Relationship Id="rId21" Type="http://schemas.openxmlformats.org/officeDocument/2006/relationships/image" Target="media/image9.wmf"/><Relationship Id="rId34" Type="http://schemas.openxmlformats.org/officeDocument/2006/relationships/oleObject" Target="embeddings/oleObject12.bin"/><Relationship Id="rId42" Type="http://schemas.microsoft.com/office/2011/relationships/commentsExtended" Target="commentsExtended.xml"/><Relationship Id="rId47" Type="http://schemas.openxmlformats.org/officeDocument/2006/relationships/image" Target="media/image24.wmf"/><Relationship Id="rId50" Type="http://schemas.openxmlformats.org/officeDocument/2006/relationships/image" Target="media/image27.wmf"/><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image" Target="media/image19.png"/><Relationship Id="rId45" Type="http://schemas.openxmlformats.org/officeDocument/2006/relationships/image" Target="media/image22.png"/><Relationship Id="rId53" Type="http://schemas.openxmlformats.org/officeDocument/2006/relationships/image" Target="media/image30.emf"/><Relationship Id="rId5" Type="http://schemas.openxmlformats.org/officeDocument/2006/relationships/webSettings" Target="webSettings.xml"/><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0.png"/><Relationship Id="rId48" Type="http://schemas.openxmlformats.org/officeDocument/2006/relationships/image" Target="media/image25.wmf"/><Relationship Id="rId56" Type="http://schemas.microsoft.com/office/2011/relationships/people" Target="people.xml"/><Relationship Id="rId8" Type="http://schemas.openxmlformats.org/officeDocument/2006/relationships/image" Target="media/image1.png"/><Relationship Id="rId51" Type="http://schemas.openxmlformats.org/officeDocument/2006/relationships/image" Target="media/image28.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image" Target="media/image23.wmf"/><Relationship Id="rId20" Type="http://schemas.openxmlformats.org/officeDocument/2006/relationships/oleObject" Target="embeddings/oleObject5.bin"/><Relationship Id="rId41" Type="http://schemas.openxmlformats.org/officeDocument/2006/relationships/comments" Target="comments.xml"/><Relationship Id="rId54"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6.wmf"/><Relationship Id="rId57" Type="http://schemas.openxmlformats.org/officeDocument/2006/relationships/theme" Target="theme/theme1.xml"/><Relationship Id="rId10" Type="http://schemas.openxmlformats.org/officeDocument/2006/relationships/image" Target="media/image3.png"/><Relationship Id="rId31" Type="http://schemas.openxmlformats.org/officeDocument/2006/relationships/image" Target="media/image14.wmf"/><Relationship Id="rId44" Type="http://schemas.openxmlformats.org/officeDocument/2006/relationships/image" Target="media/image21.png"/><Relationship Id="rId52" Type="http://schemas.openxmlformats.org/officeDocument/2006/relationships/image" Target="media/image2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3F370A-0846-4324-B5A9-BCAA3A9F7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9398</Words>
  <Characters>46991</Characters>
  <Application>Microsoft Office Word</Application>
  <DocSecurity>0</DocSecurity>
  <Lines>1174</Lines>
  <Paragraphs>794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3</cp:revision>
  <cp:lastPrinted>2007-06-18T22:08:00Z</cp:lastPrinted>
  <dcterms:created xsi:type="dcterms:W3CDTF">2019-09-29T01:07:00Z</dcterms:created>
  <dcterms:modified xsi:type="dcterms:W3CDTF">2019-10-04T09:47:00Z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(3)9QZOOd2gYaHvgrenYRDRxTplrn5neK6eAx9N8DMzARMI8afLXuBEpRrHjTEaMP3Mu7m0LyvQ
Dos0xH7I3IeHQ/+sz15/L5W6OocxpmnVyBH4T2wpcEjtz4TfeAJeOuqs23rg4gxpvkG9TkI0
pnxzhMt99eG9NgEXTBT2UmU+7LdF2OO60Dn3kwNhmoxe2ykblrOOddXLNZwvIcujufnTGeEc
rZcP2XeBJ7/XinJRUN</vt:lpwstr>
  </property>
  <property fmtid="{D5CDD505-2E9C-101B-9397-08002B2CF9AE}" pid="13" name="_2015_ms_pID_725343_00">
    <vt:lpwstr>_2015_ms_pID_725343</vt:lpwstr>
  </property>
  <property fmtid="{D5CDD505-2E9C-101B-9397-08002B2CF9AE}" pid="14" name="_2015_ms_pID_7253431">
    <vt:lpwstr>MRWjFBGfMnbIRTUKenfl6WnLlk0Nxjhn41MSjx8vEwsmfOkrWYrfAW
OWzOW5+9hCJlg8EMBr4q4CowwBF3GIKICc8B5OkSxvDs0YOmjsiOPo6e+T3+a/ITlwQhcaUr
xeb0t+3+roaJP+Xtr/Hx+uVrRqcbIKho2cT9+qANMQwEHBJIsJ/W/KuTb1UxAhJ7YgSEWGwA
EPkuMbMftt29aWDqMSRyfb8Z0S9dMJwKFFNT</vt:lpwstr>
  </property>
  <property fmtid="{D5CDD505-2E9C-101B-9397-08002B2CF9AE}" pid="15" name="_2015_ms_pID_7253431_00">
    <vt:lpwstr>_2015_ms_pID_7253431</vt:lpwstr>
  </property>
  <property fmtid="{D5CDD505-2E9C-101B-9397-08002B2CF9AE}" pid="16" name="_2015_ms_pID_7253432">
    <vt:lpwstr>z+iLeBAiy8y1wbd1B4g9/Cg4nO9TmaojAN7G
921fo+WAwX2incPTJSQ50ts0gxT+PyGbHkjZ1T5dR0yuYSSN1PI=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1570181971</vt:lpwstr>
  </property>
</Properties>
</file>