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9C0564" w:rsidRPr="00CF195E" w:rsidRDefault="00C41B6C" w:rsidP="00CF195E">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7216" behindDoc="0" locked="1" layoutInCell="1" allowOverlap="1">
                <wp:simplePos x="0" y="0"/>
                <wp:positionH relativeFrom="column">
                  <wp:posOffset>0</wp:posOffset>
                </wp:positionH>
                <wp:positionV relativeFrom="paragraph">
                  <wp:posOffset>0</wp:posOffset>
                </wp:positionV>
                <wp:extent cx="635" cy="635"/>
                <wp:effectExtent l="0" t="0" r="0" b="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3FFFF7"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16BF2">
        <w:rPr>
          <w:b/>
          <w:kern w:val="2"/>
          <w:lang w:eastAsia="zh-CN"/>
        </w:rPr>
        <w:t>9</w:t>
      </w:r>
      <w:r w:rsidR="00B72D82">
        <w:rPr>
          <w:b/>
          <w:kern w:val="2"/>
          <w:lang w:eastAsia="zh-CN"/>
        </w:rPr>
        <w:t>6</w:t>
      </w:r>
      <w:r w:rsidR="00820385">
        <w:rPr>
          <w:b/>
          <w:kern w:val="2"/>
          <w:lang w:eastAsia="zh-CN"/>
        </w:rPr>
        <w:t>bis</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703E9B" w:rsidRPr="00703E9B">
        <w:t xml:space="preserve"> </w:t>
      </w:r>
      <w:r w:rsidR="00703E9B" w:rsidRPr="00703E9B">
        <w:rPr>
          <w:b/>
          <w:kern w:val="2"/>
          <w:lang w:eastAsia="zh-CN"/>
        </w:rPr>
        <w:t>1904685</w:t>
      </w:r>
    </w:p>
    <w:p w:rsidR="00820385" w:rsidRPr="00CF195E" w:rsidRDefault="00820385" w:rsidP="00820385">
      <w:pPr>
        <w:jc w:val="left"/>
        <w:rPr>
          <w:b/>
          <w:kern w:val="2"/>
          <w:lang w:eastAsia="zh-CN"/>
        </w:rPr>
      </w:pPr>
      <w:r>
        <w:rPr>
          <w:b/>
          <w:kern w:val="2"/>
          <w:lang w:eastAsia="zh-CN"/>
        </w:rPr>
        <w:t>Xi’an, China, April 8 – 12, 2019</w:t>
      </w:r>
    </w:p>
    <w:p w:rsidR="009C0564" w:rsidRPr="00820385"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BE230C">
        <w:rPr>
          <w:b/>
          <w:kern w:val="2"/>
          <w:lang w:eastAsia="zh-CN"/>
        </w:rPr>
        <w:t>7.2.1.3</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72D82">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F07E5D">
        <w:rPr>
          <w:b/>
          <w:kern w:val="2"/>
          <w:lang w:eastAsia="zh-CN"/>
        </w:rPr>
        <w:t>Other issues for</w:t>
      </w:r>
      <w:r w:rsidR="007E2E45">
        <w:rPr>
          <w:b/>
          <w:kern w:val="2"/>
          <w:lang w:eastAsia="zh-CN"/>
        </w:rPr>
        <w:t xml:space="preserve"> </w:t>
      </w:r>
      <w:r w:rsidR="00EB5C01">
        <w:rPr>
          <w:b/>
          <w:kern w:val="2"/>
          <w:lang w:eastAsia="zh-CN"/>
        </w:rPr>
        <w:t>2-step RACH</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1" w:name="_Ref124589705"/>
      <w:bookmarkStart w:id="2" w:name="_Ref129681862"/>
      <w:r w:rsidRPr="00CF195E">
        <w:t>Introduction</w:t>
      </w:r>
      <w:bookmarkEnd w:id="1"/>
      <w:bookmarkEnd w:id="2"/>
    </w:p>
    <w:p w:rsidR="00756876" w:rsidRDefault="009D6599">
      <w:pPr>
        <w:rPr>
          <w:lang w:eastAsia="zh-CN"/>
        </w:rPr>
      </w:pPr>
      <w:r w:rsidRPr="001722AF">
        <w:rPr>
          <w:lang w:eastAsia="zh-CN"/>
        </w:rPr>
        <w:t xml:space="preserve">In RAN meeting #82, a new work item on 2-step RACH for NR was approved [1]. In our </w:t>
      </w:r>
      <w:r>
        <w:rPr>
          <w:rFonts w:eastAsia="MS Mincho"/>
          <w:lang w:eastAsia="ja-JP"/>
        </w:rPr>
        <w:t xml:space="preserve">companion contributions, the channel structure and the 2-step RACH procedure have been discussed [2][3]. </w:t>
      </w:r>
      <w:r w:rsidR="00703E9B">
        <w:rPr>
          <w:rFonts w:eastAsia="MS Mincho"/>
          <w:lang w:eastAsia="ja-JP"/>
        </w:rPr>
        <w:t xml:space="preserve">In addition, some agreements were made during the email discussion on potential simulations for 2-step RACH, as provided in the appendix. </w:t>
      </w:r>
      <w:r>
        <w:rPr>
          <w:rFonts w:eastAsia="MS Mincho"/>
          <w:lang w:eastAsia="ja-JP"/>
        </w:rPr>
        <w:t>In</w:t>
      </w:r>
      <w:r w:rsidRPr="001722AF">
        <w:rPr>
          <w:lang w:eastAsia="zh-CN"/>
        </w:rPr>
        <w:t xml:space="preserve"> this contribution, we share our views on the some </w:t>
      </w:r>
      <w:r>
        <w:rPr>
          <w:lang w:eastAsia="zh-CN"/>
        </w:rPr>
        <w:t xml:space="preserve">key </w:t>
      </w:r>
      <w:r w:rsidRPr="001722AF">
        <w:rPr>
          <w:lang w:eastAsia="zh-CN"/>
        </w:rPr>
        <w:t>issues of 2-step RACH</w:t>
      </w:r>
      <w:r w:rsidR="00703E9B">
        <w:rPr>
          <w:lang w:eastAsia="zh-CN"/>
        </w:rPr>
        <w:t xml:space="preserve"> that were identified during the email discussion</w:t>
      </w:r>
      <w:r w:rsidRPr="001722AF">
        <w:rPr>
          <w:lang w:eastAsia="zh-CN"/>
        </w:rPr>
        <w:t xml:space="preserve">, including </w:t>
      </w:r>
      <w:r w:rsidR="00E278D8">
        <w:rPr>
          <w:lang w:eastAsia="zh-CN"/>
        </w:rPr>
        <w:t>use cases</w:t>
      </w:r>
      <w:r w:rsidR="001B3E2E">
        <w:rPr>
          <w:lang w:eastAsia="zh-CN"/>
        </w:rPr>
        <w:t xml:space="preserve">, </w:t>
      </w:r>
      <w:r w:rsidRPr="001722AF">
        <w:rPr>
          <w:lang w:eastAsia="zh-CN"/>
        </w:rPr>
        <w:t>collision probability</w:t>
      </w:r>
      <w:r w:rsidR="0012104D">
        <w:rPr>
          <w:lang w:eastAsia="zh-CN"/>
        </w:rPr>
        <w:t>,</w:t>
      </w:r>
      <w:r w:rsidR="00CF24DF">
        <w:rPr>
          <w:lang w:eastAsia="zh-CN"/>
        </w:rPr>
        <w:t xml:space="preserve"> resource utilization,</w:t>
      </w:r>
      <w:r>
        <w:rPr>
          <w:lang w:eastAsia="zh-CN"/>
        </w:rPr>
        <w:t xml:space="preserve"> and </w:t>
      </w:r>
      <w:r w:rsidRPr="001722AF">
        <w:rPr>
          <w:lang w:eastAsia="zh-CN"/>
        </w:rPr>
        <w:t>receiver for 2-step RACH</w:t>
      </w:r>
      <w:r w:rsidR="0012104D">
        <w:rPr>
          <w:lang w:eastAsia="zh-CN"/>
        </w:rPr>
        <w:t xml:space="preserve"> as copied below from the agreements</w:t>
      </w:r>
      <w:r w:rsidRPr="001722AF">
        <w:rPr>
          <w:lang w:eastAsia="zh-CN"/>
        </w:rPr>
        <w:t>.</w:t>
      </w:r>
      <w:r w:rsidR="00796A3B" w:rsidRPr="001722AF">
        <w:rPr>
          <w:lang w:eastAsia="zh-CN"/>
        </w:rPr>
        <w:t xml:space="preserve"> </w:t>
      </w:r>
      <w:r w:rsidR="00F00ACF">
        <w:rPr>
          <w:lang w:eastAsia="zh-CN"/>
        </w:rPr>
        <w:t>The initial simulation results considering Table 1 and other assumptions are provided in our companion contribution [</w:t>
      </w:r>
      <w:r w:rsidR="00E278D8">
        <w:rPr>
          <w:lang w:eastAsia="zh-CN"/>
        </w:rPr>
        <w:t>4</w:t>
      </w:r>
      <w:r w:rsidR="00F00ACF">
        <w:rPr>
          <w:lang w:eastAsia="zh-CN"/>
        </w:rPr>
        <w:t>].</w:t>
      </w:r>
    </w:p>
    <w:p w:rsidR="0012104D" w:rsidRPr="00713854" w:rsidRDefault="0012104D" w:rsidP="0012104D">
      <w:pPr>
        <w:pStyle w:val="af1"/>
        <w:numPr>
          <w:ilvl w:val="0"/>
          <w:numId w:val="42"/>
        </w:numPr>
        <w:autoSpaceDE/>
        <w:autoSpaceDN/>
        <w:adjustRightInd/>
        <w:spacing w:after="0" w:line="276" w:lineRule="auto"/>
        <w:ind w:firstLineChars="0"/>
        <w:jc w:val="left"/>
        <w:rPr>
          <w:bCs/>
          <w:i/>
        </w:rPr>
      </w:pPr>
      <w:r w:rsidRPr="00713854">
        <w:rPr>
          <w:bCs/>
          <w:i/>
        </w:rPr>
        <w:t>Additional system-level simulations or analytical evaluations can be considered for the following analysis:</w:t>
      </w:r>
    </w:p>
    <w:p w:rsidR="0012104D" w:rsidRPr="00713854" w:rsidRDefault="0012104D" w:rsidP="0012104D">
      <w:pPr>
        <w:pStyle w:val="af1"/>
        <w:numPr>
          <w:ilvl w:val="1"/>
          <w:numId w:val="42"/>
        </w:numPr>
        <w:autoSpaceDE/>
        <w:autoSpaceDN/>
        <w:adjustRightInd/>
        <w:spacing w:after="0" w:line="276" w:lineRule="auto"/>
        <w:ind w:firstLineChars="0"/>
        <w:jc w:val="left"/>
        <w:rPr>
          <w:bCs/>
          <w:i/>
        </w:rPr>
      </w:pPr>
      <w:r w:rsidRPr="00713854">
        <w:rPr>
          <w:bCs/>
          <w:i/>
        </w:rPr>
        <w:t>Latency</w:t>
      </w:r>
    </w:p>
    <w:p w:rsidR="0012104D" w:rsidRPr="00713854" w:rsidRDefault="0012104D" w:rsidP="0012104D">
      <w:pPr>
        <w:pStyle w:val="af1"/>
        <w:numPr>
          <w:ilvl w:val="1"/>
          <w:numId w:val="42"/>
        </w:numPr>
        <w:autoSpaceDE/>
        <w:autoSpaceDN/>
        <w:adjustRightInd/>
        <w:spacing w:after="0" w:line="276" w:lineRule="auto"/>
        <w:ind w:firstLineChars="0"/>
        <w:jc w:val="left"/>
        <w:rPr>
          <w:bCs/>
          <w:i/>
        </w:rPr>
      </w:pPr>
      <w:r w:rsidRPr="00713854">
        <w:rPr>
          <w:bCs/>
          <w:i/>
        </w:rPr>
        <w:t>Signalling overhead</w:t>
      </w:r>
    </w:p>
    <w:p w:rsidR="0012104D" w:rsidRPr="00713854" w:rsidRDefault="0012104D" w:rsidP="0012104D">
      <w:pPr>
        <w:pStyle w:val="af1"/>
        <w:numPr>
          <w:ilvl w:val="1"/>
          <w:numId w:val="42"/>
        </w:numPr>
        <w:autoSpaceDE/>
        <w:autoSpaceDN/>
        <w:adjustRightInd/>
        <w:spacing w:after="0" w:line="276" w:lineRule="auto"/>
        <w:ind w:firstLineChars="0"/>
        <w:jc w:val="left"/>
        <w:rPr>
          <w:bCs/>
          <w:i/>
        </w:rPr>
      </w:pPr>
      <w:r w:rsidRPr="00713854">
        <w:rPr>
          <w:bCs/>
          <w:i/>
        </w:rPr>
        <w:t>Resource reservation overhead</w:t>
      </w:r>
    </w:p>
    <w:p w:rsidR="0012104D" w:rsidRPr="00713854" w:rsidRDefault="0012104D" w:rsidP="0012104D">
      <w:pPr>
        <w:pStyle w:val="af1"/>
        <w:numPr>
          <w:ilvl w:val="1"/>
          <w:numId w:val="42"/>
        </w:numPr>
        <w:autoSpaceDE/>
        <w:autoSpaceDN/>
        <w:adjustRightInd/>
        <w:spacing w:after="0" w:line="276" w:lineRule="auto"/>
        <w:ind w:firstLineChars="0"/>
        <w:jc w:val="left"/>
        <w:rPr>
          <w:bCs/>
          <w:i/>
        </w:rPr>
      </w:pPr>
      <w:r w:rsidRPr="00713854">
        <w:rPr>
          <w:bCs/>
          <w:i/>
        </w:rPr>
        <w:t>PUSCH collision, with definition FFS, e.g. overlapped PUSCH occasion, with shared or separate DMRS port, and with same or different scrambling ID</w:t>
      </w:r>
    </w:p>
    <w:p w:rsidR="0012104D" w:rsidRPr="00713854" w:rsidRDefault="0012104D" w:rsidP="00713854">
      <w:pPr>
        <w:pStyle w:val="af1"/>
        <w:numPr>
          <w:ilvl w:val="1"/>
          <w:numId w:val="42"/>
        </w:numPr>
        <w:autoSpaceDE/>
        <w:autoSpaceDN/>
        <w:adjustRightInd/>
        <w:spacing w:after="0" w:line="276" w:lineRule="auto"/>
        <w:ind w:firstLineChars="0"/>
        <w:jc w:val="left"/>
        <w:rPr>
          <w:bCs/>
          <w:i/>
        </w:rPr>
      </w:pPr>
      <w:r w:rsidRPr="00713854">
        <w:rPr>
          <w:bCs/>
          <w:i/>
        </w:rPr>
        <w:t>Rx detection complexity</w:t>
      </w:r>
    </w:p>
    <w:p w:rsidR="00F00ACF" w:rsidRPr="00713854" w:rsidRDefault="00F00ACF" w:rsidP="00F00ACF">
      <w:pPr>
        <w:pStyle w:val="af1"/>
        <w:numPr>
          <w:ilvl w:val="0"/>
          <w:numId w:val="42"/>
        </w:numPr>
        <w:autoSpaceDE/>
        <w:autoSpaceDN/>
        <w:adjustRightInd/>
        <w:spacing w:after="0" w:line="276" w:lineRule="auto"/>
        <w:ind w:firstLineChars="0"/>
        <w:jc w:val="left"/>
        <w:rPr>
          <w:bCs/>
          <w:i/>
        </w:rPr>
      </w:pPr>
      <w:r w:rsidRPr="00713854">
        <w:rPr>
          <w:bCs/>
          <w:i/>
        </w:rPr>
        <w:t>Note 1: the supported/recommended payload size from RAN1 perspective may also need to take other factors into account, e.g. use cases, resource utilization.</w:t>
      </w:r>
    </w:p>
    <w:p w:rsidR="0012104D" w:rsidRPr="00F00ACF" w:rsidRDefault="0012104D">
      <w:pPr>
        <w:rPr>
          <w:lang w:eastAsia="zh-CN"/>
        </w:rPr>
      </w:pPr>
    </w:p>
    <w:p w:rsidR="00FC69B3" w:rsidRDefault="00E278D8" w:rsidP="00FC69B3">
      <w:pPr>
        <w:pStyle w:val="1"/>
        <w:rPr>
          <w:lang w:val="en-GB" w:eastAsia="zh-CN"/>
        </w:rPr>
      </w:pPr>
      <w:r>
        <w:rPr>
          <w:lang w:val="en-GB" w:eastAsia="zh-CN"/>
        </w:rPr>
        <w:t>Use cases</w:t>
      </w:r>
    </w:p>
    <w:p w:rsidR="006B6A3C" w:rsidRDefault="00CE05FE" w:rsidP="00FC69B3">
      <w:r>
        <w:t>As discussed/concluded in the email discussion, use case is one of factor that need</w:t>
      </w:r>
      <w:r w:rsidR="006B6A3C">
        <w:t>s to be considered for determining</w:t>
      </w:r>
      <w:r>
        <w:t xml:space="preserve"> the payload size of 2-step RACH. </w:t>
      </w:r>
    </w:p>
    <w:p w:rsidR="00FC69B3" w:rsidRDefault="00FC69B3" w:rsidP="00FC69B3">
      <w:pPr>
        <w:rPr>
          <w:rFonts w:eastAsiaTheme="minorEastAsia"/>
          <w:lang w:eastAsia="zh-CN"/>
        </w:rPr>
      </w:pPr>
      <w:r>
        <w:t xml:space="preserve">During accessing state before entering RRC_CONNECTED, </w:t>
      </w:r>
      <w:r>
        <w:rPr>
          <w:rFonts w:eastAsiaTheme="minorEastAsia"/>
          <w:lang w:eastAsia="zh-CN"/>
        </w:rPr>
        <w:t>2-step RACH may reduce the access latency and signaling overhead due to the reduced handshaking steps, though it may cause some new problems due to potential asynchronous transmission which demands extra complexity in the receiver implementation to deal with. Its potential benefit over 4-step RACH may depend on (may not limited to</w:t>
      </w:r>
      <w:r>
        <w:rPr>
          <w:rFonts w:eastAsiaTheme="minorEastAsia" w:hint="eastAsia"/>
          <w:lang w:eastAsia="zh-CN"/>
        </w:rPr>
        <w:t xml:space="preserve">) </w:t>
      </w:r>
      <w:r>
        <w:rPr>
          <w:rFonts w:eastAsiaTheme="minorEastAsia"/>
          <w:lang w:eastAsia="zh-CN"/>
        </w:rPr>
        <w:t xml:space="preserve">the payload size, numerology, RACH configuration, latency requirement, UE capability, and gNB capability, etc. in addition to cell size. </w:t>
      </w:r>
    </w:p>
    <w:p w:rsidR="00FC69B3" w:rsidRDefault="00FC69B3" w:rsidP="00FC69B3">
      <w:pPr>
        <w:rPr>
          <w:rFonts w:eastAsiaTheme="minorEastAsia"/>
          <w:lang w:eastAsia="zh-CN"/>
        </w:rPr>
      </w:pPr>
      <w:r>
        <w:rPr>
          <w:rFonts w:eastAsiaTheme="minorEastAsia"/>
          <w:lang w:eastAsia="zh-CN"/>
        </w:rPr>
        <w:t>One typical use case of 2-step RACH could be the fast state transition, i.e., from RRC_IDLE or RRLC_INACTIVE to RRC_CONNECTED, where the payload size is 56 or 72 bits including the MAC header. Another potential use case can be the fast access in unlicensed spectrum, where the number of LBT and the associated delay can be reduced during the RACH procedure.</w:t>
      </w:r>
    </w:p>
    <w:p w:rsidR="006B6A3C" w:rsidRDefault="006B6A3C" w:rsidP="00FC69B3">
      <w:pPr>
        <w:rPr>
          <w:rFonts w:eastAsiaTheme="minorEastAsia"/>
          <w:lang w:eastAsia="zh-CN"/>
        </w:rPr>
      </w:pPr>
      <w:r>
        <w:rPr>
          <w:rFonts w:eastAsiaTheme="minorEastAsia"/>
          <w:lang w:eastAsia="zh-CN"/>
        </w:rPr>
        <w:t xml:space="preserve">When UE is RRC_CONNECTED, contention based RACH is still possible, for the purpose of requesting uplink resource when no available SR resource. It is particularly noted that in this case configured grant introduced in NR Rel-15 can be more flexible for transmitting uplink packet, as it has flexible resource allocation, even reduced latency compared to 2- or 4- step RACH, and does not require system information </w:t>
      </w:r>
      <w:r w:rsidR="00D97684">
        <w:rPr>
          <w:rFonts w:eastAsiaTheme="minorEastAsia"/>
          <w:lang w:eastAsia="zh-CN"/>
        </w:rPr>
        <w:t>signaling and the overhead of preambles</w:t>
      </w:r>
      <w:r>
        <w:rPr>
          <w:rFonts w:eastAsiaTheme="minorEastAsia"/>
          <w:lang w:eastAsia="zh-CN"/>
        </w:rPr>
        <w:t xml:space="preserve">. </w:t>
      </w:r>
    </w:p>
    <w:p w:rsidR="00FC69B3" w:rsidRDefault="00FC69B3" w:rsidP="00FC69B3">
      <w:pPr>
        <w:rPr>
          <w:rFonts w:eastAsiaTheme="minorEastAsia"/>
          <w:i/>
          <w:lang w:eastAsia="zh-CN"/>
        </w:rPr>
      </w:pPr>
      <w:r>
        <w:rPr>
          <w:rFonts w:eastAsiaTheme="minorEastAsia"/>
          <w:b/>
          <w:i/>
          <w:lang w:eastAsia="zh-CN"/>
        </w:rPr>
        <w:t>Observation</w:t>
      </w:r>
      <w:r w:rsidRPr="00895832">
        <w:rPr>
          <w:rFonts w:eastAsiaTheme="minorEastAsia" w:hint="eastAsia"/>
          <w:b/>
          <w:i/>
          <w:lang w:eastAsia="zh-CN"/>
        </w:rPr>
        <w:t xml:space="preserve"> </w:t>
      </w:r>
      <w:r>
        <w:rPr>
          <w:rFonts w:eastAsiaTheme="minorEastAsia"/>
          <w:b/>
          <w:i/>
          <w:lang w:eastAsia="zh-CN"/>
        </w:rPr>
        <w:t>1</w:t>
      </w:r>
      <w:r w:rsidRPr="00166120">
        <w:rPr>
          <w:rFonts w:eastAsiaTheme="minorEastAsia" w:hint="eastAsia"/>
          <w:i/>
          <w:lang w:eastAsia="zh-CN"/>
        </w:rPr>
        <w:t xml:space="preserve">: </w:t>
      </w:r>
      <w:r>
        <w:rPr>
          <w:rFonts w:eastAsiaTheme="minorEastAsia"/>
          <w:i/>
          <w:lang w:eastAsia="zh-CN"/>
        </w:rPr>
        <w:t xml:space="preserve">Typical use cases </w:t>
      </w:r>
      <w:r w:rsidR="00CE05FE">
        <w:rPr>
          <w:rFonts w:eastAsiaTheme="minorEastAsia"/>
          <w:i/>
          <w:lang w:eastAsia="zh-CN"/>
        </w:rPr>
        <w:t xml:space="preserve">for the payload transmission during RACH procedure </w:t>
      </w:r>
      <w:r>
        <w:rPr>
          <w:rFonts w:eastAsiaTheme="minorEastAsia"/>
          <w:i/>
          <w:lang w:eastAsia="zh-CN"/>
        </w:rPr>
        <w:t>mostly conveys small payload, e.g. 56 or 72 bits.</w:t>
      </w:r>
      <w:r w:rsidRPr="00166120">
        <w:rPr>
          <w:rFonts w:eastAsiaTheme="minorEastAsia" w:hint="eastAsia"/>
          <w:i/>
          <w:lang w:eastAsia="zh-CN"/>
        </w:rPr>
        <w:t xml:space="preserve"> </w:t>
      </w:r>
    </w:p>
    <w:p w:rsidR="006B6A3C" w:rsidRDefault="006B6A3C" w:rsidP="00FC69B3">
      <w:pPr>
        <w:rPr>
          <w:rFonts w:eastAsiaTheme="minorEastAsia"/>
          <w:i/>
          <w:lang w:eastAsia="zh-CN"/>
        </w:rPr>
      </w:pPr>
      <w:r w:rsidRPr="00713854">
        <w:rPr>
          <w:rFonts w:eastAsiaTheme="minorEastAsia"/>
          <w:b/>
          <w:i/>
          <w:lang w:eastAsia="zh-CN"/>
        </w:rPr>
        <w:lastRenderedPageBreak/>
        <w:t xml:space="preserve">Observation 2: </w:t>
      </w:r>
      <w:r>
        <w:rPr>
          <w:rFonts w:eastAsiaTheme="minorEastAsia"/>
          <w:i/>
          <w:lang w:eastAsia="zh-CN"/>
        </w:rPr>
        <w:t xml:space="preserve">There is lack of motivation to </w:t>
      </w:r>
      <w:r w:rsidR="00D97684">
        <w:rPr>
          <w:rFonts w:eastAsiaTheme="minorEastAsia"/>
          <w:i/>
          <w:lang w:eastAsia="zh-CN"/>
        </w:rPr>
        <w:t xml:space="preserve">optimize </w:t>
      </w:r>
      <w:r>
        <w:rPr>
          <w:rFonts w:eastAsiaTheme="minorEastAsia"/>
          <w:i/>
          <w:lang w:eastAsia="zh-CN"/>
        </w:rPr>
        <w:t>2-step RACH for UE in RRC_CONNECTED mode.</w:t>
      </w:r>
    </w:p>
    <w:p w:rsidR="00854452" w:rsidRDefault="00854452" w:rsidP="00854452">
      <w:pPr>
        <w:pStyle w:val="1"/>
        <w:rPr>
          <w:lang w:val="en-GB" w:eastAsia="zh-CN"/>
        </w:rPr>
      </w:pPr>
      <w:bookmarkStart w:id="3" w:name="_Ref129681832"/>
      <w:r w:rsidRPr="007D6CE4">
        <w:rPr>
          <w:lang w:val="en-GB" w:eastAsia="zh-CN"/>
        </w:rPr>
        <w:t>Collision Probability</w:t>
      </w:r>
      <w:r w:rsidR="00CF24DF">
        <w:rPr>
          <w:lang w:val="en-GB" w:eastAsia="zh-CN"/>
        </w:rPr>
        <w:t xml:space="preserve"> and resource Utilization</w:t>
      </w:r>
    </w:p>
    <w:p w:rsidR="00CF24DF" w:rsidRPr="00CF24DF" w:rsidRDefault="00CF24DF" w:rsidP="00CF24DF">
      <w:pPr>
        <w:pStyle w:val="2"/>
        <w:rPr>
          <w:lang w:val="en-GB" w:eastAsia="zh-CN"/>
        </w:rPr>
      </w:pPr>
      <w:r w:rsidRPr="007D6CE4">
        <w:rPr>
          <w:lang w:val="en-GB" w:eastAsia="zh-CN"/>
        </w:rPr>
        <w:t>Collision Probability</w:t>
      </w:r>
    </w:p>
    <w:p w:rsidR="009D6599" w:rsidRDefault="009D6599" w:rsidP="009D6599">
      <w:pPr>
        <w:rPr>
          <w:lang w:val="en-GB" w:eastAsia="zh-CN"/>
        </w:rPr>
      </w:pPr>
      <w:r w:rsidRPr="001722AF">
        <w:rPr>
          <w:rFonts w:hint="eastAsia"/>
          <w:lang w:eastAsia="zh-CN"/>
        </w:rPr>
        <w:t xml:space="preserve">For contention-based RACH procedure, if </w:t>
      </w:r>
      <w:r w:rsidRPr="001722AF">
        <w:rPr>
          <w:lang w:eastAsia="zh-CN"/>
        </w:rPr>
        <w:t>more than one</w:t>
      </w:r>
      <w:r w:rsidRPr="001722AF">
        <w:rPr>
          <w:rFonts w:hint="eastAsia"/>
          <w:lang w:eastAsia="zh-CN"/>
        </w:rPr>
        <w:t xml:space="preserve"> UE choose the same preamble,</w:t>
      </w:r>
      <w:r w:rsidRPr="001722AF">
        <w:rPr>
          <w:lang w:eastAsia="zh-CN"/>
        </w:rPr>
        <w:t xml:space="preserve"> collision happens</w:t>
      </w:r>
      <w:r>
        <w:rPr>
          <w:lang w:eastAsia="zh-CN"/>
        </w:rPr>
        <w:t>. In this case</w:t>
      </w:r>
      <w:r w:rsidRPr="001722AF">
        <w:rPr>
          <w:lang w:eastAsia="zh-CN"/>
        </w:rPr>
        <w:t>, gNB can only detect one UE at most and the other UEs will be dropped.</w:t>
      </w:r>
      <w:r>
        <w:rPr>
          <w:lang w:val="en-GB" w:eastAsia="zh-CN"/>
        </w:rPr>
        <w:t xml:space="preserve"> Specifically, the collision probability can be defined as the ratio between the total number of collided preambles and the total number of transmitted preambles within an observation interval. </w:t>
      </w:r>
      <w:r w:rsidRPr="001722AF">
        <w:rPr>
          <w:lang w:eastAsia="zh-CN"/>
        </w:rPr>
        <w:t>In order to</w:t>
      </w:r>
      <w:r>
        <w:rPr>
          <w:lang w:eastAsia="zh-CN"/>
        </w:rPr>
        <w:t xml:space="preserve"> have good access efficiency,</w:t>
      </w:r>
      <w:r w:rsidRPr="001722AF">
        <w:rPr>
          <w:lang w:eastAsia="zh-CN"/>
        </w:rPr>
        <w:t xml:space="preserve"> the collision probability should be</w:t>
      </w:r>
      <w:r>
        <w:rPr>
          <w:lang w:eastAsia="zh-CN"/>
        </w:rPr>
        <w:t xml:space="preserve"> kept</w:t>
      </w:r>
      <w:r w:rsidRPr="001722AF">
        <w:rPr>
          <w:lang w:eastAsia="zh-CN"/>
        </w:rPr>
        <w:t xml:space="preserve"> low.</w:t>
      </w:r>
    </w:p>
    <w:p w:rsidR="009D6599" w:rsidRDefault="009D6599" w:rsidP="009D6599">
      <w:pPr>
        <w:rPr>
          <w:lang w:val="en-GB" w:eastAsia="zh-CN"/>
        </w:rPr>
      </w:pPr>
      <w:r w:rsidRPr="001722AF">
        <w:rPr>
          <w:lang w:eastAsia="zh-CN"/>
        </w:rPr>
        <w:t>Assume</w:t>
      </w:r>
      <w:r>
        <w:rPr>
          <w:lang w:eastAsia="zh-CN"/>
        </w:rPr>
        <w:t xml:space="preserve"> </w:t>
      </w:r>
      <w:r w:rsidRPr="001722AF">
        <w:rPr>
          <w:lang w:eastAsia="zh-CN"/>
        </w:rPr>
        <w:t xml:space="preserve">UE arrival </w:t>
      </w:r>
      <w:r>
        <w:rPr>
          <w:lang w:eastAsia="zh-CN"/>
        </w:rPr>
        <w:t>follows</w:t>
      </w:r>
      <w:r w:rsidRPr="001722AF">
        <w:rPr>
          <w:lang w:eastAsia="zh-CN"/>
        </w:rPr>
        <w:t xml:space="preserve"> Poisson process, each PRACH occasion (RO) has</w:t>
      </w:r>
      <w:r>
        <w:rPr>
          <w:rFonts w:hint="eastAsia"/>
          <w:lang w:eastAsia="zh-CN"/>
        </w:rPr>
        <w:t xml:space="preserve"> </w:t>
      </w:r>
      <m:oMath>
        <m:r>
          <w:rPr>
            <w:rFonts w:ascii="Cambria Math" w:hAnsi="Cambria Math"/>
            <w:lang w:val="en-GB" w:eastAsia="zh-CN"/>
          </w:rPr>
          <m:t>K</m:t>
        </m:r>
      </m:oMath>
      <w:r>
        <w:rPr>
          <w:lang w:val="en-GB" w:eastAsia="zh-CN"/>
        </w:rPr>
        <w:t xml:space="preserve"> </w:t>
      </w:r>
      <w:r w:rsidRPr="001722AF">
        <w:rPr>
          <w:lang w:eastAsia="zh-CN"/>
        </w:rPr>
        <w:t xml:space="preserve">contention-based preambles, and the traffic density is </w:t>
      </w:r>
      <m:oMath>
        <m:r>
          <m:rPr>
            <m:sty m:val="p"/>
          </m:rPr>
          <w:rPr>
            <w:rFonts w:ascii="Cambria Math" w:hAnsi="Cambria Math"/>
            <w:lang w:eastAsia="zh-CN"/>
          </w:rPr>
          <m:t>λ</m:t>
        </m:r>
      </m:oMath>
      <w:r w:rsidR="00505262">
        <w:rPr>
          <w:lang w:eastAsia="zh-CN"/>
        </w:rPr>
        <w:t xml:space="preserve"> </w:t>
      </w:r>
      <w:r w:rsidRPr="001722AF">
        <w:rPr>
          <w:rFonts w:hint="eastAsia"/>
          <w:lang w:eastAsia="zh-CN"/>
        </w:rPr>
        <w:t>UEs/RO</w:t>
      </w:r>
      <w:r>
        <w:rPr>
          <w:lang w:val="en-GB" w:eastAsia="zh-CN"/>
        </w:rPr>
        <w:t xml:space="preserve">, then the collision probability can be expressed as: </w:t>
      </w:r>
      <m:oMath>
        <m:sSub>
          <m:sSubPr>
            <m:ctrlPr>
              <w:rPr>
                <w:rFonts w:ascii="Cambria Math" w:hAnsi="Cambria Math"/>
                <w:i/>
                <w:lang w:val="en-GB" w:eastAsia="zh-CN"/>
              </w:rPr>
            </m:ctrlPr>
          </m:sSubPr>
          <m:e>
            <m:r>
              <w:rPr>
                <w:rFonts w:ascii="Cambria Math" w:hAnsi="Cambria Math"/>
                <w:lang w:val="en-GB"/>
              </w:rPr>
              <m:t>P</m:t>
            </m:r>
          </m:e>
          <m:sub>
            <m:r>
              <w:rPr>
                <w:rFonts w:ascii="Cambria Math" w:hAnsi="Cambria Math"/>
                <w:lang w:val="en-GB"/>
              </w:rPr>
              <m:t>c</m:t>
            </m:r>
          </m:sub>
        </m:sSub>
        <m:r>
          <m:rPr>
            <m:sty m:val="p"/>
          </m:rPr>
          <w:rPr>
            <w:rFonts w:ascii="Cambria Math" w:hAnsi="Cambria Math"/>
            <w:lang w:val="en-GB" w:eastAsia="zh-CN"/>
          </w:rPr>
          <m:t>=1-</m:t>
        </m:r>
        <m:sSup>
          <m:sSupPr>
            <m:ctrlPr>
              <w:rPr>
                <w:rFonts w:ascii="Cambria Math" w:hAnsi="Cambria Math"/>
                <w:lang w:val="en-GB" w:eastAsia="zh-CN"/>
              </w:rPr>
            </m:ctrlPr>
          </m:sSupPr>
          <m:e>
            <m:r>
              <m:rPr>
                <m:sty m:val="p"/>
              </m:rPr>
              <w:rPr>
                <w:rFonts w:ascii="Cambria Math" w:hAnsi="Cambria Math"/>
                <w:lang w:val="en-GB" w:eastAsia="zh-CN"/>
              </w:rPr>
              <m:t>e</m:t>
            </m:r>
          </m:e>
          <m:sup>
            <m:r>
              <w:rPr>
                <w:rFonts w:ascii="Cambria Math" w:hAnsi="Cambria Math"/>
                <w:lang w:val="en-GB" w:eastAsia="zh-CN"/>
              </w:rPr>
              <m:t>-λ/K</m:t>
            </m:r>
          </m:sup>
        </m:sSup>
      </m:oMath>
      <w:r>
        <w:rPr>
          <w:lang w:val="en-GB" w:eastAsia="zh-CN"/>
        </w:rPr>
        <w:t xml:space="preserve"> [</w:t>
      </w:r>
      <w:r w:rsidR="00E278D8">
        <w:rPr>
          <w:lang w:val="en-GB" w:eastAsia="zh-CN"/>
        </w:rPr>
        <w:t>5</w:t>
      </w:r>
      <w:r>
        <w:rPr>
          <w:lang w:val="en-GB" w:eastAsia="zh-CN"/>
        </w:rPr>
        <w:t>]</w:t>
      </w:r>
      <w:r>
        <w:rPr>
          <w:rFonts w:hint="eastAsia"/>
          <w:lang w:val="en-GB" w:eastAsia="zh-CN"/>
        </w:rPr>
        <w:t xml:space="preserve">. </w:t>
      </w:r>
      <w:r>
        <w:rPr>
          <w:lang w:val="en-GB" w:eastAsia="zh-CN"/>
        </w:rPr>
        <w:t xml:space="preserve">If there are multiple preamble groups, and each preamble group is applied for different purpose, e.g., different payload size, then the collision probability can also be expressed with </w:t>
      </w:r>
      <m:oMath>
        <m:sSub>
          <m:sSubPr>
            <m:ctrlPr>
              <w:rPr>
                <w:rFonts w:ascii="Cambria Math" w:hAnsi="Cambria Math"/>
                <w:i/>
                <w:lang w:val="en-GB" w:eastAsia="zh-CN"/>
              </w:rPr>
            </m:ctrlPr>
          </m:sSubPr>
          <m:e>
            <m:r>
              <w:rPr>
                <w:rFonts w:ascii="Cambria Math" w:hAnsi="Cambria Math"/>
                <w:lang w:val="en-GB"/>
              </w:rPr>
              <m:t>P</m:t>
            </m:r>
          </m:e>
          <m:sub>
            <m:r>
              <w:rPr>
                <w:rFonts w:ascii="Cambria Math" w:hAnsi="Cambria Math"/>
                <w:lang w:val="en-GB"/>
              </w:rPr>
              <m:t>c</m:t>
            </m:r>
            <m:r>
              <m:rPr>
                <m:sty m:val="p"/>
              </m:rPr>
              <w:rPr>
                <w:rFonts w:ascii="Cambria Math" w:hAnsi="Cambria Math" w:hint="eastAsia"/>
                <w:lang w:val="en-GB" w:eastAsia="zh-CN"/>
              </w:rPr>
              <m:t>,</m:t>
            </m:r>
            <m:r>
              <w:rPr>
                <w:rFonts w:ascii="Cambria Math" w:hAnsi="Cambria Math"/>
                <w:lang w:val="en-GB" w:eastAsia="zh-CN"/>
              </w:rPr>
              <m:t>n</m:t>
            </m:r>
          </m:sub>
        </m:sSub>
        <m:r>
          <m:rPr>
            <m:sty m:val="p"/>
          </m:rPr>
          <w:rPr>
            <w:rFonts w:ascii="Cambria Math" w:hAnsi="Cambria Math"/>
            <w:lang w:val="en-GB" w:eastAsia="zh-CN"/>
          </w:rPr>
          <m:t>=1-</m:t>
        </m:r>
        <m:sSup>
          <m:sSupPr>
            <m:ctrlPr>
              <w:rPr>
                <w:rFonts w:ascii="Cambria Math" w:hAnsi="Cambria Math"/>
                <w:lang w:val="en-GB" w:eastAsia="zh-CN"/>
              </w:rPr>
            </m:ctrlPr>
          </m:sSupPr>
          <m:e>
            <m:r>
              <m:rPr>
                <m:sty m:val="p"/>
              </m:rPr>
              <w:rPr>
                <w:rFonts w:ascii="Cambria Math" w:hAnsi="Cambria Math"/>
                <w:lang w:val="en-GB" w:eastAsia="zh-CN"/>
              </w:rPr>
              <m:t>e</m:t>
            </m:r>
          </m:e>
          <m:sup>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λ</m:t>
                </m:r>
              </m:e>
              <m:sub>
                <m:r>
                  <w:rPr>
                    <w:rFonts w:ascii="Cambria Math" w:hAnsi="Cambria Math"/>
                    <w:lang w:val="en-GB" w:eastAsia="zh-CN"/>
                  </w:rPr>
                  <m:t>n</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n</m:t>
                </m:r>
              </m:sub>
            </m:sSub>
          </m:sup>
        </m:sSup>
      </m:oMath>
      <w:r>
        <w:rPr>
          <w:lang w:val="en-GB" w:eastAsia="zh-CN"/>
        </w:rPr>
        <w:t xml:space="preserve"> with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n</m:t>
            </m:r>
          </m:sub>
        </m:sSub>
      </m:oMath>
      <w:r>
        <w:rPr>
          <w:rFonts w:hint="eastAsia"/>
          <w:lang w:val="en-GB" w:eastAsia="zh-CN"/>
        </w:rPr>
        <w:t xml:space="preserve"> representing </w:t>
      </w:r>
      <w:r>
        <w:rPr>
          <w:lang w:val="en-GB" w:eastAsia="zh-CN"/>
        </w:rPr>
        <w:t xml:space="preserve">the number of preambles for the target group </w:t>
      </w:r>
      <m:oMath>
        <m:r>
          <w:rPr>
            <w:rFonts w:ascii="Cambria Math" w:hAnsi="Cambria Math"/>
            <w:lang w:val="en-GB" w:eastAsia="zh-CN"/>
          </w:rPr>
          <m:t>n</m:t>
        </m:r>
      </m:oMath>
      <w:r>
        <w:rPr>
          <w:rFonts w:hint="eastAsia"/>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λ</m:t>
            </m:r>
          </m:e>
          <m:sub>
            <m:r>
              <w:rPr>
                <w:rFonts w:ascii="Cambria Math" w:hAnsi="Cambria Math"/>
                <w:lang w:val="en-GB" w:eastAsia="zh-CN"/>
              </w:rPr>
              <m:t>n</m:t>
            </m:r>
          </m:sub>
        </m:sSub>
        <m:r>
          <w:rPr>
            <w:rFonts w:ascii="Cambria Math" w:hAnsi="Cambria Math"/>
            <w:lang w:val="en-GB" w:eastAsia="zh-CN"/>
          </w:rPr>
          <m:t xml:space="preserve"> </m:t>
        </m:r>
      </m:oMath>
      <w:r>
        <w:rPr>
          <w:rFonts w:hint="eastAsia"/>
          <w:lang w:val="en-GB" w:eastAsia="zh-CN"/>
        </w:rPr>
        <w:t>representing the traffic density of the target group</w:t>
      </w:r>
      <w:r>
        <w:rPr>
          <w:lang w:val="en-GB" w:eastAsia="zh-CN"/>
        </w:rPr>
        <w:t>. Assume the number of preamble groups is</w:t>
      </w:r>
      <m:oMath>
        <m:r>
          <m:rPr>
            <m:sty m:val="p"/>
          </m:rPr>
          <w:rPr>
            <w:rFonts w:ascii="Cambria Math" w:hAnsi="Cambria Math"/>
            <w:lang w:eastAsia="zh-CN"/>
          </w:rPr>
          <m:t xml:space="preserve"> </m:t>
        </m:r>
        <m:r>
          <w:rPr>
            <w:rFonts w:ascii="Cambria Math" w:hAnsi="Cambria Math"/>
            <w:lang w:eastAsia="zh-CN"/>
          </w:rPr>
          <m:t>N</m:t>
        </m:r>
      </m:oMath>
      <w:r>
        <w:rPr>
          <w:lang w:eastAsia="zh-CN"/>
        </w:rPr>
        <w:t xml:space="preserve"> and each preamble group has the same number of </w:t>
      </w:r>
      <w:r>
        <w:rPr>
          <w:rFonts w:hint="eastAsia"/>
          <w:lang w:eastAsia="zh-CN"/>
        </w:rPr>
        <w:t>preambles</w:t>
      </w:r>
      <w:r>
        <w:rPr>
          <w:lang w:eastAsia="zh-CN"/>
        </w:rPr>
        <w:t xml:space="preserve">, i.e.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n</m:t>
            </m:r>
          </m:sub>
        </m:sSub>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K</m:t>
            </m:r>
          </m:num>
          <m:den>
            <m:r>
              <w:rPr>
                <w:rFonts w:ascii="Cambria Math" w:hAnsi="Cambria Math"/>
                <w:lang w:val="en-GB" w:eastAsia="zh-CN"/>
              </w:rPr>
              <m:t>N</m:t>
            </m:r>
          </m:den>
        </m:f>
        <m:r>
          <w:rPr>
            <w:rFonts w:ascii="Cambria Math" w:hAnsi="Cambria Math"/>
            <w:lang w:val="en-GB" w:eastAsia="zh-CN"/>
          </w:rPr>
          <m:t>, n=1,…, N</m:t>
        </m:r>
      </m:oMath>
      <w:r>
        <w:rPr>
          <w:lang w:eastAsia="zh-CN"/>
        </w:rPr>
        <w:t xml:space="preserve">, and for the </w:t>
      </w:r>
      <m:oMath>
        <m:sSup>
          <m:sSupPr>
            <m:ctrlPr>
              <w:rPr>
                <w:rFonts w:ascii="Cambria Math" w:hAnsi="Cambria Math"/>
                <w:lang w:eastAsia="zh-CN"/>
              </w:rPr>
            </m:ctrlPr>
          </m:sSupPr>
          <m:e>
            <m:r>
              <m:rPr>
                <m:sty m:val="p"/>
              </m:rPr>
              <w:rPr>
                <w:rFonts w:ascii="Cambria Math" w:hAnsi="Cambria Math"/>
                <w:lang w:eastAsia="zh-CN"/>
              </w:rPr>
              <m:t>n</m:t>
            </m:r>
          </m:e>
          <m:sup>
            <m:r>
              <w:rPr>
                <w:rFonts w:ascii="Cambria Math" w:hAnsi="Cambria Math"/>
                <w:lang w:eastAsia="zh-CN"/>
              </w:rPr>
              <m:t>th</m:t>
            </m:r>
          </m:sup>
        </m:sSup>
      </m:oMath>
      <w:r>
        <w:rPr>
          <w:rFonts w:hint="eastAsia"/>
          <w:lang w:eastAsia="zh-CN"/>
        </w:rPr>
        <w:t xml:space="preserve"> group, the arrival rate is </w:t>
      </w:r>
      <m:oMath>
        <m:sSub>
          <m:sSubPr>
            <m:ctrlPr>
              <w:rPr>
                <w:rFonts w:ascii="Cambria Math" w:hAnsi="Cambria Math"/>
                <w:i/>
                <w:lang w:val="en-GB" w:eastAsia="zh-CN"/>
              </w:rPr>
            </m:ctrlPr>
          </m:sSubPr>
          <m:e>
            <m:r>
              <w:rPr>
                <w:rFonts w:ascii="Cambria Math" w:hAnsi="Cambria Math"/>
                <w:lang w:val="en-GB" w:eastAsia="zh-CN"/>
              </w:rPr>
              <m:t>λ</m:t>
            </m:r>
          </m:e>
          <m:sub>
            <m:r>
              <w:rPr>
                <w:rFonts w:ascii="Cambria Math" w:hAnsi="Cambria Math"/>
                <w:lang w:val="en-GB" w:eastAsia="zh-CN"/>
              </w:rPr>
              <m:t>n</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n</m:t>
            </m:r>
          </m:sub>
        </m:sSub>
        <m:r>
          <w:rPr>
            <w:rFonts w:ascii="Cambria Math" w:hAnsi="Cambria Math"/>
            <w:lang w:val="en-GB" w:eastAsia="zh-CN"/>
          </w:rPr>
          <m:t>λ</m:t>
        </m:r>
      </m:oMath>
      <w:r>
        <w:rPr>
          <w:rFonts w:hint="eastAsia"/>
          <w:lang w:val="en-GB" w:eastAsia="zh-CN"/>
        </w:rPr>
        <w:t xml:space="preserve">, and </w:t>
      </w:r>
      <m:oMath>
        <m:nary>
          <m:naryPr>
            <m:chr m:val="∑"/>
            <m:limLoc m:val="subSup"/>
            <m:supHide m:val="1"/>
            <m:ctrlPr>
              <w:rPr>
                <w:rFonts w:ascii="Cambria Math" w:hAnsi="Cambria Math"/>
                <w:lang w:val="en-GB" w:eastAsia="zh-CN"/>
              </w:rPr>
            </m:ctrlPr>
          </m:naryPr>
          <m:sub>
            <m:r>
              <w:rPr>
                <w:rFonts w:ascii="Cambria Math" w:hAnsi="Cambria Math"/>
                <w:lang w:val="en-GB" w:eastAsia="zh-CN"/>
              </w:rPr>
              <m:t>n</m:t>
            </m:r>
          </m:sub>
          <m:sup/>
          <m:e>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n</m:t>
                </m:r>
              </m:sub>
            </m:sSub>
          </m:e>
        </m:nary>
        <m:r>
          <m:rPr>
            <m:sty m:val="p"/>
          </m:rPr>
          <w:rPr>
            <w:rFonts w:ascii="Cambria Math" w:hAnsi="Cambria Math"/>
            <w:lang w:val="en-GB" w:eastAsia="zh-CN"/>
          </w:rPr>
          <m:t>=1, n=1,…, N</m:t>
        </m:r>
      </m:oMath>
      <w:r>
        <w:rPr>
          <w:rFonts w:hint="eastAsia"/>
          <w:lang w:val="en-GB" w:eastAsia="zh-CN"/>
        </w:rPr>
        <w:t>.</w:t>
      </w:r>
      <w:r>
        <w:rPr>
          <w:lang w:val="en-GB" w:eastAsia="zh-CN"/>
        </w:rPr>
        <w:t xml:space="preserve"> In the following, we give some preliminary collision probability analysis and the impact of </w:t>
      </w:r>
      <m:oMath>
        <m:r>
          <w:rPr>
            <w:rFonts w:ascii="Cambria Math" w:hAnsi="Cambria Math"/>
            <w:lang w:val="en-GB" w:eastAsia="zh-CN"/>
          </w:rPr>
          <m:t>K</m:t>
        </m:r>
      </m:oMath>
      <w:r>
        <w:rPr>
          <w:rFonts w:hint="eastAsia"/>
          <w:lang w:val="en-GB" w:eastAsia="zh-CN"/>
        </w:rPr>
        <w:t xml:space="preserve">, </w:t>
      </w:r>
      <m:oMath>
        <m:r>
          <m:rPr>
            <m:sty m:val="p"/>
          </m:rPr>
          <w:rPr>
            <w:rFonts w:ascii="Cambria Math" w:hAnsi="Cambria Math"/>
            <w:lang w:val="en-GB" w:eastAsia="zh-CN"/>
          </w:rPr>
          <m:t>N</m:t>
        </m:r>
      </m:oMath>
      <w:r>
        <w:rPr>
          <w:rFonts w:hint="eastAsia"/>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n</m:t>
            </m:r>
          </m:sub>
        </m:sSub>
        <m:r>
          <w:rPr>
            <w:rFonts w:ascii="Cambria Math" w:hAnsi="Cambria Math"/>
            <w:lang w:val="en-GB" w:eastAsia="zh-CN"/>
          </w:rPr>
          <m:t>.</m:t>
        </m:r>
      </m:oMath>
      <w:r>
        <w:rPr>
          <w:rFonts w:hint="eastAsia"/>
          <w:lang w:val="en-GB" w:eastAsia="zh-CN"/>
        </w:rPr>
        <w:t xml:space="preserve"> </w:t>
      </w:r>
    </w:p>
    <w:p w:rsidR="00854452" w:rsidRDefault="009D6599" w:rsidP="009D6599">
      <w:pPr>
        <w:rPr>
          <w:lang w:val="en-GB" w:eastAsia="zh-CN"/>
        </w:rPr>
      </w:pPr>
      <w:r>
        <w:rPr>
          <w:lang w:val="en-GB" w:eastAsia="zh-CN"/>
        </w:rPr>
        <w:t>I</w:t>
      </w:r>
      <w:r>
        <w:rPr>
          <w:rFonts w:hint="eastAsia"/>
          <w:lang w:val="en-GB" w:eastAsia="zh-CN"/>
        </w:rPr>
        <w:t xml:space="preserve">n Figure </w:t>
      </w:r>
      <w:r>
        <w:rPr>
          <w:lang w:val="en-GB" w:eastAsia="zh-CN"/>
        </w:rPr>
        <w:t xml:space="preserve">1, we assume </w:t>
      </w:r>
      <m:oMath>
        <m:r>
          <w:rPr>
            <w:rFonts w:ascii="Cambria Math" w:hAnsi="Cambria Math"/>
            <w:lang w:val="en-GB" w:eastAsia="zh-CN"/>
          </w:rPr>
          <m:t>K=64</m:t>
        </m:r>
      </m:oMath>
      <w:r>
        <w:rPr>
          <w:lang w:val="en-GB" w:eastAsia="zh-CN"/>
        </w:rPr>
        <w:t xml:space="preserve"> and </w:t>
      </w:r>
      <m:oMath>
        <m:r>
          <w:rPr>
            <w:rFonts w:ascii="Cambria Math" w:hAnsi="Cambria Math"/>
            <w:lang w:val="en-GB" w:eastAsia="zh-CN"/>
          </w:rPr>
          <m:t>N=2 or 4</m:t>
        </m:r>
      </m:oMath>
      <w:r>
        <w:rPr>
          <w:rFonts w:hint="eastAsia"/>
          <w:lang w:val="en-GB" w:eastAsia="zh-CN"/>
        </w:rPr>
        <w:t xml:space="preserve">, and different </w:t>
      </w:r>
      <m:oMath>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n</m:t>
            </m:r>
          </m:sub>
        </m:sSub>
      </m:oMath>
      <w:r>
        <w:rPr>
          <w:rFonts w:hint="eastAsia"/>
          <w:lang w:val="en-GB" w:eastAsia="zh-CN"/>
        </w:rPr>
        <w:t xml:space="preserve"> for each group (but only one group is shown)</w:t>
      </w:r>
      <w:r>
        <w:rPr>
          <w:lang w:val="en-GB" w:eastAsia="zh-CN"/>
        </w:rPr>
        <w:t>. As can be observed from the figure, the collision probability increases with the traffic density</w:t>
      </w:r>
      <w:r>
        <w:rPr>
          <w:rFonts w:hint="eastAsia"/>
          <w:lang w:eastAsia="zh-CN"/>
        </w:rPr>
        <w:t>,</w:t>
      </w:r>
      <w:r>
        <w:rPr>
          <w:lang w:eastAsia="zh-CN"/>
        </w:rPr>
        <w:t xml:space="preserve"> and the larger the traffic density (observed from larger </w:t>
      </w:r>
      <m:oMath>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n</m:t>
            </m:r>
          </m:sub>
        </m:sSub>
      </m:oMath>
      <w:r>
        <w:rPr>
          <w:rFonts w:hint="eastAsia"/>
          <w:lang w:val="en-GB" w:eastAsia="zh-CN"/>
        </w:rPr>
        <w:t>), the larger the collision probability.</w:t>
      </w:r>
      <w:r>
        <w:rPr>
          <w:lang w:val="en-GB" w:eastAsia="zh-CN"/>
        </w:rPr>
        <w:t xml:space="preserve"> Moreover, comparing between the figures with </w:t>
      </w:r>
      <m:oMath>
        <m:r>
          <w:rPr>
            <w:rFonts w:ascii="Cambria Math" w:hAnsi="Cambria Math"/>
            <w:lang w:val="en-GB" w:eastAsia="zh-CN"/>
          </w:rPr>
          <m:t>N=2</m:t>
        </m:r>
      </m:oMath>
      <w:r>
        <w:rPr>
          <w:rFonts w:hint="eastAsia"/>
          <w:lang w:val="en-GB" w:eastAsia="zh-CN"/>
        </w:rPr>
        <w:t xml:space="preserve"> and </w:t>
      </w:r>
      <m:oMath>
        <m:r>
          <w:rPr>
            <w:rFonts w:ascii="Cambria Math" w:hAnsi="Cambria Math"/>
            <w:lang w:val="en-GB" w:eastAsia="zh-CN"/>
          </w:rPr>
          <m:t>N=4</m:t>
        </m:r>
      </m:oMath>
      <w:r>
        <w:rPr>
          <w:rFonts w:hint="eastAsia"/>
          <w:lang w:val="en-GB" w:eastAsia="zh-CN"/>
        </w:rPr>
        <w:t xml:space="preserve">, with the same traffic density for a given group, the collision </w:t>
      </w:r>
      <w:r>
        <w:rPr>
          <w:lang w:val="en-GB" w:eastAsia="zh-CN"/>
        </w:rPr>
        <w:t>probability</w:t>
      </w:r>
      <w:r>
        <w:rPr>
          <w:rFonts w:hint="eastAsia"/>
          <w:lang w:val="en-GB" w:eastAsia="zh-CN"/>
        </w:rPr>
        <w:t xml:space="preserve"> </w:t>
      </w:r>
      <w:r>
        <w:rPr>
          <w:lang w:val="en-GB" w:eastAsia="zh-CN"/>
        </w:rPr>
        <w:t xml:space="preserve">is much higher in the case of </w:t>
      </w:r>
      <m:oMath>
        <m:r>
          <w:rPr>
            <w:rFonts w:ascii="Cambria Math" w:hAnsi="Cambria Math"/>
            <w:lang w:val="en-GB" w:eastAsia="zh-CN"/>
          </w:rPr>
          <m:t>N=4</m:t>
        </m:r>
      </m:oMath>
      <w:r>
        <w:rPr>
          <w:rFonts w:hint="eastAsia"/>
          <w:lang w:val="en-GB" w:eastAsia="zh-CN"/>
        </w:rPr>
        <w:t xml:space="preserve"> than that of </w:t>
      </w:r>
      <m:oMath>
        <m:r>
          <w:rPr>
            <w:rFonts w:ascii="Cambria Math" w:hAnsi="Cambria Math"/>
            <w:lang w:val="en-GB" w:eastAsia="zh-CN"/>
          </w:rPr>
          <m:t>N=2</m:t>
        </m:r>
      </m:oMath>
      <w:r>
        <w:rPr>
          <w:rFonts w:hint="eastAsia"/>
          <w:lang w:val="en-GB" w:eastAsia="zh-CN"/>
        </w:rPr>
        <w:t>, e.g</w:t>
      </w:r>
      <w:r>
        <w:rPr>
          <w:lang w:val="en-GB" w:eastAsia="zh-CN"/>
        </w:rPr>
        <w:t>.</w:t>
      </w:r>
      <w:r>
        <w:rPr>
          <w:rFonts w:hint="eastAsia"/>
          <w:lang w:val="en-GB" w:eastAsia="zh-CN"/>
        </w:rPr>
        <w:t xml:space="preserve">, </w:t>
      </w:r>
      <w:r>
        <w:rPr>
          <w:lang w:val="en-GB" w:eastAsia="zh-CN"/>
        </w:rPr>
        <w:t xml:space="preserve">for </w:t>
      </w:r>
      <m:oMath>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n</m:t>
            </m:r>
          </m:sub>
        </m:sSub>
        <m:r>
          <w:rPr>
            <w:rFonts w:ascii="Cambria Math" w:hAnsi="Cambria Math"/>
            <w:lang w:val="en-GB" w:eastAsia="zh-CN"/>
          </w:rPr>
          <m:t>=0.6</m:t>
        </m:r>
      </m:oMath>
      <w:r>
        <w:rPr>
          <w:rFonts w:hint="eastAsia"/>
          <w:lang w:val="en-GB" w:eastAsia="zh-CN"/>
        </w:rPr>
        <w:t>,</w:t>
      </w:r>
      <w:r>
        <w:rPr>
          <w:lang w:val="en-GB" w:eastAsia="zh-CN"/>
        </w:rPr>
        <w:t xml:space="preserve"> the </w:t>
      </w:r>
      <w:r>
        <w:rPr>
          <w:rFonts w:hint="eastAsia"/>
          <w:lang w:val="en-GB" w:eastAsia="zh-CN"/>
        </w:rPr>
        <w:t xml:space="preserve">collision probability is </w:t>
      </w:r>
      <w:r>
        <w:rPr>
          <w:lang w:val="en-GB" w:eastAsia="zh-CN"/>
        </w:rPr>
        <w:t xml:space="preserve">less than 0.01 for </w:t>
      </w:r>
      <m:oMath>
        <m:r>
          <w:rPr>
            <w:rFonts w:ascii="Cambria Math" w:hAnsi="Cambria Math"/>
            <w:lang w:val="en-GB" w:eastAsia="zh-CN"/>
          </w:rPr>
          <m:t>N=2</m:t>
        </m:r>
      </m:oMath>
      <w:r>
        <w:rPr>
          <w:rFonts w:hint="eastAsia"/>
          <w:lang w:val="en-GB" w:eastAsia="zh-CN"/>
        </w:rPr>
        <w:t xml:space="preserve"> and </w:t>
      </w:r>
      <w:r>
        <w:rPr>
          <w:lang w:val="en-GB" w:eastAsia="zh-CN"/>
        </w:rPr>
        <w:t xml:space="preserve">about doubled to 0.02 in the case of </w:t>
      </w:r>
      <m:oMath>
        <m:r>
          <w:rPr>
            <w:rFonts w:ascii="Cambria Math" w:hAnsi="Cambria Math"/>
            <w:lang w:val="en-GB" w:eastAsia="zh-CN"/>
          </w:rPr>
          <m:t>N=4</m:t>
        </m:r>
      </m:oMath>
      <w:r>
        <w:rPr>
          <w:rFonts w:hint="eastAsia"/>
          <w:lang w:val="en-GB" w:eastAsia="zh-CN"/>
        </w:rPr>
        <w:t>.</w:t>
      </w:r>
      <w:r w:rsidR="00446703">
        <w:rPr>
          <w:lang w:val="en-GB" w:eastAsia="zh-CN"/>
        </w:rPr>
        <w:t xml:space="preserve"> </w:t>
      </w:r>
    </w:p>
    <w:tbl>
      <w:tblPr>
        <w:tblW w:w="0" w:type="auto"/>
        <w:tblLook w:val="04A0" w:firstRow="1" w:lastRow="0" w:firstColumn="1" w:lastColumn="0" w:noHBand="0" w:noVBand="1"/>
      </w:tblPr>
      <w:tblGrid>
        <w:gridCol w:w="4658"/>
        <w:gridCol w:w="4659"/>
      </w:tblGrid>
      <w:tr w:rsidR="00C41B6C" w:rsidRPr="001722AF" w:rsidTr="001722AF">
        <w:tc>
          <w:tcPr>
            <w:tcW w:w="4653" w:type="dxa"/>
            <w:shd w:val="clear" w:color="auto" w:fill="auto"/>
          </w:tcPr>
          <w:p w:rsidR="00446703" w:rsidRPr="001722AF" w:rsidRDefault="00C41B6C" w:rsidP="001722AF">
            <w:pPr>
              <w:widowControl w:val="0"/>
              <w:jc w:val="center"/>
              <w:rPr>
                <w:lang w:val="en-GB" w:eastAsia="zh-CN"/>
              </w:rPr>
            </w:pPr>
            <w:r w:rsidRPr="00123BB5">
              <w:rPr>
                <w:noProof/>
                <w:lang w:eastAsia="zh-CN"/>
              </w:rPr>
              <w:drawing>
                <wp:inline distT="0" distB="0" distL="0" distR="0">
                  <wp:extent cx="2830830" cy="2121535"/>
                  <wp:effectExtent l="0" t="0" r="0" b="0"/>
                  <wp:docPr id="3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30830" cy="2121535"/>
                          </a:xfrm>
                          <a:prstGeom prst="rect">
                            <a:avLst/>
                          </a:prstGeom>
                          <a:noFill/>
                          <a:ln>
                            <a:noFill/>
                          </a:ln>
                        </pic:spPr>
                      </pic:pic>
                    </a:graphicData>
                  </a:graphic>
                </wp:inline>
              </w:drawing>
            </w:r>
          </w:p>
        </w:tc>
        <w:tc>
          <w:tcPr>
            <w:tcW w:w="4654" w:type="dxa"/>
            <w:shd w:val="clear" w:color="auto" w:fill="auto"/>
          </w:tcPr>
          <w:p w:rsidR="00446703" w:rsidRPr="001722AF" w:rsidRDefault="00C41B6C" w:rsidP="001722AF">
            <w:pPr>
              <w:widowControl w:val="0"/>
              <w:jc w:val="center"/>
              <w:rPr>
                <w:lang w:val="en-GB" w:eastAsia="zh-CN"/>
              </w:rPr>
            </w:pPr>
            <w:r w:rsidRPr="00123BB5">
              <w:rPr>
                <w:noProof/>
                <w:lang w:eastAsia="zh-CN"/>
              </w:rPr>
              <w:drawing>
                <wp:inline distT="0" distB="0" distL="0" distR="0">
                  <wp:extent cx="2830830" cy="2121535"/>
                  <wp:effectExtent l="0" t="0" r="0" b="0"/>
                  <wp:docPr id="3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30830" cy="2121535"/>
                          </a:xfrm>
                          <a:prstGeom prst="rect">
                            <a:avLst/>
                          </a:prstGeom>
                          <a:noFill/>
                          <a:ln>
                            <a:noFill/>
                          </a:ln>
                        </pic:spPr>
                      </pic:pic>
                    </a:graphicData>
                  </a:graphic>
                </wp:inline>
              </w:drawing>
            </w:r>
          </w:p>
        </w:tc>
      </w:tr>
      <w:tr w:rsidR="00C41B6C" w:rsidRPr="001722AF" w:rsidTr="001722AF">
        <w:tc>
          <w:tcPr>
            <w:tcW w:w="4653" w:type="dxa"/>
            <w:shd w:val="clear" w:color="auto" w:fill="auto"/>
          </w:tcPr>
          <w:p w:rsidR="00446703" w:rsidRPr="001722AF" w:rsidRDefault="00446703" w:rsidP="001722AF">
            <w:pPr>
              <w:widowControl w:val="0"/>
              <w:jc w:val="center"/>
              <w:rPr>
                <w:lang w:val="en-GB" w:eastAsia="zh-CN"/>
              </w:rPr>
            </w:pPr>
            <w:r w:rsidRPr="001722AF">
              <w:rPr>
                <w:rFonts w:hint="eastAsia"/>
                <w:lang w:val="en-GB" w:eastAsia="zh-CN"/>
              </w:rPr>
              <w:t xml:space="preserve">(a). </w:t>
            </w:r>
            <m:oMath>
              <m:r>
                <w:rPr>
                  <w:rFonts w:ascii="Cambria Math" w:hAnsi="Cambria Math"/>
                  <w:lang w:eastAsia="zh-CN"/>
                </w:rPr>
                <m:t>N=2</m:t>
              </m:r>
            </m:oMath>
          </w:p>
        </w:tc>
        <w:tc>
          <w:tcPr>
            <w:tcW w:w="4654" w:type="dxa"/>
            <w:shd w:val="clear" w:color="auto" w:fill="auto"/>
          </w:tcPr>
          <w:p w:rsidR="00446703" w:rsidRPr="001722AF" w:rsidRDefault="00446703" w:rsidP="001722AF">
            <w:pPr>
              <w:widowControl w:val="0"/>
              <w:jc w:val="center"/>
              <w:rPr>
                <w:lang w:val="en-GB" w:eastAsia="zh-CN"/>
              </w:rPr>
            </w:pPr>
            <w:r w:rsidRPr="001722AF">
              <w:rPr>
                <w:rFonts w:hint="eastAsia"/>
                <w:lang w:val="en-GB" w:eastAsia="zh-CN"/>
              </w:rPr>
              <w:t xml:space="preserve">(a). </w:t>
            </w:r>
            <m:oMath>
              <m:r>
                <w:rPr>
                  <w:rFonts w:ascii="Cambria Math" w:hAnsi="Cambria Math"/>
                  <w:lang w:eastAsia="zh-CN"/>
                </w:rPr>
                <m:t>N=4</m:t>
              </m:r>
            </m:oMath>
          </w:p>
        </w:tc>
      </w:tr>
    </w:tbl>
    <w:p w:rsidR="009F2C76" w:rsidRDefault="009F2C76" w:rsidP="00C550E2">
      <w:pPr>
        <w:pStyle w:val="a5"/>
        <w:rPr>
          <w:lang w:eastAsia="zh-CN"/>
        </w:rPr>
      </w:pPr>
      <w:r>
        <w:t xml:space="preserve">Figure </w:t>
      </w:r>
      <w:r w:rsidR="006E7C09">
        <w:rPr>
          <w:noProof/>
        </w:rPr>
        <w:fldChar w:fldCharType="begin"/>
      </w:r>
      <w:r w:rsidR="006E7C09">
        <w:rPr>
          <w:noProof/>
        </w:rPr>
        <w:instrText xml:space="preserve"> SEQ Figure \* ARABIC </w:instrText>
      </w:r>
      <w:r w:rsidR="006E7C09">
        <w:rPr>
          <w:noProof/>
        </w:rPr>
        <w:fldChar w:fldCharType="separate"/>
      </w:r>
      <w:r>
        <w:rPr>
          <w:noProof/>
        </w:rPr>
        <w:t>1</w:t>
      </w:r>
      <w:r w:rsidR="006E7C09">
        <w:rPr>
          <w:noProof/>
        </w:rPr>
        <w:fldChar w:fldCharType="end"/>
      </w:r>
      <w:r>
        <w:rPr>
          <w:rFonts w:hint="eastAsia"/>
          <w:lang w:eastAsia="zh-CN"/>
        </w:rPr>
        <w:t>.</w:t>
      </w:r>
      <w:r>
        <w:rPr>
          <w:lang w:eastAsia="zh-CN"/>
        </w:rPr>
        <w:t xml:space="preserve"> Collision probability for </w:t>
      </w:r>
      <w:r w:rsidR="0082694B">
        <w:rPr>
          <w:lang w:eastAsia="zh-CN"/>
        </w:rPr>
        <w:t>multiple preamble groups</w:t>
      </w:r>
    </w:p>
    <w:p w:rsidR="00854452" w:rsidRDefault="00993E2E" w:rsidP="00854452">
      <w:pPr>
        <w:rPr>
          <w:rFonts w:eastAsia="MS Mincho"/>
          <w:i/>
          <w:lang w:eastAsia="ja-JP"/>
        </w:rPr>
      </w:pPr>
      <w:r w:rsidRPr="00D7613B">
        <w:rPr>
          <w:rFonts w:eastAsia="MS Mincho"/>
          <w:b/>
          <w:i/>
          <w:lang w:eastAsia="ja-JP"/>
        </w:rPr>
        <w:t xml:space="preserve">Observation </w:t>
      </w:r>
      <w:r w:rsidR="006B6A3C">
        <w:rPr>
          <w:rFonts w:eastAsia="MS Mincho"/>
          <w:b/>
          <w:i/>
          <w:lang w:eastAsia="ja-JP"/>
        </w:rPr>
        <w:t>3</w:t>
      </w:r>
      <w:r w:rsidRPr="003F6C21">
        <w:rPr>
          <w:rFonts w:eastAsia="MS Mincho"/>
          <w:i/>
          <w:lang w:eastAsia="ja-JP"/>
        </w:rPr>
        <w:t>:</w:t>
      </w:r>
      <w:r>
        <w:rPr>
          <w:rFonts w:eastAsia="MS Mincho"/>
          <w:i/>
          <w:lang w:eastAsia="ja-JP"/>
        </w:rPr>
        <w:t xml:space="preserve"> For the case with multiple preamble groups, the collision probability increases if the traffic load with respect to the available PRACH resource is not matched.</w:t>
      </w:r>
    </w:p>
    <w:p w:rsidR="001B3E2E" w:rsidRPr="007009A9" w:rsidRDefault="001B3E2E" w:rsidP="001B3E2E">
      <w:pPr>
        <w:rPr>
          <w:rFonts w:eastAsiaTheme="minorEastAsia"/>
          <w:lang w:eastAsia="zh-CN"/>
        </w:rPr>
      </w:pPr>
      <w:r w:rsidRPr="007009A9">
        <w:rPr>
          <w:rFonts w:eastAsiaTheme="minorEastAsia"/>
          <w:lang w:eastAsia="zh-CN"/>
        </w:rPr>
        <w:t>Regarding the dimensioning for 2-step RACH, coll</w:t>
      </w:r>
      <w:r>
        <w:rPr>
          <w:rFonts w:eastAsiaTheme="minorEastAsia"/>
          <w:lang w:eastAsia="zh-CN"/>
        </w:rPr>
        <w:t xml:space="preserve">ision probability </w:t>
      </w:r>
      <w:r w:rsidRPr="007009A9">
        <w:rPr>
          <w:rFonts w:eastAsiaTheme="minorEastAsia"/>
          <w:lang w:eastAsia="zh-CN"/>
        </w:rPr>
        <w:t xml:space="preserve">should be low enough to guarantee the BLER performance would not have error floor. Assume the UE activity pattern follows a Poisson process, each PRACH occasion (RO) has 64 contention-based preambles all for 2-step RACH transmission, and the traffic density </w:t>
      </w:r>
      <m:oMath>
        <m:r>
          <m:rPr>
            <m:sty m:val="p"/>
          </m:rPr>
          <w:rPr>
            <w:rFonts w:ascii="Cambria Math" w:hAnsi="Cambria Math"/>
            <w:lang w:eastAsia="zh-CN"/>
          </w:rPr>
          <m:t>λ</m:t>
        </m:r>
      </m:oMath>
      <w:r w:rsidRPr="007009A9">
        <w:rPr>
          <w:rFonts w:eastAsiaTheme="minorEastAsia"/>
          <w:lang w:eastAsia="zh-CN"/>
        </w:rPr>
        <w:t xml:space="preserve"> is defined as UEs/RO, then the collision probability can be approximated as </w:t>
      </w:r>
      <m:oMath>
        <m:sSup>
          <m:sSupPr>
            <m:ctrlPr>
              <w:rPr>
                <w:rFonts w:ascii="Cambria Math" w:eastAsiaTheme="minorEastAsia" w:hAnsi="Cambria Math"/>
                <w:lang w:eastAsia="zh-CN"/>
              </w:rPr>
            </m:ctrlPr>
          </m:sSupPr>
          <m:e>
            <m:r>
              <m:rPr>
                <m:sty m:val="p"/>
              </m:rPr>
              <w:rPr>
                <w:rFonts w:ascii="Cambria Math" w:hAnsi="Cambria Math"/>
              </w:rPr>
              <m:t>1-e</m:t>
            </m:r>
          </m:e>
          <m:sup>
            <m:r>
              <m:rPr>
                <m:sty m:val="p"/>
              </m:rPr>
              <w:rPr>
                <w:rFonts w:ascii="Cambria Math" w:hAnsi="Cambria Math"/>
              </w:rPr>
              <m:t>-λ/64</m:t>
            </m:r>
          </m:sup>
        </m:sSup>
      </m:oMath>
      <w:r w:rsidRPr="007009A9">
        <w:rPr>
          <w:rFonts w:eastAsiaTheme="minorEastAsia"/>
          <w:lang w:eastAsia="zh-CN"/>
        </w:rPr>
        <w:t xml:space="preserve"> if the traffic load is not very high. It can be simply verified that when the collision probability is requested to be less than 1%, the </w:t>
      </w:r>
      <w:r w:rsidR="00154721">
        <w:rPr>
          <w:rFonts w:eastAsiaTheme="minorEastAsia"/>
          <w:lang w:eastAsia="zh-CN"/>
        </w:rPr>
        <w:t xml:space="preserve">average </w:t>
      </w:r>
      <w:r w:rsidRPr="007009A9">
        <w:rPr>
          <w:rFonts w:eastAsiaTheme="minorEastAsia"/>
          <w:lang w:eastAsia="zh-CN"/>
        </w:rPr>
        <w:t xml:space="preserve">traffic load should be no larger than 0.643 UEs/RO. This means in the realistic deployment scenarios, the number of UEs simultaneously transmitting </w:t>
      </w:r>
      <w:r>
        <w:rPr>
          <w:rFonts w:eastAsiaTheme="minorEastAsia"/>
          <w:lang w:eastAsia="zh-CN"/>
        </w:rPr>
        <w:t>on the same RO should be small.</w:t>
      </w:r>
    </w:p>
    <w:p w:rsidR="001B3E2E" w:rsidRDefault="001B3E2E" w:rsidP="001B3E2E">
      <w:pPr>
        <w:rPr>
          <w:rFonts w:eastAsia="MS Mincho"/>
          <w:i/>
          <w:lang w:eastAsia="ja-JP"/>
        </w:rPr>
      </w:pPr>
      <w:r w:rsidRPr="007009A9">
        <w:rPr>
          <w:rFonts w:eastAsiaTheme="minorEastAsia"/>
          <w:b/>
          <w:i/>
          <w:lang w:eastAsia="zh-CN"/>
        </w:rPr>
        <w:lastRenderedPageBreak/>
        <w:t xml:space="preserve">Observation </w:t>
      </w:r>
      <w:r w:rsidR="006B6A3C">
        <w:rPr>
          <w:rFonts w:eastAsiaTheme="minorEastAsia"/>
          <w:b/>
          <w:i/>
          <w:lang w:eastAsia="zh-CN"/>
        </w:rPr>
        <w:t>4</w:t>
      </w:r>
      <w:r w:rsidRPr="007009A9">
        <w:rPr>
          <w:rFonts w:eastAsiaTheme="minorEastAsia"/>
          <w:i/>
          <w:lang w:eastAsia="zh-CN"/>
        </w:rPr>
        <w:t xml:space="preserve">: The number of UEs performing contention-based 2-step RACH </w:t>
      </w:r>
      <w:r>
        <w:rPr>
          <w:rFonts w:eastAsiaTheme="minorEastAsia"/>
          <w:i/>
          <w:lang w:eastAsia="zh-CN"/>
        </w:rPr>
        <w:t xml:space="preserve">on the same RO </w:t>
      </w:r>
      <w:r w:rsidRPr="007009A9">
        <w:rPr>
          <w:rFonts w:eastAsiaTheme="minorEastAsia"/>
          <w:i/>
          <w:lang w:eastAsia="zh-CN"/>
        </w:rPr>
        <w:t>needs to be small to avoid large collision probability and error floor in BLER performance.</w:t>
      </w:r>
    </w:p>
    <w:p w:rsidR="00383BE1" w:rsidRDefault="00383BE1" w:rsidP="00CF24DF">
      <w:pPr>
        <w:pStyle w:val="2"/>
        <w:rPr>
          <w:lang w:eastAsia="zh-CN"/>
        </w:rPr>
      </w:pPr>
      <w:r>
        <w:rPr>
          <w:rFonts w:hint="eastAsia"/>
          <w:lang w:eastAsia="zh-CN"/>
        </w:rPr>
        <w:t xml:space="preserve">Resource </w:t>
      </w:r>
      <w:r>
        <w:rPr>
          <w:lang w:eastAsia="zh-CN"/>
        </w:rPr>
        <w:t>Utilization</w:t>
      </w:r>
      <w:r>
        <w:rPr>
          <w:rFonts w:hint="eastAsia"/>
          <w:lang w:eastAsia="zh-CN"/>
        </w:rPr>
        <w:t xml:space="preserve"> </w:t>
      </w:r>
    </w:p>
    <w:p w:rsidR="00CF24DF" w:rsidRDefault="00A34C25" w:rsidP="00CF24DF">
      <w:pPr>
        <w:rPr>
          <w:lang w:eastAsia="zh-CN"/>
        </w:rPr>
      </w:pPr>
      <w:r>
        <w:rPr>
          <w:lang w:eastAsia="zh-CN"/>
        </w:rPr>
        <w:t xml:space="preserve">For contention-based 2-step RACH, </w:t>
      </w:r>
      <w:r w:rsidR="00CF24DF">
        <w:rPr>
          <w:rFonts w:hint="eastAsia"/>
          <w:lang w:eastAsia="zh-CN"/>
        </w:rPr>
        <w:t>PUSCH</w:t>
      </w:r>
      <w:r w:rsidR="00CF24DF">
        <w:rPr>
          <w:lang w:eastAsia="zh-CN"/>
        </w:rPr>
        <w:t xml:space="preserve"> </w:t>
      </w:r>
      <w:r w:rsidR="00CF24DF">
        <w:rPr>
          <w:rFonts w:hint="eastAsia"/>
          <w:lang w:eastAsia="zh-CN"/>
        </w:rPr>
        <w:t xml:space="preserve">occasions </w:t>
      </w:r>
      <w:r w:rsidR="00CF24DF">
        <w:rPr>
          <w:lang w:eastAsia="zh-CN"/>
        </w:rPr>
        <w:t xml:space="preserve">(POs) are configured for the transmission of MsgA payload, and will not be used by other transmissions. As discussed in [2], there can be different mapping relations between preambles and POs. When there are </w:t>
      </w:r>
      <m:oMath>
        <m:r>
          <w:rPr>
            <w:rFonts w:ascii="Cambria Math" w:hAnsi="Cambria Math"/>
            <w:lang w:val="en-GB" w:eastAsia="zh-CN"/>
          </w:rPr>
          <m:t>K</m:t>
        </m:r>
      </m:oMath>
      <w:r w:rsidR="00CF24DF">
        <w:rPr>
          <w:lang w:val="en-GB" w:eastAsia="zh-CN"/>
        </w:rPr>
        <w:t xml:space="preserve"> </w:t>
      </w:r>
      <w:r w:rsidR="00CF24DF" w:rsidRPr="001722AF">
        <w:rPr>
          <w:lang w:eastAsia="zh-CN"/>
        </w:rPr>
        <w:t>contention-based preambles</w:t>
      </w:r>
      <w:r w:rsidR="00CF24DF">
        <w:rPr>
          <w:lang w:eastAsia="zh-CN"/>
        </w:rPr>
        <w:t xml:space="preserve">, and  </w:t>
      </w:r>
      <m:oMath>
        <m:r>
          <w:rPr>
            <w:rFonts w:ascii="Cambria Math" w:hAnsi="Cambria Math"/>
            <w:lang w:val="en-GB" w:eastAsia="zh-CN"/>
          </w:rPr>
          <m:t>L</m:t>
        </m:r>
      </m:oMath>
      <w:r w:rsidR="00CF24DF">
        <w:rPr>
          <w:lang w:eastAsia="zh-CN"/>
        </w:rPr>
        <w:t xml:space="preserve"> preambles are mapped to </w:t>
      </w:r>
      <w:r w:rsidR="00154721">
        <w:rPr>
          <w:lang w:eastAsia="zh-CN"/>
        </w:rPr>
        <w:t>one</w:t>
      </w:r>
      <w:r w:rsidR="00CF24DF">
        <w:rPr>
          <w:lang w:eastAsia="zh-CN"/>
        </w:rPr>
        <w:t xml:space="preserve"> PO, then </w:t>
      </w:r>
      <m:oMath>
        <m:d>
          <m:dPr>
            <m:begChr m:val="⌈"/>
            <m:endChr m:val="⌉"/>
            <m:ctrlPr>
              <w:rPr>
                <w:rFonts w:ascii="Cambria Math" w:hAnsi="Cambria Math"/>
                <w:i/>
                <w:lang w:val="en-GB" w:eastAsia="zh-CN"/>
              </w:rPr>
            </m:ctrlPr>
          </m:dPr>
          <m:e>
            <m:r>
              <w:rPr>
                <w:rFonts w:ascii="Cambria Math" w:hAnsi="Cambria Math"/>
                <w:lang w:val="en-GB" w:eastAsia="zh-CN"/>
              </w:rPr>
              <m:t>K/L</m:t>
            </m:r>
          </m:e>
        </m:d>
      </m:oMath>
      <w:r w:rsidR="00CF24DF">
        <w:rPr>
          <w:rFonts w:hint="eastAsia"/>
          <w:lang w:val="en-GB" w:eastAsia="zh-CN"/>
        </w:rPr>
        <w:t xml:space="preserve"> POs </w:t>
      </w:r>
      <w:r w:rsidR="00CF24DF">
        <w:rPr>
          <w:lang w:val="en-GB" w:eastAsia="zh-CN"/>
        </w:rPr>
        <w:t>will be needed</w:t>
      </w:r>
      <w:r w:rsidR="00CF24DF">
        <w:rPr>
          <w:lang w:eastAsia="zh-CN"/>
        </w:rPr>
        <w:t xml:space="preserve">. When  </w:t>
      </w:r>
      <m:oMath>
        <m:r>
          <w:rPr>
            <w:rFonts w:ascii="Cambria Math" w:hAnsi="Cambria Math"/>
            <w:lang w:val="en-GB" w:eastAsia="zh-CN"/>
          </w:rPr>
          <m:t>L</m:t>
        </m:r>
      </m:oMath>
      <w:r w:rsidR="00CF24DF">
        <w:rPr>
          <w:rFonts w:hint="eastAsia"/>
          <w:lang w:val="en-GB" w:eastAsia="zh-CN"/>
        </w:rPr>
        <w:t xml:space="preserve"> is larger, </w:t>
      </w:r>
      <w:r w:rsidR="00CF24DF">
        <w:rPr>
          <w:lang w:val="en-GB" w:eastAsia="zh-CN"/>
        </w:rPr>
        <w:t xml:space="preserve">the reserved resource for MsgA will be less. </w:t>
      </w:r>
      <w:r w:rsidR="00CF24DF">
        <w:rPr>
          <w:lang w:eastAsia="zh-CN"/>
        </w:rPr>
        <w:t xml:space="preserve"> </w:t>
      </w:r>
    </w:p>
    <w:p w:rsidR="00383BE1" w:rsidRDefault="00154721" w:rsidP="00383BE1">
      <w:pPr>
        <w:rPr>
          <w:rFonts w:eastAsiaTheme="minorEastAsia"/>
          <w:lang w:val="en-GB" w:eastAsia="zh-CN"/>
        </w:rPr>
      </w:pPr>
      <w:r>
        <w:rPr>
          <w:rFonts w:hint="eastAsia"/>
          <w:lang w:eastAsia="zh-CN"/>
        </w:rPr>
        <w:t>As</w:t>
      </w:r>
      <w:r>
        <w:rPr>
          <w:lang w:eastAsia="zh-CN"/>
        </w:rPr>
        <w:t xml:space="preserve"> shown above, when </w:t>
      </w:r>
      <m:oMath>
        <m:r>
          <w:rPr>
            <w:rFonts w:ascii="Cambria Math" w:hAnsi="Cambria Math"/>
            <w:lang w:val="en-GB" w:eastAsia="zh-CN"/>
          </w:rPr>
          <m:t>K</m:t>
        </m:r>
        <m:r>
          <m:rPr>
            <m:sty m:val="p"/>
          </m:rPr>
          <w:rPr>
            <w:rFonts w:ascii="Cambria Math" w:hAnsi="Cambria Math"/>
            <w:lang w:val="en-GB" w:eastAsia="zh-CN"/>
          </w:rPr>
          <m:t>=64</m:t>
        </m:r>
      </m:oMath>
      <w:r>
        <w:rPr>
          <w:lang w:eastAsia="zh-CN"/>
        </w:rPr>
        <w:t xml:space="preserve"> and the collision probability is 1%, </w:t>
      </w:r>
      <w:r w:rsidRPr="007009A9">
        <w:rPr>
          <w:rFonts w:eastAsiaTheme="minorEastAsia"/>
          <w:lang w:eastAsia="zh-CN"/>
        </w:rPr>
        <w:t xml:space="preserve">the </w:t>
      </w:r>
      <w:r>
        <w:rPr>
          <w:rFonts w:eastAsiaTheme="minorEastAsia"/>
          <w:lang w:eastAsia="zh-CN"/>
        </w:rPr>
        <w:t xml:space="preserve">average </w:t>
      </w:r>
      <w:r w:rsidRPr="007009A9">
        <w:rPr>
          <w:rFonts w:eastAsiaTheme="minorEastAsia"/>
          <w:lang w:eastAsia="zh-CN"/>
        </w:rPr>
        <w:t>traffic load should be no larger than 0.643 UEs/RO</w:t>
      </w:r>
      <w:r>
        <w:rPr>
          <w:rFonts w:eastAsiaTheme="minorEastAsia"/>
          <w:lang w:eastAsia="zh-CN"/>
        </w:rPr>
        <w:t>, i.e., the</w:t>
      </w:r>
      <w:r w:rsidR="00725E16">
        <w:rPr>
          <w:rFonts w:eastAsiaTheme="minorEastAsia"/>
          <w:lang w:eastAsia="zh-CN"/>
        </w:rPr>
        <w:t xml:space="preserve"> average</w:t>
      </w:r>
      <w:r>
        <w:rPr>
          <w:rFonts w:eastAsiaTheme="minorEastAsia"/>
          <w:lang w:eastAsia="zh-CN"/>
        </w:rPr>
        <w:t xml:space="preserve"> utilization of preambles</w:t>
      </w:r>
      <w:r w:rsidR="00725E16">
        <w:rPr>
          <w:rFonts w:eastAsiaTheme="minorEastAsia"/>
          <w:lang w:eastAsia="zh-CN"/>
        </w:rPr>
        <w:t xml:space="preserve"> per RO</w:t>
      </w:r>
      <w:r>
        <w:rPr>
          <w:rFonts w:eastAsiaTheme="minorEastAsia"/>
          <w:lang w:eastAsia="zh-CN"/>
        </w:rPr>
        <w:t xml:space="preserve"> is about 1%. If </w:t>
      </w:r>
      <w:r w:rsidR="00725E16">
        <w:rPr>
          <w:rFonts w:eastAsiaTheme="minorEastAsia"/>
          <w:lang w:eastAsia="zh-CN"/>
        </w:rPr>
        <w:t>only one</w:t>
      </w:r>
      <w:r>
        <w:rPr>
          <w:rFonts w:eastAsiaTheme="minorEastAsia"/>
          <w:lang w:eastAsia="zh-CN"/>
        </w:rPr>
        <w:t xml:space="preserve"> preamble is mapped to </w:t>
      </w:r>
      <w:r w:rsidR="00725E16">
        <w:rPr>
          <w:rFonts w:eastAsiaTheme="minorEastAsia"/>
          <w:lang w:eastAsia="zh-CN"/>
        </w:rPr>
        <w:t>a</w:t>
      </w:r>
      <w:r>
        <w:rPr>
          <w:rFonts w:eastAsiaTheme="minorEastAsia"/>
          <w:lang w:eastAsia="zh-CN"/>
        </w:rPr>
        <w:t xml:space="preserve"> </w:t>
      </w:r>
      <w:r w:rsidR="00FE3AAC">
        <w:rPr>
          <w:rFonts w:eastAsiaTheme="minorEastAsia"/>
          <w:lang w:eastAsia="zh-CN"/>
        </w:rPr>
        <w:t xml:space="preserve">specific </w:t>
      </w:r>
      <w:r>
        <w:rPr>
          <w:rFonts w:eastAsiaTheme="minorEastAsia"/>
          <w:lang w:eastAsia="zh-CN"/>
        </w:rPr>
        <w:t xml:space="preserve">PO, i.e., </w:t>
      </w:r>
      <m:oMath>
        <m:r>
          <w:rPr>
            <w:rFonts w:ascii="Cambria Math" w:hAnsi="Cambria Math"/>
            <w:lang w:val="en-GB" w:eastAsia="zh-CN"/>
          </w:rPr>
          <m:t>L=1</m:t>
        </m:r>
      </m:oMath>
      <w:r>
        <w:rPr>
          <w:rFonts w:eastAsiaTheme="minorEastAsia"/>
          <w:lang w:val="en-GB" w:eastAsia="zh-CN"/>
        </w:rPr>
        <w:t xml:space="preserve">, the utilization of POs </w:t>
      </w:r>
      <w:r w:rsidR="00FE3AAC">
        <w:rPr>
          <w:rFonts w:eastAsiaTheme="minorEastAsia"/>
          <w:lang w:val="en-GB" w:eastAsia="zh-CN"/>
        </w:rPr>
        <w:t xml:space="preserve">will </w:t>
      </w:r>
      <w:r w:rsidR="00725E16">
        <w:rPr>
          <w:rFonts w:eastAsiaTheme="minorEastAsia"/>
          <w:lang w:val="en-GB" w:eastAsia="zh-CN"/>
        </w:rPr>
        <w:t xml:space="preserve">also </w:t>
      </w:r>
      <w:r w:rsidR="00FE3AAC">
        <w:rPr>
          <w:rFonts w:eastAsiaTheme="minorEastAsia"/>
          <w:lang w:val="en-GB" w:eastAsia="zh-CN"/>
        </w:rPr>
        <w:t>be</w:t>
      </w:r>
      <w:r>
        <w:rPr>
          <w:rFonts w:eastAsiaTheme="minorEastAsia"/>
          <w:lang w:val="en-GB" w:eastAsia="zh-CN"/>
        </w:rPr>
        <w:t xml:space="preserve"> 1%, which is too low</w:t>
      </w:r>
      <w:r w:rsidR="00B62DF0">
        <w:rPr>
          <w:rFonts w:eastAsiaTheme="minorEastAsia"/>
          <w:lang w:val="en-GB" w:eastAsia="zh-CN"/>
        </w:rPr>
        <w:t xml:space="preserve"> and</w:t>
      </w:r>
      <w:r w:rsidR="00725E16">
        <w:rPr>
          <w:rFonts w:eastAsiaTheme="minorEastAsia"/>
          <w:lang w:val="en-GB" w:eastAsia="zh-CN"/>
        </w:rPr>
        <w:t xml:space="preserve"> </w:t>
      </w:r>
      <w:r w:rsidR="00B62DF0">
        <w:rPr>
          <w:rFonts w:eastAsiaTheme="minorEastAsia"/>
          <w:lang w:val="en-GB" w:eastAsia="zh-CN"/>
        </w:rPr>
        <w:t>large amount</w:t>
      </w:r>
      <w:r w:rsidR="00FC61ED">
        <w:rPr>
          <w:rFonts w:eastAsiaTheme="minorEastAsia"/>
          <w:lang w:val="en-GB" w:eastAsia="zh-CN"/>
        </w:rPr>
        <w:t>s</w:t>
      </w:r>
      <w:r w:rsidR="00B62DF0">
        <w:rPr>
          <w:rFonts w:eastAsiaTheme="minorEastAsia"/>
          <w:lang w:val="en-GB" w:eastAsia="zh-CN"/>
        </w:rPr>
        <w:t xml:space="preserve"> of</w:t>
      </w:r>
      <w:r w:rsidR="00725E16">
        <w:rPr>
          <w:rFonts w:eastAsiaTheme="minorEastAsia"/>
          <w:lang w:val="en-GB" w:eastAsia="zh-CN"/>
        </w:rPr>
        <w:t xml:space="preserve"> time and frequency</w:t>
      </w:r>
      <w:r w:rsidR="00B62DF0">
        <w:rPr>
          <w:rFonts w:eastAsiaTheme="minorEastAsia"/>
          <w:lang w:val="en-GB" w:eastAsia="zh-CN"/>
        </w:rPr>
        <w:t xml:space="preserve"> resources </w:t>
      </w:r>
      <w:r w:rsidR="00FC61ED">
        <w:rPr>
          <w:rFonts w:eastAsiaTheme="minorEastAsia"/>
          <w:lang w:val="en-GB" w:eastAsia="zh-CN"/>
        </w:rPr>
        <w:t>will be</w:t>
      </w:r>
      <w:r w:rsidR="00B62DF0">
        <w:rPr>
          <w:rFonts w:eastAsiaTheme="minorEastAsia"/>
          <w:lang w:val="en-GB" w:eastAsia="zh-CN"/>
        </w:rPr>
        <w:t xml:space="preserve"> wasted</w:t>
      </w:r>
      <w:r>
        <w:rPr>
          <w:rFonts w:eastAsiaTheme="minorEastAsia"/>
          <w:lang w:val="en-GB" w:eastAsia="zh-CN"/>
        </w:rPr>
        <w:t>.</w:t>
      </w:r>
      <w:r w:rsidR="00B62DF0">
        <w:rPr>
          <w:rFonts w:eastAsiaTheme="minorEastAsia"/>
          <w:lang w:val="en-GB" w:eastAsia="zh-CN"/>
        </w:rPr>
        <w:t xml:space="preserve"> </w:t>
      </w:r>
      <w:r w:rsidR="00FC61ED">
        <w:rPr>
          <w:rFonts w:eastAsiaTheme="minorEastAsia"/>
          <w:lang w:val="en-GB" w:eastAsia="zh-CN"/>
        </w:rPr>
        <w:t xml:space="preserve">More resources will be wasted, if </w:t>
      </w:r>
      <w:r w:rsidR="00725E16">
        <w:rPr>
          <w:rFonts w:eastAsiaTheme="minorEastAsia"/>
          <w:lang w:val="en-GB" w:eastAsia="zh-CN"/>
        </w:rPr>
        <w:t xml:space="preserve">the pre-reserved </w:t>
      </w:r>
      <w:r w:rsidR="00FC61ED">
        <w:rPr>
          <w:rFonts w:eastAsiaTheme="minorEastAsia"/>
          <w:lang w:val="en-GB" w:eastAsia="zh-CN"/>
        </w:rPr>
        <w:t>resource size of</w:t>
      </w:r>
      <w:r w:rsidR="00725E16">
        <w:rPr>
          <w:rFonts w:eastAsiaTheme="minorEastAsia"/>
          <w:lang w:val="en-GB" w:eastAsia="zh-CN"/>
        </w:rPr>
        <w:t xml:space="preserve"> the</w:t>
      </w:r>
      <w:r w:rsidR="00FC61ED">
        <w:rPr>
          <w:rFonts w:eastAsiaTheme="minorEastAsia"/>
          <w:lang w:val="en-GB" w:eastAsia="zh-CN"/>
        </w:rPr>
        <w:t xml:space="preserve"> PO is larger</w:t>
      </w:r>
      <w:r w:rsidR="00B62DF0">
        <w:rPr>
          <w:rFonts w:eastAsiaTheme="minorEastAsia"/>
          <w:lang w:val="en-GB" w:eastAsia="zh-CN"/>
        </w:rPr>
        <w:t xml:space="preserve">. </w:t>
      </w:r>
      <w:r>
        <w:rPr>
          <w:rFonts w:eastAsiaTheme="minorEastAsia"/>
          <w:lang w:val="en-GB" w:eastAsia="zh-CN"/>
        </w:rPr>
        <w:t xml:space="preserve">Therefore, to </w:t>
      </w:r>
      <w:r w:rsidR="00B62DF0">
        <w:rPr>
          <w:rFonts w:eastAsiaTheme="minorEastAsia"/>
          <w:lang w:val="en-GB" w:eastAsia="zh-CN"/>
        </w:rPr>
        <w:t>have a reasonable</w:t>
      </w:r>
      <w:r>
        <w:rPr>
          <w:rFonts w:eastAsiaTheme="minorEastAsia"/>
          <w:lang w:val="en-GB" w:eastAsia="zh-CN"/>
        </w:rPr>
        <w:t xml:space="preserve"> resource utilization, mapping multiple preambles to one PO should be </w:t>
      </w:r>
      <w:r w:rsidR="00CE3022">
        <w:rPr>
          <w:rFonts w:eastAsiaTheme="minorEastAsia"/>
          <w:lang w:val="en-GB" w:eastAsia="zh-CN"/>
        </w:rPr>
        <w:t>consider</w:t>
      </w:r>
      <w:r w:rsidR="00B62DF0">
        <w:rPr>
          <w:rFonts w:eastAsiaTheme="minorEastAsia"/>
          <w:lang w:val="en-GB" w:eastAsia="zh-CN"/>
        </w:rPr>
        <w:t>ed</w:t>
      </w:r>
      <w:r>
        <w:rPr>
          <w:rFonts w:eastAsiaTheme="minorEastAsia"/>
          <w:lang w:val="en-GB" w:eastAsia="zh-CN"/>
        </w:rPr>
        <w:t xml:space="preserve">. </w:t>
      </w:r>
      <w:r w:rsidR="00CE3022">
        <w:rPr>
          <w:rFonts w:eastAsiaTheme="minorEastAsia"/>
          <w:lang w:val="en-GB" w:eastAsia="zh-CN"/>
        </w:rPr>
        <w:t xml:space="preserve">For example, when </w:t>
      </w:r>
      <m:oMath>
        <m:r>
          <w:rPr>
            <w:rFonts w:ascii="Cambria Math" w:hAnsi="Cambria Math"/>
            <w:lang w:val="en-GB" w:eastAsia="zh-CN"/>
          </w:rPr>
          <m:t>L</m:t>
        </m:r>
        <m:r>
          <m:rPr>
            <m:sty m:val="p"/>
          </m:rPr>
          <w:rPr>
            <w:rFonts w:ascii="Cambria Math" w:eastAsiaTheme="minorEastAsia" w:hAnsi="Cambria Math"/>
            <w:lang w:val="en-GB" w:eastAsia="zh-CN"/>
          </w:rPr>
          <m:t>=8</m:t>
        </m:r>
      </m:oMath>
      <w:r w:rsidR="00CE3022">
        <w:rPr>
          <w:rFonts w:eastAsiaTheme="minorEastAsia"/>
          <w:lang w:val="en-GB" w:eastAsia="zh-CN"/>
        </w:rPr>
        <w:t xml:space="preserve"> preambles are mapped to one PO, the utilization will grows to 8%. </w:t>
      </w:r>
      <w:r>
        <w:rPr>
          <w:rFonts w:eastAsiaTheme="minorEastAsia"/>
          <w:lang w:val="en-GB" w:eastAsia="zh-CN"/>
        </w:rPr>
        <w:t xml:space="preserve">When multiple preambles are mapped to one PO, different preambles can be associated with different DMRS ports to avoid full collision between </w:t>
      </w:r>
      <w:r w:rsidR="00725E16">
        <w:rPr>
          <w:rFonts w:eastAsiaTheme="minorEastAsia"/>
          <w:lang w:val="en-GB" w:eastAsia="zh-CN"/>
        </w:rPr>
        <w:t xml:space="preserve">any </w:t>
      </w:r>
      <w:r>
        <w:rPr>
          <w:rFonts w:eastAsiaTheme="minorEastAsia"/>
          <w:lang w:val="en-GB" w:eastAsia="zh-CN"/>
        </w:rPr>
        <w:t xml:space="preserve">two active UEs. </w:t>
      </w:r>
      <w:r w:rsidR="00B62DF0">
        <w:rPr>
          <w:rFonts w:eastAsiaTheme="minorEastAsia"/>
          <w:lang w:val="en-GB" w:eastAsia="zh-CN"/>
        </w:rPr>
        <w:t>In this case, the multiplexing of multiple active UEs in the same PO should also be considered.</w:t>
      </w:r>
    </w:p>
    <w:p w:rsidR="00B62DF0" w:rsidRPr="00B62DF0" w:rsidRDefault="00B62DF0" w:rsidP="00383BE1">
      <w:pPr>
        <w:rPr>
          <w:lang w:val="en-GB" w:eastAsia="zh-CN"/>
        </w:rPr>
      </w:pPr>
      <w:r>
        <w:rPr>
          <w:rFonts w:eastAsiaTheme="minorEastAsia"/>
          <w:b/>
          <w:i/>
          <w:lang w:eastAsia="zh-CN"/>
        </w:rPr>
        <w:t xml:space="preserve">Observation </w:t>
      </w:r>
      <w:r w:rsidR="006B6A3C">
        <w:rPr>
          <w:rFonts w:eastAsiaTheme="minorEastAsia"/>
          <w:b/>
          <w:i/>
          <w:lang w:eastAsia="zh-CN"/>
        </w:rPr>
        <w:t>5</w:t>
      </w:r>
      <w:r w:rsidR="00CE3022">
        <w:rPr>
          <w:rFonts w:eastAsiaTheme="minorEastAsia"/>
          <w:i/>
          <w:lang w:eastAsia="zh-CN"/>
        </w:rPr>
        <w:t xml:space="preserve">: </w:t>
      </w:r>
      <w:r w:rsidR="00FE3AAC">
        <w:rPr>
          <w:rFonts w:eastAsiaTheme="minorEastAsia"/>
          <w:i/>
          <w:lang w:eastAsia="zh-CN"/>
        </w:rPr>
        <w:t>When more preambles are mapped to one PO, the resource utilization of PUSCH resource can be improved.</w:t>
      </w:r>
      <w:r w:rsidR="00CE3022">
        <w:rPr>
          <w:rFonts w:eastAsiaTheme="minorEastAsia"/>
          <w:i/>
          <w:lang w:eastAsia="zh-CN"/>
        </w:rPr>
        <w:t xml:space="preserve"> </w:t>
      </w:r>
      <w:r w:rsidR="00FC61ED">
        <w:rPr>
          <w:rFonts w:eastAsiaTheme="minorEastAsia"/>
          <w:i/>
          <w:lang w:eastAsia="zh-CN"/>
        </w:rPr>
        <w:t xml:space="preserve"> </w:t>
      </w:r>
    </w:p>
    <w:p w:rsidR="00553540" w:rsidRPr="002C4865" w:rsidRDefault="00553540" w:rsidP="00C550E2">
      <w:pPr>
        <w:pStyle w:val="1"/>
        <w:rPr>
          <w:lang w:eastAsia="zh-CN"/>
        </w:rPr>
      </w:pPr>
      <w:r>
        <w:rPr>
          <w:lang w:eastAsia="zh-CN"/>
        </w:rPr>
        <w:t>Receiver for 2-step RACH</w:t>
      </w:r>
    </w:p>
    <w:p w:rsidR="00593488" w:rsidRDefault="00593488" w:rsidP="00C550E2">
      <w:pPr>
        <w:jc w:val="center"/>
        <w:rPr>
          <w:kern w:val="2"/>
          <w:lang w:val="en-GB" w:eastAsia="zh-CN"/>
        </w:rPr>
      </w:pPr>
    </w:p>
    <w:p w:rsidR="00A81277" w:rsidRDefault="00C41B6C" w:rsidP="00C550E2">
      <w:pPr>
        <w:jc w:val="center"/>
        <w:rPr>
          <w:kern w:val="2"/>
          <w:lang w:val="en-GB" w:eastAsia="zh-CN"/>
        </w:rPr>
      </w:pPr>
      <w:r w:rsidRPr="001722AF">
        <w:rPr>
          <w:noProof/>
          <w:kern w:val="2"/>
          <w:lang w:eastAsia="zh-CN"/>
        </w:rPr>
        <w:drawing>
          <wp:inline distT="0" distB="0" distL="0" distR="0">
            <wp:extent cx="4118610" cy="387985"/>
            <wp:effectExtent l="0" t="0" r="0" b="0"/>
            <wp:docPr id="3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18610" cy="387985"/>
                    </a:xfrm>
                    <a:prstGeom prst="rect">
                      <a:avLst/>
                    </a:prstGeom>
                    <a:noFill/>
                    <a:ln>
                      <a:noFill/>
                    </a:ln>
                  </pic:spPr>
                </pic:pic>
              </a:graphicData>
            </a:graphic>
          </wp:inline>
        </w:drawing>
      </w:r>
    </w:p>
    <w:p w:rsidR="00A81277" w:rsidRDefault="0062436E" w:rsidP="00C550E2">
      <w:pPr>
        <w:pStyle w:val="a5"/>
        <w:rPr>
          <w:kern w:val="2"/>
          <w:lang w:val="en-GB" w:eastAsia="zh-CN"/>
        </w:rPr>
      </w:pPr>
      <w:r>
        <w:t xml:space="preserve">Figure </w:t>
      </w:r>
      <w:r w:rsidR="006E7C09">
        <w:rPr>
          <w:noProof/>
        </w:rPr>
        <w:fldChar w:fldCharType="begin"/>
      </w:r>
      <w:r w:rsidR="006E7C09">
        <w:rPr>
          <w:noProof/>
        </w:rPr>
        <w:instrText xml:space="preserve"> SEQ Figure \* ARABIC </w:instrText>
      </w:r>
      <w:r w:rsidR="006E7C09">
        <w:rPr>
          <w:noProof/>
        </w:rPr>
        <w:fldChar w:fldCharType="separate"/>
      </w:r>
      <w:r w:rsidR="009F2C76">
        <w:rPr>
          <w:noProof/>
        </w:rPr>
        <w:t>2</w:t>
      </w:r>
      <w:r w:rsidR="006E7C09">
        <w:rPr>
          <w:noProof/>
        </w:rPr>
        <w:fldChar w:fldCharType="end"/>
      </w:r>
      <w:r>
        <w:t xml:space="preserve">. </w:t>
      </w:r>
      <w:r w:rsidR="00BF5F26">
        <w:t>An example of the r</w:t>
      </w:r>
      <w:r>
        <w:t>eceiver for 2-step RACH</w:t>
      </w:r>
    </w:p>
    <w:p w:rsidR="00B60215" w:rsidRDefault="00993E2E">
      <w:pPr>
        <w:rPr>
          <w:kern w:val="2"/>
          <w:lang w:val="en-GB" w:eastAsia="zh-CN"/>
        </w:rPr>
      </w:pPr>
      <w:r>
        <w:rPr>
          <w:kern w:val="2"/>
          <w:lang w:val="en-GB" w:eastAsia="zh-CN"/>
        </w:rPr>
        <w:t xml:space="preserve">An example of the receiver for 2-step RACH is shown in Figure 2. gNB will try to detect the PRACH of MsgA and check which preambles are transmitted by UEs. If any preambles are transmitted, the association PUSCH resources can be identified based on the mapping between preambles and PUSCH resources [2]. Then, gNB will try to detect the PUSCH of MsgA. As UEs may not have valid TA during 2-step RACH, thus the MsgA transmission can be asynchronous, i.e. the timing offset between UEs is larger than CP length. In this case, gNB will </w:t>
      </w:r>
      <w:r w:rsidR="00505262" w:rsidRPr="00505262">
        <w:rPr>
          <w:kern w:val="2"/>
          <w:lang w:val="en-GB" w:eastAsia="zh-CN"/>
        </w:rPr>
        <w:t>estimat</w:t>
      </w:r>
      <w:r w:rsidR="00505262">
        <w:rPr>
          <w:kern w:val="2"/>
          <w:lang w:val="en-GB" w:eastAsia="zh-CN"/>
        </w:rPr>
        <w:t>e</w:t>
      </w:r>
      <w:r w:rsidR="00505262" w:rsidRPr="00505262">
        <w:rPr>
          <w:kern w:val="2"/>
          <w:lang w:val="en-GB" w:eastAsia="zh-CN"/>
        </w:rPr>
        <w:t xml:space="preserve"> </w:t>
      </w:r>
      <w:r>
        <w:rPr>
          <w:kern w:val="2"/>
          <w:lang w:val="en-GB" w:eastAsia="zh-CN"/>
        </w:rPr>
        <w:t>the timing offsets during PRACH detection. Then, gNB may adjust the time window of received signal based on the estimated timing offset before the PUSCH detection.</w:t>
      </w:r>
    </w:p>
    <w:p w:rsidR="002276DC" w:rsidRPr="002276DC" w:rsidRDefault="002276DC">
      <w:pPr>
        <w:rPr>
          <w:kern w:val="2"/>
          <w:lang w:val="en-GB" w:eastAsia="zh-CN"/>
        </w:rPr>
      </w:pPr>
      <w:r w:rsidRPr="00D7613B">
        <w:rPr>
          <w:rFonts w:eastAsia="MS Mincho"/>
          <w:b/>
          <w:i/>
          <w:lang w:eastAsia="ja-JP"/>
        </w:rPr>
        <w:t xml:space="preserve">Observation </w:t>
      </w:r>
      <w:r w:rsidR="006B6A3C">
        <w:rPr>
          <w:rFonts w:eastAsia="MS Mincho"/>
          <w:b/>
          <w:i/>
          <w:lang w:eastAsia="ja-JP"/>
        </w:rPr>
        <w:t>6</w:t>
      </w:r>
      <w:r w:rsidRPr="003F6C21">
        <w:rPr>
          <w:rFonts w:eastAsia="MS Mincho"/>
          <w:i/>
          <w:lang w:eastAsia="ja-JP"/>
        </w:rPr>
        <w:t>:</w:t>
      </w:r>
      <w:r>
        <w:rPr>
          <w:rFonts w:eastAsia="MS Mincho"/>
          <w:i/>
          <w:lang w:eastAsia="ja-JP"/>
        </w:rPr>
        <w:t xml:space="preserve"> </w:t>
      </w:r>
      <w:r w:rsidRPr="002276DC">
        <w:rPr>
          <w:rFonts w:eastAsia="MS Mincho"/>
          <w:i/>
          <w:lang w:eastAsia="ja-JP"/>
        </w:rPr>
        <w:t>gNB may</w:t>
      </w:r>
      <w:r w:rsidR="00E74D02">
        <w:rPr>
          <w:rFonts w:eastAsia="MS Mincho"/>
          <w:i/>
          <w:lang w:eastAsia="ja-JP"/>
        </w:rPr>
        <w:t xml:space="preserve"> need to</w:t>
      </w:r>
      <w:r w:rsidRPr="002276DC">
        <w:rPr>
          <w:rFonts w:eastAsia="MS Mincho"/>
          <w:i/>
          <w:lang w:eastAsia="ja-JP"/>
        </w:rPr>
        <w:t xml:space="preserve"> adjust the time window of received signal based on the estimated timing offset before the PUSCH detection.</w:t>
      </w:r>
    </w:p>
    <w:p w:rsidR="00553540" w:rsidRDefault="004B1157" w:rsidP="00553540">
      <w:pPr>
        <w:jc w:val="center"/>
        <w:rPr>
          <w:kern w:val="2"/>
          <w:lang w:val="en-GB" w:eastAsia="zh-CN"/>
        </w:rPr>
      </w:pPr>
      <w:r>
        <w:rPr>
          <w:noProof/>
          <w:kern w:val="2"/>
          <w:lang w:eastAsia="zh-CN"/>
        </w:rPr>
        <w:drawing>
          <wp:inline distT="0" distB="0" distL="0" distR="0" wp14:anchorId="685D4520">
            <wp:extent cx="2322000" cy="192600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22000" cy="1926000"/>
                    </a:xfrm>
                    <a:prstGeom prst="rect">
                      <a:avLst/>
                    </a:prstGeom>
                    <a:noFill/>
                  </pic:spPr>
                </pic:pic>
              </a:graphicData>
            </a:graphic>
          </wp:inline>
        </w:drawing>
      </w:r>
    </w:p>
    <w:p w:rsidR="00553540" w:rsidRDefault="00553540" w:rsidP="00553540">
      <w:pPr>
        <w:pStyle w:val="a5"/>
        <w:rPr>
          <w:kern w:val="2"/>
          <w:lang w:val="en-GB" w:eastAsia="zh-CN"/>
        </w:rPr>
      </w:pPr>
      <w:r>
        <w:t xml:space="preserve">Figure </w:t>
      </w:r>
      <w:r w:rsidR="006E7C09">
        <w:rPr>
          <w:noProof/>
        </w:rPr>
        <w:fldChar w:fldCharType="begin"/>
      </w:r>
      <w:r w:rsidR="006E7C09">
        <w:rPr>
          <w:noProof/>
        </w:rPr>
        <w:instrText xml:space="preserve"> SEQ Figure \* ARABIC </w:instrText>
      </w:r>
      <w:r w:rsidR="006E7C09">
        <w:rPr>
          <w:noProof/>
        </w:rPr>
        <w:fldChar w:fldCharType="separate"/>
      </w:r>
      <w:r w:rsidR="009F2C76">
        <w:rPr>
          <w:noProof/>
        </w:rPr>
        <w:t>3</w:t>
      </w:r>
      <w:r w:rsidR="006E7C09">
        <w:rPr>
          <w:noProof/>
        </w:rPr>
        <w:fldChar w:fldCharType="end"/>
      </w:r>
      <w:r>
        <w:t xml:space="preserve">. </w:t>
      </w:r>
      <w:r w:rsidR="00593488">
        <w:t>T</w:t>
      </w:r>
      <w:r w:rsidR="002276DC">
        <w:t>ime</w:t>
      </w:r>
      <w:r>
        <w:t xml:space="preserve"> windows when timing offset </w:t>
      </w:r>
      <w:r w:rsidR="004B1157">
        <w:t xml:space="preserve">difference </w:t>
      </w:r>
      <w:r>
        <w:t>is larger than CP</w:t>
      </w:r>
    </w:p>
    <w:p w:rsidR="00593488" w:rsidRDefault="00993E2E" w:rsidP="00593488">
      <w:pPr>
        <w:rPr>
          <w:kern w:val="2"/>
          <w:lang w:val="en-GB" w:eastAsia="zh-CN"/>
        </w:rPr>
      </w:pPr>
      <w:r>
        <w:rPr>
          <w:kern w:val="2"/>
          <w:lang w:val="en-GB" w:eastAsia="zh-CN"/>
        </w:rPr>
        <w:t xml:space="preserve">When there are multiple UEs with different timing offsets, the detection window can be adjusted so that one time window can accommodate the signals from multiple UEs. As shown in Figure 3, the time window </w:t>
      </w:r>
      <w:r>
        <w:rPr>
          <w:kern w:val="2"/>
          <w:lang w:val="en-GB" w:eastAsia="zh-CN"/>
        </w:rPr>
        <w:lastRenderedPageBreak/>
        <w:t xml:space="preserve">#1 can accommodate the signals from both UE1 and UE2, and it cannot accommodate the signal from UE3. Another time window #2 is needed for the detection of UE3. Thus, when the timing offset between UEs is larger than CP, multiple time windows are needed for PUSCH detection in 2-step RACH. </w:t>
      </w:r>
      <w:r>
        <w:rPr>
          <w:rFonts w:hint="eastAsia"/>
          <w:kern w:val="2"/>
          <w:lang w:val="en-GB" w:eastAsia="zh-CN"/>
        </w:rPr>
        <w:t>A</w:t>
      </w:r>
      <w:r>
        <w:rPr>
          <w:kern w:val="2"/>
          <w:lang w:val="en-GB" w:eastAsia="zh-CN"/>
        </w:rPr>
        <w:t xml:space="preserve">s a result, gNB </w:t>
      </w:r>
      <w:r w:rsidRPr="00505262">
        <w:rPr>
          <w:kern w:val="2"/>
          <w:lang w:val="en-GB" w:eastAsia="zh-CN"/>
        </w:rPr>
        <w:t>need</w:t>
      </w:r>
      <w:r w:rsidR="00505262" w:rsidRPr="00CF4D9B">
        <w:rPr>
          <w:kern w:val="2"/>
          <w:lang w:val="en-GB" w:eastAsia="zh-CN"/>
        </w:rPr>
        <w:t>s</w:t>
      </w:r>
      <w:r w:rsidRPr="000B3089">
        <w:rPr>
          <w:color w:val="FF0000"/>
          <w:kern w:val="2"/>
          <w:lang w:val="en-GB" w:eastAsia="zh-CN"/>
        </w:rPr>
        <w:t xml:space="preserve"> </w:t>
      </w:r>
      <w:r>
        <w:rPr>
          <w:kern w:val="2"/>
          <w:lang w:val="en-GB" w:eastAsia="zh-CN"/>
        </w:rPr>
        <w:t xml:space="preserve">to do multiple times of FFT operations per slot, which </w:t>
      </w:r>
      <w:r w:rsidR="00E74D02">
        <w:rPr>
          <w:kern w:val="2"/>
          <w:lang w:val="en-GB" w:eastAsia="zh-CN"/>
        </w:rPr>
        <w:t xml:space="preserve">may </w:t>
      </w:r>
      <w:r>
        <w:rPr>
          <w:kern w:val="2"/>
          <w:lang w:val="en-GB" w:eastAsia="zh-CN"/>
        </w:rPr>
        <w:t>increase the receiver complexity.</w:t>
      </w:r>
      <w:r w:rsidR="00593488">
        <w:rPr>
          <w:kern w:val="2"/>
          <w:lang w:val="en-GB" w:eastAsia="zh-CN"/>
        </w:rPr>
        <w:t xml:space="preserve"> </w:t>
      </w:r>
    </w:p>
    <w:p w:rsidR="00BF5F26" w:rsidRPr="00BF5F26" w:rsidRDefault="00553540" w:rsidP="00553540">
      <w:pPr>
        <w:rPr>
          <w:kern w:val="2"/>
          <w:lang w:val="en-GB" w:eastAsia="zh-CN"/>
        </w:rPr>
      </w:pPr>
      <w:r w:rsidRPr="00D7613B">
        <w:rPr>
          <w:rFonts w:eastAsia="MS Mincho"/>
          <w:b/>
          <w:i/>
          <w:lang w:eastAsia="ja-JP"/>
        </w:rPr>
        <w:t xml:space="preserve">Observation </w:t>
      </w:r>
      <w:r w:rsidR="006B6A3C">
        <w:rPr>
          <w:rFonts w:eastAsia="MS Mincho"/>
          <w:b/>
          <w:i/>
          <w:lang w:eastAsia="ja-JP"/>
        </w:rPr>
        <w:t>7</w:t>
      </w:r>
      <w:r w:rsidRPr="003F6C21">
        <w:rPr>
          <w:rFonts w:eastAsia="MS Mincho"/>
          <w:i/>
          <w:lang w:eastAsia="ja-JP"/>
        </w:rPr>
        <w:t>:</w:t>
      </w:r>
      <w:r>
        <w:rPr>
          <w:rFonts w:eastAsia="MS Mincho"/>
          <w:i/>
          <w:lang w:eastAsia="ja-JP"/>
        </w:rPr>
        <w:t xml:space="preserve"> When </w:t>
      </w:r>
      <w:r w:rsidR="00E74D02">
        <w:rPr>
          <w:rFonts w:eastAsia="MS Mincho"/>
          <w:i/>
          <w:lang w:eastAsia="ja-JP"/>
        </w:rPr>
        <w:t>there are multiple UEs performing 2-step RACH</w:t>
      </w:r>
      <w:r>
        <w:rPr>
          <w:rFonts w:eastAsia="MS Mincho"/>
          <w:i/>
          <w:lang w:eastAsia="ja-JP"/>
        </w:rPr>
        <w:t>, gNB</w:t>
      </w:r>
      <w:r w:rsidR="00E74D02">
        <w:rPr>
          <w:rFonts w:eastAsia="MS Mincho"/>
          <w:i/>
          <w:lang w:eastAsia="ja-JP"/>
        </w:rPr>
        <w:t xml:space="preserve"> may</w:t>
      </w:r>
      <w:r>
        <w:rPr>
          <w:rFonts w:eastAsia="MS Mincho"/>
          <w:i/>
          <w:lang w:eastAsia="ja-JP"/>
        </w:rPr>
        <w:t xml:space="preserve"> need to do multiple</w:t>
      </w:r>
      <w:r w:rsidR="00593488">
        <w:rPr>
          <w:rFonts w:eastAsia="MS Mincho"/>
          <w:i/>
          <w:lang w:eastAsia="ja-JP"/>
        </w:rPr>
        <w:t xml:space="preserve"> times of</w:t>
      </w:r>
      <w:r>
        <w:rPr>
          <w:rFonts w:eastAsia="MS Mincho"/>
          <w:i/>
          <w:lang w:eastAsia="ja-JP"/>
        </w:rPr>
        <w:t xml:space="preserve"> FFT operations per slot.</w:t>
      </w:r>
    </w:p>
    <w:p w:rsidR="00157FC3" w:rsidRPr="00CF195E" w:rsidRDefault="00747F48" w:rsidP="00CF195E">
      <w:pPr>
        <w:pStyle w:val="1"/>
      </w:pPr>
      <w:r w:rsidRPr="00CF195E">
        <w:t>Conclusion</w:t>
      </w:r>
      <w:r w:rsidR="006B1FD5" w:rsidRPr="00CF195E">
        <w:t>s</w:t>
      </w:r>
    </w:p>
    <w:p w:rsidR="004346C7" w:rsidRDefault="00CE5525">
      <w:pPr>
        <w:rPr>
          <w:i/>
          <w:lang w:eastAsia="zh-CN"/>
        </w:rPr>
      </w:pPr>
      <w:r w:rsidRPr="00CE5525">
        <w:rPr>
          <w:kern w:val="2"/>
          <w:lang w:val="en-GB" w:eastAsia="zh-CN"/>
        </w:rPr>
        <w:t xml:space="preserve">In this contribution, we discussed </w:t>
      </w:r>
      <w:r w:rsidR="003D7812">
        <w:rPr>
          <w:kern w:val="2"/>
          <w:lang w:val="en-GB" w:eastAsia="zh-CN"/>
        </w:rPr>
        <w:t>other</w:t>
      </w:r>
      <w:r w:rsidR="00BE230C">
        <w:rPr>
          <w:rFonts w:hint="eastAsia"/>
          <w:kern w:val="2"/>
          <w:lang w:val="en-GB" w:eastAsia="zh-CN"/>
        </w:rPr>
        <w:t xml:space="preserve"> issues for </w:t>
      </w:r>
      <w:r w:rsidR="00BE230C">
        <w:rPr>
          <w:kern w:val="2"/>
          <w:lang w:val="en-GB" w:eastAsia="zh-CN"/>
        </w:rPr>
        <w:t>2-step RACH</w:t>
      </w:r>
      <w:r w:rsidRPr="00CE5525">
        <w:rPr>
          <w:kern w:val="2"/>
          <w:lang w:val="en-GB" w:eastAsia="zh-CN"/>
        </w:rPr>
        <w:t>. According to the above discussions, w</w:t>
      </w:r>
      <w:r w:rsidR="00910B59">
        <w:rPr>
          <w:kern w:val="2"/>
          <w:lang w:val="en-GB" w:eastAsia="zh-CN"/>
        </w:rPr>
        <w:t xml:space="preserve">e have the following </w:t>
      </w:r>
      <w:r w:rsidR="00926FD5">
        <w:rPr>
          <w:kern w:val="2"/>
          <w:lang w:val="en-GB" w:eastAsia="zh-CN"/>
        </w:rPr>
        <w:t>observations</w:t>
      </w:r>
      <w:r w:rsidRPr="00CE5525">
        <w:rPr>
          <w:kern w:val="2"/>
          <w:lang w:val="en-GB" w:eastAsia="zh-CN"/>
        </w:rPr>
        <w:t>:</w:t>
      </w:r>
      <w:r w:rsidR="00A92D5D" w:rsidDel="00A92D5D">
        <w:rPr>
          <w:kern w:val="2"/>
          <w:lang w:val="en-GB" w:eastAsia="zh-CN"/>
        </w:rPr>
        <w:t xml:space="preserve"> </w:t>
      </w:r>
    </w:p>
    <w:p w:rsidR="00713854" w:rsidRDefault="00713854" w:rsidP="00713854">
      <w:pPr>
        <w:rPr>
          <w:rFonts w:eastAsiaTheme="minorEastAsia"/>
          <w:i/>
          <w:lang w:eastAsia="zh-CN"/>
        </w:rPr>
      </w:pPr>
      <w:r>
        <w:rPr>
          <w:rFonts w:eastAsiaTheme="minorEastAsia"/>
          <w:b/>
          <w:i/>
          <w:lang w:eastAsia="zh-CN"/>
        </w:rPr>
        <w:t>Observation</w:t>
      </w:r>
      <w:r w:rsidRPr="00895832">
        <w:rPr>
          <w:rFonts w:eastAsiaTheme="minorEastAsia" w:hint="eastAsia"/>
          <w:b/>
          <w:i/>
          <w:lang w:eastAsia="zh-CN"/>
        </w:rPr>
        <w:t xml:space="preserve"> </w:t>
      </w:r>
      <w:r>
        <w:rPr>
          <w:rFonts w:eastAsiaTheme="minorEastAsia"/>
          <w:b/>
          <w:i/>
          <w:lang w:eastAsia="zh-CN"/>
        </w:rPr>
        <w:t>1</w:t>
      </w:r>
      <w:r w:rsidRPr="00166120">
        <w:rPr>
          <w:rFonts w:eastAsiaTheme="minorEastAsia" w:hint="eastAsia"/>
          <w:i/>
          <w:lang w:eastAsia="zh-CN"/>
        </w:rPr>
        <w:t xml:space="preserve">: </w:t>
      </w:r>
      <w:r>
        <w:rPr>
          <w:rFonts w:eastAsiaTheme="minorEastAsia"/>
          <w:i/>
          <w:lang w:eastAsia="zh-CN"/>
        </w:rPr>
        <w:t>Typical use cases for the payload transmission during RACH procedure mostly conveys small payload, e.g. 56 or 72 bits.</w:t>
      </w:r>
      <w:r w:rsidRPr="00166120">
        <w:rPr>
          <w:rFonts w:eastAsiaTheme="minorEastAsia" w:hint="eastAsia"/>
          <w:i/>
          <w:lang w:eastAsia="zh-CN"/>
        </w:rPr>
        <w:t xml:space="preserve"> </w:t>
      </w:r>
    </w:p>
    <w:p w:rsidR="00713854" w:rsidRDefault="00713854" w:rsidP="00713854">
      <w:pPr>
        <w:rPr>
          <w:rFonts w:eastAsiaTheme="minorEastAsia"/>
          <w:i/>
          <w:lang w:eastAsia="zh-CN"/>
        </w:rPr>
      </w:pPr>
      <w:r w:rsidRPr="00713854">
        <w:rPr>
          <w:rFonts w:eastAsiaTheme="minorEastAsia"/>
          <w:b/>
          <w:i/>
          <w:lang w:eastAsia="zh-CN"/>
        </w:rPr>
        <w:t xml:space="preserve">Observation 2: </w:t>
      </w:r>
      <w:r>
        <w:rPr>
          <w:rFonts w:eastAsiaTheme="minorEastAsia"/>
          <w:i/>
          <w:lang w:eastAsia="zh-CN"/>
        </w:rPr>
        <w:t>There is lack of motivation to optimize 2-step RACH for UE in RRC_CONNECTED mode.</w:t>
      </w:r>
    </w:p>
    <w:p w:rsidR="00703446" w:rsidRDefault="00703446" w:rsidP="00703446">
      <w:pPr>
        <w:rPr>
          <w:rFonts w:eastAsia="MS Mincho"/>
          <w:i/>
          <w:lang w:eastAsia="ja-JP"/>
        </w:rPr>
      </w:pPr>
      <w:r w:rsidRPr="00D7613B">
        <w:rPr>
          <w:rFonts w:eastAsia="MS Mincho"/>
          <w:b/>
          <w:i/>
          <w:lang w:eastAsia="ja-JP"/>
        </w:rPr>
        <w:t xml:space="preserve">Observation </w:t>
      </w:r>
      <w:r>
        <w:rPr>
          <w:rFonts w:eastAsia="MS Mincho"/>
          <w:b/>
          <w:i/>
          <w:lang w:eastAsia="ja-JP"/>
        </w:rPr>
        <w:t>3</w:t>
      </w:r>
      <w:r w:rsidRPr="003F6C21">
        <w:rPr>
          <w:rFonts w:eastAsia="MS Mincho"/>
          <w:i/>
          <w:lang w:eastAsia="ja-JP"/>
        </w:rPr>
        <w:t>:</w:t>
      </w:r>
      <w:r>
        <w:rPr>
          <w:rFonts w:eastAsia="MS Mincho"/>
          <w:i/>
          <w:lang w:eastAsia="ja-JP"/>
        </w:rPr>
        <w:t xml:space="preserve"> For the case with multiple preamble groups, the collision probability increases if the traffic load with respect to the available PRACH resource is not matched.</w:t>
      </w:r>
    </w:p>
    <w:p w:rsidR="000A60C5" w:rsidRDefault="000A60C5" w:rsidP="000A60C5">
      <w:pPr>
        <w:rPr>
          <w:rFonts w:eastAsia="MS Mincho"/>
          <w:i/>
          <w:lang w:eastAsia="ja-JP"/>
        </w:rPr>
      </w:pPr>
      <w:r w:rsidRPr="007009A9">
        <w:rPr>
          <w:rFonts w:eastAsiaTheme="minorEastAsia"/>
          <w:b/>
          <w:i/>
          <w:lang w:eastAsia="zh-CN"/>
        </w:rPr>
        <w:t xml:space="preserve">Observation </w:t>
      </w:r>
      <w:r>
        <w:rPr>
          <w:rFonts w:eastAsiaTheme="minorEastAsia"/>
          <w:b/>
          <w:i/>
          <w:lang w:eastAsia="zh-CN"/>
        </w:rPr>
        <w:t>4</w:t>
      </w:r>
      <w:r w:rsidRPr="007009A9">
        <w:rPr>
          <w:rFonts w:eastAsiaTheme="minorEastAsia"/>
          <w:i/>
          <w:lang w:eastAsia="zh-CN"/>
        </w:rPr>
        <w:t xml:space="preserve">: The number of UEs performing contention-based 2-step RACH </w:t>
      </w:r>
      <w:r>
        <w:rPr>
          <w:rFonts w:eastAsiaTheme="minorEastAsia"/>
          <w:i/>
          <w:lang w:eastAsia="zh-CN"/>
        </w:rPr>
        <w:t xml:space="preserve">on the same RO </w:t>
      </w:r>
      <w:r w:rsidRPr="007009A9">
        <w:rPr>
          <w:rFonts w:eastAsiaTheme="minorEastAsia"/>
          <w:i/>
          <w:lang w:eastAsia="zh-CN"/>
        </w:rPr>
        <w:t>needs to be small to avoid large collision probability and error floor in BLER performance.</w:t>
      </w:r>
    </w:p>
    <w:p w:rsidR="0099333E" w:rsidRDefault="0099333E" w:rsidP="0099333E">
      <w:pPr>
        <w:rPr>
          <w:rFonts w:eastAsiaTheme="minorEastAsia"/>
          <w:i/>
          <w:lang w:eastAsia="zh-CN"/>
        </w:rPr>
      </w:pPr>
      <w:r>
        <w:rPr>
          <w:rFonts w:eastAsiaTheme="minorEastAsia"/>
          <w:b/>
          <w:i/>
          <w:lang w:eastAsia="zh-CN"/>
        </w:rPr>
        <w:t>Observation 5</w:t>
      </w:r>
      <w:r>
        <w:rPr>
          <w:rFonts w:eastAsiaTheme="minorEastAsia"/>
          <w:i/>
          <w:lang w:eastAsia="zh-CN"/>
        </w:rPr>
        <w:t>: When more preambles are mapped to one PO, the resource utilization of PUSCH resource can be improved.</w:t>
      </w:r>
    </w:p>
    <w:p w:rsidR="00FE3AAC" w:rsidRPr="002276DC" w:rsidRDefault="0099333E" w:rsidP="0099333E">
      <w:pPr>
        <w:rPr>
          <w:kern w:val="2"/>
          <w:lang w:val="en-GB" w:eastAsia="zh-CN"/>
        </w:rPr>
      </w:pPr>
      <w:r w:rsidRPr="00D7613B">
        <w:rPr>
          <w:rFonts w:eastAsia="MS Mincho"/>
          <w:b/>
          <w:i/>
          <w:lang w:eastAsia="ja-JP"/>
        </w:rPr>
        <w:t xml:space="preserve">Observation </w:t>
      </w:r>
      <w:r>
        <w:rPr>
          <w:rFonts w:eastAsia="MS Mincho"/>
          <w:b/>
          <w:i/>
          <w:lang w:eastAsia="ja-JP"/>
        </w:rPr>
        <w:t>6</w:t>
      </w:r>
      <w:r w:rsidRPr="003F6C21">
        <w:rPr>
          <w:rFonts w:eastAsia="MS Mincho"/>
          <w:i/>
          <w:lang w:eastAsia="ja-JP"/>
        </w:rPr>
        <w:t>:</w:t>
      </w:r>
      <w:r>
        <w:rPr>
          <w:rFonts w:eastAsia="MS Mincho"/>
          <w:i/>
          <w:lang w:eastAsia="ja-JP"/>
        </w:rPr>
        <w:t xml:space="preserve"> </w:t>
      </w:r>
      <w:r w:rsidRPr="002276DC">
        <w:rPr>
          <w:rFonts w:eastAsia="MS Mincho"/>
          <w:i/>
          <w:lang w:eastAsia="ja-JP"/>
        </w:rPr>
        <w:t>gNB may</w:t>
      </w:r>
      <w:r>
        <w:rPr>
          <w:rFonts w:eastAsia="MS Mincho"/>
          <w:i/>
          <w:lang w:eastAsia="ja-JP"/>
        </w:rPr>
        <w:t xml:space="preserve"> need to</w:t>
      </w:r>
      <w:r w:rsidRPr="002276DC">
        <w:rPr>
          <w:rFonts w:eastAsia="MS Mincho"/>
          <w:i/>
          <w:lang w:eastAsia="ja-JP"/>
        </w:rPr>
        <w:t xml:space="preserve"> adjust the time window of received signal based on the estimated timing offset before the PUSCH detection.</w:t>
      </w:r>
    </w:p>
    <w:p w:rsidR="0099333E" w:rsidRPr="00BF5F26" w:rsidRDefault="0099333E" w:rsidP="0099333E">
      <w:pPr>
        <w:rPr>
          <w:kern w:val="2"/>
          <w:lang w:val="en-GB" w:eastAsia="zh-CN"/>
        </w:rPr>
      </w:pPr>
      <w:bookmarkStart w:id="4" w:name="_Ref124589665"/>
      <w:bookmarkStart w:id="5" w:name="_Ref71620620"/>
      <w:bookmarkStart w:id="6" w:name="_Ref124671424"/>
      <w:r w:rsidRPr="00D7613B">
        <w:rPr>
          <w:rFonts w:eastAsia="MS Mincho"/>
          <w:b/>
          <w:i/>
          <w:lang w:eastAsia="ja-JP"/>
        </w:rPr>
        <w:t xml:space="preserve">Observation </w:t>
      </w:r>
      <w:r>
        <w:rPr>
          <w:rFonts w:eastAsia="MS Mincho"/>
          <w:b/>
          <w:i/>
          <w:lang w:eastAsia="ja-JP"/>
        </w:rPr>
        <w:t>7</w:t>
      </w:r>
      <w:r w:rsidRPr="003F6C21">
        <w:rPr>
          <w:rFonts w:eastAsia="MS Mincho"/>
          <w:i/>
          <w:lang w:eastAsia="ja-JP"/>
        </w:rPr>
        <w:t>:</w:t>
      </w:r>
      <w:r>
        <w:rPr>
          <w:rFonts w:eastAsia="MS Mincho"/>
          <w:i/>
          <w:lang w:eastAsia="ja-JP"/>
        </w:rPr>
        <w:t xml:space="preserve"> When there are multiple UEs performing 2-step RACH, gNB may need to do multiple times of FFT operations per slot.</w:t>
      </w:r>
    </w:p>
    <w:p w:rsidR="001D780E" w:rsidRPr="00CF195E" w:rsidRDefault="001D780E" w:rsidP="00CF195E">
      <w:pPr>
        <w:pStyle w:val="1"/>
        <w:numPr>
          <w:ilvl w:val="0"/>
          <w:numId w:val="0"/>
        </w:numPr>
        <w:ind w:left="432" w:hanging="432"/>
      </w:pPr>
      <w:r w:rsidRPr="00CF195E">
        <w:t>References</w:t>
      </w:r>
    </w:p>
    <w:p w:rsidR="00756876" w:rsidRDefault="00756876" w:rsidP="00756876">
      <w:pPr>
        <w:pStyle w:val="References"/>
      </w:pPr>
      <w:bookmarkStart w:id="7" w:name="_Ref167612875"/>
      <w:bookmarkStart w:id="8" w:name="_Ref167612671"/>
      <w:bookmarkEnd w:id="4"/>
      <w:bookmarkEnd w:id="5"/>
      <w:bookmarkEnd w:id="6"/>
      <w:r w:rsidRPr="00756876">
        <w:t>RP-1</w:t>
      </w:r>
      <w:r>
        <w:t>82894</w:t>
      </w:r>
      <w:r w:rsidRPr="00756876">
        <w:t>, “New work item: 2-step RACH for NR”, RAN#</w:t>
      </w:r>
      <w:r>
        <w:t>82</w:t>
      </w:r>
      <w:r w:rsidRPr="00756876">
        <w:t>, Sorrento, Italy, Dec. 10-13, 2018.</w:t>
      </w:r>
    </w:p>
    <w:p w:rsidR="001B712D" w:rsidRDefault="001B712D" w:rsidP="001B712D">
      <w:pPr>
        <w:pStyle w:val="References"/>
      </w:pPr>
      <w:bookmarkStart w:id="9" w:name="_Ref10311"/>
      <w:r>
        <w:t>R1-19</w:t>
      </w:r>
      <w:r w:rsidR="00CF24DF">
        <w:t>039</w:t>
      </w:r>
      <w:r w:rsidR="00EA01C3">
        <w:t>23</w:t>
      </w:r>
      <w:r>
        <w:t>, “</w:t>
      </w:r>
      <w:r w:rsidR="001D6FDB">
        <w:t>Further discussion on c</w:t>
      </w:r>
      <w:r>
        <w:t>hannel structure</w:t>
      </w:r>
      <w:r w:rsidRPr="00936DFE">
        <w:t xml:space="preserve"> for 2-step RACH</w:t>
      </w:r>
      <w:r>
        <w:t>”, RAN1#96</w:t>
      </w:r>
      <w:r w:rsidR="001D6FDB">
        <w:t>bis</w:t>
      </w:r>
      <w:r>
        <w:t xml:space="preserve">, Huawei, HiSilicon, </w:t>
      </w:r>
      <w:r w:rsidR="001D6FDB">
        <w:t>Xi’an, China, Apr</w:t>
      </w:r>
      <w:r w:rsidR="00EA01C3">
        <w:t>il</w:t>
      </w:r>
      <w:r>
        <w:t xml:space="preserve"> </w:t>
      </w:r>
      <w:r w:rsidR="001D6FDB">
        <w:t>8</w:t>
      </w:r>
      <w:r>
        <w:t>-</w:t>
      </w:r>
      <w:r w:rsidR="001D6FDB">
        <w:t>12</w:t>
      </w:r>
      <w:r>
        <w:t>, 2019</w:t>
      </w:r>
      <w:bookmarkEnd w:id="9"/>
      <w:r>
        <w:t>.</w:t>
      </w:r>
    </w:p>
    <w:p w:rsidR="001B712D" w:rsidRDefault="001B712D" w:rsidP="00703E9B">
      <w:pPr>
        <w:pStyle w:val="References"/>
      </w:pPr>
      <w:r>
        <w:t>R1-19</w:t>
      </w:r>
      <w:r w:rsidR="00CF24DF">
        <w:t>039</w:t>
      </w:r>
      <w:r w:rsidR="00EA01C3">
        <w:t>24</w:t>
      </w:r>
      <w:r>
        <w:t>, “</w:t>
      </w:r>
      <w:r w:rsidR="00703E9B" w:rsidRPr="00703E9B">
        <w:t>Further discussion on 2-step RACH procedure</w:t>
      </w:r>
      <w:r>
        <w:t>”, RAN1#96</w:t>
      </w:r>
      <w:r w:rsidR="001D6FDB">
        <w:t>bis</w:t>
      </w:r>
      <w:r>
        <w:t xml:space="preserve">, Huawei, HiSilicon, </w:t>
      </w:r>
      <w:r w:rsidR="001D6FDB">
        <w:t>Xi’an, China</w:t>
      </w:r>
      <w:r>
        <w:t xml:space="preserve">, </w:t>
      </w:r>
      <w:r w:rsidR="001D6FDB">
        <w:t>Apr</w:t>
      </w:r>
      <w:r w:rsidR="00EA01C3">
        <w:t>il</w:t>
      </w:r>
      <w:r>
        <w:t xml:space="preserve"> </w:t>
      </w:r>
      <w:r w:rsidR="001D6FDB">
        <w:t>8</w:t>
      </w:r>
      <w:r>
        <w:t>-</w:t>
      </w:r>
      <w:r w:rsidR="001D6FDB">
        <w:t>12</w:t>
      </w:r>
      <w:r>
        <w:t>, 2019.</w:t>
      </w:r>
    </w:p>
    <w:p w:rsidR="00E278D8" w:rsidRDefault="00E278D8">
      <w:pPr>
        <w:pStyle w:val="References"/>
      </w:pPr>
      <w:r>
        <w:t>R1-1904684, “</w:t>
      </w:r>
      <w:r w:rsidRPr="00E278D8">
        <w:t>Preliminary results for 2-step RACH evaluations</w:t>
      </w:r>
      <w:r>
        <w:t>”, RAN1#96bis, Huawei, HiSilicon, Xi’an, China, April 8-12, 2019.</w:t>
      </w:r>
    </w:p>
    <w:p w:rsidR="001B712D" w:rsidRDefault="001B712D" w:rsidP="001B712D">
      <w:pPr>
        <w:pStyle w:val="References"/>
      </w:pPr>
      <w:r>
        <w:t xml:space="preserve">R1-061369, “LTE random access capacity and collision probability”, RAN1#45, Ericsson, </w:t>
      </w:r>
      <w:r>
        <w:rPr>
          <w:color w:val="000000"/>
        </w:rPr>
        <w:t>Shanghai, China, May 8-12, 2006.</w:t>
      </w:r>
    </w:p>
    <w:bookmarkEnd w:id="7"/>
    <w:p w:rsidR="00FE6FB9" w:rsidRPr="00CF195E" w:rsidRDefault="00FE6FB9">
      <w:pPr>
        <w:pStyle w:val="References"/>
        <w:numPr>
          <w:ilvl w:val="0"/>
          <w:numId w:val="0"/>
        </w:numPr>
      </w:pPr>
    </w:p>
    <w:bookmarkEnd w:id="8"/>
    <w:p w:rsidR="00136A23" w:rsidRPr="00703E9B" w:rsidRDefault="00703E9B" w:rsidP="00703E9B">
      <w:pPr>
        <w:pStyle w:val="1"/>
        <w:numPr>
          <w:ilvl w:val="0"/>
          <w:numId w:val="0"/>
        </w:numPr>
        <w:ind w:left="432" w:hanging="432"/>
      </w:pPr>
      <w:r w:rsidRPr="00703E9B">
        <w:rPr>
          <w:rFonts w:hint="eastAsia"/>
        </w:rPr>
        <w:t>Appendix</w:t>
      </w:r>
    </w:p>
    <w:p w:rsidR="00703E9B" w:rsidRPr="003107F2" w:rsidRDefault="00703E9B" w:rsidP="00703E9B">
      <w:pPr>
        <w:rPr>
          <w:b/>
          <w:bCs/>
          <w:i/>
          <w:u w:val="single"/>
        </w:rPr>
      </w:pPr>
      <w:r w:rsidRPr="002421A5">
        <w:rPr>
          <w:b/>
          <w:bCs/>
          <w:i/>
          <w:highlight w:val="green"/>
          <w:u w:val="single"/>
        </w:rPr>
        <w:t>Approved by email</w:t>
      </w:r>
    </w:p>
    <w:p w:rsidR="00703E9B" w:rsidRPr="00DB557F" w:rsidRDefault="00703E9B" w:rsidP="00703E9B">
      <w:pPr>
        <w:pStyle w:val="af1"/>
        <w:numPr>
          <w:ilvl w:val="0"/>
          <w:numId w:val="42"/>
        </w:numPr>
        <w:autoSpaceDE/>
        <w:autoSpaceDN/>
        <w:adjustRightInd/>
        <w:spacing w:after="0" w:line="276" w:lineRule="auto"/>
        <w:ind w:firstLineChars="0"/>
        <w:jc w:val="left"/>
        <w:rPr>
          <w:bCs/>
        </w:rPr>
      </w:pPr>
      <w:r w:rsidRPr="00DB557F">
        <w:rPr>
          <w:bCs/>
        </w:rPr>
        <w:t xml:space="preserve">Adopt the link-level simulation assumptions in the following table for the initial evaluation of </w:t>
      </w:r>
      <w:r>
        <w:rPr>
          <w:bCs/>
        </w:rPr>
        <w:t>feasible</w:t>
      </w:r>
      <w:r w:rsidRPr="00DB557F">
        <w:rPr>
          <w:bCs/>
        </w:rPr>
        <w:t xml:space="preserve"> payload size, and for the potential down-selection of schemes, e.g.</w:t>
      </w:r>
    </w:p>
    <w:p w:rsidR="00703E9B" w:rsidRPr="00DB557F" w:rsidRDefault="00703E9B" w:rsidP="00703E9B">
      <w:pPr>
        <w:pStyle w:val="af1"/>
        <w:numPr>
          <w:ilvl w:val="1"/>
          <w:numId w:val="42"/>
        </w:numPr>
        <w:autoSpaceDE/>
        <w:autoSpaceDN/>
        <w:adjustRightInd/>
        <w:spacing w:after="0" w:line="276" w:lineRule="auto"/>
        <w:ind w:firstLineChars="0"/>
        <w:jc w:val="left"/>
        <w:rPr>
          <w:bCs/>
        </w:rPr>
      </w:pPr>
      <w:r w:rsidRPr="00DB557F">
        <w:rPr>
          <w:bCs/>
        </w:rPr>
        <w:t>whether to have shared ROs and/or preambles between 2-step RACH and 4-step RACH, and if yes the percentage for partitioning</w:t>
      </w:r>
    </w:p>
    <w:p w:rsidR="00703E9B" w:rsidRPr="00DB557F" w:rsidRDefault="00703E9B" w:rsidP="00703E9B">
      <w:pPr>
        <w:pStyle w:val="af1"/>
        <w:numPr>
          <w:ilvl w:val="1"/>
          <w:numId w:val="42"/>
        </w:numPr>
        <w:autoSpaceDE/>
        <w:autoSpaceDN/>
        <w:adjustRightInd/>
        <w:spacing w:after="0" w:line="276" w:lineRule="auto"/>
        <w:ind w:firstLineChars="0"/>
        <w:jc w:val="left"/>
        <w:rPr>
          <w:bCs/>
        </w:rPr>
      </w:pPr>
      <w:r w:rsidRPr="00DB557F">
        <w:rPr>
          <w:bCs/>
        </w:rPr>
        <w:t>whether to have the guard time between PRACH and PUSCH and/or guard period within PUSCH, and if yes the length of GT/GP</w:t>
      </w:r>
    </w:p>
    <w:p w:rsidR="00703E9B" w:rsidRPr="00DB557F" w:rsidRDefault="00703E9B" w:rsidP="00703E9B">
      <w:pPr>
        <w:pStyle w:val="af1"/>
        <w:numPr>
          <w:ilvl w:val="1"/>
          <w:numId w:val="42"/>
        </w:numPr>
        <w:autoSpaceDE/>
        <w:autoSpaceDN/>
        <w:adjustRightInd/>
        <w:spacing w:after="0" w:line="276" w:lineRule="auto"/>
        <w:ind w:firstLineChars="0"/>
        <w:jc w:val="left"/>
        <w:rPr>
          <w:bCs/>
        </w:rPr>
      </w:pPr>
      <w:r w:rsidRPr="00DB557F">
        <w:rPr>
          <w:bCs/>
        </w:rPr>
        <w:t>the mapping scheme between preamble and PUSCH+DMRS, .e.g 1-to-1, multiple-to-1, or 1-to-multiple</w:t>
      </w:r>
    </w:p>
    <w:p w:rsidR="00703E9B" w:rsidRPr="00DB557F" w:rsidRDefault="00703E9B" w:rsidP="00703E9B">
      <w:pPr>
        <w:pStyle w:val="af1"/>
        <w:numPr>
          <w:ilvl w:val="1"/>
          <w:numId w:val="42"/>
        </w:numPr>
        <w:autoSpaceDE/>
        <w:autoSpaceDN/>
        <w:adjustRightInd/>
        <w:spacing w:after="0" w:line="276" w:lineRule="auto"/>
        <w:ind w:firstLineChars="0"/>
        <w:jc w:val="left"/>
        <w:rPr>
          <w:bCs/>
        </w:rPr>
      </w:pPr>
      <w:r w:rsidRPr="00DB557F">
        <w:t>appropriate power offset(s) between preamble and PUSCH, and whether to support repetition of MsgA PUSCH</w:t>
      </w:r>
    </w:p>
    <w:p w:rsidR="00703E9B" w:rsidRPr="00D36320" w:rsidRDefault="00703E9B" w:rsidP="00703E9B">
      <w:pPr>
        <w:pStyle w:val="af1"/>
        <w:numPr>
          <w:ilvl w:val="1"/>
          <w:numId w:val="42"/>
        </w:numPr>
        <w:autoSpaceDE/>
        <w:autoSpaceDN/>
        <w:adjustRightInd/>
        <w:spacing w:after="0" w:line="276" w:lineRule="auto"/>
        <w:ind w:firstLineChars="0"/>
        <w:jc w:val="left"/>
        <w:rPr>
          <w:bCs/>
        </w:rPr>
      </w:pPr>
      <w:r w:rsidRPr="00D36320">
        <w:rPr>
          <w:bCs/>
        </w:rPr>
        <w:lastRenderedPageBreak/>
        <w:t>whether to have UCI in msgA PUSCH, if a PUCCH transmission overlaps the PUSCH part of MsgA</w:t>
      </w:r>
    </w:p>
    <w:p w:rsidR="00703E9B" w:rsidRPr="00273A09" w:rsidRDefault="00703E9B" w:rsidP="00703E9B">
      <w:pPr>
        <w:pStyle w:val="af1"/>
        <w:numPr>
          <w:ilvl w:val="1"/>
          <w:numId w:val="42"/>
        </w:numPr>
        <w:autoSpaceDE/>
        <w:autoSpaceDN/>
        <w:adjustRightInd/>
        <w:spacing w:after="0" w:line="276" w:lineRule="auto"/>
        <w:ind w:firstLineChars="0"/>
        <w:jc w:val="left"/>
        <w:rPr>
          <w:bCs/>
        </w:rPr>
      </w:pPr>
      <w:r w:rsidRPr="00273A09">
        <w:rPr>
          <w:bCs/>
        </w:rPr>
        <w:t>whether to dynamically adapt the payload size and indicate by UCI in msgA PUSCH, and if yes the content and structure of UCI</w:t>
      </w:r>
    </w:p>
    <w:p w:rsidR="00703E9B" w:rsidRPr="00273A09" w:rsidRDefault="00703E9B" w:rsidP="00703E9B">
      <w:pPr>
        <w:pStyle w:val="af1"/>
        <w:numPr>
          <w:ilvl w:val="1"/>
          <w:numId w:val="42"/>
        </w:numPr>
        <w:autoSpaceDE/>
        <w:autoSpaceDN/>
        <w:adjustRightInd/>
        <w:spacing w:after="0" w:line="276" w:lineRule="auto"/>
        <w:ind w:firstLineChars="0"/>
        <w:jc w:val="left"/>
        <w:rPr>
          <w:bCs/>
        </w:rPr>
      </w:pPr>
      <w:r w:rsidRPr="00273A09">
        <w:rPr>
          <w:bCs/>
        </w:rPr>
        <w:t>FFS other schemes, e.g. whether guard band is included</w:t>
      </w:r>
    </w:p>
    <w:p w:rsidR="00703E9B" w:rsidRPr="0012104D" w:rsidRDefault="00703E9B" w:rsidP="00703E9B">
      <w:pPr>
        <w:pStyle w:val="af1"/>
        <w:numPr>
          <w:ilvl w:val="0"/>
          <w:numId w:val="42"/>
        </w:numPr>
        <w:autoSpaceDE/>
        <w:autoSpaceDN/>
        <w:adjustRightInd/>
        <w:spacing w:after="0" w:line="276" w:lineRule="auto"/>
        <w:ind w:firstLineChars="0"/>
        <w:jc w:val="left"/>
        <w:rPr>
          <w:bCs/>
        </w:rPr>
      </w:pPr>
      <w:r w:rsidRPr="0012104D">
        <w:rPr>
          <w:bCs/>
        </w:rPr>
        <w:t>Additional system-level simulations or analytical evaluations can be considered for the following analysis:</w:t>
      </w:r>
    </w:p>
    <w:p w:rsidR="00703E9B" w:rsidRPr="0012104D" w:rsidRDefault="00703E9B" w:rsidP="00703E9B">
      <w:pPr>
        <w:pStyle w:val="af1"/>
        <w:numPr>
          <w:ilvl w:val="1"/>
          <w:numId w:val="42"/>
        </w:numPr>
        <w:autoSpaceDE/>
        <w:autoSpaceDN/>
        <w:adjustRightInd/>
        <w:spacing w:after="0" w:line="276" w:lineRule="auto"/>
        <w:ind w:firstLineChars="0"/>
        <w:jc w:val="left"/>
        <w:rPr>
          <w:bCs/>
        </w:rPr>
      </w:pPr>
      <w:r w:rsidRPr="0012104D">
        <w:rPr>
          <w:bCs/>
        </w:rPr>
        <w:t>Latency</w:t>
      </w:r>
    </w:p>
    <w:p w:rsidR="00703E9B" w:rsidRPr="0012104D" w:rsidRDefault="00703E9B" w:rsidP="00703E9B">
      <w:pPr>
        <w:pStyle w:val="af1"/>
        <w:numPr>
          <w:ilvl w:val="1"/>
          <w:numId w:val="42"/>
        </w:numPr>
        <w:autoSpaceDE/>
        <w:autoSpaceDN/>
        <w:adjustRightInd/>
        <w:spacing w:after="0" w:line="276" w:lineRule="auto"/>
        <w:ind w:firstLineChars="0"/>
        <w:jc w:val="left"/>
        <w:rPr>
          <w:bCs/>
        </w:rPr>
      </w:pPr>
      <w:r w:rsidRPr="0012104D">
        <w:rPr>
          <w:bCs/>
        </w:rPr>
        <w:t>Signalling overhead</w:t>
      </w:r>
    </w:p>
    <w:p w:rsidR="00703E9B" w:rsidRPr="0012104D" w:rsidRDefault="00703E9B" w:rsidP="00703E9B">
      <w:pPr>
        <w:pStyle w:val="af1"/>
        <w:numPr>
          <w:ilvl w:val="1"/>
          <w:numId w:val="42"/>
        </w:numPr>
        <w:autoSpaceDE/>
        <w:autoSpaceDN/>
        <w:adjustRightInd/>
        <w:spacing w:after="0" w:line="276" w:lineRule="auto"/>
        <w:ind w:firstLineChars="0"/>
        <w:jc w:val="left"/>
        <w:rPr>
          <w:bCs/>
        </w:rPr>
      </w:pPr>
      <w:r w:rsidRPr="0012104D">
        <w:rPr>
          <w:bCs/>
        </w:rPr>
        <w:t>Resource reservation overhead</w:t>
      </w:r>
    </w:p>
    <w:p w:rsidR="00703E9B" w:rsidRPr="0012104D" w:rsidRDefault="00703E9B" w:rsidP="00703E9B">
      <w:pPr>
        <w:pStyle w:val="af1"/>
        <w:numPr>
          <w:ilvl w:val="1"/>
          <w:numId w:val="42"/>
        </w:numPr>
        <w:autoSpaceDE/>
        <w:autoSpaceDN/>
        <w:adjustRightInd/>
        <w:spacing w:after="0" w:line="276" w:lineRule="auto"/>
        <w:ind w:firstLineChars="0"/>
        <w:jc w:val="left"/>
        <w:rPr>
          <w:bCs/>
        </w:rPr>
      </w:pPr>
      <w:r w:rsidRPr="0012104D">
        <w:rPr>
          <w:bCs/>
        </w:rPr>
        <w:t>PUSCH collision, with definition FFS, e.g. overlapped PUSCH occasion, with shared or separate DMRS port, and with same or different scrambling ID</w:t>
      </w:r>
    </w:p>
    <w:p w:rsidR="00703E9B" w:rsidRPr="0012104D" w:rsidRDefault="00703E9B" w:rsidP="00703E9B">
      <w:pPr>
        <w:pStyle w:val="af1"/>
        <w:numPr>
          <w:ilvl w:val="1"/>
          <w:numId w:val="42"/>
        </w:numPr>
        <w:autoSpaceDE/>
        <w:autoSpaceDN/>
        <w:adjustRightInd/>
        <w:spacing w:after="0" w:line="276" w:lineRule="auto"/>
        <w:ind w:firstLineChars="0"/>
        <w:jc w:val="left"/>
        <w:rPr>
          <w:bCs/>
        </w:rPr>
      </w:pPr>
      <w:r w:rsidRPr="0012104D">
        <w:rPr>
          <w:bCs/>
        </w:rPr>
        <w:t>Rx detection complexity</w:t>
      </w:r>
    </w:p>
    <w:p w:rsidR="00703E9B" w:rsidRDefault="00703E9B" w:rsidP="00703E9B">
      <w:pPr>
        <w:pStyle w:val="af1"/>
        <w:numPr>
          <w:ilvl w:val="0"/>
          <w:numId w:val="42"/>
        </w:numPr>
        <w:autoSpaceDE/>
        <w:autoSpaceDN/>
        <w:adjustRightInd/>
        <w:spacing w:after="0" w:line="276" w:lineRule="auto"/>
        <w:ind w:firstLineChars="0"/>
        <w:jc w:val="left"/>
        <w:rPr>
          <w:bCs/>
        </w:rPr>
      </w:pPr>
      <w:r w:rsidRPr="00DB557F">
        <w:rPr>
          <w:bCs/>
        </w:rPr>
        <w:t>Note</w:t>
      </w:r>
      <w:r>
        <w:rPr>
          <w:bCs/>
        </w:rPr>
        <w:t xml:space="preserve"> 1:</w:t>
      </w:r>
      <w:r w:rsidRPr="00DB557F">
        <w:rPr>
          <w:bCs/>
        </w:rPr>
        <w:t xml:space="preserve"> the supported/recommended payload size from RAN1 perspective may also need to take other factors into account, e.g. use cases, resource utilization.</w:t>
      </w:r>
    </w:p>
    <w:p w:rsidR="00703E9B" w:rsidRPr="00273A09" w:rsidRDefault="00703E9B" w:rsidP="00703E9B">
      <w:pPr>
        <w:pStyle w:val="af1"/>
        <w:numPr>
          <w:ilvl w:val="0"/>
          <w:numId w:val="42"/>
        </w:numPr>
        <w:autoSpaceDE/>
        <w:autoSpaceDN/>
        <w:adjustRightInd/>
        <w:spacing w:after="0" w:line="276" w:lineRule="auto"/>
        <w:ind w:firstLineChars="0"/>
        <w:jc w:val="left"/>
        <w:rPr>
          <w:bCs/>
        </w:rPr>
      </w:pPr>
      <w:r w:rsidRPr="00273A09">
        <w:rPr>
          <w:bCs/>
        </w:rPr>
        <w:t>Note 2: the WID scope should be strictly followed when using the evaluation results for the comparison of schemes.</w:t>
      </w:r>
    </w:p>
    <w:p w:rsidR="00703E9B" w:rsidRPr="007560C6" w:rsidRDefault="00703E9B" w:rsidP="00703E9B">
      <w:pPr>
        <w:rPr>
          <w:bCs/>
        </w:rPr>
      </w:pPr>
    </w:p>
    <w:p w:rsidR="00703E9B" w:rsidRPr="00365D33" w:rsidRDefault="00703E9B" w:rsidP="00703E9B">
      <w:pPr>
        <w:jc w:val="center"/>
        <w:rPr>
          <w:bCs/>
        </w:rPr>
      </w:pPr>
      <w:r>
        <w:t>Table 2: Link-level evaluation assumptions</w:t>
      </w:r>
    </w:p>
    <w:tbl>
      <w:tblPr>
        <w:tblW w:w="9340" w:type="dxa"/>
        <w:jc w:val="center"/>
        <w:tblLayout w:type="fixed"/>
        <w:tblLook w:val="04A0" w:firstRow="1" w:lastRow="0" w:firstColumn="1" w:lastColumn="0" w:noHBand="0" w:noVBand="1"/>
      </w:tblPr>
      <w:tblGrid>
        <w:gridCol w:w="3251"/>
        <w:gridCol w:w="6089"/>
      </w:tblGrid>
      <w:tr w:rsidR="00703E9B" w:rsidTr="00F634EE">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000000" w:fill="D9D9D9"/>
            <w:vAlign w:val="center"/>
          </w:tcPr>
          <w:p w:rsidR="00703E9B" w:rsidRDefault="00703E9B" w:rsidP="00F634EE">
            <w:pPr>
              <w:spacing w:after="0"/>
              <w:jc w:val="center"/>
              <w:rPr>
                <w:b/>
                <w:bCs/>
                <w:sz w:val="20"/>
                <w:szCs w:val="20"/>
              </w:rPr>
            </w:pPr>
            <w:r>
              <w:rPr>
                <w:rFonts w:eastAsia="MS Mincho"/>
                <w:b/>
                <w:bCs/>
                <w:sz w:val="20"/>
                <w:szCs w:val="20"/>
                <w:lang w:val="en-GB" w:eastAsia="ja-JP"/>
              </w:rPr>
              <w:t>Parameters</w:t>
            </w:r>
          </w:p>
        </w:tc>
        <w:tc>
          <w:tcPr>
            <w:tcW w:w="6089" w:type="dxa"/>
            <w:tcBorders>
              <w:top w:val="single" w:sz="8" w:space="0" w:color="000000"/>
              <w:left w:val="nil"/>
              <w:bottom w:val="single" w:sz="8" w:space="0" w:color="000000"/>
              <w:right w:val="single" w:sz="8" w:space="0" w:color="000000"/>
            </w:tcBorders>
            <w:shd w:val="clear" w:color="000000" w:fill="D9D9D9"/>
            <w:vAlign w:val="center"/>
          </w:tcPr>
          <w:p w:rsidR="00703E9B" w:rsidRDefault="00703E9B" w:rsidP="00F634EE">
            <w:pPr>
              <w:spacing w:after="0"/>
              <w:jc w:val="center"/>
              <w:rPr>
                <w:b/>
                <w:bCs/>
                <w:sz w:val="20"/>
                <w:szCs w:val="20"/>
              </w:rPr>
            </w:pPr>
            <w:r>
              <w:rPr>
                <w:rFonts w:eastAsia="MS Mincho"/>
                <w:b/>
                <w:bCs/>
                <w:sz w:val="20"/>
                <w:szCs w:val="20"/>
                <w:lang w:val="en-GB"/>
              </w:rPr>
              <w:t>Values</w:t>
            </w:r>
          </w:p>
        </w:tc>
      </w:tr>
      <w:tr w:rsidR="00703E9B" w:rsidTr="00F634EE">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auto" w:fill="auto"/>
            <w:vAlign w:val="center"/>
          </w:tcPr>
          <w:p w:rsidR="00703E9B" w:rsidRPr="00106C74" w:rsidRDefault="00703E9B" w:rsidP="00F634EE">
            <w:pPr>
              <w:spacing w:after="0"/>
              <w:rPr>
                <w:rFonts w:eastAsia="MS Mincho"/>
                <w:strike/>
                <w:sz w:val="20"/>
                <w:szCs w:val="20"/>
                <w:lang w:eastAsia="en-GB"/>
              </w:rPr>
            </w:pPr>
            <w:r w:rsidRPr="00273A09">
              <w:rPr>
                <w:rFonts w:eastAsia="MS Mincho"/>
                <w:sz w:val="20"/>
                <w:szCs w:val="20"/>
                <w:lang w:val="en-GB" w:eastAsia="en-GB"/>
              </w:rPr>
              <w:t>Scenario</w:t>
            </w:r>
          </w:p>
        </w:tc>
        <w:tc>
          <w:tcPr>
            <w:tcW w:w="6089" w:type="dxa"/>
            <w:tcBorders>
              <w:top w:val="single" w:sz="8" w:space="0" w:color="000000"/>
              <w:left w:val="nil"/>
              <w:bottom w:val="single" w:sz="8" w:space="0" w:color="000000"/>
              <w:right w:val="single" w:sz="8" w:space="0" w:color="000000"/>
            </w:tcBorders>
            <w:shd w:val="clear" w:color="auto" w:fill="auto"/>
            <w:vAlign w:val="center"/>
          </w:tcPr>
          <w:p w:rsidR="00703E9B" w:rsidRPr="00D36320" w:rsidRDefault="00703E9B" w:rsidP="00703E9B">
            <w:pPr>
              <w:pStyle w:val="af1"/>
              <w:numPr>
                <w:ilvl w:val="0"/>
                <w:numId w:val="40"/>
              </w:numPr>
              <w:autoSpaceDE/>
              <w:autoSpaceDN/>
              <w:spacing w:after="0"/>
              <w:ind w:firstLineChars="0"/>
              <w:jc w:val="left"/>
              <w:rPr>
                <w:color w:val="000000" w:themeColor="text1"/>
                <w:sz w:val="20"/>
                <w:szCs w:val="20"/>
              </w:rPr>
            </w:pPr>
            <w:r w:rsidRPr="00D36320">
              <w:rPr>
                <w:color w:val="000000" w:themeColor="text1"/>
                <w:sz w:val="20"/>
                <w:szCs w:val="20"/>
              </w:rPr>
              <w:t xml:space="preserve">For evaluation of schemes: 200m, UMi, 4 GHz.  FFS: </w:t>
            </w:r>
            <w:r w:rsidRPr="00D36320">
              <w:rPr>
                <w:rFonts w:hint="eastAsia"/>
                <w:color w:val="000000" w:themeColor="text1"/>
                <w:sz w:val="20"/>
                <w:szCs w:val="20"/>
              </w:rPr>
              <w:t>500m</w:t>
            </w:r>
            <w:r w:rsidRPr="00D36320">
              <w:rPr>
                <w:color w:val="000000" w:themeColor="text1"/>
                <w:sz w:val="20"/>
                <w:szCs w:val="20"/>
              </w:rPr>
              <w:t>, UMa, 4 GHz.</w:t>
            </w:r>
          </w:p>
          <w:p w:rsidR="00703E9B" w:rsidRPr="00D36320" w:rsidRDefault="00703E9B" w:rsidP="00703E9B">
            <w:pPr>
              <w:pStyle w:val="af1"/>
              <w:numPr>
                <w:ilvl w:val="0"/>
                <w:numId w:val="40"/>
              </w:numPr>
              <w:autoSpaceDE/>
              <w:autoSpaceDN/>
              <w:spacing w:after="0"/>
              <w:ind w:firstLineChars="0"/>
              <w:jc w:val="left"/>
              <w:rPr>
                <w:color w:val="000000" w:themeColor="text1"/>
                <w:sz w:val="20"/>
                <w:szCs w:val="20"/>
              </w:rPr>
            </w:pPr>
            <w:r w:rsidRPr="00D36320">
              <w:rPr>
                <w:color w:val="000000" w:themeColor="text1"/>
                <w:sz w:val="20"/>
                <w:szCs w:val="20"/>
              </w:rPr>
              <w:t xml:space="preserve">For evaluation of payload size: </w:t>
            </w:r>
            <w:r w:rsidRPr="00D36320">
              <w:rPr>
                <w:rFonts w:hint="eastAsia"/>
                <w:color w:val="000000" w:themeColor="text1"/>
                <w:sz w:val="20"/>
                <w:szCs w:val="20"/>
              </w:rPr>
              <w:t>200m</w:t>
            </w:r>
            <w:r w:rsidRPr="00D36320">
              <w:rPr>
                <w:color w:val="000000" w:themeColor="text1"/>
                <w:sz w:val="20"/>
                <w:szCs w:val="20"/>
              </w:rPr>
              <w:t>, UMi, 4 GHz</w:t>
            </w:r>
            <w:r w:rsidRPr="00D36320">
              <w:rPr>
                <w:rFonts w:hint="eastAsia"/>
                <w:color w:val="000000" w:themeColor="text1"/>
                <w:sz w:val="20"/>
                <w:szCs w:val="20"/>
              </w:rPr>
              <w:t xml:space="preserve">; </w:t>
            </w:r>
            <w:r w:rsidRPr="00D36320">
              <w:rPr>
                <w:color w:val="000000" w:themeColor="text1"/>
                <w:sz w:val="20"/>
                <w:szCs w:val="20"/>
              </w:rPr>
              <w:t xml:space="preserve">or </w:t>
            </w:r>
            <w:r w:rsidRPr="00D36320">
              <w:rPr>
                <w:rFonts w:hint="eastAsia"/>
                <w:color w:val="000000" w:themeColor="text1"/>
                <w:sz w:val="20"/>
                <w:szCs w:val="20"/>
              </w:rPr>
              <w:t>500m</w:t>
            </w:r>
            <w:r w:rsidRPr="00D36320">
              <w:rPr>
                <w:color w:val="000000" w:themeColor="text1"/>
                <w:sz w:val="20"/>
                <w:szCs w:val="20"/>
              </w:rPr>
              <w:t>, UMa, 4 GHz</w:t>
            </w:r>
            <w:r w:rsidRPr="00D36320">
              <w:rPr>
                <w:rFonts w:hint="eastAsia"/>
                <w:color w:val="000000" w:themeColor="text1"/>
                <w:sz w:val="20"/>
                <w:szCs w:val="20"/>
              </w:rPr>
              <w:t>; or 1732m</w:t>
            </w:r>
            <w:r w:rsidRPr="00D36320">
              <w:rPr>
                <w:color w:val="000000" w:themeColor="text1"/>
                <w:sz w:val="20"/>
                <w:szCs w:val="20"/>
              </w:rPr>
              <w:t>, RMa, 700 MHz; or 25km, RMa, 700 MHz.</w:t>
            </w:r>
          </w:p>
          <w:p w:rsidR="00703E9B" w:rsidRPr="00DB557F" w:rsidRDefault="00703E9B" w:rsidP="00F634EE">
            <w:pPr>
              <w:spacing w:after="0"/>
              <w:rPr>
                <w:sz w:val="20"/>
                <w:szCs w:val="20"/>
              </w:rPr>
            </w:pPr>
            <w:r w:rsidRPr="00D36320">
              <w:rPr>
                <w:color w:val="000000" w:themeColor="text1"/>
                <w:sz w:val="20"/>
                <w:szCs w:val="20"/>
              </w:rPr>
              <w:t>Other value</w:t>
            </w:r>
            <w:r>
              <w:rPr>
                <w:color w:val="000000" w:themeColor="text1"/>
                <w:sz w:val="20"/>
                <w:szCs w:val="20"/>
              </w:rPr>
              <w:t>s can be reported if applicable.</w:t>
            </w:r>
            <w:r w:rsidRPr="00D36320">
              <w:rPr>
                <w:color w:val="000000" w:themeColor="text1"/>
                <w:sz w:val="20"/>
                <w:szCs w:val="20"/>
              </w:rPr>
              <w:t xml:space="preserve"> Note: this does not restrict preamble format selection.</w:t>
            </w:r>
          </w:p>
        </w:tc>
      </w:tr>
      <w:tr w:rsidR="00703E9B" w:rsidTr="00F634EE">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rsidR="00703E9B" w:rsidRPr="00DB557F" w:rsidRDefault="00703E9B" w:rsidP="00F634EE">
            <w:pPr>
              <w:spacing w:after="0"/>
              <w:rPr>
                <w:rFonts w:eastAsia="MS Mincho"/>
                <w:sz w:val="20"/>
                <w:szCs w:val="20"/>
                <w:lang w:val="en-GB" w:eastAsia="en-GB"/>
              </w:rPr>
            </w:pPr>
            <w:r w:rsidRPr="00DB557F">
              <w:rPr>
                <w:sz w:val="20"/>
                <w:szCs w:val="20"/>
              </w:rPr>
              <w:t>Preamble format</w:t>
            </w:r>
          </w:p>
        </w:tc>
        <w:tc>
          <w:tcPr>
            <w:tcW w:w="6089" w:type="dxa"/>
            <w:tcBorders>
              <w:top w:val="nil"/>
              <w:left w:val="nil"/>
              <w:bottom w:val="single" w:sz="8" w:space="0" w:color="000000"/>
              <w:right w:val="single" w:sz="4" w:space="0" w:color="auto"/>
            </w:tcBorders>
            <w:shd w:val="clear" w:color="auto" w:fill="auto"/>
            <w:vAlign w:val="center"/>
          </w:tcPr>
          <w:p w:rsidR="00703E9B" w:rsidRPr="00DB557F" w:rsidRDefault="00703E9B" w:rsidP="00F634EE">
            <w:pPr>
              <w:spacing w:after="0"/>
              <w:rPr>
                <w:sz w:val="20"/>
                <w:szCs w:val="20"/>
              </w:rPr>
            </w:pPr>
            <w:r w:rsidRPr="00DB557F">
              <w:rPr>
                <w:rFonts w:hint="eastAsia"/>
                <w:sz w:val="20"/>
                <w:szCs w:val="20"/>
              </w:rPr>
              <w:t>Company report</w:t>
            </w:r>
          </w:p>
        </w:tc>
      </w:tr>
      <w:tr w:rsidR="00703E9B" w:rsidTr="00F634EE">
        <w:trPr>
          <w:cantSplit/>
          <w:trHeight w:val="340"/>
          <w:jc w:val="center"/>
        </w:trPr>
        <w:tc>
          <w:tcPr>
            <w:tcW w:w="3251" w:type="dxa"/>
            <w:tcBorders>
              <w:top w:val="single" w:sz="4" w:space="0" w:color="auto"/>
              <w:left w:val="single" w:sz="8" w:space="0" w:color="000000"/>
              <w:bottom w:val="single" w:sz="8" w:space="0" w:color="000000"/>
              <w:right w:val="single" w:sz="8" w:space="0" w:color="000000"/>
            </w:tcBorders>
            <w:shd w:val="clear" w:color="auto" w:fill="auto"/>
            <w:vAlign w:val="center"/>
          </w:tcPr>
          <w:p w:rsidR="00703E9B" w:rsidRPr="00DB557F" w:rsidRDefault="00703E9B" w:rsidP="00F634EE">
            <w:pPr>
              <w:spacing w:after="0"/>
              <w:rPr>
                <w:sz w:val="20"/>
                <w:szCs w:val="20"/>
              </w:rPr>
            </w:pPr>
            <w:r w:rsidRPr="00DB557F">
              <w:rPr>
                <w:rFonts w:eastAsia="MS Mincho"/>
                <w:sz w:val="20"/>
                <w:szCs w:val="20"/>
                <w:lang w:val="en-GB" w:eastAsia="en-GB"/>
              </w:rPr>
              <w:t>Waveform</w:t>
            </w:r>
            <w:r w:rsidRPr="00DB557F">
              <w:rPr>
                <w:sz w:val="20"/>
                <w:szCs w:val="20"/>
              </w:rPr>
              <w:t xml:space="preserve"> </w:t>
            </w:r>
            <w:r w:rsidRPr="00DB557F">
              <w:rPr>
                <w:rFonts w:eastAsia="MS Mincho"/>
                <w:sz w:val="20"/>
                <w:szCs w:val="20"/>
                <w:lang w:val="en-GB" w:eastAsia="en-GB"/>
              </w:rPr>
              <w:t>(data part)</w:t>
            </w:r>
          </w:p>
        </w:tc>
        <w:tc>
          <w:tcPr>
            <w:tcW w:w="6089" w:type="dxa"/>
            <w:tcBorders>
              <w:top w:val="nil"/>
              <w:left w:val="nil"/>
              <w:bottom w:val="single" w:sz="8" w:space="0" w:color="000000"/>
              <w:right w:val="single" w:sz="8" w:space="0" w:color="000000"/>
            </w:tcBorders>
            <w:shd w:val="clear" w:color="auto" w:fill="auto"/>
            <w:vAlign w:val="center"/>
          </w:tcPr>
          <w:p w:rsidR="00703E9B" w:rsidRPr="00DB557F" w:rsidRDefault="00703E9B" w:rsidP="00F634EE">
            <w:pPr>
              <w:numPr>
                <w:ilvl w:val="255"/>
                <w:numId w:val="0"/>
              </w:numPr>
              <w:spacing w:after="0"/>
              <w:rPr>
                <w:sz w:val="20"/>
                <w:szCs w:val="20"/>
              </w:rPr>
            </w:pPr>
            <w:r w:rsidRPr="00DB557F">
              <w:rPr>
                <w:rFonts w:hint="eastAsia"/>
                <w:sz w:val="20"/>
                <w:szCs w:val="20"/>
              </w:rPr>
              <w:t>CP-OFDM</w:t>
            </w:r>
            <w:r w:rsidRPr="00DB557F">
              <w:rPr>
                <w:sz w:val="20"/>
                <w:szCs w:val="20"/>
              </w:rPr>
              <w:t>, or DFT-s-OFDM</w:t>
            </w:r>
          </w:p>
        </w:tc>
      </w:tr>
      <w:tr w:rsidR="00703E9B" w:rsidTr="00F634EE">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rsidR="00703E9B" w:rsidRPr="00DB557F" w:rsidRDefault="00703E9B" w:rsidP="00F634EE">
            <w:pPr>
              <w:spacing w:after="0"/>
              <w:rPr>
                <w:sz w:val="20"/>
                <w:szCs w:val="20"/>
              </w:rPr>
            </w:pPr>
            <w:r w:rsidRPr="00DB557F">
              <w:rPr>
                <w:rFonts w:eastAsia="MS Mincho"/>
                <w:sz w:val="20"/>
                <w:szCs w:val="20"/>
                <w:lang w:val="en-GB" w:eastAsia="en-GB"/>
              </w:rPr>
              <w:t>Subcarrier spacing</w:t>
            </w:r>
            <w:r w:rsidRPr="00DB557F">
              <w:rPr>
                <w:sz w:val="20"/>
                <w:szCs w:val="20"/>
              </w:rPr>
              <w:t xml:space="preserve"> for </w:t>
            </w:r>
            <w:r w:rsidRPr="00DB557F">
              <w:rPr>
                <w:rFonts w:eastAsia="MS Mincho"/>
                <w:sz w:val="20"/>
                <w:szCs w:val="20"/>
                <w:lang w:val="en-GB" w:eastAsia="en-GB"/>
              </w:rPr>
              <w:t>PUSCH</w:t>
            </w:r>
          </w:p>
        </w:tc>
        <w:tc>
          <w:tcPr>
            <w:tcW w:w="6089" w:type="dxa"/>
            <w:tcBorders>
              <w:top w:val="nil"/>
              <w:left w:val="nil"/>
              <w:bottom w:val="single" w:sz="8" w:space="0" w:color="000000"/>
              <w:right w:val="single" w:sz="8" w:space="0" w:color="000000"/>
            </w:tcBorders>
            <w:shd w:val="clear" w:color="auto" w:fill="auto"/>
            <w:vAlign w:val="center"/>
          </w:tcPr>
          <w:p w:rsidR="00703E9B" w:rsidRPr="00DB557F" w:rsidRDefault="00703E9B" w:rsidP="00F634EE">
            <w:pPr>
              <w:spacing w:after="0"/>
              <w:rPr>
                <w:sz w:val="20"/>
                <w:szCs w:val="20"/>
              </w:rPr>
            </w:pPr>
            <w:r w:rsidRPr="00DB557F">
              <w:rPr>
                <w:rFonts w:hint="eastAsia"/>
                <w:sz w:val="20"/>
                <w:szCs w:val="20"/>
              </w:rPr>
              <w:t>15kHz at 700MHz, 30</w:t>
            </w:r>
            <w:r w:rsidRPr="00DB557F">
              <w:rPr>
                <w:sz w:val="20"/>
                <w:szCs w:val="20"/>
              </w:rPr>
              <w:t>/60</w:t>
            </w:r>
            <w:r w:rsidRPr="00DB557F">
              <w:rPr>
                <w:rFonts w:hint="eastAsia"/>
                <w:sz w:val="20"/>
                <w:szCs w:val="20"/>
              </w:rPr>
              <w:t>kHz at 4</w:t>
            </w:r>
            <w:r w:rsidRPr="00DB557F">
              <w:rPr>
                <w:sz w:val="20"/>
                <w:szCs w:val="20"/>
              </w:rPr>
              <w:t xml:space="preserve"> GHz, 120kHz at 30GHz</w:t>
            </w:r>
          </w:p>
        </w:tc>
      </w:tr>
      <w:tr w:rsidR="00703E9B" w:rsidTr="00F634EE">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rsidR="00703E9B" w:rsidRPr="00DB557F" w:rsidRDefault="00703E9B" w:rsidP="00F634EE">
            <w:pPr>
              <w:spacing w:after="0"/>
              <w:rPr>
                <w:sz w:val="20"/>
                <w:szCs w:val="20"/>
                <w:lang w:val="en-GB"/>
              </w:rPr>
            </w:pPr>
            <w:r w:rsidRPr="00DB557F">
              <w:rPr>
                <w:rFonts w:hint="eastAsia"/>
                <w:sz w:val="20"/>
                <w:szCs w:val="20"/>
                <w:lang w:val="en-GB"/>
              </w:rPr>
              <w:t>TBS</w:t>
            </w:r>
          </w:p>
        </w:tc>
        <w:tc>
          <w:tcPr>
            <w:tcW w:w="6089" w:type="dxa"/>
            <w:tcBorders>
              <w:top w:val="nil"/>
              <w:left w:val="nil"/>
              <w:bottom w:val="single" w:sz="8" w:space="0" w:color="000000"/>
              <w:right w:val="single" w:sz="8" w:space="0" w:color="000000"/>
            </w:tcBorders>
            <w:shd w:val="clear" w:color="auto" w:fill="auto"/>
            <w:vAlign w:val="center"/>
          </w:tcPr>
          <w:p w:rsidR="00703E9B" w:rsidRPr="00DB557F" w:rsidRDefault="00703E9B" w:rsidP="00703E9B">
            <w:pPr>
              <w:pStyle w:val="af1"/>
              <w:numPr>
                <w:ilvl w:val="0"/>
                <w:numId w:val="41"/>
              </w:numPr>
              <w:autoSpaceDE/>
              <w:autoSpaceDN/>
              <w:spacing w:after="0"/>
              <w:ind w:firstLineChars="0"/>
              <w:jc w:val="left"/>
              <w:rPr>
                <w:sz w:val="20"/>
                <w:szCs w:val="20"/>
              </w:rPr>
            </w:pPr>
            <w:r w:rsidRPr="00DB557F">
              <w:rPr>
                <w:rFonts w:hint="eastAsia"/>
                <w:sz w:val="20"/>
                <w:szCs w:val="20"/>
              </w:rPr>
              <w:t>56 bits</w:t>
            </w:r>
            <w:r w:rsidRPr="00DB557F">
              <w:rPr>
                <w:sz w:val="20"/>
                <w:szCs w:val="20"/>
              </w:rPr>
              <w:t xml:space="preserve"> as starting point for minimum payload size, other values </w:t>
            </w:r>
            <w:r>
              <w:rPr>
                <w:sz w:val="20"/>
                <w:szCs w:val="20"/>
              </w:rPr>
              <w:t>a</w:t>
            </w:r>
            <w:r w:rsidRPr="00DB557F">
              <w:rPr>
                <w:sz w:val="20"/>
                <w:szCs w:val="20"/>
              </w:rPr>
              <w:t>re not precluded</w:t>
            </w:r>
          </w:p>
          <w:p w:rsidR="00703E9B" w:rsidRPr="00DB557F" w:rsidRDefault="00703E9B" w:rsidP="00703E9B">
            <w:pPr>
              <w:pStyle w:val="af1"/>
              <w:numPr>
                <w:ilvl w:val="0"/>
                <w:numId w:val="41"/>
              </w:numPr>
              <w:autoSpaceDE/>
              <w:autoSpaceDN/>
              <w:spacing w:after="0"/>
              <w:ind w:firstLineChars="0"/>
              <w:jc w:val="left"/>
              <w:rPr>
                <w:sz w:val="20"/>
                <w:szCs w:val="20"/>
              </w:rPr>
            </w:pPr>
            <w:r w:rsidRPr="00DB557F">
              <w:rPr>
                <w:sz w:val="20"/>
                <w:szCs w:val="20"/>
              </w:rPr>
              <w:t xml:space="preserve">Company report for the evaluation of payload size </w:t>
            </w:r>
          </w:p>
        </w:tc>
      </w:tr>
      <w:tr w:rsidR="00703E9B" w:rsidTr="00F634EE">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03E9B" w:rsidRPr="00DB557F" w:rsidRDefault="00703E9B" w:rsidP="00F634EE">
            <w:pPr>
              <w:spacing w:after="0"/>
              <w:rPr>
                <w:sz w:val="20"/>
                <w:szCs w:val="20"/>
              </w:rPr>
            </w:pPr>
            <w:r w:rsidRPr="00DB557F">
              <w:rPr>
                <w:rFonts w:eastAsia="MS Mincho"/>
                <w:sz w:val="20"/>
                <w:szCs w:val="20"/>
                <w:lang w:val="en-GB" w:eastAsia="en-GB"/>
              </w:rPr>
              <w:t>MCS and Resource size</w:t>
            </w:r>
          </w:p>
        </w:tc>
        <w:tc>
          <w:tcPr>
            <w:tcW w:w="6089" w:type="dxa"/>
            <w:tcBorders>
              <w:top w:val="nil"/>
              <w:left w:val="nil"/>
              <w:bottom w:val="single" w:sz="4" w:space="0" w:color="auto"/>
              <w:right w:val="single" w:sz="8" w:space="0" w:color="000000"/>
            </w:tcBorders>
            <w:shd w:val="clear" w:color="auto" w:fill="auto"/>
            <w:vAlign w:val="center"/>
          </w:tcPr>
          <w:p w:rsidR="00703E9B" w:rsidRPr="00DB557F" w:rsidRDefault="00703E9B" w:rsidP="00F634EE">
            <w:pPr>
              <w:spacing w:after="0"/>
              <w:rPr>
                <w:sz w:val="20"/>
                <w:szCs w:val="20"/>
              </w:rPr>
            </w:pPr>
            <w:r w:rsidRPr="00DB557F">
              <w:rPr>
                <w:sz w:val="20"/>
                <w:szCs w:val="20"/>
              </w:rPr>
              <w:t>C</w:t>
            </w:r>
            <w:r w:rsidRPr="00DB557F">
              <w:rPr>
                <w:rFonts w:hint="eastAsia"/>
                <w:sz w:val="20"/>
                <w:szCs w:val="20"/>
              </w:rPr>
              <w:t>ompany report</w:t>
            </w:r>
            <w:r w:rsidRPr="00DB557F">
              <w:rPr>
                <w:sz w:val="20"/>
                <w:szCs w:val="20"/>
              </w:rPr>
              <w:t xml:space="preserve"> the MCS, time/frequency resource size, and DMRS overhead.  Strive to agree to some common values in RAN1#96bis.</w:t>
            </w:r>
          </w:p>
        </w:tc>
      </w:tr>
      <w:tr w:rsidR="00703E9B" w:rsidTr="00F634EE">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03E9B" w:rsidRPr="00DB557F" w:rsidRDefault="00703E9B" w:rsidP="00F634EE">
            <w:pPr>
              <w:spacing w:after="0"/>
              <w:rPr>
                <w:sz w:val="20"/>
                <w:szCs w:val="20"/>
              </w:rPr>
            </w:pPr>
            <w:r w:rsidRPr="00DB557F">
              <w:rPr>
                <w:sz w:val="20"/>
                <w:szCs w:val="20"/>
              </w:rPr>
              <w:t>Number of UEs</w:t>
            </w:r>
          </w:p>
        </w:tc>
        <w:tc>
          <w:tcPr>
            <w:tcW w:w="6089" w:type="dxa"/>
            <w:tcBorders>
              <w:top w:val="nil"/>
              <w:left w:val="nil"/>
              <w:bottom w:val="single" w:sz="4" w:space="0" w:color="auto"/>
              <w:right w:val="single" w:sz="8" w:space="0" w:color="000000"/>
            </w:tcBorders>
            <w:shd w:val="clear" w:color="auto" w:fill="auto"/>
            <w:vAlign w:val="center"/>
          </w:tcPr>
          <w:p w:rsidR="00703E9B" w:rsidRPr="00E01231" w:rsidRDefault="00703E9B" w:rsidP="00F634EE">
            <w:pPr>
              <w:spacing w:after="0"/>
              <w:rPr>
                <w:sz w:val="20"/>
                <w:szCs w:val="20"/>
              </w:rPr>
            </w:pPr>
            <w:r w:rsidRPr="00E01231">
              <w:rPr>
                <w:sz w:val="20"/>
                <w:szCs w:val="20"/>
              </w:rPr>
              <w:t>1 as a starting point</w:t>
            </w:r>
            <w:r w:rsidRPr="00E01231">
              <w:rPr>
                <w:rFonts w:hint="eastAsia"/>
                <w:sz w:val="20"/>
                <w:szCs w:val="20"/>
              </w:rPr>
              <w:t>;</w:t>
            </w:r>
          </w:p>
          <w:p w:rsidR="00703E9B" w:rsidRPr="00E01231" w:rsidRDefault="00703E9B" w:rsidP="00F634EE">
            <w:pPr>
              <w:spacing w:after="0"/>
              <w:rPr>
                <w:sz w:val="20"/>
                <w:szCs w:val="20"/>
              </w:rPr>
            </w:pPr>
            <w:r w:rsidRPr="00E01231">
              <w:rPr>
                <w:sz w:val="20"/>
                <w:szCs w:val="20"/>
              </w:rPr>
              <w:t xml:space="preserve">FFS: </w:t>
            </w:r>
            <w:r w:rsidRPr="00E01231">
              <w:rPr>
                <w:rFonts w:hint="eastAsia"/>
                <w:sz w:val="20"/>
                <w:szCs w:val="20"/>
              </w:rPr>
              <w:t xml:space="preserve">2 </w:t>
            </w:r>
            <w:r w:rsidRPr="00E01231">
              <w:rPr>
                <w:sz w:val="20"/>
                <w:szCs w:val="20"/>
              </w:rPr>
              <w:t xml:space="preserve">or more </w:t>
            </w:r>
            <w:r w:rsidRPr="00E01231">
              <w:rPr>
                <w:rFonts w:hint="eastAsia"/>
                <w:sz w:val="20"/>
                <w:szCs w:val="20"/>
              </w:rPr>
              <w:t xml:space="preserve">for </w:t>
            </w:r>
            <w:r w:rsidRPr="00E01231">
              <w:rPr>
                <w:sz w:val="20"/>
                <w:szCs w:val="20"/>
              </w:rPr>
              <w:t>evaluation of</w:t>
            </w:r>
            <w:r w:rsidRPr="00E01231">
              <w:rPr>
                <w:rFonts w:hint="eastAsia"/>
                <w:sz w:val="20"/>
                <w:szCs w:val="20"/>
              </w:rPr>
              <w:t xml:space="preserve"> </w:t>
            </w:r>
            <w:r w:rsidRPr="00E01231">
              <w:rPr>
                <w:sz w:val="20"/>
                <w:szCs w:val="20"/>
              </w:rPr>
              <w:t>shared PUSCH occasion</w:t>
            </w:r>
            <w:r w:rsidRPr="00E01231">
              <w:rPr>
                <w:rFonts w:hint="eastAsia"/>
                <w:sz w:val="20"/>
                <w:szCs w:val="20"/>
              </w:rPr>
              <w:t xml:space="preserve"> or in</w:t>
            </w:r>
            <w:r w:rsidRPr="00E01231">
              <w:rPr>
                <w:sz w:val="20"/>
                <w:szCs w:val="20"/>
              </w:rPr>
              <w:t>ter</w:t>
            </w:r>
            <w:r w:rsidRPr="00E01231">
              <w:rPr>
                <w:rFonts w:hint="eastAsia"/>
                <w:sz w:val="20"/>
                <w:szCs w:val="20"/>
              </w:rPr>
              <w:t xml:space="preserve">ference from </w:t>
            </w:r>
            <w:r w:rsidRPr="00E01231">
              <w:rPr>
                <w:sz w:val="20"/>
                <w:szCs w:val="20"/>
              </w:rPr>
              <w:t xml:space="preserve">the </w:t>
            </w:r>
            <w:r w:rsidRPr="00E01231">
              <w:rPr>
                <w:rFonts w:hint="eastAsia"/>
                <w:sz w:val="20"/>
                <w:szCs w:val="20"/>
              </w:rPr>
              <w:t xml:space="preserve">adjacent </w:t>
            </w:r>
            <w:r w:rsidRPr="00E01231">
              <w:rPr>
                <w:sz w:val="20"/>
                <w:szCs w:val="20"/>
              </w:rPr>
              <w:t>PUSCH resource, including how to model relative SINR, timing, etc.</w:t>
            </w:r>
          </w:p>
        </w:tc>
      </w:tr>
      <w:tr w:rsidR="00703E9B" w:rsidTr="00F634EE">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03E9B" w:rsidRPr="00DB557F" w:rsidRDefault="00703E9B" w:rsidP="00F634EE">
            <w:pPr>
              <w:spacing w:after="0"/>
              <w:rPr>
                <w:sz w:val="20"/>
                <w:szCs w:val="20"/>
              </w:rPr>
            </w:pPr>
            <w:r w:rsidRPr="00DB557F">
              <w:rPr>
                <w:sz w:val="20"/>
                <w:szCs w:val="20"/>
              </w:rPr>
              <w:t>Traffic model</w:t>
            </w:r>
          </w:p>
        </w:tc>
        <w:tc>
          <w:tcPr>
            <w:tcW w:w="6089" w:type="dxa"/>
            <w:tcBorders>
              <w:top w:val="nil"/>
              <w:left w:val="nil"/>
              <w:bottom w:val="single" w:sz="4" w:space="0" w:color="auto"/>
              <w:right w:val="single" w:sz="8" w:space="0" w:color="000000"/>
            </w:tcBorders>
            <w:shd w:val="clear" w:color="auto" w:fill="auto"/>
            <w:vAlign w:val="center"/>
          </w:tcPr>
          <w:p w:rsidR="00703E9B" w:rsidRPr="00DB557F" w:rsidRDefault="00703E9B" w:rsidP="00F634EE">
            <w:pPr>
              <w:spacing w:after="0"/>
              <w:rPr>
                <w:sz w:val="20"/>
                <w:szCs w:val="20"/>
              </w:rPr>
            </w:pPr>
            <w:r w:rsidRPr="00DB557F">
              <w:rPr>
                <w:rFonts w:hint="eastAsia"/>
                <w:sz w:val="20"/>
                <w:szCs w:val="20"/>
              </w:rPr>
              <w:t>Full buffer</w:t>
            </w:r>
          </w:p>
        </w:tc>
      </w:tr>
      <w:tr w:rsidR="00703E9B" w:rsidTr="00F634EE">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03E9B" w:rsidRPr="00DB557F" w:rsidRDefault="00703E9B" w:rsidP="00F634EE">
            <w:pPr>
              <w:spacing w:after="0"/>
              <w:rPr>
                <w:rFonts w:eastAsia="MS Mincho"/>
                <w:sz w:val="20"/>
                <w:szCs w:val="20"/>
                <w:lang w:val="en-GB" w:eastAsia="en-GB"/>
              </w:rPr>
            </w:pPr>
            <w:r w:rsidRPr="00DB557F">
              <w:rPr>
                <w:rFonts w:eastAsia="MS Mincho"/>
                <w:sz w:val="20"/>
                <w:szCs w:val="20"/>
                <w:lang w:val="en-GB" w:eastAsia="en-GB"/>
              </w:rPr>
              <w:t>UE antenna configuration</w:t>
            </w:r>
          </w:p>
        </w:tc>
        <w:tc>
          <w:tcPr>
            <w:tcW w:w="6089" w:type="dxa"/>
            <w:tcBorders>
              <w:top w:val="nil"/>
              <w:left w:val="nil"/>
              <w:bottom w:val="single" w:sz="4" w:space="0" w:color="auto"/>
              <w:right w:val="single" w:sz="8" w:space="0" w:color="000000"/>
            </w:tcBorders>
            <w:shd w:val="clear" w:color="auto" w:fill="auto"/>
            <w:vAlign w:val="center"/>
          </w:tcPr>
          <w:p w:rsidR="00703E9B" w:rsidRPr="00DB557F" w:rsidRDefault="00703E9B" w:rsidP="00F634EE">
            <w:pPr>
              <w:spacing w:after="0"/>
              <w:rPr>
                <w:sz w:val="20"/>
                <w:szCs w:val="20"/>
              </w:rPr>
            </w:pPr>
            <w:r w:rsidRPr="00DB557F">
              <w:rPr>
                <w:rFonts w:hint="eastAsia"/>
                <w:sz w:val="20"/>
                <w:szCs w:val="20"/>
              </w:rPr>
              <w:t>1Tx</w:t>
            </w:r>
            <w:r w:rsidRPr="00DB557F">
              <w:rPr>
                <w:sz w:val="20"/>
                <w:szCs w:val="20"/>
              </w:rPr>
              <w:t>. FFS: 2 Tx</w:t>
            </w:r>
          </w:p>
        </w:tc>
      </w:tr>
      <w:tr w:rsidR="00703E9B" w:rsidTr="00F634EE">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03E9B" w:rsidRPr="00DB557F" w:rsidRDefault="00703E9B" w:rsidP="00F634EE">
            <w:pPr>
              <w:spacing w:after="0"/>
              <w:rPr>
                <w:rFonts w:eastAsia="MS Mincho"/>
                <w:sz w:val="20"/>
                <w:szCs w:val="20"/>
                <w:lang w:val="en-GB" w:eastAsia="en-GB"/>
              </w:rPr>
            </w:pPr>
            <w:r w:rsidRPr="00DB557F">
              <w:rPr>
                <w:sz w:val="20"/>
                <w:szCs w:val="20"/>
              </w:rPr>
              <w:t>gNB antenna configuration</w:t>
            </w:r>
          </w:p>
        </w:tc>
        <w:tc>
          <w:tcPr>
            <w:tcW w:w="6089" w:type="dxa"/>
            <w:tcBorders>
              <w:top w:val="nil"/>
              <w:left w:val="nil"/>
              <w:bottom w:val="single" w:sz="4" w:space="0" w:color="auto"/>
              <w:right w:val="single" w:sz="8" w:space="0" w:color="000000"/>
            </w:tcBorders>
            <w:shd w:val="clear" w:color="auto" w:fill="auto"/>
            <w:vAlign w:val="center"/>
          </w:tcPr>
          <w:p w:rsidR="00703E9B" w:rsidRPr="00DB557F" w:rsidRDefault="00703E9B" w:rsidP="00F634EE">
            <w:pPr>
              <w:spacing w:after="0"/>
              <w:rPr>
                <w:sz w:val="20"/>
                <w:szCs w:val="20"/>
              </w:rPr>
            </w:pPr>
            <w:r w:rsidRPr="00DB557F">
              <w:rPr>
                <w:rFonts w:hint="eastAsia"/>
                <w:sz w:val="20"/>
                <w:szCs w:val="20"/>
              </w:rPr>
              <w:t>2Rx or 4Rx</w:t>
            </w:r>
            <w:r w:rsidRPr="00DB557F">
              <w:rPr>
                <w:sz w:val="20"/>
                <w:szCs w:val="20"/>
              </w:rPr>
              <w:t>, 8Rx as optional</w:t>
            </w:r>
          </w:p>
        </w:tc>
      </w:tr>
      <w:tr w:rsidR="00703E9B" w:rsidTr="00F634EE">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03E9B" w:rsidRPr="00DB557F" w:rsidRDefault="00703E9B" w:rsidP="00F634EE">
            <w:pPr>
              <w:spacing w:after="0"/>
              <w:rPr>
                <w:rFonts w:eastAsia="MS Mincho"/>
                <w:sz w:val="20"/>
                <w:szCs w:val="20"/>
                <w:lang w:val="en-GB" w:eastAsia="en-GB"/>
              </w:rPr>
            </w:pPr>
            <w:r w:rsidRPr="00DB557F">
              <w:rPr>
                <w:rFonts w:eastAsia="MS Mincho"/>
                <w:sz w:val="20"/>
                <w:szCs w:val="20"/>
                <w:lang w:val="en-GB" w:eastAsia="en-GB"/>
              </w:rPr>
              <w:t>Propagation channel &amp; UE velocity</w:t>
            </w:r>
          </w:p>
        </w:tc>
        <w:tc>
          <w:tcPr>
            <w:tcW w:w="6089" w:type="dxa"/>
            <w:tcBorders>
              <w:top w:val="nil"/>
              <w:left w:val="nil"/>
              <w:bottom w:val="single" w:sz="4" w:space="0" w:color="auto"/>
              <w:right w:val="single" w:sz="8" w:space="0" w:color="000000"/>
            </w:tcBorders>
            <w:shd w:val="clear" w:color="auto" w:fill="auto"/>
            <w:vAlign w:val="center"/>
          </w:tcPr>
          <w:p w:rsidR="00703E9B" w:rsidRPr="00DB557F" w:rsidRDefault="00703E9B" w:rsidP="00F634EE">
            <w:pPr>
              <w:spacing w:after="0"/>
              <w:rPr>
                <w:sz w:val="20"/>
                <w:szCs w:val="20"/>
                <w:lang w:val="en-GB"/>
              </w:rPr>
            </w:pPr>
            <w:r w:rsidRPr="00DB557F">
              <w:rPr>
                <w:rFonts w:hint="eastAsia"/>
                <w:sz w:val="20"/>
                <w:szCs w:val="20"/>
              </w:rPr>
              <w:t>TDL</w:t>
            </w:r>
            <w:r w:rsidRPr="00DB557F">
              <w:rPr>
                <w:sz w:val="20"/>
                <w:szCs w:val="20"/>
              </w:rPr>
              <w:t>/CDL</w:t>
            </w:r>
            <w:r w:rsidRPr="00DB557F">
              <w:rPr>
                <w:rFonts w:hint="eastAsia"/>
                <w:sz w:val="20"/>
                <w:szCs w:val="20"/>
              </w:rPr>
              <w:t>-A 30ns, or TDL</w:t>
            </w:r>
            <w:r w:rsidRPr="00DB557F">
              <w:rPr>
                <w:sz w:val="20"/>
                <w:szCs w:val="20"/>
              </w:rPr>
              <w:t>/CDL</w:t>
            </w:r>
            <w:r w:rsidRPr="00DB557F">
              <w:rPr>
                <w:rFonts w:hint="eastAsia"/>
                <w:sz w:val="20"/>
                <w:szCs w:val="20"/>
              </w:rPr>
              <w:t>-C 300ns, 3km/h or 30km/h</w:t>
            </w:r>
          </w:p>
        </w:tc>
      </w:tr>
      <w:tr w:rsidR="00703E9B" w:rsidTr="00F634EE">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03E9B" w:rsidRPr="00DB557F" w:rsidRDefault="00703E9B" w:rsidP="00F634EE">
            <w:pPr>
              <w:spacing w:after="0"/>
              <w:rPr>
                <w:rFonts w:eastAsia="MS Mincho"/>
                <w:sz w:val="20"/>
                <w:szCs w:val="20"/>
                <w:lang w:val="en-GB" w:eastAsia="en-GB"/>
              </w:rPr>
            </w:pPr>
            <w:r w:rsidRPr="00DB557F">
              <w:rPr>
                <w:rFonts w:eastAsia="MS Mincho"/>
                <w:sz w:val="20"/>
                <w:szCs w:val="20"/>
                <w:lang w:val="en-GB" w:eastAsia="en-GB"/>
              </w:rPr>
              <w:t>Timing offset</w:t>
            </w:r>
          </w:p>
        </w:tc>
        <w:tc>
          <w:tcPr>
            <w:tcW w:w="6089" w:type="dxa"/>
            <w:tcBorders>
              <w:top w:val="nil"/>
              <w:left w:val="nil"/>
              <w:bottom w:val="single" w:sz="4" w:space="0" w:color="auto"/>
              <w:right w:val="single" w:sz="8" w:space="0" w:color="000000"/>
            </w:tcBorders>
            <w:shd w:val="clear" w:color="auto" w:fill="auto"/>
            <w:vAlign w:val="center"/>
          </w:tcPr>
          <w:p w:rsidR="00703E9B" w:rsidRPr="00DB557F" w:rsidRDefault="00703E9B" w:rsidP="00F634EE">
            <w:pPr>
              <w:spacing w:after="0"/>
              <w:rPr>
                <w:sz w:val="20"/>
                <w:szCs w:val="20"/>
              </w:rPr>
            </w:pPr>
            <w:r w:rsidRPr="00DB557F">
              <w:rPr>
                <w:sz w:val="20"/>
                <w:szCs w:val="20"/>
              </w:rPr>
              <w:t xml:space="preserve">Uniform </w:t>
            </w:r>
            <w:r w:rsidRPr="00DB557F">
              <w:rPr>
                <w:rFonts w:hint="eastAsia"/>
                <w:sz w:val="20"/>
                <w:szCs w:val="20"/>
              </w:rPr>
              <w:t>[</w:t>
            </w:r>
            <w:r w:rsidRPr="00DB557F">
              <w:rPr>
                <w:sz w:val="20"/>
                <w:szCs w:val="20"/>
              </w:rPr>
              <w:t>0, RTT</w:t>
            </w:r>
            <w:r w:rsidRPr="00DB557F">
              <w:rPr>
                <w:rFonts w:hint="eastAsia"/>
                <w:sz w:val="20"/>
                <w:szCs w:val="20"/>
              </w:rPr>
              <w:t>]</w:t>
            </w:r>
            <w:r w:rsidRPr="00DB557F">
              <w:rPr>
                <w:sz w:val="20"/>
                <w:szCs w:val="20"/>
              </w:rPr>
              <w:t xml:space="preserve">. </w:t>
            </w:r>
          </w:p>
        </w:tc>
      </w:tr>
      <w:tr w:rsidR="00703E9B" w:rsidTr="00F634EE">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03E9B" w:rsidRPr="00DB557F" w:rsidRDefault="00703E9B" w:rsidP="00F634EE">
            <w:pPr>
              <w:spacing w:after="0"/>
              <w:rPr>
                <w:rFonts w:eastAsia="MS Mincho"/>
                <w:sz w:val="20"/>
                <w:szCs w:val="20"/>
                <w:lang w:val="en-GB" w:eastAsia="en-GB"/>
              </w:rPr>
            </w:pPr>
            <w:r w:rsidRPr="00DB557F">
              <w:rPr>
                <w:rFonts w:eastAsia="MS Mincho"/>
                <w:sz w:val="20"/>
                <w:szCs w:val="20"/>
                <w:lang w:val="en-GB" w:eastAsia="en-GB"/>
              </w:rPr>
              <w:t>Frequency offset</w:t>
            </w:r>
          </w:p>
        </w:tc>
        <w:tc>
          <w:tcPr>
            <w:tcW w:w="6089" w:type="dxa"/>
            <w:tcBorders>
              <w:top w:val="nil"/>
              <w:left w:val="nil"/>
              <w:bottom w:val="single" w:sz="4" w:space="0" w:color="auto"/>
              <w:right w:val="single" w:sz="8" w:space="0" w:color="000000"/>
            </w:tcBorders>
            <w:shd w:val="clear" w:color="auto" w:fill="auto"/>
            <w:vAlign w:val="center"/>
          </w:tcPr>
          <w:p w:rsidR="00703E9B" w:rsidRPr="00DB557F" w:rsidRDefault="00703E9B" w:rsidP="00F634EE">
            <w:pPr>
              <w:spacing w:after="0"/>
              <w:rPr>
                <w:sz w:val="20"/>
                <w:szCs w:val="20"/>
              </w:rPr>
            </w:pPr>
            <w:r w:rsidRPr="00DB557F">
              <w:rPr>
                <w:sz w:val="20"/>
                <w:szCs w:val="20"/>
              </w:rPr>
              <w:t>0.05ppm (fixed) at TRP, and 0.1 ppm (fixed) at UE</w:t>
            </w:r>
          </w:p>
        </w:tc>
      </w:tr>
      <w:tr w:rsidR="00703E9B" w:rsidTr="00F634EE">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03E9B" w:rsidRPr="00DB557F" w:rsidRDefault="00703E9B" w:rsidP="00F634EE">
            <w:pPr>
              <w:spacing w:after="0"/>
              <w:rPr>
                <w:rFonts w:eastAsia="MS Mincho"/>
                <w:sz w:val="20"/>
                <w:szCs w:val="20"/>
                <w:lang w:val="en-GB" w:eastAsia="en-GB"/>
              </w:rPr>
            </w:pPr>
            <w:r w:rsidRPr="00DB557F">
              <w:rPr>
                <w:rFonts w:eastAsia="MS Mincho"/>
                <w:sz w:val="20"/>
                <w:szCs w:val="20"/>
                <w:lang w:val="en-GB" w:eastAsia="en-GB"/>
              </w:rPr>
              <w:t>Max number of HARQ transmission</w:t>
            </w:r>
          </w:p>
        </w:tc>
        <w:tc>
          <w:tcPr>
            <w:tcW w:w="6089" w:type="dxa"/>
            <w:tcBorders>
              <w:top w:val="nil"/>
              <w:left w:val="nil"/>
              <w:bottom w:val="single" w:sz="4" w:space="0" w:color="auto"/>
              <w:right w:val="single" w:sz="8" w:space="0" w:color="000000"/>
            </w:tcBorders>
            <w:shd w:val="clear" w:color="auto" w:fill="auto"/>
            <w:vAlign w:val="center"/>
          </w:tcPr>
          <w:p w:rsidR="00703E9B" w:rsidRPr="00DB557F" w:rsidRDefault="00703E9B" w:rsidP="00F634EE">
            <w:pPr>
              <w:spacing w:after="0"/>
              <w:rPr>
                <w:sz w:val="20"/>
                <w:szCs w:val="20"/>
              </w:rPr>
            </w:pPr>
            <w:r w:rsidRPr="00DB557F">
              <w:rPr>
                <w:sz w:val="20"/>
                <w:szCs w:val="20"/>
              </w:rPr>
              <w:t>1 as starting point, other values are not precluded and company should report the details of HARQ</w:t>
            </w:r>
          </w:p>
        </w:tc>
      </w:tr>
      <w:tr w:rsidR="00703E9B" w:rsidTr="00F634EE">
        <w:trPr>
          <w:cantSplit/>
          <w:trHeight w:val="368"/>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03E9B" w:rsidRPr="00DB557F" w:rsidRDefault="00703E9B" w:rsidP="00F634EE">
            <w:pPr>
              <w:spacing w:after="0"/>
              <w:rPr>
                <w:sz w:val="20"/>
                <w:szCs w:val="20"/>
              </w:rPr>
            </w:pPr>
            <w:r w:rsidRPr="00DB557F">
              <w:rPr>
                <w:sz w:val="20"/>
                <w:szCs w:val="20"/>
              </w:rPr>
              <w:t>Receiver</w:t>
            </w:r>
          </w:p>
        </w:tc>
        <w:tc>
          <w:tcPr>
            <w:tcW w:w="6089" w:type="dxa"/>
            <w:tcBorders>
              <w:top w:val="nil"/>
              <w:left w:val="nil"/>
              <w:bottom w:val="single" w:sz="4" w:space="0" w:color="auto"/>
              <w:right w:val="single" w:sz="8" w:space="0" w:color="000000"/>
            </w:tcBorders>
            <w:shd w:val="clear" w:color="auto" w:fill="auto"/>
            <w:vAlign w:val="center"/>
          </w:tcPr>
          <w:p w:rsidR="00703E9B" w:rsidRPr="00DB557F" w:rsidRDefault="00703E9B" w:rsidP="00F634EE">
            <w:pPr>
              <w:spacing w:after="0"/>
              <w:rPr>
                <w:sz w:val="20"/>
                <w:szCs w:val="20"/>
              </w:rPr>
            </w:pPr>
            <w:r w:rsidRPr="00DB557F">
              <w:rPr>
                <w:rFonts w:hint="eastAsia"/>
                <w:sz w:val="20"/>
                <w:szCs w:val="20"/>
              </w:rPr>
              <w:t>MMSE-IRC</w:t>
            </w:r>
            <w:r w:rsidRPr="00DB557F">
              <w:rPr>
                <w:sz w:val="20"/>
                <w:szCs w:val="20"/>
              </w:rPr>
              <w:t xml:space="preserve"> as baseline</w:t>
            </w:r>
          </w:p>
        </w:tc>
      </w:tr>
      <w:tr w:rsidR="00703E9B" w:rsidTr="00F634EE">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03E9B" w:rsidRPr="00DB557F" w:rsidRDefault="00703E9B" w:rsidP="00F634EE">
            <w:pPr>
              <w:spacing w:after="0"/>
              <w:rPr>
                <w:sz w:val="20"/>
                <w:szCs w:val="20"/>
              </w:rPr>
            </w:pPr>
            <w:r w:rsidRPr="00DB557F">
              <w:rPr>
                <w:sz w:val="20"/>
                <w:szCs w:val="20"/>
              </w:rPr>
              <w:lastRenderedPageBreak/>
              <w:t>Channel estimation</w:t>
            </w:r>
          </w:p>
        </w:tc>
        <w:tc>
          <w:tcPr>
            <w:tcW w:w="6089" w:type="dxa"/>
            <w:tcBorders>
              <w:top w:val="nil"/>
              <w:left w:val="nil"/>
              <w:bottom w:val="single" w:sz="4" w:space="0" w:color="auto"/>
              <w:right w:val="single" w:sz="8" w:space="0" w:color="000000"/>
            </w:tcBorders>
            <w:shd w:val="clear" w:color="auto" w:fill="auto"/>
            <w:vAlign w:val="center"/>
          </w:tcPr>
          <w:p w:rsidR="00703E9B" w:rsidRPr="007C5C51" w:rsidRDefault="00703E9B" w:rsidP="00F634EE">
            <w:pPr>
              <w:spacing w:after="0"/>
              <w:rPr>
                <w:sz w:val="20"/>
                <w:szCs w:val="20"/>
              </w:rPr>
            </w:pPr>
            <w:r w:rsidRPr="007C5C51">
              <w:rPr>
                <w:sz w:val="20"/>
                <w:szCs w:val="20"/>
              </w:rPr>
              <w:t>Realistic for both channel estimation and TO/FO estimation.</w:t>
            </w:r>
          </w:p>
          <w:p w:rsidR="00703E9B" w:rsidRPr="00DB557F" w:rsidRDefault="00703E9B" w:rsidP="00F634EE">
            <w:pPr>
              <w:spacing w:after="0"/>
              <w:rPr>
                <w:sz w:val="20"/>
                <w:szCs w:val="20"/>
              </w:rPr>
            </w:pPr>
            <w:r w:rsidRPr="007C5C51">
              <w:rPr>
                <w:sz w:val="20"/>
                <w:szCs w:val="20"/>
              </w:rPr>
              <w:t>Ideal can be considered for calibration, if needed.</w:t>
            </w:r>
          </w:p>
        </w:tc>
      </w:tr>
      <w:tr w:rsidR="00703E9B" w:rsidTr="00F634EE">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03E9B" w:rsidRPr="00DB557F" w:rsidRDefault="00703E9B" w:rsidP="00F634EE">
            <w:pPr>
              <w:spacing w:after="0"/>
              <w:rPr>
                <w:sz w:val="20"/>
                <w:szCs w:val="20"/>
              </w:rPr>
            </w:pPr>
            <w:r w:rsidRPr="00DB557F">
              <w:rPr>
                <w:sz w:val="20"/>
                <w:szCs w:val="20"/>
              </w:rPr>
              <w:t xml:space="preserve"> Target BLER</w:t>
            </w:r>
          </w:p>
        </w:tc>
        <w:tc>
          <w:tcPr>
            <w:tcW w:w="6089" w:type="dxa"/>
            <w:tcBorders>
              <w:top w:val="nil"/>
              <w:left w:val="nil"/>
              <w:bottom w:val="single" w:sz="4" w:space="0" w:color="auto"/>
              <w:right w:val="single" w:sz="8" w:space="0" w:color="000000"/>
            </w:tcBorders>
            <w:shd w:val="clear" w:color="auto" w:fill="auto"/>
            <w:vAlign w:val="center"/>
          </w:tcPr>
          <w:p w:rsidR="00703E9B" w:rsidRPr="00DB557F" w:rsidRDefault="00703E9B" w:rsidP="00F634EE">
            <w:pPr>
              <w:spacing w:after="0"/>
              <w:rPr>
                <w:sz w:val="20"/>
                <w:szCs w:val="20"/>
              </w:rPr>
            </w:pPr>
            <w:r w:rsidRPr="00DB557F">
              <w:rPr>
                <w:sz w:val="20"/>
                <w:szCs w:val="20"/>
              </w:rPr>
              <w:t>[</w:t>
            </w:r>
            <w:r w:rsidRPr="00DB557F">
              <w:rPr>
                <w:rFonts w:hint="eastAsia"/>
                <w:sz w:val="20"/>
                <w:szCs w:val="20"/>
              </w:rPr>
              <w:t>10%</w:t>
            </w:r>
            <w:r w:rsidRPr="00DB557F">
              <w:rPr>
                <w:sz w:val="20"/>
                <w:szCs w:val="20"/>
              </w:rPr>
              <w:t>, 1%] for 1</w:t>
            </w:r>
            <w:r w:rsidRPr="00DB557F">
              <w:rPr>
                <w:sz w:val="20"/>
                <w:szCs w:val="20"/>
                <w:vertAlign w:val="superscript"/>
              </w:rPr>
              <w:t>st</w:t>
            </w:r>
            <w:r w:rsidRPr="00DB557F">
              <w:rPr>
                <w:sz w:val="20"/>
                <w:szCs w:val="20"/>
              </w:rPr>
              <w:t xml:space="preserve"> transmission of msgA as starting points. </w:t>
            </w:r>
          </w:p>
        </w:tc>
      </w:tr>
      <w:tr w:rsidR="00703E9B" w:rsidTr="00F634EE">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03E9B" w:rsidRPr="00DB557F" w:rsidRDefault="00703E9B" w:rsidP="00F634EE">
            <w:pPr>
              <w:spacing w:after="0"/>
              <w:rPr>
                <w:sz w:val="20"/>
                <w:szCs w:val="20"/>
              </w:rPr>
            </w:pPr>
            <w:r w:rsidRPr="00DB557F">
              <w:rPr>
                <w:sz w:val="20"/>
                <w:szCs w:val="20"/>
              </w:rPr>
              <w:t>Performance metrics</w:t>
            </w:r>
          </w:p>
        </w:tc>
        <w:tc>
          <w:tcPr>
            <w:tcW w:w="6089" w:type="dxa"/>
            <w:tcBorders>
              <w:top w:val="nil"/>
              <w:left w:val="nil"/>
              <w:bottom w:val="single" w:sz="4" w:space="0" w:color="auto"/>
              <w:right w:val="single" w:sz="8" w:space="0" w:color="000000"/>
            </w:tcBorders>
            <w:shd w:val="clear" w:color="auto" w:fill="auto"/>
            <w:vAlign w:val="center"/>
          </w:tcPr>
          <w:p w:rsidR="00703E9B" w:rsidRPr="00DB557F" w:rsidRDefault="00703E9B" w:rsidP="00F634EE">
            <w:pPr>
              <w:spacing w:after="0"/>
              <w:rPr>
                <w:sz w:val="20"/>
                <w:szCs w:val="20"/>
                <w:highlight w:val="lightGray"/>
              </w:rPr>
            </w:pPr>
            <w:r w:rsidRPr="00DB557F">
              <w:rPr>
                <w:rFonts w:eastAsia="Batang"/>
                <w:sz w:val="20"/>
                <w:szCs w:val="20"/>
              </w:rPr>
              <w:t xml:space="preserve">1) </w:t>
            </w:r>
            <w:r w:rsidRPr="00DB557F">
              <w:rPr>
                <w:rFonts w:eastAsia="Batang"/>
                <w:sz w:val="20"/>
                <w:szCs w:val="20"/>
                <w:lang w:val="en-GB"/>
              </w:rPr>
              <w:t>Missed detection probability</w:t>
            </w:r>
            <w:r w:rsidRPr="00DB557F">
              <w:rPr>
                <w:sz w:val="20"/>
                <w:szCs w:val="20"/>
              </w:rPr>
              <w:t xml:space="preserve"> vs. SNR for a given false alarm rate, e.g. 0.1%;</w:t>
            </w:r>
          </w:p>
          <w:p w:rsidR="00703E9B" w:rsidRPr="00DB557F" w:rsidRDefault="00703E9B" w:rsidP="00F634EE">
            <w:pPr>
              <w:spacing w:after="0"/>
              <w:rPr>
                <w:sz w:val="20"/>
                <w:szCs w:val="20"/>
              </w:rPr>
            </w:pPr>
            <w:r w:rsidRPr="00DB557F">
              <w:rPr>
                <w:sz w:val="20"/>
                <w:szCs w:val="20"/>
              </w:rPr>
              <w:t>2) BLER vs. SNR; MCL can be reported using link budget calculations.</w:t>
            </w:r>
          </w:p>
          <w:p w:rsidR="00703E9B" w:rsidRPr="00DB557F" w:rsidRDefault="00703E9B" w:rsidP="00F634EE">
            <w:pPr>
              <w:spacing w:after="0"/>
              <w:rPr>
                <w:sz w:val="20"/>
                <w:szCs w:val="20"/>
              </w:rPr>
            </w:pPr>
            <w:r w:rsidRPr="00DB557F">
              <w:rPr>
                <w:sz w:val="20"/>
                <w:szCs w:val="20"/>
              </w:rPr>
              <w:t>3) Optional: False alarm probability vs. SNR</w:t>
            </w:r>
          </w:p>
        </w:tc>
      </w:tr>
      <w:bookmarkEnd w:id="3"/>
    </w:tbl>
    <w:p w:rsidR="007C3FA8" w:rsidRPr="00CF195E" w:rsidRDefault="007C3FA8" w:rsidP="00093DD0">
      <w:pPr>
        <w:rPr>
          <w:kern w:val="2"/>
          <w:lang w:eastAsia="zh-CN"/>
        </w:rPr>
      </w:pPr>
    </w:p>
    <w:sectPr w:rsidR="007C3FA8"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09DD" w:rsidRDefault="00CC09DD">
      <w:r>
        <w:separator/>
      </w:r>
    </w:p>
  </w:endnote>
  <w:endnote w:type="continuationSeparator" w:id="0">
    <w:p w:rsidR="00CC09DD" w:rsidRDefault="00CC0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09DD" w:rsidRDefault="00CC09DD">
      <w:r>
        <w:separator/>
      </w:r>
    </w:p>
  </w:footnote>
  <w:footnote w:type="continuationSeparator" w:id="0">
    <w:p w:rsidR="00CC09DD" w:rsidRDefault="00CC09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2"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3" w15:restartNumberingAfterBreak="0">
    <w:nsid w:val="21CC476A"/>
    <w:multiLevelType w:val="hybridMultilevel"/>
    <w:tmpl w:val="2F202F92"/>
    <w:lvl w:ilvl="0" w:tplc="508EE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2"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3"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7" w15:restartNumberingAfterBreak="0">
    <w:nsid w:val="5A035FC9"/>
    <w:multiLevelType w:val="hybridMultilevel"/>
    <w:tmpl w:val="9D9AA8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0"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E20327F"/>
    <w:multiLevelType w:val="hybridMultilevel"/>
    <w:tmpl w:val="C394859C"/>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9576DB"/>
    <w:multiLevelType w:val="hybridMultilevel"/>
    <w:tmpl w:val="05B40BDA"/>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E3E0248"/>
    <w:multiLevelType w:val="hybridMultilevel"/>
    <w:tmpl w:val="4A6C60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20"/>
  </w:num>
  <w:num w:numId="3">
    <w:abstractNumId w:val="19"/>
  </w:num>
  <w:num w:numId="4">
    <w:abstractNumId w:val="16"/>
  </w:num>
  <w:num w:numId="5">
    <w:abstractNumId w:val="9"/>
  </w:num>
  <w:num w:numId="6">
    <w:abstractNumId w:val="37"/>
  </w:num>
  <w:num w:numId="7">
    <w:abstractNumId w:val="17"/>
  </w:num>
  <w:num w:numId="8">
    <w:abstractNumId w:val="24"/>
  </w:num>
  <w:num w:numId="9">
    <w:abstractNumId w:val="34"/>
  </w:num>
  <w:num w:numId="10">
    <w:abstractNumId w:val="35"/>
  </w:num>
  <w:num w:numId="11">
    <w:abstractNumId w:val="40"/>
  </w:num>
  <w:num w:numId="12">
    <w:abstractNumId w:val="14"/>
  </w:num>
  <w:num w:numId="13">
    <w:abstractNumId w:val="26"/>
  </w:num>
  <w:num w:numId="14">
    <w:abstractNumId w:val="25"/>
  </w:num>
  <w:num w:numId="15">
    <w:abstractNumId w:val="22"/>
  </w:num>
  <w:num w:numId="16">
    <w:abstractNumId w:val="11"/>
  </w:num>
  <w:num w:numId="17">
    <w:abstractNumId w:val="21"/>
  </w:num>
  <w:num w:numId="18">
    <w:abstractNumId w:val="12"/>
  </w:num>
  <w:num w:numId="19">
    <w:abstractNumId w:val="10"/>
  </w:num>
  <w:num w:numId="20">
    <w:abstractNumId w:val="29"/>
  </w:num>
  <w:num w:numId="21">
    <w:abstractNumId w:val="2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1"/>
  </w:num>
  <w:num w:numId="32">
    <w:abstractNumId w:val="38"/>
  </w:num>
  <w:num w:numId="33">
    <w:abstractNumId w:val="18"/>
  </w:num>
  <w:num w:numId="34">
    <w:abstractNumId w:val="27"/>
  </w:num>
  <w:num w:numId="35">
    <w:abstractNumId w:val="15"/>
  </w:num>
  <w:num w:numId="36">
    <w:abstractNumId w:val="32"/>
  </w:num>
  <w:num w:numId="37">
    <w:abstractNumId w:val="30"/>
  </w:num>
  <w:num w:numId="38">
    <w:abstractNumId w:val="33"/>
  </w:num>
  <w:num w:numId="39">
    <w:abstractNumId w:val="19"/>
  </w:num>
  <w:num w:numId="40">
    <w:abstractNumId w:val="13"/>
  </w:num>
  <w:num w:numId="41">
    <w:abstractNumId w:val="28"/>
  </w:num>
  <w:num w:numId="4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4F81"/>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37D7A"/>
    <w:rsid w:val="0004023E"/>
    <w:rsid w:val="0004024B"/>
    <w:rsid w:val="00041C57"/>
    <w:rsid w:val="000434B7"/>
    <w:rsid w:val="000435E4"/>
    <w:rsid w:val="00043CCB"/>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542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194C"/>
    <w:rsid w:val="00093697"/>
    <w:rsid w:val="00093D42"/>
    <w:rsid w:val="00093DD0"/>
    <w:rsid w:val="00094A16"/>
    <w:rsid w:val="00094DE6"/>
    <w:rsid w:val="00096356"/>
    <w:rsid w:val="000971C2"/>
    <w:rsid w:val="00097C99"/>
    <w:rsid w:val="000A0F14"/>
    <w:rsid w:val="000A1441"/>
    <w:rsid w:val="000A1A06"/>
    <w:rsid w:val="000A1B60"/>
    <w:rsid w:val="000A21B4"/>
    <w:rsid w:val="000A2CC7"/>
    <w:rsid w:val="000A2ED6"/>
    <w:rsid w:val="000A4205"/>
    <w:rsid w:val="000A4A19"/>
    <w:rsid w:val="000A60C5"/>
    <w:rsid w:val="000A6351"/>
    <w:rsid w:val="000A63D6"/>
    <w:rsid w:val="000A7B38"/>
    <w:rsid w:val="000B0343"/>
    <w:rsid w:val="000B2985"/>
    <w:rsid w:val="000B2C88"/>
    <w:rsid w:val="000B3089"/>
    <w:rsid w:val="000B3342"/>
    <w:rsid w:val="000B51FA"/>
    <w:rsid w:val="000B5905"/>
    <w:rsid w:val="000B5975"/>
    <w:rsid w:val="000B6E2C"/>
    <w:rsid w:val="000B76C5"/>
    <w:rsid w:val="000B7A10"/>
    <w:rsid w:val="000C115D"/>
    <w:rsid w:val="000C1535"/>
    <w:rsid w:val="000C252B"/>
    <w:rsid w:val="000C2FBD"/>
    <w:rsid w:val="000C3B0C"/>
    <w:rsid w:val="000C422D"/>
    <w:rsid w:val="000C46DC"/>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C0"/>
    <w:rsid w:val="000D5C60"/>
    <w:rsid w:val="000D71E2"/>
    <w:rsid w:val="000D73A5"/>
    <w:rsid w:val="000E07D6"/>
    <w:rsid w:val="000E1380"/>
    <w:rsid w:val="000E18DF"/>
    <w:rsid w:val="000E59A0"/>
    <w:rsid w:val="000E7A84"/>
    <w:rsid w:val="000F1237"/>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0466"/>
    <w:rsid w:val="001112C4"/>
    <w:rsid w:val="00111444"/>
    <w:rsid w:val="00111662"/>
    <w:rsid w:val="00111723"/>
    <w:rsid w:val="001129B5"/>
    <w:rsid w:val="00112BE6"/>
    <w:rsid w:val="001141E3"/>
    <w:rsid w:val="001144DF"/>
    <w:rsid w:val="0011557B"/>
    <w:rsid w:val="00117C85"/>
    <w:rsid w:val="00120B13"/>
    <w:rsid w:val="0012104D"/>
    <w:rsid w:val="00124D84"/>
    <w:rsid w:val="001250DD"/>
    <w:rsid w:val="00125733"/>
    <w:rsid w:val="001263AA"/>
    <w:rsid w:val="00130779"/>
    <w:rsid w:val="001307A1"/>
    <w:rsid w:val="001321D3"/>
    <w:rsid w:val="00133006"/>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3EF9"/>
    <w:rsid w:val="00154721"/>
    <w:rsid w:val="001559FA"/>
    <w:rsid w:val="00156162"/>
    <w:rsid w:val="00156374"/>
    <w:rsid w:val="001577D8"/>
    <w:rsid w:val="00157FC3"/>
    <w:rsid w:val="00160739"/>
    <w:rsid w:val="0016271E"/>
    <w:rsid w:val="00162D7A"/>
    <w:rsid w:val="00163DDB"/>
    <w:rsid w:val="00164DAB"/>
    <w:rsid w:val="00165BBB"/>
    <w:rsid w:val="0016613F"/>
    <w:rsid w:val="00166215"/>
    <w:rsid w:val="00166591"/>
    <w:rsid w:val="00170047"/>
    <w:rsid w:val="00171143"/>
    <w:rsid w:val="001722AF"/>
    <w:rsid w:val="00172864"/>
    <w:rsid w:val="00172B82"/>
    <w:rsid w:val="00172EFA"/>
    <w:rsid w:val="00173608"/>
    <w:rsid w:val="001745EC"/>
    <w:rsid w:val="001747B7"/>
    <w:rsid w:val="00175C30"/>
    <w:rsid w:val="00177069"/>
    <w:rsid w:val="00177341"/>
    <w:rsid w:val="00177FC1"/>
    <w:rsid w:val="001815A2"/>
    <w:rsid w:val="00181FC1"/>
    <w:rsid w:val="00183034"/>
    <w:rsid w:val="001830F7"/>
    <w:rsid w:val="00183EE6"/>
    <w:rsid w:val="0018588A"/>
    <w:rsid w:val="00187252"/>
    <w:rsid w:val="00191C91"/>
    <w:rsid w:val="00192DD9"/>
    <w:rsid w:val="00194339"/>
    <w:rsid w:val="00194848"/>
    <w:rsid w:val="001958EA"/>
    <w:rsid w:val="00195A2C"/>
    <w:rsid w:val="00195E0E"/>
    <w:rsid w:val="001A180D"/>
    <w:rsid w:val="001A1BAC"/>
    <w:rsid w:val="001A23CE"/>
    <w:rsid w:val="001A2C89"/>
    <w:rsid w:val="001A673E"/>
    <w:rsid w:val="001A7763"/>
    <w:rsid w:val="001B3964"/>
    <w:rsid w:val="001B3E2E"/>
    <w:rsid w:val="001B4452"/>
    <w:rsid w:val="001B466C"/>
    <w:rsid w:val="001B4F34"/>
    <w:rsid w:val="001B52EC"/>
    <w:rsid w:val="001B554A"/>
    <w:rsid w:val="001B6564"/>
    <w:rsid w:val="001B691A"/>
    <w:rsid w:val="001B712D"/>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6FDB"/>
    <w:rsid w:val="001D780E"/>
    <w:rsid w:val="001E05C3"/>
    <w:rsid w:val="001E0AD3"/>
    <w:rsid w:val="001E2320"/>
    <w:rsid w:val="001E36E4"/>
    <w:rsid w:val="001E379D"/>
    <w:rsid w:val="001E3A3C"/>
    <w:rsid w:val="001E44F9"/>
    <w:rsid w:val="001E5C23"/>
    <w:rsid w:val="001E7504"/>
    <w:rsid w:val="001E76DF"/>
    <w:rsid w:val="001F1308"/>
    <w:rsid w:val="001F1525"/>
    <w:rsid w:val="001F1E87"/>
    <w:rsid w:val="001F1EB6"/>
    <w:rsid w:val="001F2E23"/>
    <w:rsid w:val="001F341F"/>
    <w:rsid w:val="001F3911"/>
    <w:rsid w:val="001F3F1A"/>
    <w:rsid w:val="001F4212"/>
    <w:rsid w:val="001F4CBD"/>
    <w:rsid w:val="001F5545"/>
    <w:rsid w:val="001F5777"/>
    <w:rsid w:val="001F5937"/>
    <w:rsid w:val="001F59E3"/>
    <w:rsid w:val="001F59ED"/>
    <w:rsid w:val="001F7121"/>
    <w:rsid w:val="00200D2C"/>
    <w:rsid w:val="002019D8"/>
    <w:rsid w:val="00201EC7"/>
    <w:rsid w:val="002031AD"/>
    <w:rsid w:val="0020349A"/>
    <w:rsid w:val="002034B4"/>
    <w:rsid w:val="00204032"/>
    <w:rsid w:val="00204BAD"/>
    <w:rsid w:val="00204D60"/>
    <w:rsid w:val="00205627"/>
    <w:rsid w:val="002056D0"/>
    <w:rsid w:val="0021064E"/>
    <w:rsid w:val="00210860"/>
    <w:rsid w:val="00210B6A"/>
    <w:rsid w:val="00212CB6"/>
    <w:rsid w:val="00212E37"/>
    <w:rsid w:val="002140FF"/>
    <w:rsid w:val="00217071"/>
    <w:rsid w:val="00220894"/>
    <w:rsid w:val="00224952"/>
    <w:rsid w:val="00224DD2"/>
    <w:rsid w:val="00225A6A"/>
    <w:rsid w:val="00225AC7"/>
    <w:rsid w:val="00225ACC"/>
    <w:rsid w:val="002276DC"/>
    <w:rsid w:val="00231C25"/>
    <w:rsid w:val="00231C6F"/>
    <w:rsid w:val="00232A90"/>
    <w:rsid w:val="00234151"/>
    <w:rsid w:val="00234F8C"/>
    <w:rsid w:val="002352DC"/>
    <w:rsid w:val="00235542"/>
    <w:rsid w:val="002369B0"/>
    <w:rsid w:val="00236AD8"/>
    <w:rsid w:val="002401F5"/>
    <w:rsid w:val="00240E54"/>
    <w:rsid w:val="002451C5"/>
    <w:rsid w:val="00245F1F"/>
    <w:rsid w:val="0024663B"/>
    <w:rsid w:val="00247103"/>
    <w:rsid w:val="00250067"/>
    <w:rsid w:val="002516DE"/>
    <w:rsid w:val="00251F81"/>
    <w:rsid w:val="00252BE0"/>
    <w:rsid w:val="002531A8"/>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2FBE"/>
    <w:rsid w:val="00284BAE"/>
    <w:rsid w:val="002859AF"/>
    <w:rsid w:val="00286AE7"/>
    <w:rsid w:val="00287243"/>
    <w:rsid w:val="00290647"/>
    <w:rsid w:val="00291385"/>
    <w:rsid w:val="00291422"/>
    <w:rsid w:val="0029237F"/>
    <w:rsid w:val="00292715"/>
    <w:rsid w:val="00293E57"/>
    <w:rsid w:val="002947D1"/>
    <w:rsid w:val="002948DF"/>
    <w:rsid w:val="00294D90"/>
    <w:rsid w:val="002A0C4E"/>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1AC0"/>
    <w:rsid w:val="002C20F2"/>
    <w:rsid w:val="002C38B2"/>
    <w:rsid w:val="002C3F9C"/>
    <w:rsid w:val="002C4BDF"/>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24A"/>
    <w:rsid w:val="002F7BE3"/>
    <w:rsid w:val="002F7E6A"/>
    <w:rsid w:val="00300165"/>
    <w:rsid w:val="003010CF"/>
    <w:rsid w:val="00303440"/>
    <w:rsid w:val="003041A1"/>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A42"/>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1F7A"/>
    <w:rsid w:val="00352480"/>
    <w:rsid w:val="0035265E"/>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BE1"/>
    <w:rsid w:val="00383C8D"/>
    <w:rsid w:val="003852FB"/>
    <w:rsid w:val="00385429"/>
    <w:rsid w:val="00385B05"/>
    <w:rsid w:val="0038613A"/>
    <w:rsid w:val="00386382"/>
    <w:rsid w:val="003865EF"/>
    <w:rsid w:val="00386BA9"/>
    <w:rsid w:val="0038764F"/>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4E6D"/>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D7812"/>
    <w:rsid w:val="003E07AE"/>
    <w:rsid w:val="003E14FC"/>
    <w:rsid w:val="003E2976"/>
    <w:rsid w:val="003E4858"/>
    <w:rsid w:val="003E6316"/>
    <w:rsid w:val="003E6884"/>
    <w:rsid w:val="003E6AC5"/>
    <w:rsid w:val="003F0096"/>
    <w:rsid w:val="003F0850"/>
    <w:rsid w:val="003F0D12"/>
    <w:rsid w:val="003F160C"/>
    <w:rsid w:val="003F2CE1"/>
    <w:rsid w:val="003F324F"/>
    <w:rsid w:val="003F33BC"/>
    <w:rsid w:val="003F3D4E"/>
    <w:rsid w:val="003F477E"/>
    <w:rsid w:val="003F6CD2"/>
    <w:rsid w:val="003F788D"/>
    <w:rsid w:val="0040038F"/>
    <w:rsid w:val="0040126E"/>
    <w:rsid w:val="004020D4"/>
    <w:rsid w:val="004021B6"/>
    <w:rsid w:val="004047C4"/>
    <w:rsid w:val="0040570B"/>
    <w:rsid w:val="00405D5B"/>
    <w:rsid w:val="00405EDB"/>
    <w:rsid w:val="00405FB1"/>
    <w:rsid w:val="00406460"/>
    <w:rsid w:val="00411370"/>
    <w:rsid w:val="00412461"/>
    <w:rsid w:val="00412546"/>
    <w:rsid w:val="00413053"/>
    <w:rsid w:val="0041319C"/>
    <w:rsid w:val="004137B6"/>
    <w:rsid w:val="004137E0"/>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46C7"/>
    <w:rsid w:val="00435274"/>
    <w:rsid w:val="004352AD"/>
    <w:rsid w:val="0043545D"/>
    <w:rsid w:val="00435FE2"/>
    <w:rsid w:val="00436E2F"/>
    <w:rsid w:val="00436EAB"/>
    <w:rsid w:val="004461D9"/>
    <w:rsid w:val="00446703"/>
    <w:rsid w:val="00446AC6"/>
    <w:rsid w:val="0044759B"/>
    <w:rsid w:val="00447F54"/>
    <w:rsid w:val="00450B7E"/>
    <w:rsid w:val="0045136B"/>
    <w:rsid w:val="00451C7E"/>
    <w:rsid w:val="00453BB6"/>
    <w:rsid w:val="00453CAA"/>
    <w:rsid w:val="004550AE"/>
    <w:rsid w:val="00455113"/>
    <w:rsid w:val="0045573D"/>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2E34"/>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1157"/>
    <w:rsid w:val="004B3D78"/>
    <w:rsid w:val="004B49E6"/>
    <w:rsid w:val="004B4D69"/>
    <w:rsid w:val="004C01A8"/>
    <w:rsid w:val="004C1840"/>
    <w:rsid w:val="004C24C9"/>
    <w:rsid w:val="004C31B6"/>
    <w:rsid w:val="004C5319"/>
    <w:rsid w:val="004C621F"/>
    <w:rsid w:val="004C7948"/>
    <w:rsid w:val="004C7BB8"/>
    <w:rsid w:val="004C7C60"/>
    <w:rsid w:val="004D0DFE"/>
    <w:rsid w:val="004D12BD"/>
    <w:rsid w:val="004D1D91"/>
    <w:rsid w:val="004D22C3"/>
    <w:rsid w:val="004D6F4D"/>
    <w:rsid w:val="004D6F95"/>
    <w:rsid w:val="004D72FE"/>
    <w:rsid w:val="004D7E91"/>
    <w:rsid w:val="004E003A"/>
    <w:rsid w:val="004E0768"/>
    <w:rsid w:val="004E150E"/>
    <w:rsid w:val="004E1A31"/>
    <w:rsid w:val="004E2DE0"/>
    <w:rsid w:val="004E4060"/>
    <w:rsid w:val="004E409A"/>
    <w:rsid w:val="004E7041"/>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262"/>
    <w:rsid w:val="00505C04"/>
    <w:rsid w:val="00511F15"/>
    <w:rsid w:val="0051318C"/>
    <w:rsid w:val="005142CD"/>
    <w:rsid w:val="005143C9"/>
    <w:rsid w:val="005157A9"/>
    <w:rsid w:val="005173A7"/>
    <w:rsid w:val="005177E1"/>
    <w:rsid w:val="00520C0A"/>
    <w:rsid w:val="00520F93"/>
    <w:rsid w:val="005218B6"/>
    <w:rsid w:val="00522589"/>
    <w:rsid w:val="00524545"/>
    <w:rsid w:val="005255BF"/>
    <w:rsid w:val="005257DE"/>
    <w:rsid w:val="00527200"/>
    <w:rsid w:val="00530157"/>
    <w:rsid w:val="00531EBE"/>
    <w:rsid w:val="00532F8B"/>
    <w:rsid w:val="00533737"/>
    <w:rsid w:val="00535254"/>
    <w:rsid w:val="00535B79"/>
    <w:rsid w:val="00535D7C"/>
    <w:rsid w:val="00536579"/>
    <w:rsid w:val="00536C1E"/>
    <w:rsid w:val="0054343A"/>
    <w:rsid w:val="00543974"/>
    <w:rsid w:val="00543EBF"/>
    <w:rsid w:val="0054461D"/>
    <w:rsid w:val="00544ABA"/>
    <w:rsid w:val="0054593A"/>
    <w:rsid w:val="005467FB"/>
    <w:rsid w:val="00546AE9"/>
    <w:rsid w:val="00547989"/>
    <w:rsid w:val="00551320"/>
    <w:rsid w:val="005518A4"/>
    <w:rsid w:val="00552768"/>
    <w:rsid w:val="00552935"/>
    <w:rsid w:val="00553127"/>
    <w:rsid w:val="00553540"/>
    <w:rsid w:val="005537D5"/>
    <w:rsid w:val="00554BE7"/>
    <w:rsid w:val="00556D68"/>
    <w:rsid w:val="00557173"/>
    <w:rsid w:val="005576A1"/>
    <w:rsid w:val="00557A64"/>
    <w:rsid w:val="005605C0"/>
    <w:rsid w:val="00560D23"/>
    <w:rsid w:val="005615D8"/>
    <w:rsid w:val="00562317"/>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17C"/>
    <w:rsid w:val="005854D1"/>
    <w:rsid w:val="00585F5B"/>
    <w:rsid w:val="0058620A"/>
    <w:rsid w:val="00587FC0"/>
    <w:rsid w:val="005906AD"/>
    <w:rsid w:val="00590DA6"/>
    <w:rsid w:val="00591C7D"/>
    <w:rsid w:val="00592B03"/>
    <w:rsid w:val="00593488"/>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0D2"/>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04A"/>
    <w:rsid w:val="00601839"/>
    <w:rsid w:val="00602759"/>
    <w:rsid w:val="0060277A"/>
    <w:rsid w:val="00602B7C"/>
    <w:rsid w:val="00603312"/>
    <w:rsid w:val="00604DC7"/>
    <w:rsid w:val="00604E47"/>
    <w:rsid w:val="00605441"/>
    <w:rsid w:val="00606970"/>
    <w:rsid w:val="00606A20"/>
    <w:rsid w:val="006072C6"/>
    <w:rsid w:val="00607A2E"/>
    <w:rsid w:val="006130F7"/>
    <w:rsid w:val="006139D8"/>
    <w:rsid w:val="00613AF8"/>
    <w:rsid w:val="00613D8E"/>
    <w:rsid w:val="006142E0"/>
    <w:rsid w:val="00616112"/>
    <w:rsid w:val="006205CA"/>
    <w:rsid w:val="00621F53"/>
    <w:rsid w:val="00622E2A"/>
    <w:rsid w:val="00623089"/>
    <w:rsid w:val="0062308E"/>
    <w:rsid w:val="006234C4"/>
    <w:rsid w:val="0062436E"/>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7256"/>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66D9"/>
    <w:rsid w:val="0066732C"/>
    <w:rsid w:val="006679F5"/>
    <w:rsid w:val="00667B77"/>
    <w:rsid w:val="006716DA"/>
    <w:rsid w:val="006728ED"/>
    <w:rsid w:val="006732B1"/>
    <w:rsid w:val="0067446F"/>
    <w:rsid w:val="006746A4"/>
    <w:rsid w:val="00675558"/>
    <w:rsid w:val="00675611"/>
    <w:rsid w:val="00675A60"/>
    <w:rsid w:val="0067697E"/>
    <w:rsid w:val="0067743A"/>
    <w:rsid w:val="00677443"/>
    <w:rsid w:val="0067769A"/>
    <w:rsid w:val="006806A3"/>
    <w:rsid w:val="006806A6"/>
    <w:rsid w:val="00681211"/>
    <w:rsid w:val="00681B36"/>
    <w:rsid w:val="00682E14"/>
    <w:rsid w:val="0068436C"/>
    <w:rsid w:val="0068545E"/>
    <w:rsid w:val="00685FD4"/>
    <w:rsid w:val="00686534"/>
    <w:rsid w:val="00686612"/>
    <w:rsid w:val="0068661E"/>
    <w:rsid w:val="00687A78"/>
    <w:rsid w:val="00690A49"/>
    <w:rsid w:val="00690BB6"/>
    <w:rsid w:val="00691B30"/>
    <w:rsid w:val="00693E1F"/>
    <w:rsid w:val="00693ECB"/>
    <w:rsid w:val="00694797"/>
    <w:rsid w:val="00695887"/>
    <w:rsid w:val="006969CA"/>
    <w:rsid w:val="00697733"/>
    <w:rsid w:val="00697C8C"/>
    <w:rsid w:val="006A003A"/>
    <w:rsid w:val="006A254E"/>
    <w:rsid w:val="006A2C30"/>
    <w:rsid w:val="006A301C"/>
    <w:rsid w:val="006A3E2B"/>
    <w:rsid w:val="006A6E17"/>
    <w:rsid w:val="006B120D"/>
    <w:rsid w:val="006B17E7"/>
    <w:rsid w:val="006B19E8"/>
    <w:rsid w:val="006B1A8A"/>
    <w:rsid w:val="006B1FD5"/>
    <w:rsid w:val="006B555A"/>
    <w:rsid w:val="006B600A"/>
    <w:rsid w:val="006B6635"/>
    <w:rsid w:val="006B6A3C"/>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4DD"/>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E7C09"/>
    <w:rsid w:val="006F0593"/>
    <w:rsid w:val="006F1064"/>
    <w:rsid w:val="006F1EB7"/>
    <w:rsid w:val="006F52E5"/>
    <w:rsid w:val="006F6066"/>
    <w:rsid w:val="006F6850"/>
    <w:rsid w:val="006F707E"/>
    <w:rsid w:val="007001DC"/>
    <w:rsid w:val="007025CB"/>
    <w:rsid w:val="00703446"/>
    <w:rsid w:val="007034AA"/>
    <w:rsid w:val="00703C9D"/>
    <w:rsid w:val="00703E9B"/>
    <w:rsid w:val="0070490C"/>
    <w:rsid w:val="00705C38"/>
    <w:rsid w:val="00706465"/>
    <w:rsid w:val="0070695A"/>
    <w:rsid w:val="0070782D"/>
    <w:rsid w:val="007109C2"/>
    <w:rsid w:val="00711340"/>
    <w:rsid w:val="00712C42"/>
    <w:rsid w:val="00713596"/>
    <w:rsid w:val="00713854"/>
    <w:rsid w:val="00713DE4"/>
    <w:rsid w:val="00714C47"/>
    <w:rsid w:val="00716462"/>
    <w:rsid w:val="00721084"/>
    <w:rsid w:val="00721262"/>
    <w:rsid w:val="00721D9B"/>
    <w:rsid w:val="00722121"/>
    <w:rsid w:val="007224B9"/>
    <w:rsid w:val="00722F94"/>
    <w:rsid w:val="00723AA7"/>
    <w:rsid w:val="0072432E"/>
    <w:rsid w:val="00725E16"/>
    <w:rsid w:val="00726036"/>
    <w:rsid w:val="00726279"/>
    <w:rsid w:val="00726A9B"/>
    <w:rsid w:val="00727530"/>
    <w:rsid w:val="00731E7C"/>
    <w:rsid w:val="007329EF"/>
    <w:rsid w:val="0073327A"/>
    <w:rsid w:val="007340D0"/>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6876"/>
    <w:rsid w:val="007574FC"/>
    <w:rsid w:val="00760975"/>
    <w:rsid w:val="007609D3"/>
    <w:rsid w:val="00761010"/>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14B8"/>
    <w:rsid w:val="007820FA"/>
    <w:rsid w:val="0078285F"/>
    <w:rsid w:val="00783207"/>
    <w:rsid w:val="00783E1D"/>
    <w:rsid w:val="0078483B"/>
    <w:rsid w:val="00784EED"/>
    <w:rsid w:val="00785900"/>
    <w:rsid w:val="00786958"/>
    <w:rsid w:val="00786E71"/>
    <w:rsid w:val="0079162F"/>
    <w:rsid w:val="00793A78"/>
    <w:rsid w:val="00794924"/>
    <w:rsid w:val="00794B6A"/>
    <w:rsid w:val="00796A3B"/>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7A3"/>
    <w:rsid w:val="007B7DC1"/>
    <w:rsid w:val="007B7EDB"/>
    <w:rsid w:val="007C19AD"/>
    <w:rsid w:val="007C3598"/>
    <w:rsid w:val="007C3FA8"/>
    <w:rsid w:val="007C68DA"/>
    <w:rsid w:val="007C6F32"/>
    <w:rsid w:val="007D229A"/>
    <w:rsid w:val="007D2F44"/>
    <w:rsid w:val="007D2F4D"/>
    <w:rsid w:val="007D4178"/>
    <w:rsid w:val="007D4D33"/>
    <w:rsid w:val="007D7175"/>
    <w:rsid w:val="007E1369"/>
    <w:rsid w:val="007E1A1B"/>
    <w:rsid w:val="007E1A88"/>
    <w:rsid w:val="007E2E45"/>
    <w:rsid w:val="007E4C88"/>
    <w:rsid w:val="007E585E"/>
    <w:rsid w:val="007E7697"/>
    <w:rsid w:val="007E783F"/>
    <w:rsid w:val="007E7DDF"/>
    <w:rsid w:val="007F11C8"/>
    <w:rsid w:val="007F1CFB"/>
    <w:rsid w:val="007F1D6F"/>
    <w:rsid w:val="007F220B"/>
    <w:rsid w:val="007F27DD"/>
    <w:rsid w:val="007F6880"/>
    <w:rsid w:val="007F76B4"/>
    <w:rsid w:val="008001B4"/>
    <w:rsid w:val="00800769"/>
    <w:rsid w:val="00800ED2"/>
    <w:rsid w:val="00802E74"/>
    <w:rsid w:val="00804B92"/>
    <w:rsid w:val="00804E21"/>
    <w:rsid w:val="00805092"/>
    <w:rsid w:val="00805F4A"/>
    <w:rsid w:val="00806AAF"/>
    <w:rsid w:val="008070AC"/>
    <w:rsid w:val="008101FD"/>
    <w:rsid w:val="00810C75"/>
    <w:rsid w:val="00810D8D"/>
    <w:rsid w:val="00811835"/>
    <w:rsid w:val="0081581D"/>
    <w:rsid w:val="00815AB5"/>
    <w:rsid w:val="008172BE"/>
    <w:rsid w:val="00817B71"/>
    <w:rsid w:val="00820244"/>
    <w:rsid w:val="00820385"/>
    <w:rsid w:val="008221B3"/>
    <w:rsid w:val="0082248E"/>
    <w:rsid w:val="00824FDF"/>
    <w:rsid w:val="00825125"/>
    <w:rsid w:val="008257CC"/>
    <w:rsid w:val="0082694B"/>
    <w:rsid w:val="008274BF"/>
    <w:rsid w:val="00830DC3"/>
    <w:rsid w:val="00831555"/>
    <w:rsid w:val="00831F52"/>
    <w:rsid w:val="00832154"/>
    <w:rsid w:val="00832CEE"/>
    <w:rsid w:val="00832F5C"/>
    <w:rsid w:val="008359E0"/>
    <w:rsid w:val="008376F6"/>
    <w:rsid w:val="00837D5B"/>
    <w:rsid w:val="00840607"/>
    <w:rsid w:val="00841CD2"/>
    <w:rsid w:val="00842B77"/>
    <w:rsid w:val="0084309F"/>
    <w:rsid w:val="00845C12"/>
    <w:rsid w:val="0084633F"/>
    <w:rsid w:val="008469D9"/>
    <w:rsid w:val="00846DC0"/>
    <w:rsid w:val="008474A7"/>
    <w:rsid w:val="00850291"/>
    <w:rsid w:val="008505EC"/>
    <w:rsid w:val="008506B6"/>
    <w:rsid w:val="00850AE0"/>
    <w:rsid w:val="008524D2"/>
    <w:rsid w:val="00852E19"/>
    <w:rsid w:val="00854452"/>
    <w:rsid w:val="00855445"/>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77E62"/>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ADD"/>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5C0"/>
    <w:rsid w:val="008C4C7E"/>
    <w:rsid w:val="008C5168"/>
    <w:rsid w:val="008C5C46"/>
    <w:rsid w:val="008C6184"/>
    <w:rsid w:val="008C63C7"/>
    <w:rsid w:val="008C785E"/>
    <w:rsid w:val="008D0AFB"/>
    <w:rsid w:val="008D1511"/>
    <w:rsid w:val="008D32DF"/>
    <w:rsid w:val="008D35E9"/>
    <w:rsid w:val="008D3959"/>
    <w:rsid w:val="008D3966"/>
    <w:rsid w:val="008D4352"/>
    <w:rsid w:val="008D60BC"/>
    <w:rsid w:val="008D6D7B"/>
    <w:rsid w:val="008D7EB7"/>
    <w:rsid w:val="008E0EB8"/>
    <w:rsid w:val="008E1076"/>
    <w:rsid w:val="008E10A6"/>
    <w:rsid w:val="008E1271"/>
    <w:rsid w:val="008E2251"/>
    <w:rsid w:val="008E24B3"/>
    <w:rsid w:val="008E24CA"/>
    <w:rsid w:val="008E2F6E"/>
    <w:rsid w:val="008E38AD"/>
    <w:rsid w:val="008E3EEC"/>
    <w:rsid w:val="008E5AEF"/>
    <w:rsid w:val="008E5BF2"/>
    <w:rsid w:val="008E5C81"/>
    <w:rsid w:val="008F0A38"/>
    <w:rsid w:val="008F0F84"/>
    <w:rsid w:val="008F1014"/>
    <w:rsid w:val="008F11C9"/>
    <w:rsid w:val="008F23D8"/>
    <w:rsid w:val="008F2FD5"/>
    <w:rsid w:val="008F34E6"/>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B59"/>
    <w:rsid w:val="00910FC9"/>
    <w:rsid w:val="009110F6"/>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6FD5"/>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239F"/>
    <w:rsid w:val="009657F1"/>
    <w:rsid w:val="0096625D"/>
    <w:rsid w:val="009709F8"/>
    <w:rsid w:val="00972929"/>
    <w:rsid w:val="00972F91"/>
    <w:rsid w:val="00973827"/>
    <w:rsid w:val="00973BEF"/>
    <w:rsid w:val="009742D3"/>
    <w:rsid w:val="00977BA7"/>
    <w:rsid w:val="00980517"/>
    <w:rsid w:val="00980E5F"/>
    <w:rsid w:val="0098194F"/>
    <w:rsid w:val="0098267B"/>
    <w:rsid w:val="009826C8"/>
    <w:rsid w:val="009836E4"/>
    <w:rsid w:val="0098412F"/>
    <w:rsid w:val="00985F28"/>
    <w:rsid w:val="00986149"/>
    <w:rsid w:val="00986176"/>
    <w:rsid w:val="00986E7F"/>
    <w:rsid w:val="00987536"/>
    <w:rsid w:val="00990BD5"/>
    <w:rsid w:val="0099196F"/>
    <w:rsid w:val="00992B98"/>
    <w:rsid w:val="0099333E"/>
    <w:rsid w:val="0099359F"/>
    <w:rsid w:val="00993E2E"/>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599"/>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2C76"/>
    <w:rsid w:val="009F3FB5"/>
    <w:rsid w:val="009F521F"/>
    <w:rsid w:val="009F553C"/>
    <w:rsid w:val="009F59F8"/>
    <w:rsid w:val="00A005B0"/>
    <w:rsid w:val="00A01F17"/>
    <w:rsid w:val="00A022A5"/>
    <w:rsid w:val="00A03A22"/>
    <w:rsid w:val="00A03A44"/>
    <w:rsid w:val="00A04634"/>
    <w:rsid w:val="00A046DC"/>
    <w:rsid w:val="00A06119"/>
    <w:rsid w:val="00A07A48"/>
    <w:rsid w:val="00A108EE"/>
    <w:rsid w:val="00A10BB8"/>
    <w:rsid w:val="00A1200D"/>
    <w:rsid w:val="00A137E4"/>
    <w:rsid w:val="00A140E8"/>
    <w:rsid w:val="00A14813"/>
    <w:rsid w:val="00A1566A"/>
    <w:rsid w:val="00A165BF"/>
    <w:rsid w:val="00A172E8"/>
    <w:rsid w:val="00A179FF"/>
    <w:rsid w:val="00A2194D"/>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25"/>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094B"/>
    <w:rsid w:val="00A81277"/>
    <w:rsid w:val="00A82749"/>
    <w:rsid w:val="00A82D58"/>
    <w:rsid w:val="00A8399D"/>
    <w:rsid w:val="00A83E3D"/>
    <w:rsid w:val="00A8443A"/>
    <w:rsid w:val="00A8479C"/>
    <w:rsid w:val="00A8557B"/>
    <w:rsid w:val="00A85A05"/>
    <w:rsid w:val="00A86D63"/>
    <w:rsid w:val="00A87797"/>
    <w:rsid w:val="00A90E72"/>
    <w:rsid w:val="00A922A2"/>
    <w:rsid w:val="00A92D5D"/>
    <w:rsid w:val="00A92E80"/>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051"/>
    <w:rsid w:val="00AB5177"/>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6466"/>
    <w:rsid w:val="00AD7305"/>
    <w:rsid w:val="00AD7E64"/>
    <w:rsid w:val="00AE0C56"/>
    <w:rsid w:val="00AE10E0"/>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35"/>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1D7"/>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2AA6"/>
    <w:rsid w:val="00B5310E"/>
    <w:rsid w:val="00B54ACC"/>
    <w:rsid w:val="00B54DCB"/>
    <w:rsid w:val="00B55AC2"/>
    <w:rsid w:val="00B560C9"/>
    <w:rsid w:val="00B56533"/>
    <w:rsid w:val="00B56CFC"/>
    <w:rsid w:val="00B57777"/>
    <w:rsid w:val="00B57A17"/>
    <w:rsid w:val="00B60215"/>
    <w:rsid w:val="00B61BE2"/>
    <w:rsid w:val="00B6266F"/>
    <w:rsid w:val="00B62DF0"/>
    <w:rsid w:val="00B62E0B"/>
    <w:rsid w:val="00B63C32"/>
    <w:rsid w:val="00B64434"/>
    <w:rsid w:val="00B67F46"/>
    <w:rsid w:val="00B711CE"/>
    <w:rsid w:val="00B71DC8"/>
    <w:rsid w:val="00B72D82"/>
    <w:rsid w:val="00B72F72"/>
    <w:rsid w:val="00B73645"/>
    <w:rsid w:val="00B746C6"/>
    <w:rsid w:val="00B7604C"/>
    <w:rsid w:val="00B7652C"/>
    <w:rsid w:val="00B766BF"/>
    <w:rsid w:val="00B76FA6"/>
    <w:rsid w:val="00B80910"/>
    <w:rsid w:val="00B818F4"/>
    <w:rsid w:val="00B81BC9"/>
    <w:rsid w:val="00B81E7E"/>
    <w:rsid w:val="00B8222F"/>
    <w:rsid w:val="00B82615"/>
    <w:rsid w:val="00B83444"/>
    <w:rsid w:val="00B836ED"/>
    <w:rsid w:val="00B853BE"/>
    <w:rsid w:val="00B86476"/>
    <w:rsid w:val="00B86A3D"/>
    <w:rsid w:val="00B875C7"/>
    <w:rsid w:val="00B90D10"/>
    <w:rsid w:val="00B90FE5"/>
    <w:rsid w:val="00B919AD"/>
    <w:rsid w:val="00B91A2B"/>
    <w:rsid w:val="00B92CB6"/>
    <w:rsid w:val="00B93204"/>
    <w:rsid w:val="00B94E17"/>
    <w:rsid w:val="00B957FE"/>
    <w:rsid w:val="00B95F02"/>
    <w:rsid w:val="00B96BEF"/>
    <w:rsid w:val="00B96FC0"/>
    <w:rsid w:val="00B97260"/>
    <w:rsid w:val="00B97A69"/>
    <w:rsid w:val="00BA0632"/>
    <w:rsid w:val="00BA0AAA"/>
    <w:rsid w:val="00BA0DFB"/>
    <w:rsid w:val="00BA2FEF"/>
    <w:rsid w:val="00BA4005"/>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30C"/>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5F26"/>
    <w:rsid w:val="00BF73F2"/>
    <w:rsid w:val="00BF7457"/>
    <w:rsid w:val="00C01671"/>
    <w:rsid w:val="00C02419"/>
    <w:rsid w:val="00C02766"/>
    <w:rsid w:val="00C03EE8"/>
    <w:rsid w:val="00C05BEC"/>
    <w:rsid w:val="00C06E7D"/>
    <w:rsid w:val="00C1112B"/>
    <w:rsid w:val="00C11A88"/>
    <w:rsid w:val="00C12012"/>
    <w:rsid w:val="00C12874"/>
    <w:rsid w:val="00C12BC1"/>
    <w:rsid w:val="00C1348C"/>
    <w:rsid w:val="00C13BDA"/>
    <w:rsid w:val="00C13FFD"/>
    <w:rsid w:val="00C14083"/>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37B86"/>
    <w:rsid w:val="00C40373"/>
    <w:rsid w:val="00C4082D"/>
    <w:rsid w:val="00C40AE6"/>
    <w:rsid w:val="00C411AF"/>
    <w:rsid w:val="00C4138D"/>
    <w:rsid w:val="00C41B6C"/>
    <w:rsid w:val="00C41E3A"/>
    <w:rsid w:val="00C4304C"/>
    <w:rsid w:val="00C43315"/>
    <w:rsid w:val="00C452F5"/>
    <w:rsid w:val="00C46555"/>
    <w:rsid w:val="00C46B15"/>
    <w:rsid w:val="00C46F7D"/>
    <w:rsid w:val="00C479B5"/>
    <w:rsid w:val="00C47A40"/>
    <w:rsid w:val="00C50242"/>
    <w:rsid w:val="00C5034D"/>
    <w:rsid w:val="00C5050E"/>
    <w:rsid w:val="00C50E99"/>
    <w:rsid w:val="00C52744"/>
    <w:rsid w:val="00C53EB3"/>
    <w:rsid w:val="00C542D4"/>
    <w:rsid w:val="00C54D71"/>
    <w:rsid w:val="00C550E2"/>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645C"/>
    <w:rsid w:val="00CB787A"/>
    <w:rsid w:val="00CC09DD"/>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05FE"/>
    <w:rsid w:val="00CE1FC5"/>
    <w:rsid w:val="00CE3022"/>
    <w:rsid w:val="00CE46E5"/>
    <w:rsid w:val="00CE485A"/>
    <w:rsid w:val="00CE5279"/>
    <w:rsid w:val="00CE5525"/>
    <w:rsid w:val="00CE57BB"/>
    <w:rsid w:val="00CE5A78"/>
    <w:rsid w:val="00CE78AE"/>
    <w:rsid w:val="00CE7E62"/>
    <w:rsid w:val="00CF195E"/>
    <w:rsid w:val="00CF19DA"/>
    <w:rsid w:val="00CF1C7F"/>
    <w:rsid w:val="00CF1CC0"/>
    <w:rsid w:val="00CF24DF"/>
    <w:rsid w:val="00CF24F8"/>
    <w:rsid w:val="00CF2653"/>
    <w:rsid w:val="00CF4247"/>
    <w:rsid w:val="00CF4D9B"/>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0E9B"/>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49"/>
    <w:rsid w:val="00D3396F"/>
    <w:rsid w:val="00D33D4D"/>
    <w:rsid w:val="00D34A0B"/>
    <w:rsid w:val="00D36234"/>
    <w:rsid w:val="00D36371"/>
    <w:rsid w:val="00D437D8"/>
    <w:rsid w:val="00D44994"/>
    <w:rsid w:val="00D45DF3"/>
    <w:rsid w:val="00D46174"/>
    <w:rsid w:val="00D47DD0"/>
    <w:rsid w:val="00D50183"/>
    <w:rsid w:val="00D509DC"/>
    <w:rsid w:val="00D51D12"/>
    <w:rsid w:val="00D52935"/>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3C9D"/>
    <w:rsid w:val="00D659B1"/>
    <w:rsid w:val="00D66E18"/>
    <w:rsid w:val="00D6734D"/>
    <w:rsid w:val="00D679CF"/>
    <w:rsid w:val="00D679D3"/>
    <w:rsid w:val="00D71E18"/>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148"/>
    <w:rsid w:val="00D919E6"/>
    <w:rsid w:val="00D91BE1"/>
    <w:rsid w:val="00D92C29"/>
    <w:rsid w:val="00D936E2"/>
    <w:rsid w:val="00D95104"/>
    <w:rsid w:val="00D95600"/>
    <w:rsid w:val="00D9683C"/>
    <w:rsid w:val="00D97044"/>
    <w:rsid w:val="00D97684"/>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7916"/>
    <w:rsid w:val="00DC1327"/>
    <w:rsid w:val="00DC1350"/>
    <w:rsid w:val="00DC3237"/>
    <w:rsid w:val="00DC41A4"/>
    <w:rsid w:val="00DC5672"/>
    <w:rsid w:val="00DC60A2"/>
    <w:rsid w:val="00DC6600"/>
    <w:rsid w:val="00DC67BD"/>
    <w:rsid w:val="00DC6924"/>
    <w:rsid w:val="00DC71F2"/>
    <w:rsid w:val="00DD2025"/>
    <w:rsid w:val="00DD22EA"/>
    <w:rsid w:val="00DD23A0"/>
    <w:rsid w:val="00DD2C93"/>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278D8"/>
    <w:rsid w:val="00E32D62"/>
    <w:rsid w:val="00E33687"/>
    <w:rsid w:val="00E339DC"/>
    <w:rsid w:val="00E33E15"/>
    <w:rsid w:val="00E361B8"/>
    <w:rsid w:val="00E36A1B"/>
    <w:rsid w:val="00E429ED"/>
    <w:rsid w:val="00E43C18"/>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056"/>
    <w:rsid w:val="00E6277B"/>
    <w:rsid w:val="00E64424"/>
    <w:rsid w:val="00E64C99"/>
    <w:rsid w:val="00E64CD3"/>
    <w:rsid w:val="00E671C9"/>
    <w:rsid w:val="00E6743F"/>
    <w:rsid w:val="00E6758E"/>
    <w:rsid w:val="00E67E23"/>
    <w:rsid w:val="00E70016"/>
    <w:rsid w:val="00E70BC7"/>
    <w:rsid w:val="00E70FBC"/>
    <w:rsid w:val="00E72C01"/>
    <w:rsid w:val="00E741AC"/>
    <w:rsid w:val="00E74D02"/>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A4B"/>
    <w:rsid w:val="00E91F04"/>
    <w:rsid w:val="00E91F35"/>
    <w:rsid w:val="00E95BA6"/>
    <w:rsid w:val="00E97648"/>
    <w:rsid w:val="00EA01C3"/>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5C01"/>
    <w:rsid w:val="00EB6D60"/>
    <w:rsid w:val="00EB70B0"/>
    <w:rsid w:val="00EB7633"/>
    <w:rsid w:val="00EB7736"/>
    <w:rsid w:val="00EC2E2D"/>
    <w:rsid w:val="00EC462B"/>
    <w:rsid w:val="00EC4723"/>
    <w:rsid w:val="00EC56E0"/>
    <w:rsid w:val="00EC6057"/>
    <w:rsid w:val="00EC6847"/>
    <w:rsid w:val="00EC701A"/>
    <w:rsid w:val="00EC7DB6"/>
    <w:rsid w:val="00ED162F"/>
    <w:rsid w:val="00ED2E52"/>
    <w:rsid w:val="00ED3024"/>
    <w:rsid w:val="00ED5FE4"/>
    <w:rsid w:val="00ED71C5"/>
    <w:rsid w:val="00ED776F"/>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0ACF"/>
    <w:rsid w:val="00F027BA"/>
    <w:rsid w:val="00F03E79"/>
    <w:rsid w:val="00F04235"/>
    <w:rsid w:val="00F0628D"/>
    <w:rsid w:val="00F06651"/>
    <w:rsid w:val="00F07DE6"/>
    <w:rsid w:val="00F07E5D"/>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1E86"/>
    <w:rsid w:val="00F32F56"/>
    <w:rsid w:val="00F33D4F"/>
    <w:rsid w:val="00F34CD6"/>
    <w:rsid w:val="00F35873"/>
    <w:rsid w:val="00F35920"/>
    <w:rsid w:val="00F366A5"/>
    <w:rsid w:val="00F36C5F"/>
    <w:rsid w:val="00F37259"/>
    <w:rsid w:val="00F37AA7"/>
    <w:rsid w:val="00F405A4"/>
    <w:rsid w:val="00F41F05"/>
    <w:rsid w:val="00F433BD"/>
    <w:rsid w:val="00F44EC5"/>
    <w:rsid w:val="00F46CFE"/>
    <w:rsid w:val="00F47498"/>
    <w:rsid w:val="00F512B2"/>
    <w:rsid w:val="00F5283D"/>
    <w:rsid w:val="00F52ABA"/>
    <w:rsid w:val="00F52BC7"/>
    <w:rsid w:val="00F53BF4"/>
    <w:rsid w:val="00F54266"/>
    <w:rsid w:val="00F55043"/>
    <w:rsid w:val="00F563BB"/>
    <w:rsid w:val="00F56DCF"/>
    <w:rsid w:val="00F57034"/>
    <w:rsid w:val="00F60BE9"/>
    <w:rsid w:val="00F60EBE"/>
    <w:rsid w:val="00F61FD8"/>
    <w:rsid w:val="00F62DBF"/>
    <w:rsid w:val="00F641FC"/>
    <w:rsid w:val="00F647F7"/>
    <w:rsid w:val="00F6583C"/>
    <w:rsid w:val="00F6589A"/>
    <w:rsid w:val="00F6783E"/>
    <w:rsid w:val="00F70DBE"/>
    <w:rsid w:val="00F71124"/>
    <w:rsid w:val="00F7152E"/>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5B"/>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1ED"/>
    <w:rsid w:val="00FC63D1"/>
    <w:rsid w:val="00FC69B3"/>
    <w:rsid w:val="00FC7528"/>
    <w:rsid w:val="00FD0572"/>
    <w:rsid w:val="00FD1A97"/>
    <w:rsid w:val="00FD2D7B"/>
    <w:rsid w:val="00FD37F6"/>
    <w:rsid w:val="00FD4589"/>
    <w:rsid w:val="00FD473E"/>
    <w:rsid w:val="00FD776D"/>
    <w:rsid w:val="00FD7DF9"/>
    <w:rsid w:val="00FE0B51"/>
    <w:rsid w:val="00FE0B78"/>
    <w:rsid w:val="00FE0ED4"/>
    <w:rsid w:val="00FE1EAB"/>
    <w:rsid w:val="00FE3465"/>
    <w:rsid w:val="00FE3AAC"/>
    <w:rsid w:val="00FE67CF"/>
    <w:rsid w:val="00FE6D20"/>
    <w:rsid w:val="00FE6FB9"/>
    <w:rsid w:val="00FE7549"/>
    <w:rsid w:val="00FE7BCC"/>
    <w:rsid w:val="00FF0464"/>
    <w:rsid w:val="00FF104B"/>
    <w:rsid w:val="00FF126D"/>
    <w:rsid w:val="00FF2310"/>
    <w:rsid w:val="00FF2DCD"/>
    <w:rsid w:val="00FF2E73"/>
    <w:rsid w:val="00FF3611"/>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FBE"/>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3"/>
      </w:numPr>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Pr>
      <w:color w:val="800080"/>
      <w:u w:val="single"/>
    </w:rPr>
  </w:style>
  <w:style w:type="paragraph" w:styleId="aa">
    <w:name w:val="footnote text"/>
    <w:basedOn w:val="a"/>
    <w:semiHidden/>
    <w:rPr>
      <w:sz w:val="20"/>
      <w:szCs w:val="20"/>
    </w:rPr>
  </w:style>
  <w:style w:type="character" w:styleId="ab">
    <w:name w:val="footnote reference"/>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Cambria" w:hAnsi="Cambria"/>
      <w:b/>
      <w:bCs/>
      <w:sz w:val="32"/>
      <w:szCs w:val="32"/>
    </w:rPr>
  </w:style>
  <w:style w:type="character" w:customStyle="1" w:styleId="Char3">
    <w:name w:val="标题 Char"/>
    <w:link w:val="af0"/>
    <w:rsid w:val="00B72D82"/>
    <w:rPr>
      <w:rFonts w:ascii="Cambria" w:hAnsi="Cambria" w:cs="Times New Roman"/>
      <w:b/>
      <w:bCs/>
      <w:sz w:val="32"/>
      <w:szCs w:val="32"/>
    </w:rPr>
  </w:style>
  <w:style w:type="paragraph" w:styleId="af1">
    <w:name w:val="List Paragraph"/>
    <w:basedOn w:val="a"/>
    <w:uiPriority w:val="99"/>
    <w:qFormat/>
    <w:rsid w:val="00170047"/>
    <w:pPr>
      <w:ind w:firstLineChars="200" w:firstLine="420"/>
    </w:pPr>
  </w:style>
  <w:style w:type="paragraph" w:customStyle="1" w:styleId="LGTdoc1">
    <w:name w:val="LGTdoc_제목1"/>
    <w:basedOn w:val="a"/>
    <w:rsid w:val="00CE57BB"/>
    <w:pPr>
      <w:autoSpaceDE/>
      <w:autoSpaceDN/>
      <w:spacing w:beforeLines="50" w:after="100" w:afterAutospacing="1"/>
    </w:pPr>
    <w:rPr>
      <w:rFonts w:ascii="Arial" w:eastAsia="MS Mincho" w:hAnsi="Arial" w:cs="Arial"/>
      <w:b/>
      <w:snapToGrid w:val="0"/>
      <w:sz w:val="28"/>
      <w:szCs w:val="20"/>
      <w:lang w:val="en-GB" w:eastAsia="ko-KR"/>
    </w:rPr>
  </w:style>
  <w:style w:type="character" w:customStyle="1" w:styleId="apple-converted-space">
    <w:name w:val="apple-converted-space"/>
    <w:basedOn w:val="a0"/>
    <w:rsid w:val="00553540"/>
  </w:style>
  <w:style w:type="character" w:styleId="af2">
    <w:name w:val="Placeholder Text"/>
    <w:uiPriority w:val="99"/>
    <w:semiHidden/>
    <w:rsid w:val="001B712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C13B0C-856C-47D5-9CF5-3DE41C6CD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2220</Words>
  <Characters>12655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14846</CharactersWithSpaces>
  <SharedDoc>false</SharedDoc>
  <HLinks>
    <vt:vector size="12" baseType="variant">
      <vt:variant>
        <vt:i4>6291564</vt:i4>
      </vt:variant>
      <vt:variant>
        <vt:i4>39</vt:i4>
      </vt:variant>
      <vt:variant>
        <vt:i4>0</vt:i4>
      </vt:variant>
      <vt:variant>
        <vt:i4>5</vt:i4>
      </vt:variant>
      <vt:variant>
        <vt:lpwstr>javascript:void(0);</vt:lpwstr>
      </vt:variant>
      <vt:variant>
        <vt:lpwstr/>
      </vt:variant>
      <vt:variant>
        <vt:i4>6291564</vt:i4>
      </vt:variant>
      <vt:variant>
        <vt:i4>36</vt:i4>
      </vt:variant>
      <vt:variant>
        <vt:i4>0</vt:i4>
      </vt:variant>
      <vt:variant>
        <vt:i4>5</vt:i4>
      </vt:variant>
      <vt:variant>
        <vt:lpwstr>javascript:void(0);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2</cp:revision>
  <cp:lastPrinted>2007-06-18T22:08:00Z</cp:lastPrinted>
  <dcterms:created xsi:type="dcterms:W3CDTF">2019-03-29T18:36:00Z</dcterms:created>
  <dcterms:modified xsi:type="dcterms:W3CDTF">2019-03-29T18:36:00Z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(3)fmiyGh9/3WszIjy+gHwRGQk1xn4utmt2U+jL2mybvisVPPXwd7Fstfy8t7S5i3eBhAEdBGfq
yXdZKT7BtXY1AG6U/oHWxLpR6VUixK1gGooaXB/LM226ePZ0jWVMNq9nj9FuiQkySxmCvjMr
PAbJYPJpwysZg/qiLq3vh1brKEOjGmRqtxG8AVHguCzDgmgLyrtn69i57QaoUGgG+T0vAXsl
eJOqcrxuPN2H9gABuS</vt:lpwstr>
  </property>
  <property fmtid="{D5CDD505-2E9C-101B-9397-08002B2CF9AE}" pid="13" name="_2015_ms_pID_725343_00">
    <vt:lpwstr>_2015_ms_pID_725343</vt:lpwstr>
  </property>
  <property fmtid="{D5CDD505-2E9C-101B-9397-08002B2CF9AE}" pid="14" name="_2015_ms_pID_7253431">
    <vt:lpwstr>Gq9VjLDzityCCqQC35okRu0yTlkqaiH7gdvXt/hzKHND7sVD5f7qCZ
5CZfv7A/Sb9dJTCftbNXUQptM09oCwezXzy4US/71lqoqLvfAbRaM4CBVh+bqWqe9VeJPEtV
9nHLmJhIzKEWjhhk/YOkWpTZoDvdmk/Cvg60j6nm6SYgroP/BBSzs1EpLVkwlVG2LmwGM5g6
nNk9H1r/aFgM0YqmwQ9bTKjF3DKJbcOlCoOm</vt:lpwstr>
  </property>
  <property fmtid="{D5CDD505-2E9C-101B-9397-08002B2CF9AE}" pid="15" name="_2015_ms_pID_7253431_00">
    <vt:lpwstr>_2015_ms_pID_7253431</vt:lpwstr>
  </property>
  <property fmtid="{D5CDD505-2E9C-101B-9397-08002B2CF9AE}" pid="16" name="_2015_ms_pID_7253432">
    <vt:lpwstr>ZCfayGoY3A1H8UVN8hbEYsl6M++RmwZ0kmgR
yzKh6R6lWyAAq5xWXFAxKfGrIKCPDA==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1552890219</vt:lpwstr>
  </property>
</Properties>
</file>