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A4FA" w14:textId="551BB045" w:rsidR="00FC657E" w:rsidRPr="00FC657E" w:rsidRDefault="00FC657E" w:rsidP="00FC657E">
      <w:pPr>
        <w:pStyle w:val="CRCoverPage"/>
        <w:tabs>
          <w:tab w:val="right" w:pos="9639"/>
        </w:tabs>
        <w:spacing w:after="0"/>
        <w:rPr>
          <w:rFonts w:cs="Arial"/>
          <w:b/>
          <w:i/>
          <w:noProof/>
          <w:sz w:val="24"/>
          <w:szCs w:val="24"/>
        </w:rPr>
      </w:pPr>
      <w:bookmarkStart w:id="0" w:name="_Ref399006623"/>
      <w:bookmarkStart w:id="1" w:name="_Toc92513360"/>
      <w:r w:rsidRPr="00FC657E">
        <w:rPr>
          <w:b/>
          <w:sz w:val="24"/>
          <w:szCs w:val="24"/>
          <w:lang w:val="en-GB"/>
        </w:rPr>
        <w:t>3GPP TSG RAN WG1 Meeting #9</w:t>
      </w:r>
      <w:r w:rsidR="007266CB">
        <w:rPr>
          <w:b/>
          <w:sz w:val="24"/>
          <w:szCs w:val="24"/>
          <w:lang w:val="en-GB"/>
        </w:rPr>
        <w:t>4</w:t>
      </w:r>
      <w:r w:rsidRPr="00FC657E">
        <w:rPr>
          <w:rFonts w:cs="Arial"/>
          <w:b/>
          <w:i/>
          <w:noProof/>
          <w:sz w:val="24"/>
          <w:szCs w:val="24"/>
        </w:rPr>
        <w:tab/>
      </w:r>
      <w:bookmarkStart w:id="2" w:name="_Hlk513535172"/>
      <w:r w:rsidRPr="00F50C82">
        <w:rPr>
          <w:rFonts w:cs="Arial"/>
          <w:b/>
          <w:sz w:val="24"/>
          <w:szCs w:val="24"/>
          <w:lang w:eastAsia="zh-CN"/>
        </w:rPr>
        <w:t>R1-</w:t>
      </w:r>
      <w:bookmarkEnd w:id="2"/>
      <w:r w:rsidR="00A2618A">
        <w:rPr>
          <w:rFonts w:cs="Arial"/>
          <w:b/>
          <w:noProof/>
          <w:sz w:val="24"/>
          <w:szCs w:val="24"/>
          <w:lang w:eastAsia="zh-CN"/>
        </w:rPr>
        <w:t>180</w:t>
      </w:r>
      <w:r w:rsidR="00414074">
        <w:rPr>
          <w:rFonts w:cs="Arial"/>
          <w:b/>
          <w:noProof/>
          <w:sz w:val="24"/>
          <w:szCs w:val="24"/>
          <w:lang w:eastAsia="zh-CN"/>
        </w:rPr>
        <w:t>9442</w:t>
      </w:r>
    </w:p>
    <w:p w14:paraId="1F6AF9CB" w14:textId="2F5E837A" w:rsidR="00FC657E" w:rsidRPr="00FC657E" w:rsidRDefault="007266CB" w:rsidP="00FC657E">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Gothenburg</w:t>
      </w:r>
      <w:r w:rsidR="00FC657E" w:rsidRPr="00FC657E">
        <w:rPr>
          <w:rFonts w:ascii="Arial" w:eastAsia="MS Mincho" w:hAnsi="Arial"/>
          <w:b/>
          <w:sz w:val="24"/>
          <w:szCs w:val="24"/>
          <w:lang w:eastAsia="x-none"/>
        </w:rPr>
        <w:t xml:space="preserve">, </w:t>
      </w:r>
      <w:r>
        <w:rPr>
          <w:rFonts w:ascii="Arial" w:eastAsia="MS Mincho" w:hAnsi="Arial"/>
          <w:b/>
          <w:sz w:val="24"/>
          <w:szCs w:val="24"/>
          <w:lang w:eastAsia="x-none"/>
        </w:rPr>
        <w:t>SWEDEN</w:t>
      </w:r>
      <w:r w:rsidR="00FC657E" w:rsidRPr="00FC657E">
        <w:rPr>
          <w:rFonts w:ascii="Arial" w:eastAsia="MS Mincho" w:hAnsi="Arial"/>
          <w:b/>
          <w:sz w:val="24"/>
          <w:szCs w:val="24"/>
          <w:lang w:eastAsia="x-none"/>
        </w:rPr>
        <w:t>, 2</w:t>
      </w:r>
      <w:r>
        <w:rPr>
          <w:rFonts w:ascii="Arial" w:eastAsia="MS Mincho" w:hAnsi="Arial"/>
          <w:b/>
          <w:sz w:val="24"/>
          <w:szCs w:val="24"/>
          <w:lang w:eastAsia="x-none"/>
        </w:rPr>
        <w:t>0</w:t>
      </w:r>
      <w:r w:rsidRPr="007266CB">
        <w:rPr>
          <w:rFonts w:ascii="Arial" w:eastAsia="MS Mincho" w:hAnsi="Arial"/>
          <w:b/>
          <w:sz w:val="24"/>
          <w:szCs w:val="24"/>
          <w:vertAlign w:val="superscript"/>
          <w:lang w:eastAsia="x-none"/>
        </w:rPr>
        <w:t>th</w:t>
      </w:r>
      <w:r w:rsidR="00FC657E" w:rsidRPr="00FC657E">
        <w:rPr>
          <w:rFonts w:ascii="Arial" w:eastAsia="MS Mincho" w:hAnsi="Arial"/>
          <w:b/>
          <w:sz w:val="24"/>
          <w:szCs w:val="24"/>
          <w:lang w:eastAsia="x-none"/>
        </w:rPr>
        <w:t xml:space="preserve"> </w:t>
      </w:r>
      <w:r>
        <w:rPr>
          <w:rFonts w:ascii="Arial" w:eastAsia="MS Mincho" w:hAnsi="Arial"/>
          <w:b/>
          <w:sz w:val="24"/>
          <w:szCs w:val="24"/>
          <w:lang w:eastAsia="x-none"/>
        </w:rPr>
        <w:t>August</w:t>
      </w:r>
      <w:r w:rsidR="00FC657E" w:rsidRPr="00FC657E">
        <w:rPr>
          <w:rFonts w:ascii="Arial" w:eastAsia="MS Mincho" w:hAnsi="Arial"/>
          <w:b/>
          <w:sz w:val="24"/>
          <w:szCs w:val="24"/>
          <w:lang w:eastAsia="x-none"/>
        </w:rPr>
        <w:t xml:space="preserve"> – </w:t>
      </w:r>
      <w:r>
        <w:rPr>
          <w:rFonts w:ascii="Arial" w:eastAsia="MS Mincho" w:hAnsi="Arial"/>
          <w:b/>
          <w:sz w:val="24"/>
          <w:szCs w:val="24"/>
          <w:lang w:eastAsia="x-none"/>
        </w:rPr>
        <w:t>24</w:t>
      </w:r>
      <w:r w:rsidRPr="007266CB">
        <w:rPr>
          <w:rFonts w:ascii="Arial" w:eastAsia="MS Mincho" w:hAnsi="Arial"/>
          <w:b/>
          <w:sz w:val="24"/>
          <w:szCs w:val="24"/>
          <w:vertAlign w:val="superscript"/>
          <w:lang w:eastAsia="x-none"/>
        </w:rPr>
        <w:t>th</w:t>
      </w:r>
      <w:r>
        <w:rPr>
          <w:rFonts w:ascii="Arial" w:eastAsia="MS Mincho" w:hAnsi="Arial"/>
          <w:b/>
          <w:sz w:val="24"/>
          <w:szCs w:val="24"/>
          <w:lang w:eastAsia="x-none"/>
        </w:rPr>
        <w:t xml:space="preserve"> August</w:t>
      </w:r>
      <w:r w:rsidR="00FC657E" w:rsidRPr="00FC657E">
        <w:rPr>
          <w:rFonts w:ascii="Arial" w:eastAsia="MS Mincho" w:hAnsi="Arial"/>
          <w:b/>
          <w:sz w:val="24"/>
          <w:szCs w:val="24"/>
          <w:lang w:eastAsia="x-none"/>
        </w:rPr>
        <w:t xml:space="preserve"> 2018</w:t>
      </w:r>
    </w:p>
    <w:p w14:paraId="4C3D5F9A" w14:textId="77777777" w:rsidR="00FC657E" w:rsidRDefault="00FC657E" w:rsidP="00652257">
      <w:pPr>
        <w:tabs>
          <w:tab w:val="left" w:pos="1985"/>
        </w:tabs>
        <w:jc w:val="both"/>
        <w:rPr>
          <w:rFonts w:ascii="Arial" w:hAnsi="Arial" w:cs="Arial"/>
          <w:b/>
          <w:sz w:val="24"/>
          <w:szCs w:val="24"/>
        </w:rPr>
      </w:pPr>
    </w:p>
    <w:p w14:paraId="06D2F559" w14:textId="26496645"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7266CB">
        <w:rPr>
          <w:rFonts w:ascii="Arial" w:hAnsi="Arial" w:cs="Arial"/>
          <w:sz w:val="24"/>
          <w:szCs w:val="24"/>
        </w:rPr>
        <w:t>2</w:t>
      </w:r>
      <w:r w:rsidR="005451E6">
        <w:rPr>
          <w:rFonts w:ascii="Arial" w:hAnsi="Arial" w:cs="Arial"/>
          <w:sz w:val="24"/>
          <w:szCs w:val="24"/>
        </w:rPr>
        <w:t>.</w:t>
      </w:r>
      <w:r w:rsidR="007266CB">
        <w:rPr>
          <w:rFonts w:ascii="Arial" w:hAnsi="Arial" w:cs="Arial"/>
          <w:sz w:val="24"/>
          <w:szCs w:val="24"/>
        </w:rPr>
        <w:t>3.</w:t>
      </w:r>
      <w:r w:rsidR="005451E6">
        <w:rPr>
          <w:rFonts w:ascii="Arial" w:hAnsi="Arial" w:cs="Arial"/>
          <w:sz w:val="24"/>
          <w:szCs w:val="24"/>
        </w:rPr>
        <w:t>1</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6A277E97"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5451E6">
        <w:rPr>
          <w:rFonts w:ascii="Arial" w:hAnsi="Arial" w:cs="Arial"/>
          <w:sz w:val="24"/>
          <w:szCs w:val="24"/>
        </w:rPr>
        <w:t xml:space="preserve">Enhancements to support NR backhaul links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w:t>
      </w:r>
      <w:bookmarkStart w:id="3" w:name="_GoBack"/>
      <w:bookmarkEnd w:id="3"/>
      <w:r w:rsidR="00D12C71" w:rsidRPr="002328F2">
        <w:rPr>
          <w:rFonts w:ascii="Arial" w:eastAsia="SimSun" w:hAnsi="Arial" w:cs="Arial"/>
          <w:sz w:val="24"/>
          <w:szCs w:val="24"/>
          <w:lang w:eastAsia="zh-CN"/>
        </w:rPr>
        <w:t>ion</w:t>
      </w:r>
    </w:p>
    <w:p w14:paraId="30123361" w14:textId="77777777" w:rsidR="00BB7889" w:rsidRPr="007C2F71" w:rsidRDefault="00BB7889" w:rsidP="00C23B88">
      <w:pPr>
        <w:pStyle w:val="Heading1"/>
        <w:rPr>
          <w:lang w:eastAsia="zh-CN"/>
        </w:rPr>
      </w:pPr>
      <w:r w:rsidRPr="00C23B88">
        <w:t>Introduction</w:t>
      </w:r>
    </w:p>
    <w:p w14:paraId="2B973160" w14:textId="34497F4B" w:rsidR="007266CB" w:rsidRDefault="007266CB" w:rsidP="00DC306A">
      <w:r>
        <w:t xml:space="preserve">Following the progress of NR-IAB standardization in RAN1 #93, quite a few agreements were </w:t>
      </w:r>
      <w:r w:rsidR="00D90536">
        <w:t>achieved,</w:t>
      </w:r>
      <w:r>
        <w:t xml:space="preserve"> and a couple of items were identified for </w:t>
      </w:r>
      <w:r w:rsidR="00D90536">
        <w:t>further</w:t>
      </w:r>
      <w:r>
        <w:t xml:space="preserve"> study.</w:t>
      </w:r>
    </w:p>
    <w:p w14:paraId="52918E65" w14:textId="1D8913FC" w:rsidR="00DC306A" w:rsidRDefault="00DC306A" w:rsidP="00DC306A">
      <w:r>
        <w:t xml:space="preserve">In this contribution, we provide </w:t>
      </w:r>
      <w:r w:rsidR="007266CB">
        <w:t>our views on</w:t>
      </w:r>
      <w:r>
        <w:t xml:space="preserve"> some </w:t>
      </w:r>
      <w:r w:rsidR="007266CB">
        <w:t xml:space="preserve">of the </w:t>
      </w:r>
      <w:r>
        <w:t xml:space="preserve">enhancements and modifications required to support NR-IAB. More specifically, we discuss (among other aspects) </w:t>
      </w:r>
    </w:p>
    <w:p w14:paraId="2260B530" w14:textId="37E42BC1" w:rsidR="00DC306A" w:rsidRDefault="00DC306A" w:rsidP="00DC306A">
      <w:pPr>
        <w:pStyle w:val="ListParagraph"/>
        <w:numPr>
          <w:ilvl w:val="0"/>
          <w:numId w:val="26"/>
        </w:numPr>
        <w:ind w:firstLineChars="0"/>
      </w:pPr>
      <w:r>
        <w:t>Random access design considerations for backhaul links</w:t>
      </w:r>
    </w:p>
    <w:p w14:paraId="0AB4CFBC" w14:textId="5E32B034" w:rsidR="00DC306A" w:rsidRDefault="003C74D4" w:rsidP="00DC306A">
      <w:pPr>
        <w:pStyle w:val="ListParagraph"/>
        <w:numPr>
          <w:ilvl w:val="0"/>
          <w:numId w:val="26"/>
        </w:numPr>
        <w:ind w:firstLineChars="0"/>
      </w:pPr>
      <w:r>
        <w:t>Inter-relay discovery and measurement</w:t>
      </w:r>
    </w:p>
    <w:p w14:paraId="52B99BBE" w14:textId="79923C1E" w:rsidR="003C74D4" w:rsidRDefault="007266CB" w:rsidP="00DC306A">
      <w:pPr>
        <w:pStyle w:val="ListParagraph"/>
        <w:numPr>
          <w:ilvl w:val="0"/>
          <w:numId w:val="26"/>
        </w:numPr>
        <w:ind w:firstLineChars="0"/>
      </w:pPr>
      <w:r>
        <w:t>Network</w:t>
      </w:r>
      <w:r w:rsidR="003C74D4">
        <w:t xml:space="preserve"> synchronization</w:t>
      </w:r>
    </w:p>
    <w:p w14:paraId="39D881EC" w14:textId="77777777" w:rsidR="00FC0714" w:rsidRDefault="00FC0714" w:rsidP="00FC0714">
      <w:pPr>
        <w:pStyle w:val="ListParagraph"/>
        <w:numPr>
          <w:ilvl w:val="0"/>
          <w:numId w:val="26"/>
        </w:numPr>
        <w:ind w:firstLineChars="0"/>
        <w:rPr>
          <w:rFonts w:eastAsia="Arial"/>
        </w:rPr>
      </w:pPr>
      <w:r>
        <w:rPr>
          <w:rFonts w:eastAsia="Arial"/>
        </w:rPr>
        <w:t>Timing alignment across multi-hop NR-IAB networks</w:t>
      </w:r>
    </w:p>
    <w:p w14:paraId="5A371F23" w14:textId="7A194D1F" w:rsidR="003C74D4" w:rsidRDefault="003C74D4" w:rsidP="00DC306A">
      <w:pPr>
        <w:pStyle w:val="ListParagraph"/>
        <w:numPr>
          <w:ilvl w:val="0"/>
          <w:numId w:val="26"/>
        </w:numPr>
        <w:ind w:firstLineChars="0"/>
      </w:pPr>
      <w:r>
        <w:t>Resource allocation</w:t>
      </w:r>
    </w:p>
    <w:p w14:paraId="37B0A9B4" w14:textId="22461B10" w:rsidR="007266CB" w:rsidRDefault="007266CB" w:rsidP="00DC306A">
      <w:pPr>
        <w:pStyle w:val="ListParagraph"/>
        <w:numPr>
          <w:ilvl w:val="0"/>
          <w:numId w:val="26"/>
        </w:numPr>
        <w:ind w:firstLineChars="0"/>
      </w:pPr>
      <w:r>
        <w:t>Cross-link interference</w:t>
      </w:r>
    </w:p>
    <w:p w14:paraId="7689000A" w14:textId="7A76B690" w:rsidR="00414074" w:rsidRDefault="00414074" w:rsidP="00DC306A">
      <w:pPr>
        <w:pStyle w:val="ListParagraph"/>
        <w:numPr>
          <w:ilvl w:val="0"/>
          <w:numId w:val="26"/>
        </w:numPr>
        <w:ind w:firstLineChars="0"/>
      </w:pPr>
      <w:r>
        <w:t>Power control</w:t>
      </w:r>
    </w:p>
    <w:p w14:paraId="5C726AB0" w14:textId="7D14ED38" w:rsidR="00FC657E" w:rsidRDefault="00FC657E" w:rsidP="000360A3">
      <w:r>
        <w:t>Our companion contributions [</w:t>
      </w:r>
      <w:r w:rsidR="00ED51F1">
        <w:t>1</w:t>
      </w:r>
      <w:r>
        <w:t>], [2], and [</w:t>
      </w:r>
      <w:r w:rsidR="00ED51F1">
        <w:t>3</w:t>
      </w:r>
      <w:r>
        <w:t>] respectively discuss more details of “</w:t>
      </w:r>
      <w:r w:rsidR="00ED51F1">
        <w:t>IAB network</w:t>
      </w:r>
      <w:r>
        <w:t xml:space="preserve"> synchronization and multi-hop timing alignment”, </w:t>
      </w:r>
      <w:r w:rsidR="007266CB">
        <w:t xml:space="preserve">“resource </w:t>
      </w:r>
      <w:r w:rsidR="00ED51F1">
        <w:t>management</w:t>
      </w:r>
      <w:r w:rsidR="007266CB">
        <w:t>”, and “</w:t>
      </w:r>
      <w:r w:rsidR="00B90986">
        <w:t>performance evaluation</w:t>
      </w:r>
      <w:r w:rsidR="007266CB">
        <w:t>”</w:t>
      </w:r>
      <w:r w:rsidR="00B90986">
        <w:t>.</w:t>
      </w:r>
    </w:p>
    <w:p w14:paraId="27F2823B" w14:textId="00253050" w:rsidR="003127CB" w:rsidRDefault="003127CB" w:rsidP="003127CB">
      <w:pPr>
        <w:pStyle w:val="Heading1"/>
      </w:pPr>
      <w:r>
        <w:t>Design Considerations for NR-IAB</w:t>
      </w:r>
    </w:p>
    <w:p w14:paraId="51F4A4D8" w14:textId="2DB20364" w:rsidR="00FC0714" w:rsidRDefault="00FC0714" w:rsidP="00AC36ED">
      <w:pPr>
        <w:rPr>
          <w:rFonts w:eastAsia="Arial"/>
        </w:rPr>
      </w:pPr>
      <w:r>
        <w:rPr>
          <w:rFonts w:eastAsia="Arial"/>
        </w:rPr>
        <w:t>RAN1 #9</w:t>
      </w:r>
      <w:r w:rsidR="00B90986">
        <w:rPr>
          <w:rFonts w:eastAsia="Arial"/>
        </w:rPr>
        <w:t>3</w:t>
      </w:r>
      <w:r>
        <w:rPr>
          <w:rFonts w:eastAsia="Arial"/>
        </w:rPr>
        <w:t xml:space="preserve"> identified a couple of design aspects for NR-IAB that may need further study and enhancements. These are summarized in the following list and will be discussed in this section:</w:t>
      </w:r>
    </w:p>
    <w:p w14:paraId="7942E646" w14:textId="3C585D3A" w:rsidR="005E713B" w:rsidRDefault="005E713B" w:rsidP="005E713B">
      <w:pPr>
        <w:pStyle w:val="ListParagraph"/>
        <w:numPr>
          <w:ilvl w:val="0"/>
          <w:numId w:val="26"/>
        </w:numPr>
        <w:ind w:firstLineChars="0"/>
        <w:rPr>
          <w:rFonts w:eastAsia="Arial"/>
          <w:b/>
          <w:i/>
        </w:rPr>
      </w:pPr>
      <w:r>
        <w:rPr>
          <w:rFonts w:eastAsia="Arial"/>
          <w:b/>
          <w:i/>
        </w:rPr>
        <w:t>RACH design</w:t>
      </w:r>
    </w:p>
    <w:p w14:paraId="1409E302" w14:textId="6758DA79" w:rsidR="005E713B" w:rsidRDefault="00CC0D94" w:rsidP="005E713B">
      <w:pPr>
        <w:pStyle w:val="ListParagraph"/>
        <w:numPr>
          <w:ilvl w:val="0"/>
          <w:numId w:val="26"/>
        </w:numPr>
        <w:ind w:firstLineChars="0"/>
        <w:rPr>
          <w:rFonts w:eastAsia="Arial"/>
          <w:b/>
          <w:i/>
        </w:rPr>
      </w:pPr>
      <w:r w:rsidRPr="00141EFE">
        <w:rPr>
          <w:rFonts w:eastAsia="Arial"/>
          <w:b/>
          <w:i/>
        </w:rPr>
        <w:t>Inter-relay discovery and measurements</w:t>
      </w:r>
    </w:p>
    <w:p w14:paraId="56C2428D" w14:textId="618976CD" w:rsidR="001D5B3E" w:rsidRDefault="001D5B3E" w:rsidP="005E713B">
      <w:pPr>
        <w:pStyle w:val="ListParagraph"/>
        <w:numPr>
          <w:ilvl w:val="0"/>
          <w:numId w:val="26"/>
        </w:numPr>
        <w:ind w:firstLineChars="0"/>
        <w:rPr>
          <w:rFonts w:eastAsia="Arial"/>
          <w:b/>
          <w:i/>
        </w:rPr>
      </w:pPr>
      <w:r>
        <w:rPr>
          <w:rFonts w:eastAsia="Arial"/>
          <w:b/>
          <w:i/>
        </w:rPr>
        <w:t>Link failure recovery</w:t>
      </w:r>
    </w:p>
    <w:p w14:paraId="3ABF762F" w14:textId="77777777" w:rsidR="00724408" w:rsidRPr="00141EFE" w:rsidRDefault="00724408" w:rsidP="00724408">
      <w:pPr>
        <w:pStyle w:val="ListParagraph"/>
        <w:numPr>
          <w:ilvl w:val="0"/>
          <w:numId w:val="26"/>
        </w:numPr>
        <w:ind w:firstLineChars="0"/>
        <w:rPr>
          <w:rFonts w:eastAsia="Arial"/>
          <w:b/>
          <w:i/>
        </w:rPr>
      </w:pPr>
      <w:r w:rsidRPr="00141EFE">
        <w:rPr>
          <w:rFonts w:eastAsia="Arial"/>
          <w:b/>
          <w:i/>
        </w:rPr>
        <w:t>OTA synchronization</w:t>
      </w:r>
    </w:p>
    <w:p w14:paraId="0491311B" w14:textId="77777777" w:rsidR="005E713B" w:rsidRPr="00141EFE" w:rsidRDefault="005E713B" w:rsidP="005E713B">
      <w:pPr>
        <w:pStyle w:val="ListParagraph"/>
        <w:numPr>
          <w:ilvl w:val="0"/>
          <w:numId w:val="26"/>
        </w:numPr>
        <w:ind w:firstLineChars="0"/>
        <w:rPr>
          <w:rFonts w:eastAsia="Arial"/>
          <w:b/>
          <w:i/>
        </w:rPr>
      </w:pPr>
      <w:r w:rsidRPr="00141EFE">
        <w:rPr>
          <w:rFonts w:eastAsia="Arial"/>
          <w:b/>
          <w:i/>
        </w:rPr>
        <w:t>Timing alignment across multi-hop NR-IAB networks</w:t>
      </w:r>
    </w:p>
    <w:p w14:paraId="790D0EEC" w14:textId="77777777" w:rsidR="005E713B" w:rsidRDefault="005E713B" w:rsidP="005E713B">
      <w:pPr>
        <w:pStyle w:val="ListParagraph"/>
        <w:numPr>
          <w:ilvl w:val="0"/>
          <w:numId w:val="26"/>
        </w:numPr>
        <w:ind w:firstLineChars="0"/>
        <w:rPr>
          <w:rFonts w:eastAsia="Arial"/>
          <w:b/>
          <w:i/>
        </w:rPr>
      </w:pPr>
      <w:r w:rsidRPr="00141EFE">
        <w:rPr>
          <w:rFonts w:eastAsia="Arial"/>
          <w:b/>
          <w:i/>
        </w:rPr>
        <w:t>Resource allocation and coordination</w:t>
      </w:r>
    </w:p>
    <w:p w14:paraId="1622DC28" w14:textId="1BE74B5B" w:rsidR="005E713B" w:rsidRDefault="005E713B" w:rsidP="005E713B">
      <w:pPr>
        <w:pStyle w:val="ListParagraph"/>
        <w:numPr>
          <w:ilvl w:val="0"/>
          <w:numId w:val="26"/>
        </w:numPr>
        <w:ind w:firstLineChars="0"/>
        <w:rPr>
          <w:rFonts w:eastAsia="Arial"/>
          <w:b/>
          <w:i/>
        </w:rPr>
      </w:pPr>
      <w:r>
        <w:rPr>
          <w:rFonts w:eastAsia="Arial"/>
          <w:b/>
          <w:i/>
        </w:rPr>
        <w:t>Cross-link interference</w:t>
      </w:r>
    </w:p>
    <w:p w14:paraId="129E219B" w14:textId="2C3C089B" w:rsidR="005E713B" w:rsidRPr="005E713B" w:rsidRDefault="005E713B" w:rsidP="005E713B">
      <w:pPr>
        <w:pStyle w:val="ListParagraph"/>
        <w:numPr>
          <w:ilvl w:val="0"/>
          <w:numId w:val="26"/>
        </w:numPr>
        <w:ind w:firstLineChars="0"/>
        <w:rPr>
          <w:rFonts w:eastAsia="Arial"/>
          <w:b/>
          <w:i/>
        </w:rPr>
      </w:pPr>
      <w:r>
        <w:rPr>
          <w:rFonts w:eastAsia="Arial"/>
          <w:b/>
          <w:i/>
        </w:rPr>
        <w:t>Power control</w:t>
      </w:r>
    </w:p>
    <w:p w14:paraId="2FA4931A" w14:textId="77777777" w:rsidR="00CC0D94" w:rsidRDefault="00CC0D94" w:rsidP="00724408">
      <w:pPr>
        <w:pStyle w:val="ListParagraph"/>
        <w:ind w:left="720" w:firstLineChars="0" w:firstLine="0"/>
        <w:rPr>
          <w:rFonts w:eastAsia="Arial"/>
          <w:b/>
          <w:i/>
        </w:rPr>
      </w:pPr>
    </w:p>
    <w:p w14:paraId="17581F9A" w14:textId="686FC1BF" w:rsidR="00DE0CBB" w:rsidRPr="0068004C" w:rsidRDefault="005E713B" w:rsidP="00DE0CBB">
      <w:pPr>
        <w:pStyle w:val="Heading2"/>
        <w:spacing w:after="240"/>
      </w:pPr>
      <w:r w:rsidRPr="0068004C">
        <w:t>RACH design</w:t>
      </w:r>
    </w:p>
    <w:p w14:paraId="56509BCE" w14:textId="5DBE5DB3" w:rsidR="003E7DEE" w:rsidRPr="00141EFE" w:rsidRDefault="003E7DEE" w:rsidP="003E7DEE">
      <w:r w:rsidRPr="00141EFE">
        <w:t>RAN1 #9</w:t>
      </w:r>
      <w:r>
        <w:t>3</w:t>
      </w:r>
      <w:r w:rsidRPr="00141EFE">
        <w:t xml:space="preserve"> achieved the following agreement</w:t>
      </w:r>
    </w:p>
    <w:tbl>
      <w:tblPr>
        <w:tblStyle w:val="TableGrid"/>
        <w:tblW w:w="0" w:type="auto"/>
        <w:tblLook w:val="04A0" w:firstRow="1" w:lastRow="0" w:firstColumn="1" w:lastColumn="0" w:noHBand="0" w:noVBand="1"/>
      </w:tblPr>
      <w:tblGrid>
        <w:gridCol w:w="9631"/>
      </w:tblGrid>
      <w:tr w:rsidR="005E713B" w14:paraId="02D2E816" w14:textId="77777777" w:rsidTr="005E713B">
        <w:tc>
          <w:tcPr>
            <w:tcW w:w="9631" w:type="dxa"/>
          </w:tcPr>
          <w:p w14:paraId="701E3781" w14:textId="77777777" w:rsidR="005E713B" w:rsidRPr="00213B0B" w:rsidRDefault="005E713B" w:rsidP="005E713B">
            <w:pPr>
              <w:rPr>
                <w:szCs w:val="20"/>
                <w:lang w:eastAsia="x-none"/>
              </w:rPr>
            </w:pPr>
            <w:r w:rsidRPr="00213B0B">
              <w:rPr>
                <w:szCs w:val="20"/>
                <w:highlight w:val="green"/>
                <w:lang w:eastAsia="x-none"/>
              </w:rPr>
              <w:t>Agreements</w:t>
            </w:r>
            <w:r w:rsidRPr="00213B0B">
              <w:rPr>
                <w:szCs w:val="20"/>
                <w:lang w:eastAsia="x-none"/>
              </w:rPr>
              <w:t>:</w:t>
            </w:r>
          </w:p>
          <w:p w14:paraId="204B4641" w14:textId="2444ED78" w:rsidR="005E713B" w:rsidRPr="005E713B" w:rsidRDefault="005E713B" w:rsidP="00141EFE">
            <w:pPr>
              <w:numPr>
                <w:ilvl w:val="0"/>
                <w:numId w:val="37"/>
              </w:numPr>
              <w:spacing w:after="0" w:line="240" w:lineRule="auto"/>
              <w:rPr>
                <w:sz w:val="40"/>
              </w:rPr>
            </w:pPr>
            <w:r w:rsidRPr="00213B0B">
              <w:rPr>
                <w:szCs w:val="20"/>
              </w:rPr>
              <w:t>Study mechanisms for multiplexing of RACH transmissions from UEs and RACH transmissions from IAB nodes</w:t>
            </w:r>
            <w:r w:rsidRPr="005E35E1">
              <w:rPr>
                <w:sz w:val="40"/>
              </w:rPr>
              <w:t>.</w:t>
            </w:r>
          </w:p>
        </w:tc>
      </w:tr>
    </w:tbl>
    <w:p w14:paraId="3852AFFF" w14:textId="35494932" w:rsidR="005E713B" w:rsidRDefault="005E713B" w:rsidP="00141EFE"/>
    <w:p w14:paraId="4F8D8DF1" w14:textId="77777777" w:rsidR="00C02528" w:rsidRDefault="002E6D3D" w:rsidP="00C02528">
      <w:pPr>
        <w:keepNext/>
      </w:pPr>
      <w:r>
        <w:rPr>
          <w:noProof/>
        </w:rPr>
        <w:drawing>
          <wp:inline distT="0" distB="0" distL="0" distR="0" wp14:anchorId="776585A5" wp14:editId="0954F777">
            <wp:extent cx="6122035" cy="18637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CH_Extended_Backhaul_Links.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1863725"/>
                    </a:xfrm>
                    <a:prstGeom prst="rect">
                      <a:avLst/>
                    </a:prstGeom>
                  </pic:spPr>
                </pic:pic>
              </a:graphicData>
            </a:graphic>
          </wp:inline>
        </w:drawing>
      </w:r>
    </w:p>
    <w:p w14:paraId="1ACB8B07" w14:textId="3428273D" w:rsidR="00DF38E0" w:rsidRDefault="00C02528" w:rsidP="00C02528">
      <w:pPr>
        <w:pStyle w:val="Caption"/>
        <w:jc w:val="center"/>
      </w:pPr>
      <w:bookmarkStart w:id="4" w:name="_Ref521694061"/>
      <w:r>
        <w:t xml:space="preserve">Figure </w:t>
      </w:r>
      <w:r w:rsidR="004D1C58">
        <w:rPr>
          <w:noProof/>
        </w:rPr>
        <w:fldChar w:fldCharType="begin"/>
      </w:r>
      <w:r w:rsidR="004D1C58">
        <w:rPr>
          <w:noProof/>
        </w:rPr>
        <w:instrText xml:space="preserve"> SEQ Figure \* ARABIC </w:instrText>
      </w:r>
      <w:r w:rsidR="004D1C58">
        <w:rPr>
          <w:noProof/>
        </w:rPr>
        <w:fldChar w:fldCharType="separate"/>
      </w:r>
      <w:r w:rsidR="004D1C58">
        <w:rPr>
          <w:noProof/>
        </w:rPr>
        <w:t>1</w:t>
      </w:r>
      <w:r w:rsidR="004D1C58">
        <w:rPr>
          <w:noProof/>
        </w:rPr>
        <w:fldChar w:fldCharType="end"/>
      </w:r>
      <w:bookmarkEnd w:id="4"/>
      <w:r>
        <w:t xml:space="preserve">: </w:t>
      </w:r>
      <w:r w:rsidRPr="00114D8C">
        <w:t>Illustration of extended backhaul links, compared to small access links</w:t>
      </w:r>
    </w:p>
    <w:p w14:paraId="7AC9B63B" w14:textId="77777777" w:rsidR="00C02528" w:rsidRDefault="00C02528" w:rsidP="00856E68">
      <w:pPr>
        <w:rPr>
          <w:b/>
          <w:u w:val="single"/>
        </w:rPr>
      </w:pPr>
    </w:p>
    <w:p w14:paraId="45977C22" w14:textId="3B65751C" w:rsidR="00856E68" w:rsidRDefault="00C02528" w:rsidP="00856E68">
      <w:r>
        <w:fldChar w:fldCharType="begin"/>
      </w:r>
      <w:r>
        <w:instrText xml:space="preserve"> REF _Ref521694061 \h </w:instrText>
      </w:r>
      <w:r>
        <w:fldChar w:fldCharType="separate"/>
      </w:r>
      <w:r w:rsidR="004D1C58">
        <w:t xml:space="preserve">Figure </w:t>
      </w:r>
      <w:r w:rsidR="004D1C58">
        <w:rPr>
          <w:noProof/>
        </w:rPr>
        <w:t>1</w:t>
      </w:r>
      <w:r>
        <w:fldChar w:fldCharType="end"/>
      </w:r>
      <w:r w:rsidR="00856E68">
        <w:t xml:space="preserve"> shows that backhaul links can be much longer than access links in some scenarios.</w:t>
      </w:r>
    </w:p>
    <w:p w14:paraId="0E2D3B17" w14:textId="35001A76" w:rsidR="00DF38E0" w:rsidRDefault="00DF38E0" w:rsidP="00DF38E0">
      <w:pPr>
        <w:rPr>
          <w:b/>
        </w:rPr>
      </w:pPr>
      <w:r w:rsidRPr="00DF38E0">
        <w:rPr>
          <w:b/>
          <w:u w:val="single"/>
        </w:rPr>
        <w:t xml:space="preserve">Observation </w:t>
      </w:r>
      <w:r w:rsidR="004462C5">
        <w:rPr>
          <w:b/>
          <w:u w:val="single"/>
        </w:rPr>
        <w:t>1.1</w:t>
      </w:r>
      <w:r w:rsidRPr="00DF38E0">
        <w:rPr>
          <w:b/>
          <w:u w:val="single"/>
        </w:rPr>
        <w:t>:</w:t>
      </w:r>
      <w:r w:rsidRPr="00DF38E0">
        <w:rPr>
          <w:b/>
        </w:rPr>
        <w:t xml:space="preserve"> The ratio of backhaul link distance to access link distance might be much higher than two in NR</w:t>
      </w:r>
      <w:r w:rsidR="00856E68">
        <w:rPr>
          <w:b/>
        </w:rPr>
        <w:t>.</w:t>
      </w:r>
    </w:p>
    <w:p w14:paraId="6003F948" w14:textId="700F61A7" w:rsidR="00856E68" w:rsidRDefault="00856E68" w:rsidP="00DF38E0">
      <w:r>
        <w:t>The number of supported cyclic shifts for each ZC root sequence of PRACH transmission is dictated by the round trip time. Hence, if access and backhaul links use same resources for RACH, supportable number of cyclic shifts for each ZC root sequence decrease significantly.</w:t>
      </w:r>
    </w:p>
    <w:p w14:paraId="19224239" w14:textId="5EE30967" w:rsidR="004908C2" w:rsidRDefault="00822991" w:rsidP="00DF38E0">
      <w:r>
        <w:fldChar w:fldCharType="begin"/>
      </w:r>
      <w:r>
        <w:instrText xml:space="preserve"> REF _Ref521694116 \h </w:instrText>
      </w:r>
      <w:r>
        <w:fldChar w:fldCharType="separate"/>
      </w:r>
      <w:r w:rsidR="004D1C58">
        <w:t xml:space="preserve">Table </w:t>
      </w:r>
      <w:r w:rsidR="004D1C58">
        <w:rPr>
          <w:noProof/>
        </w:rPr>
        <w:t>1</w:t>
      </w:r>
      <w:r>
        <w:fldChar w:fldCharType="end"/>
      </w:r>
      <w:r w:rsidR="004908C2">
        <w:t xml:space="preserve"> assumes that backhaul links are four times longer than access links, and shows the supported number of cyclic shifts and used root sequences in access and backhaul links.</w:t>
      </w:r>
    </w:p>
    <w:p w14:paraId="04FA039B" w14:textId="17F11842" w:rsidR="00856E68" w:rsidRDefault="00C602DB" w:rsidP="00DF38E0">
      <w:r>
        <w:t xml:space="preserve">Column (1) and (2) of </w:t>
      </w:r>
      <w:r w:rsidR="00822991">
        <w:fldChar w:fldCharType="begin"/>
      </w:r>
      <w:r w:rsidR="00822991">
        <w:instrText xml:space="preserve"> REF _Ref521694116 \h </w:instrText>
      </w:r>
      <w:r w:rsidR="00822991">
        <w:fldChar w:fldCharType="separate"/>
      </w:r>
      <w:r w:rsidR="004D1C58">
        <w:t xml:space="preserve">Table </w:t>
      </w:r>
      <w:r w:rsidR="004D1C58">
        <w:rPr>
          <w:noProof/>
        </w:rPr>
        <w:t>1</w:t>
      </w:r>
      <w:r w:rsidR="00822991">
        <w:fldChar w:fldCharType="end"/>
      </w:r>
      <w:r>
        <w:t xml:space="preserve"> are directly copied from table 6.3.3.1-7 of 38.211. These denote the NCS values for short</w:t>
      </w:r>
      <w:r w:rsidR="00744934">
        <w:t xml:space="preserve"> PRACH</w:t>
      </w:r>
      <w:r>
        <w:t xml:space="preserve"> preamble formats</w:t>
      </w:r>
      <w:r w:rsidR="00744934">
        <w:t xml:space="preserve"> (length #139)</w:t>
      </w:r>
      <w:r>
        <w:t xml:space="preserve">. Colum (3) and (4) show the supported number of cyclic shifts per ZC root sequence and the number of used ZC root sequences for </w:t>
      </w:r>
      <w:r w:rsidR="00744934">
        <w:t xml:space="preserve">these Ncs values. </w:t>
      </w:r>
      <w:r w:rsidR="004908C2">
        <w:t xml:space="preserve">The equations used to find the values of column (c) and (d) shown also. Note that, a zero value of Ncs means only one cyclic shift and 64 ZC sequences are used. </w:t>
      </w:r>
    </w:p>
    <w:p w14:paraId="15F158B3" w14:textId="37D3E9BF" w:rsidR="004908C2" w:rsidRDefault="004908C2" w:rsidP="00DF38E0">
      <w:r>
        <w:t>Column (e) shows the required Ncs values for backhaul links. Since, we assumed that the ratio of backhaul to access links is 4; the required Ncs values for backhaul links are four times higher compared to access links. As column (f) shows, this reduces the number of supported cyclic shifts per ZC root sequence for backhaul link and increases the total number of needed ZC root sequences.</w:t>
      </w:r>
    </w:p>
    <w:p w14:paraId="19F8AA7E" w14:textId="0166745A" w:rsidR="004908C2" w:rsidRDefault="004908C2" w:rsidP="00DF38E0">
      <w:r>
        <w:t xml:space="preserve">Hence, if access and backhaul links use same resources for RACH, the required number of ZC root sequences increases. </w:t>
      </w:r>
      <w:r w:rsidR="00011E1C">
        <w:t xml:space="preserve">In FR2, we can only have at most 138 distinct ZC root sequences with length 139 </w:t>
      </w:r>
      <w:r w:rsidR="00011E1C">
        <w:lastRenderedPageBreak/>
        <w:t xml:space="preserve">PRACH preamble. Hence, this leads to higher interference within a cell and across cells during RACH transmission. </w:t>
      </w:r>
    </w:p>
    <w:p w14:paraId="173710D8" w14:textId="677A4944" w:rsidR="00C02528" w:rsidRDefault="00C02528" w:rsidP="00C02528">
      <w:pPr>
        <w:pStyle w:val="Caption"/>
        <w:keepNext/>
        <w:jc w:val="center"/>
      </w:pPr>
      <w:bookmarkStart w:id="5" w:name="_Ref521694116"/>
      <w:r>
        <w:t xml:space="preserve">Table </w:t>
      </w:r>
      <w:r w:rsidR="004D1C58">
        <w:rPr>
          <w:noProof/>
        </w:rPr>
        <w:fldChar w:fldCharType="begin"/>
      </w:r>
      <w:r w:rsidR="004D1C58">
        <w:rPr>
          <w:noProof/>
        </w:rPr>
        <w:instrText xml:space="preserve"> SEQ Table \* ARABIC </w:instrText>
      </w:r>
      <w:r w:rsidR="004D1C58">
        <w:rPr>
          <w:noProof/>
        </w:rPr>
        <w:fldChar w:fldCharType="separate"/>
      </w:r>
      <w:r w:rsidR="004D1C58">
        <w:rPr>
          <w:noProof/>
        </w:rPr>
        <w:t>1</w:t>
      </w:r>
      <w:r w:rsidR="004D1C58">
        <w:rPr>
          <w:noProof/>
        </w:rPr>
        <w:fldChar w:fldCharType="end"/>
      </w:r>
      <w:bookmarkEnd w:id="5"/>
      <w:r>
        <w:t xml:space="preserve">: </w:t>
      </w:r>
      <w:r w:rsidRPr="00AD7D0D">
        <w:t>Supported number of cyclic shifts and used ZC root sequences in access and backhaul links (backhaul link is four times longer than access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417"/>
        <w:gridCol w:w="1530"/>
        <w:gridCol w:w="1170"/>
        <w:gridCol w:w="1350"/>
        <w:gridCol w:w="1350"/>
        <w:gridCol w:w="1266"/>
      </w:tblGrid>
      <w:tr w:rsidR="004908C2" w14:paraId="28C508A8" w14:textId="4A04C6E0" w:rsidTr="004908C2">
        <w:trPr>
          <w:trHeight w:val="53"/>
          <w:jc w:val="center"/>
        </w:trPr>
        <w:tc>
          <w:tcPr>
            <w:tcW w:w="1548" w:type="dxa"/>
            <w:shd w:val="clear" w:color="auto" w:fill="auto"/>
            <w:vAlign w:val="center"/>
          </w:tcPr>
          <w:p w14:paraId="540EA8E5" w14:textId="228DE4C6" w:rsidR="00C602DB" w:rsidRPr="00C602DB" w:rsidRDefault="00C602DB" w:rsidP="00856E68">
            <w:pPr>
              <w:pStyle w:val="TAH"/>
              <w:rPr>
                <w:rFonts w:eastAsia="Batang"/>
                <w:i/>
                <w:color w:val="0070C0"/>
              </w:rPr>
            </w:pPr>
            <w:r w:rsidRPr="00C602DB">
              <w:rPr>
                <w:rFonts w:eastAsia="Batang"/>
                <w:i/>
                <w:color w:val="0070C0"/>
              </w:rPr>
              <w:t>(</w:t>
            </w:r>
            <w:r w:rsidR="00744934">
              <w:rPr>
                <w:rFonts w:eastAsia="Batang"/>
                <w:i/>
                <w:color w:val="0070C0"/>
              </w:rPr>
              <w:t>a</w:t>
            </w:r>
            <w:r w:rsidRPr="00C602DB">
              <w:rPr>
                <w:rFonts w:eastAsia="Batang"/>
                <w:i/>
                <w:color w:val="0070C0"/>
              </w:rPr>
              <w:t>)</w:t>
            </w:r>
          </w:p>
          <w:p w14:paraId="479C1D3D" w14:textId="4B1A8936" w:rsidR="005B56F0" w:rsidRDefault="005B56F0" w:rsidP="00856E68">
            <w:pPr>
              <w:pStyle w:val="TAH"/>
              <w:rPr>
                <w:rFonts w:eastAsia="Batang"/>
                <w:i/>
              </w:rPr>
            </w:pPr>
            <w:r w:rsidRPr="00EA3D42">
              <w:rPr>
                <w:rFonts w:eastAsia="Batang"/>
                <w:i/>
              </w:rPr>
              <w:t>zeroCorrelation</w:t>
            </w:r>
            <w:r>
              <w:rPr>
                <w:rFonts w:eastAsia="Batang"/>
                <w:i/>
              </w:rPr>
              <w:t xml:space="preserve"> </w:t>
            </w:r>
            <w:r w:rsidRPr="00EA3D42">
              <w:rPr>
                <w:rFonts w:eastAsia="Batang"/>
                <w:i/>
              </w:rPr>
              <w:t>ZoneConfig</w:t>
            </w:r>
          </w:p>
          <w:p w14:paraId="5E4160DB" w14:textId="272167E9" w:rsidR="00C602DB" w:rsidRPr="00EA3D42" w:rsidRDefault="00C602DB" w:rsidP="00856E68">
            <w:pPr>
              <w:pStyle w:val="TAH"/>
              <w:rPr>
                <w:rFonts w:eastAsia="Batang"/>
                <w:i/>
              </w:rPr>
            </w:pPr>
          </w:p>
        </w:tc>
        <w:tc>
          <w:tcPr>
            <w:tcW w:w="1417" w:type="dxa"/>
            <w:shd w:val="clear" w:color="auto" w:fill="auto"/>
            <w:vAlign w:val="center"/>
          </w:tcPr>
          <w:p w14:paraId="7D28116D" w14:textId="43FD7B71" w:rsidR="00C602DB" w:rsidRPr="00C602DB" w:rsidRDefault="00C602DB" w:rsidP="00856E68">
            <w:pPr>
              <w:pStyle w:val="TAH"/>
              <w:rPr>
                <w:rFonts w:eastAsia="Batang"/>
                <w:color w:val="0070C0"/>
              </w:rPr>
            </w:pPr>
            <w:r w:rsidRPr="00C602DB">
              <w:rPr>
                <w:rFonts w:eastAsia="Batang"/>
                <w:color w:val="0070C0"/>
              </w:rPr>
              <w:t>(</w:t>
            </w:r>
            <w:r w:rsidR="00744934">
              <w:rPr>
                <w:rFonts w:eastAsia="Batang"/>
                <w:color w:val="0070C0"/>
              </w:rPr>
              <w:t>b</w:t>
            </w:r>
            <w:r w:rsidRPr="00C602DB">
              <w:rPr>
                <w:rFonts w:eastAsia="Batang"/>
                <w:color w:val="0070C0"/>
              </w:rPr>
              <w:t>)</w:t>
            </w:r>
          </w:p>
          <w:p w14:paraId="0D2D954B" w14:textId="027C7F30" w:rsidR="005B56F0" w:rsidRPr="00A20A0E" w:rsidRDefault="005B56F0" w:rsidP="00856E68">
            <w:pPr>
              <w:pStyle w:val="TAH"/>
              <w:rPr>
                <w:rFonts w:eastAsia="Batang"/>
              </w:rPr>
            </w:pPr>
            <w:r w:rsidRPr="00A20A0E">
              <w:rPr>
                <w:rFonts w:eastAsia="Batang"/>
                <w:position w:val="-10"/>
              </w:rPr>
              <w:object w:dxaOrig="400" w:dyaOrig="300" w14:anchorId="747F9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v:imagedata r:id="rId14" o:title=""/>
                </v:shape>
                <o:OLEObject Type="Embed" ProgID="Equation.3" ShapeID="_x0000_i1025" DrawAspect="Content" ObjectID="_1595453473" r:id="rId15"/>
              </w:object>
            </w:r>
            <w:r w:rsidRPr="00A20A0E">
              <w:rPr>
                <w:rFonts w:eastAsia="Batang"/>
              </w:rPr>
              <w:t xml:space="preserve"> value</w:t>
            </w:r>
            <w:r>
              <w:rPr>
                <w:rFonts w:eastAsia="Batang"/>
              </w:rPr>
              <w:br/>
              <w:t>for unrestricted set (</w:t>
            </w:r>
            <w:r w:rsidRPr="00C602DB">
              <w:rPr>
                <w:rFonts w:eastAsia="Batang"/>
                <w:color w:val="00B050"/>
              </w:rPr>
              <w:t>access link</w:t>
            </w:r>
            <w:r>
              <w:rPr>
                <w:rFonts w:eastAsia="Batang"/>
              </w:rPr>
              <w:t>)</w:t>
            </w:r>
          </w:p>
        </w:tc>
        <w:tc>
          <w:tcPr>
            <w:tcW w:w="1530" w:type="dxa"/>
          </w:tcPr>
          <w:p w14:paraId="53ADBF08" w14:textId="2CA78A71" w:rsidR="00C602DB" w:rsidRPr="00C602DB" w:rsidRDefault="00C602DB" w:rsidP="00856E68">
            <w:pPr>
              <w:pStyle w:val="TAH"/>
              <w:rPr>
                <w:rFonts w:eastAsia="Batang"/>
                <w:color w:val="0070C0"/>
              </w:rPr>
            </w:pPr>
            <w:r w:rsidRPr="00C602DB">
              <w:rPr>
                <w:rFonts w:eastAsia="Batang"/>
                <w:color w:val="0070C0"/>
              </w:rPr>
              <w:t>(</w:t>
            </w:r>
            <w:r w:rsidR="00744934">
              <w:rPr>
                <w:rFonts w:eastAsia="Batang"/>
                <w:color w:val="0070C0"/>
              </w:rPr>
              <w:t>c</w:t>
            </w:r>
            <w:r w:rsidRPr="00C602DB">
              <w:rPr>
                <w:rFonts w:eastAsia="Batang"/>
                <w:color w:val="0070C0"/>
              </w:rPr>
              <w:t>)</w:t>
            </w:r>
          </w:p>
          <w:p w14:paraId="748B0B9F" w14:textId="32507538" w:rsidR="005B56F0" w:rsidRDefault="005B56F0" w:rsidP="00856E68">
            <w:pPr>
              <w:pStyle w:val="TAH"/>
              <w:rPr>
                <w:rFonts w:eastAsia="Batang"/>
              </w:rPr>
            </w:pPr>
            <w:r>
              <w:rPr>
                <w:rFonts w:eastAsia="Batang"/>
              </w:rPr>
              <w:t>Supported # of cyclic shifts per ZC root sequence</w:t>
            </w:r>
          </w:p>
          <w:p w14:paraId="108CA521" w14:textId="1D74BFA2" w:rsidR="00744934" w:rsidRPr="004908C2" w:rsidRDefault="005B56F0" w:rsidP="004908C2">
            <w:pPr>
              <w:pStyle w:val="TAH"/>
              <w:rPr>
                <w:rFonts w:eastAsia="Batang"/>
                <w:color w:val="00B050"/>
              </w:rPr>
            </w:pPr>
            <w:r w:rsidRPr="00C602DB">
              <w:rPr>
                <w:rFonts w:eastAsia="Batang"/>
                <w:color w:val="00B050"/>
              </w:rPr>
              <w:t>(access link)</w:t>
            </w:r>
          </w:p>
          <w:p w14:paraId="767D8097" w14:textId="2912ACB3" w:rsidR="00744934" w:rsidRPr="00A20A0E" w:rsidRDefault="00744934" w:rsidP="00856E68">
            <w:pPr>
              <w:pStyle w:val="TAH"/>
              <w:rPr>
                <w:rFonts w:eastAsia="Batang"/>
              </w:rPr>
            </w:pPr>
            <w:r>
              <w:rPr>
                <w:rFonts w:eastAsia="Batang"/>
              </w:rPr>
              <w:t>=</w:t>
            </w:r>
            <m:oMath>
              <m:d>
                <m:dPr>
                  <m:begChr m:val="⌈"/>
                  <m:endChr m:val="⌉"/>
                  <m:ctrlPr>
                    <w:rPr>
                      <w:rFonts w:ascii="Cambria Math" w:eastAsia="Batang" w:hAnsi="Cambria Math"/>
                      <w:i/>
                    </w:rPr>
                  </m:ctrlPr>
                </m:dPr>
                <m:e>
                  <m:f>
                    <m:fPr>
                      <m:ctrlPr>
                        <w:rPr>
                          <w:rFonts w:ascii="Cambria Math" w:eastAsia="Batang" w:hAnsi="Cambria Math"/>
                          <w:i/>
                        </w:rPr>
                      </m:ctrlPr>
                    </m:fPr>
                    <m:num>
                      <m:r>
                        <m:rPr>
                          <m:sty m:val="bi"/>
                        </m:rPr>
                        <w:rPr>
                          <w:rFonts w:ascii="Cambria Math" w:eastAsia="Batang" w:hAnsi="Cambria Math"/>
                        </w:rPr>
                        <m:t>139</m:t>
                      </m:r>
                    </m:num>
                    <m:den>
                      <m:r>
                        <m:rPr>
                          <m:sty m:val="bi"/>
                        </m:rPr>
                        <w:rPr>
                          <w:rFonts w:ascii="Cambria Math" w:eastAsia="Batang" w:hAnsi="Cambria Math"/>
                        </w:rPr>
                        <m:t>b</m:t>
                      </m:r>
                    </m:den>
                  </m:f>
                </m:e>
              </m:d>
            </m:oMath>
          </w:p>
        </w:tc>
        <w:tc>
          <w:tcPr>
            <w:tcW w:w="1170" w:type="dxa"/>
          </w:tcPr>
          <w:p w14:paraId="31379E56" w14:textId="122D3768" w:rsidR="00C602DB" w:rsidRPr="00C602DB" w:rsidRDefault="00C602DB" w:rsidP="00856E68">
            <w:pPr>
              <w:pStyle w:val="TAH"/>
              <w:rPr>
                <w:rFonts w:eastAsia="Batang"/>
                <w:color w:val="0070C0"/>
              </w:rPr>
            </w:pPr>
            <w:r w:rsidRPr="00C602DB">
              <w:rPr>
                <w:rFonts w:eastAsia="Batang"/>
                <w:color w:val="0070C0"/>
              </w:rPr>
              <w:t>(</w:t>
            </w:r>
            <w:r w:rsidR="00744934">
              <w:rPr>
                <w:rFonts w:eastAsia="Batang"/>
                <w:color w:val="0070C0"/>
              </w:rPr>
              <w:t>d</w:t>
            </w:r>
            <w:r w:rsidRPr="00C602DB">
              <w:rPr>
                <w:rFonts w:eastAsia="Batang"/>
                <w:color w:val="0070C0"/>
              </w:rPr>
              <w:t>)</w:t>
            </w:r>
          </w:p>
          <w:p w14:paraId="372E9FA5" w14:textId="77777777" w:rsidR="00744934" w:rsidRDefault="005B56F0" w:rsidP="00856E68">
            <w:pPr>
              <w:pStyle w:val="TAH"/>
              <w:rPr>
                <w:rFonts w:eastAsia="Batang"/>
                <w:color w:val="00B050"/>
              </w:rPr>
            </w:pPr>
            <w:r>
              <w:rPr>
                <w:rFonts w:eastAsia="Batang"/>
              </w:rPr>
              <w:t xml:space="preserve"># of used ZC root sequence </w:t>
            </w:r>
            <w:r w:rsidRPr="00C602DB">
              <w:rPr>
                <w:rFonts w:eastAsia="Batang"/>
                <w:color w:val="00B050"/>
              </w:rPr>
              <w:t>(access link)</w:t>
            </w:r>
            <w:r w:rsidR="00744934">
              <w:rPr>
                <w:rFonts w:eastAsia="Batang"/>
                <w:color w:val="00B050"/>
              </w:rPr>
              <w:t xml:space="preserve"> </w:t>
            </w:r>
          </w:p>
          <w:p w14:paraId="2D77B85A" w14:textId="0785A5A1" w:rsidR="005B56F0" w:rsidRPr="00A20A0E" w:rsidRDefault="004908C2" w:rsidP="00856E68">
            <w:pPr>
              <w:pStyle w:val="TAH"/>
              <w:rPr>
                <w:rFonts w:eastAsia="Batang"/>
              </w:rPr>
            </w:pPr>
            <w:r>
              <w:rPr>
                <w:rFonts w:eastAsia="Batang"/>
              </w:rPr>
              <w:t xml:space="preserve">= </w:t>
            </w:r>
            <m:oMath>
              <m:d>
                <m:dPr>
                  <m:begChr m:val="⌈"/>
                  <m:endChr m:val="⌉"/>
                  <m:ctrlPr>
                    <w:rPr>
                      <w:rFonts w:ascii="Cambria Math" w:eastAsia="Batang" w:hAnsi="Cambria Math"/>
                      <w:i/>
                    </w:rPr>
                  </m:ctrlPr>
                </m:dPr>
                <m:e>
                  <m:f>
                    <m:fPr>
                      <m:ctrlPr>
                        <w:rPr>
                          <w:rFonts w:ascii="Cambria Math" w:eastAsia="Batang" w:hAnsi="Cambria Math"/>
                          <w:i/>
                        </w:rPr>
                      </m:ctrlPr>
                    </m:fPr>
                    <m:num>
                      <m:r>
                        <m:rPr>
                          <m:sty m:val="bi"/>
                        </m:rPr>
                        <w:rPr>
                          <w:rFonts w:ascii="Cambria Math" w:eastAsia="Batang" w:hAnsi="Cambria Math"/>
                        </w:rPr>
                        <m:t>64</m:t>
                      </m:r>
                    </m:num>
                    <m:den>
                      <m:r>
                        <m:rPr>
                          <m:sty m:val="bi"/>
                        </m:rPr>
                        <w:rPr>
                          <w:rFonts w:ascii="Cambria Math" w:eastAsia="Batang" w:hAnsi="Cambria Math"/>
                        </w:rPr>
                        <m:t>c</m:t>
                      </m:r>
                    </m:den>
                  </m:f>
                </m:e>
              </m:d>
            </m:oMath>
          </w:p>
        </w:tc>
        <w:tc>
          <w:tcPr>
            <w:tcW w:w="1350" w:type="dxa"/>
          </w:tcPr>
          <w:p w14:paraId="13C10BA4" w14:textId="58C418D6" w:rsidR="00C602DB" w:rsidRPr="00C602DB" w:rsidRDefault="00C602DB" w:rsidP="00856E68">
            <w:pPr>
              <w:pStyle w:val="TAH"/>
              <w:rPr>
                <w:rFonts w:eastAsia="Batang"/>
                <w:color w:val="0070C0"/>
              </w:rPr>
            </w:pPr>
            <w:r w:rsidRPr="00C602DB">
              <w:rPr>
                <w:rFonts w:eastAsia="Batang"/>
                <w:color w:val="0070C0"/>
              </w:rPr>
              <w:t>(</w:t>
            </w:r>
            <w:r w:rsidR="00744934">
              <w:rPr>
                <w:rFonts w:eastAsia="Batang"/>
                <w:color w:val="0070C0"/>
              </w:rPr>
              <w:t>e</w:t>
            </w:r>
            <w:r w:rsidRPr="00C602DB">
              <w:rPr>
                <w:rFonts w:eastAsia="Batang"/>
                <w:color w:val="0070C0"/>
              </w:rPr>
              <w:t>)</w:t>
            </w:r>
          </w:p>
          <w:p w14:paraId="1D3E0790" w14:textId="667EBC0D" w:rsidR="005B56F0" w:rsidRDefault="00C602DB" w:rsidP="00856E68">
            <w:pPr>
              <w:pStyle w:val="TAH"/>
              <w:rPr>
                <w:rFonts w:eastAsia="Batang"/>
              </w:rPr>
            </w:pPr>
            <w:r>
              <w:rPr>
                <w:rFonts w:eastAsia="Batang"/>
              </w:rPr>
              <w:t xml:space="preserve">Required </w:t>
            </w:r>
            <w:r w:rsidR="005B56F0" w:rsidRPr="00A20A0E">
              <w:rPr>
                <w:rFonts w:eastAsia="Batang"/>
                <w:position w:val="-10"/>
              </w:rPr>
              <w:object w:dxaOrig="400" w:dyaOrig="300" w14:anchorId="73A54204">
                <v:shape id="_x0000_i1026" type="#_x0000_t75" style="width:20.25pt;height:15pt" o:ole="">
                  <v:imagedata r:id="rId14" o:title=""/>
                </v:shape>
                <o:OLEObject Type="Embed" ProgID="Equation.3" ShapeID="_x0000_i1026" DrawAspect="Content" ObjectID="_1595453474" r:id="rId16"/>
              </w:object>
            </w:r>
            <w:r w:rsidR="005B56F0" w:rsidRPr="00A20A0E">
              <w:rPr>
                <w:rFonts w:eastAsia="Batang"/>
              </w:rPr>
              <w:t xml:space="preserve"> value</w:t>
            </w:r>
            <w:r w:rsidR="005B56F0">
              <w:rPr>
                <w:rFonts w:eastAsia="Batang"/>
              </w:rPr>
              <w:br/>
              <w:t xml:space="preserve">for unrestricted set </w:t>
            </w:r>
            <w:r w:rsidR="005B56F0" w:rsidRPr="00D406D8">
              <w:rPr>
                <w:rFonts w:eastAsia="Batang"/>
                <w:color w:val="7030A0"/>
              </w:rPr>
              <w:t>(backhaul link)</w:t>
            </w:r>
            <w:r w:rsidR="004908C2" w:rsidRPr="00D406D8">
              <w:rPr>
                <w:rFonts w:eastAsia="Batang"/>
                <w:color w:val="7030A0"/>
              </w:rPr>
              <w:t xml:space="preserve"> </w:t>
            </w:r>
            <w:r w:rsidR="00D406D8">
              <w:rPr>
                <w:rFonts w:eastAsia="Batang"/>
              </w:rPr>
              <w:t>= 4*b</w:t>
            </w:r>
          </w:p>
        </w:tc>
        <w:tc>
          <w:tcPr>
            <w:tcW w:w="1350" w:type="dxa"/>
          </w:tcPr>
          <w:p w14:paraId="05A883F1" w14:textId="0527DB41" w:rsidR="00C602DB" w:rsidRPr="00C602DB" w:rsidRDefault="00C602DB" w:rsidP="00856E68">
            <w:pPr>
              <w:pStyle w:val="TAH"/>
              <w:rPr>
                <w:rFonts w:eastAsia="Batang"/>
                <w:color w:val="0070C0"/>
              </w:rPr>
            </w:pPr>
            <w:r w:rsidRPr="00C602DB">
              <w:rPr>
                <w:rFonts w:eastAsia="Batang"/>
                <w:color w:val="0070C0"/>
              </w:rPr>
              <w:t>(</w:t>
            </w:r>
            <w:r w:rsidR="00744934">
              <w:rPr>
                <w:rFonts w:eastAsia="Batang"/>
                <w:color w:val="0070C0"/>
              </w:rPr>
              <w:t>f</w:t>
            </w:r>
            <w:r w:rsidRPr="00C602DB">
              <w:rPr>
                <w:rFonts w:eastAsia="Batang"/>
                <w:color w:val="0070C0"/>
              </w:rPr>
              <w:t>)</w:t>
            </w:r>
          </w:p>
          <w:p w14:paraId="79937DEE" w14:textId="29AA4F14" w:rsidR="005B56F0" w:rsidRDefault="005B56F0" w:rsidP="00856E68">
            <w:pPr>
              <w:pStyle w:val="TAH"/>
              <w:rPr>
                <w:rFonts w:eastAsia="Batang"/>
              </w:rPr>
            </w:pPr>
            <w:r>
              <w:rPr>
                <w:rFonts w:eastAsia="Batang"/>
              </w:rPr>
              <w:t>Supported # of cyclic shifts per ZC root sequence</w:t>
            </w:r>
          </w:p>
          <w:p w14:paraId="1DA75608" w14:textId="77777777" w:rsidR="005B56F0" w:rsidRPr="00D406D8" w:rsidRDefault="005B56F0" w:rsidP="00856E68">
            <w:pPr>
              <w:pStyle w:val="TAH"/>
              <w:rPr>
                <w:rFonts w:eastAsia="Batang"/>
                <w:color w:val="7030A0"/>
              </w:rPr>
            </w:pPr>
            <w:r w:rsidRPr="00D406D8">
              <w:rPr>
                <w:rFonts w:eastAsia="Batang"/>
                <w:color w:val="7030A0"/>
              </w:rPr>
              <w:t>(backhaul link)</w:t>
            </w:r>
          </w:p>
          <w:p w14:paraId="0C7B27A4" w14:textId="1C4DD042" w:rsidR="004908C2" w:rsidRPr="00A20A0E" w:rsidRDefault="004908C2" w:rsidP="00856E68">
            <w:pPr>
              <w:pStyle w:val="TAH"/>
              <w:rPr>
                <w:rFonts w:eastAsia="Batang"/>
              </w:rPr>
            </w:pPr>
            <w:r>
              <w:rPr>
                <w:rFonts w:eastAsia="Batang"/>
              </w:rPr>
              <w:t>=</w:t>
            </w:r>
            <m:oMath>
              <m:d>
                <m:dPr>
                  <m:begChr m:val="⌈"/>
                  <m:endChr m:val="⌉"/>
                  <m:ctrlPr>
                    <w:rPr>
                      <w:rFonts w:ascii="Cambria Math" w:eastAsia="Batang" w:hAnsi="Cambria Math"/>
                      <w:i/>
                    </w:rPr>
                  </m:ctrlPr>
                </m:dPr>
                <m:e>
                  <m:f>
                    <m:fPr>
                      <m:ctrlPr>
                        <w:rPr>
                          <w:rFonts w:ascii="Cambria Math" w:eastAsia="Batang" w:hAnsi="Cambria Math"/>
                          <w:i/>
                        </w:rPr>
                      </m:ctrlPr>
                    </m:fPr>
                    <m:num>
                      <m:r>
                        <m:rPr>
                          <m:sty m:val="bi"/>
                        </m:rPr>
                        <w:rPr>
                          <w:rFonts w:ascii="Cambria Math" w:eastAsia="Batang" w:hAnsi="Cambria Math"/>
                        </w:rPr>
                        <m:t>139</m:t>
                      </m:r>
                    </m:num>
                    <m:den>
                      <m:r>
                        <m:rPr>
                          <m:sty m:val="bi"/>
                        </m:rPr>
                        <w:rPr>
                          <w:rFonts w:ascii="Cambria Math" w:eastAsia="Batang" w:hAnsi="Cambria Math"/>
                        </w:rPr>
                        <m:t>e</m:t>
                      </m:r>
                    </m:den>
                  </m:f>
                </m:e>
              </m:d>
            </m:oMath>
          </w:p>
        </w:tc>
        <w:tc>
          <w:tcPr>
            <w:tcW w:w="1266" w:type="dxa"/>
          </w:tcPr>
          <w:p w14:paraId="55B1DA85" w14:textId="234257B0" w:rsidR="00C602DB" w:rsidRPr="00C602DB" w:rsidRDefault="00C602DB" w:rsidP="00856E68">
            <w:pPr>
              <w:pStyle w:val="TAH"/>
              <w:rPr>
                <w:rFonts w:eastAsia="Batang"/>
                <w:color w:val="0070C0"/>
              </w:rPr>
            </w:pPr>
            <w:r w:rsidRPr="00C602DB">
              <w:rPr>
                <w:rFonts w:eastAsia="Batang"/>
                <w:color w:val="0070C0"/>
              </w:rPr>
              <w:t>(</w:t>
            </w:r>
            <w:r w:rsidR="00744934">
              <w:rPr>
                <w:rFonts w:eastAsia="Batang"/>
                <w:color w:val="0070C0"/>
              </w:rPr>
              <w:t>g</w:t>
            </w:r>
            <w:r w:rsidRPr="00C602DB">
              <w:rPr>
                <w:rFonts w:eastAsia="Batang"/>
                <w:color w:val="0070C0"/>
              </w:rPr>
              <w:t>)</w:t>
            </w:r>
          </w:p>
          <w:p w14:paraId="2069F6D2" w14:textId="77777777" w:rsidR="004908C2" w:rsidRDefault="005B56F0" w:rsidP="00856E68">
            <w:pPr>
              <w:pStyle w:val="TAH"/>
              <w:rPr>
                <w:rFonts w:eastAsia="Batang"/>
                <w:color w:val="00B050"/>
              </w:rPr>
            </w:pPr>
            <w:r>
              <w:rPr>
                <w:rFonts w:eastAsia="Batang"/>
              </w:rPr>
              <w:t xml:space="preserve"># of used ZC root sequence </w:t>
            </w:r>
            <w:r w:rsidRPr="00D406D8">
              <w:rPr>
                <w:rFonts w:eastAsia="Batang"/>
                <w:color w:val="7030A0"/>
              </w:rPr>
              <w:t>(backhaul link)</w:t>
            </w:r>
          </w:p>
          <w:p w14:paraId="344E5A44" w14:textId="1E2CF05E" w:rsidR="005B56F0" w:rsidRPr="00A20A0E" w:rsidRDefault="004908C2" w:rsidP="00856E68">
            <w:pPr>
              <w:pStyle w:val="TAH"/>
              <w:rPr>
                <w:rFonts w:eastAsia="Batang"/>
              </w:rPr>
            </w:pPr>
            <w:r>
              <w:rPr>
                <w:rFonts w:eastAsia="Batang"/>
              </w:rPr>
              <w:t xml:space="preserve">= </w:t>
            </w:r>
            <m:oMath>
              <m:d>
                <m:dPr>
                  <m:begChr m:val="⌈"/>
                  <m:endChr m:val="⌉"/>
                  <m:ctrlPr>
                    <w:rPr>
                      <w:rFonts w:ascii="Cambria Math" w:eastAsia="Batang" w:hAnsi="Cambria Math"/>
                      <w:i/>
                    </w:rPr>
                  </m:ctrlPr>
                </m:dPr>
                <m:e>
                  <m:f>
                    <m:fPr>
                      <m:ctrlPr>
                        <w:rPr>
                          <w:rFonts w:ascii="Cambria Math" w:eastAsia="Batang" w:hAnsi="Cambria Math"/>
                          <w:i/>
                        </w:rPr>
                      </m:ctrlPr>
                    </m:fPr>
                    <m:num>
                      <m:r>
                        <m:rPr>
                          <m:sty m:val="bi"/>
                        </m:rPr>
                        <w:rPr>
                          <w:rFonts w:ascii="Cambria Math" w:eastAsia="Batang" w:hAnsi="Cambria Math"/>
                        </w:rPr>
                        <m:t>64</m:t>
                      </m:r>
                    </m:num>
                    <m:den>
                      <m:r>
                        <m:rPr>
                          <m:sty m:val="bi"/>
                        </m:rPr>
                        <w:rPr>
                          <w:rFonts w:ascii="Cambria Math" w:eastAsia="Batang" w:hAnsi="Cambria Math"/>
                        </w:rPr>
                        <m:t>f</m:t>
                      </m:r>
                    </m:den>
                  </m:f>
                </m:e>
              </m:d>
            </m:oMath>
            <w:r w:rsidR="005B56F0" w:rsidRPr="00C602DB">
              <w:rPr>
                <w:rFonts w:eastAsia="Batang"/>
                <w:color w:val="00B050"/>
              </w:rPr>
              <w:t xml:space="preserve"> </w:t>
            </w:r>
          </w:p>
        </w:tc>
      </w:tr>
      <w:tr w:rsidR="004908C2" w14:paraId="504833AE" w14:textId="5BE95483" w:rsidTr="004908C2">
        <w:trPr>
          <w:jc w:val="center"/>
        </w:trPr>
        <w:tc>
          <w:tcPr>
            <w:tcW w:w="1548" w:type="dxa"/>
            <w:shd w:val="clear" w:color="auto" w:fill="auto"/>
          </w:tcPr>
          <w:p w14:paraId="29E9E787" w14:textId="77777777" w:rsidR="005B56F0" w:rsidRPr="00A20A0E" w:rsidRDefault="005B56F0" w:rsidP="00856E68">
            <w:pPr>
              <w:pStyle w:val="TAC"/>
              <w:rPr>
                <w:rFonts w:eastAsia="Batang"/>
              </w:rPr>
            </w:pPr>
            <w:r w:rsidRPr="00A20A0E">
              <w:rPr>
                <w:rFonts w:eastAsia="Batang"/>
              </w:rPr>
              <w:t>0</w:t>
            </w:r>
          </w:p>
        </w:tc>
        <w:tc>
          <w:tcPr>
            <w:tcW w:w="1417" w:type="dxa"/>
            <w:shd w:val="clear" w:color="auto" w:fill="auto"/>
          </w:tcPr>
          <w:p w14:paraId="0D63FF5C" w14:textId="77777777" w:rsidR="005B56F0" w:rsidRPr="00A20A0E" w:rsidRDefault="005B56F0" w:rsidP="00856E68">
            <w:pPr>
              <w:pStyle w:val="TAC"/>
              <w:rPr>
                <w:rFonts w:eastAsia="Batang"/>
              </w:rPr>
            </w:pPr>
            <w:r w:rsidRPr="00A20A0E">
              <w:rPr>
                <w:rFonts w:eastAsia="Batang"/>
              </w:rPr>
              <w:t>0</w:t>
            </w:r>
          </w:p>
        </w:tc>
        <w:tc>
          <w:tcPr>
            <w:tcW w:w="1530" w:type="dxa"/>
          </w:tcPr>
          <w:p w14:paraId="4D9FEA7D" w14:textId="7D5D9F1B" w:rsidR="005B56F0" w:rsidRPr="00A20A0E" w:rsidRDefault="005B56F0" w:rsidP="00856E68">
            <w:pPr>
              <w:pStyle w:val="TAC"/>
              <w:rPr>
                <w:rFonts w:eastAsia="Batang"/>
              </w:rPr>
            </w:pPr>
            <w:r>
              <w:rPr>
                <w:rFonts w:eastAsia="Batang"/>
              </w:rPr>
              <w:t>1</w:t>
            </w:r>
          </w:p>
        </w:tc>
        <w:tc>
          <w:tcPr>
            <w:tcW w:w="1170" w:type="dxa"/>
          </w:tcPr>
          <w:p w14:paraId="7F545CDD" w14:textId="2736090A" w:rsidR="005B56F0" w:rsidRPr="00A20A0E" w:rsidRDefault="005B56F0" w:rsidP="00856E68">
            <w:pPr>
              <w:pStyle w:val="TAC"/>
              <w:rPr>
                <w:rFonts w:eastAsia="Batang"/>
              </w:rPr>
            </w:pPr>
            <w:r>
              <w:rPr>
                <w:rFonts w:eastAsia="Batang"/>
              </w:rPr>
              <w:t>64</w:t>
            </w:r>
          </w:p>
        </w:tc>
        <w:tc>
          <w:tcPr>
            <w:tcW w:w="1350" w:type="dxa"/>
          </w:tcPr>
          <w:p w14:paraId="77231037" w14:textId="7D08E79A" w:rsidR="005B56F0" w:rsidRDefault="00C602DB" w:rsidP="00856E68">
            <w:pPr>
              <w:pStyle w:val="TAC"/>
              <w:rPr>
                <w:rFonts w:eastAsia="Batang"/>
              </w:rPr>
            </w:pPr>
            <w:r>
              <w:rPr>
                <w:rFonts w:eastAsia="Batang"/>
              </w:rPr>
              <w:t>0</w:t>
            </w:r>
          </w:p>
        </w:tc>
        <w:tc>
          <w:tcPr>
            <w:tcW w:w="1350" w:type="dxa"/>
          </w:tcPr>
          <w:p w14:paraId="7E3E910A" w14:textId="75F29AA1" w:rsidR="005B56F0" w:rsidRPr="00A20A0E" w:rsidRDefault="005B56F0" w:rsidP="00856E68">
            <w:pPr>
              <w:pStyle w:val="TAC"/>
              <w:rPr>
                <w:rFonts w:eastAsia="Batang"/>
              </w:rPr>
            </w:pPr>
            <w:r>
              <w:rPr>
                <w:rFonts w:eastAsia="Batang"/>
              </w:rPr>
              <w:t>1</w:t>
            </w:r>
          </w:p>
        </w:tc>
        <w:tc>
          <w:tcPr>
            <w:tcW w:w="1266" w:type="dxa"/>
          </w:tcPr>
          <w:p w14:paraId="215C0CC5" w14:textId="65339346" w:rsidR="005B56F0" w:rsidRPr="00A20A0E" w:rsidRDefault="005B56F0" w:rsidP="00856E68">
            <w:pPr>
              <w:pStyle w:val="TAC"/>
              <w:rPr>
                <w:rFonts w:eastAsia="Batang"/>
              </w:rPr>
            </w:pPr>
            <w:r>
              <w:rPr>
                <w:rFonts w:eastAsia="Batang"/>
              </w:rPr>
              <w:t>64</w:t>
            </w:r>
          </w:p>
        </w:tc>
      </w:tr>
      <w:tr w:rsidR="004908C2" w14:paraId="39C640B3" w14:textId="5740ECD7" w:rsidTr="004908C2">
        <w:trPr>
          <w:jc w:val="center"/>
        </w:trPr>
        <w:tc>
          <w:tcPr>
            <w:tcW w:w="1548" w:type="dxa"/>
            <w:shd w:val="clear" w:color="auto" w:fill="auto"/>
          </w:tcPr>
          <w:p w14:paraId="7CF36A15" w14:textId="77777777" w:rsidR="005B56F0" w:rsidRPr="00A20A0E" w:rsidRDefault="005B56F0" w:rsidP="00856E68">
            <w:pPr>
              <w:pStyle w:val="TAC"/>
              <w:rPr>
                <w:rFonts w:eastAsia="Batang"/>
              </w:rPr>
            </w:pPr>
            <w:r w:rsidRPr="00A20A0E">
              <w:rPr>
                <w:rFonts w:eastAsia="Batang"/>
              </w:rPr>
              <w:t>1</w:t>
            </w:r>
          </w:p>
        </w:tc>
        <w:tc>
          <w:tcPr>
            <w:tcW w:w="1417" w:type="dxa"/>
            <w:shd w:val="clear" w:color="auto" w:fill="auto"/>
          </w:tcPr>
          <w:p w14:paraId="21399999" w14:textId="77777777" w:rsidR="005B56F0" w:rsidRPr="00A20A0E" w:rsidRDefault="005B56F0" w:rsidP="00856E68">
            <w:pPr>
              <w:pStyle w:val="TAC"/>
              <w:rPr>
                <w:rFonts w:eastAsia="Batang"/>
              </w:rPr>
            </w:pPr>
            <w:r w:rsidRPr="00A20A0E">
              <w:rPr>
                <w:rFonts w:eastAsia="Batang"/>
              </w:rPr>
              <w:t>2</w:t>
            </w:r>
          </w:p>
        </w:tc>
        <w:tc>
          <w:tcPr>
            <w:tcW w:w="1530" w:type="dxa"/>
          </w:tcPr>
          <w:p w14:paraId="0965EFDF" w14:textId="759A79C1" w:rsidR="005B56F0" w:rsidRPr="00A20A0E" w:rsidRDefault="005B56F0" w:rsidP="00856E68">
            <w:pPr>
              <w:pStyle w:val="TAC"/>
              <w:rPr>
                <w:rFonts w:eastAsia="Batang"/>
              </w:rPr>
            </w:pPr>
            <w:r>
              <w:rPr>
                <w:rFonts w:eastAsia="Batang"/>
              </w:rPr>
              <w:t>69</w:t>
            </w:r>
          </w:p>
        </w:tc>
        <w:tc>
          <w:tcPr>
            <w:tcW w:w="1170" w:type="dxa"/>
          </w:tcPr>
          <w:p w14:paraId="22775962" w14:textId="423DE4FD" w:rsidR="005B56F0" w:rsidRPr="00A20A0E" w:rsidRDefault="005B56F0" w:rsidP="00856E68">
            <w:pPr>
              <w:pStyle w:val="TAC"/>
              <w:rPr>
                <w:rFonts w:eastAsia="Batang"/>
              </w:rPr>
            </w:pPr>
            <w:r>
              <w:rPr>
                <w:rFonts w:eastAsia="Batang"/>
              </w:rPr>
              <w:t>1</w:t>
            </w:r>
          </w:p>
        </w:tc>
        <w:tc>
          <w:tcPr>
            <w:tcW w:w="1350" w:type="dxa"/>
          </w:tcPr>
          <w:p w14:paraId="613F0F78" w14:textId="59A9FED9" w:rsidR="005B56F0" w:rsidRDefault="00C602DB" w:rsidP="00856E68">
            <w:pPr>
              <w:pStyle w:val="TAC"/>
              <w:rPr>
                <w:rFonts w:eastAsia="Batang"/>
              </w:rPr>
            </w:pPr>
            <w:r>
              <w:rPr>
                <w:rFonts w:eastAsia="Batang"/>
              </w:rPr>
              <w:t>8</w:t>
            </w:r>
          </w:p>
        </w:tc>
        <w:tc>
          <w:tcPr>
            <w:tcW w:w="1350" w:type="dxa"/>
          </w:tcPr>
          <w:p w14:paraId="4FDF4445" w14:textId="0E6E6042" w:rsidR="005B56F0" w:rsidRPr="00A20A0E" w:rsidRDefault="005B56F0" w:rsidP="00856E68">
            <w:pPr>
              <w:pStyle w:val="TAC"/>
              <w:rPr>
                <w:rFonts w:eastAsia="Batang"/>
              </w:rPr>
            </w:pPr>
            <w:r>
              <w:rPr>
                <w:rFonts w:eastAsia="Batang"/>
              </w:rPr>
              <w:t>1</w:t>
            </w:r>
            <w:r w:rsidR="00744934">
              <w:rPr>
                <w:rFonts w:eastAsia="Batang"/>
              </w:rPr>
              <w:t>7</w:t>
            </w:r>
          </w:p>
        </w:tc>
        <w:tc>
          <w:tcPr>
            <w:tcW w:w="1266" w:type="dxa"/>
          </w:tcPr>
          <w:p w14:paraId="70CAD92E" w14:textId="3D607929" w:rsidR="005B56F0" w:rsidRPr="00A20A0E" w:rsidRDefault="00744934" w:rsidP="00856E68">
            <w:pPr>
              <w:pStyle w:val="TAC"/>
              <w:rPr>
                <w:rFonts w:eastAsia="Batang"/>
              </w:rPr>
            </w:pPr>
            <w:r>
              <w:rPr>
                <w:rFonts w:eastAsia="Batang"/>
              </w:rPr>
              <w:t>4</w:t>
            </w:r>
          </w:p>
        </w:tc>
      </w:tr>
      <w:tr w:rsidR="004908C2" w14:paraId="67F97EAF" w14:textId="00354FBF" w:rsidTr="004908C2">
        <w:trPr>
          <w:jc w:val="center"/>
        </w:trPr>
        <w:tc>
          <w:tcPr>
            <w:tcW w:w="1548" w:type="dxa"/>
            <w:shd w:val="clear" w:color="auto" w:fill="auto"/>
          </w:tcPr>
          <w:p w14:paraId="05ACDCC3" w14:textId="77777777" w:rsidR="005B56F0" w:rsidRPr="00A20A0E" w:rsidRDefault="005B56F0" w:rsidP="00856E68">
            <w:pPr>
              <w:pStyle w:val="TAC"/>
              <w:rPr>
                <w:rFonts w:eastAsia="Batang"/>
              </w:rPr>
            </w:pPr>
            <w:r w:rsidRPr="00A20A0E">
              <w:rPr>
                <w:rFonts w:eastAsia="Batang"/>
              </w:rPr>
              <w:t>2</w:t>
            </w:r>
          </w:p>
        </w:tc>
        <w:tc>
          <w:tcPr>
            <w:tcW w:w="1417" w:type="dxa"/>
            <w:shd w:val="clear" w:color="auto" w:fill="auto"/>
          </w:tcPr>
          <w:p w14:paraId="539DCE20" w14:textId="77777777" w:rsidR="005B56F0" w:rsidRPr="00A20A0E" w:rsidRDefault="005B56F0" w:rsidP="00856E68">
            <w:pPr>
              <w:pStyle w:val="TAC"/>
              <w:rPr>
                <w:rFonts w:eastAsia="Batang"/>
              </w:rPr>
            </w:pPr>
            <w:r w:rsidRPr="00A20A0E">
              <w:rPr>
                <w:rFonts w:eastAsia="Batang"/>
              </w:rPr>
              <w:t>4</w:t>
            </w:r>
          </w:p>
        </w:tc>
        <w:tc>
          <w:tcPr>
            <w:tcW w:w="1530" w:type="dxa"/>
          </w:tcPr>
          <w:p w14:paraId="756EB294" w14:textId="53AC871D" w:rsidR="005B56F0" w:rsidRPr="00A20A0E" w:rsidRDefault="005B56F0" w:rsidP="00856E68">
            <w:pPr>
              <w:pStyle w:val="TAC"/>
              <w:rPr>
                <w:rFonts w:eastAsia="Batang"/>
              </w:rPr>
            </w:pPr>
            <w:r>
              <w:rPr>
                <w:rFonts w:eastAsia="Batang"/>
              </w:rPr>
              <w:t>34</w:t>
            </w:r>
          </w:p>
        </w:tc>
        <w:tc>
          <w:tcPr>
            <w:tcW w:w="1170" w:type="dxa"/>
          </w:tcPr>
          <w:p w14:paraId="2B711466" w14:textId="1CC8441F" w:rsidR="005B56F0" w:rsidRPr="00A20A0E" w:rsidRDefault="005B56F0" w:rsidP="00856E68">
            <w:pPr>
              <w:pStyle w:val="TAC"/>
              <w:rPr>
                <w:rFonts w:eastAsia="Batang"/>
              </w:rPr>
            </w:pPr>
            <w:r>
              <w:rPr>
                <w:rFonts w:eastAsia="Batang"/>
              </w:rPr>
              <w:t>2</w:t>
            </w:r>
          </w:p>
        </w:tc>
        <w:tc>
          <w:tcPr>
            <w:tcW w:w="1350" w:type="dxa"/>
          </w:tcPr>
          <w:p w14:paraId="5BE40726" w14:textId="1FF02805" w:rsidR="005B56F0" w:rsidRDefault="00C602DB" w:rsidP="00856E68">
            <w:pPr>
              <w:pStyle w:val="TAC"/>
              <w:rPr>
                <w:rFonts w:eastAsia="Batang"/>
              </w:rPr>
            </w:pPr>
            <w:r>
              <w:rPr>
                <w:rFonts w:eastAsia="Batang"/>
              </w:rPr>
              <w:t>16</w:t>
            </w:r>
          </w:p>
        </w:tc>
        <w:tc>
          <w:tcPr>
            <w:tcW w:w="1350" w:type="dxa"/>
          </w:tcPr>
          <w:p w14:paraId="6CC24793" w14:textId="3C386E16" w:rsidR="005B56F0" w:rsidRPr="00A20A0E" w:rsidRDefault="005B56F0" w:rsidP="00856E68">
            <w:pPr>
              <w:pStyle w:val="TAC"/>
              <w:rPr>
                <w:rFonts w:eastAsia="Batang"/>
              </w:rPr>
            </w:pPr>
            <w:r>
              <w:rPr>
                <w:rFonts w:eastAsia="Batang"/>
              </w:rPr>
              <w:t>9</w:t>
            </w:r>
          </w:p>
        </w:tc>
        <w:tc>
          <w:tcPr>
            <w:tcW w:w="1266" w:type="dxa"/>
          </w:tcPr>
          <w:p w14:paraId="1841009F" w14:textId="0BD6352A" w:rsidR="005B56F0" w:rsidRPr="00A20A0E" w:rsidRDefault="005B56F0" w:rsidP="00856E68">
            <w:pPr>
              <w:pStyle w:val="TAC"/>
              <w:rPr>
                <w:rFonts w:eastAsia="Batang"/>
              </w:rPr>
            </w:pPr>
            <w:r>
              <w:rPr>
                <w:rFonts w:eastAsia="Batang"/>
              </w:rPr>
              <w:t>8</w:t>
            </w:r>
          </w:p>
        </w:tc>
      </w:tr>
      <w:tr w:rsidR="004908C2" w14:paraId="2B6815A5" w14:textId="687741EC" w:rsidTr="004908C2">
        <w:trPr>
          <w:jc w:val="center"/>
        </w:trPr>
        <w:tc>
          <w:tcPr>
            <w:tcW w:w="1548" w:type="dxa"/>
            <w:shd w:val="clear" w:color="auto" w:fill="auto"/>
          </w:tcPr>
          <w:p w14:paraId="697DF057" w14:textId="77777777" w:rsidR="005B56F0" w:rsidRPr="00A20A0E" w:rsidRDefault="005B56F0" w:rsidP="00856E68">
            <w:pPr>
              <w:pStyle w:val="TAC"/>
              <w:rPr>
                <w:rFonts w:eastAsia="Batang"/>
              </w:rPr>
            </w:pPr>
            <w:r w:rsidRPr="00A20A0E">
              <w:rPr>
                <w:rFonts w:eastAsia="Batang"/>
              </w:rPr>
              <w:t>3</w:t>
            </w:r>
          </w:p>
        </w:tc>
        <w:tc>
          <w:tcPr>
            <w:tcW w:w="1417" w:type="dxa"/>
            <w:shd w:val="clear" w:color="auto" w:fill="auto"/>
          </w:tcPr>
          <w:p w14:paraId="1F7A219C" w14:textId="77777777" w:rsidR="005B56F0" w:rsidRPr="00A20A0E" w:rsidRDefault="005B56F0" w:rsidP="00856E68">
            <w:pPr>
              <w:pStyle w:val="TAC"/>
              <w:rPr>
                <w:rFonts w:eastAsia="Batang"/>
              </w:rPr>
            </w:pPr>
            <w:r w:rsidRPr="00A20A0E">
              <w:rPr>
                <w:rFonts w:eastAsia="Batang"/>
              </w:rPr>
              <w:t>6</w:t>
            </w:r>
          </w:p>
        </w:tc>
        <w:tc>
          <w:tcPr>
            <w:tcW w:w="1530" w:type="dxa"/>
          </w:tcPr>
          <w:p w14:paraId="1EE21B73" w14:textId="33BDD769" w:rsidR="005B56F0" w:rsidRPr="00A20A0E" w:rsidRDefault="005B56F0" w:rsidP="00856E68">
            <w:pPr>
              <w:pStyle w:val="TAC"/>
              <w:rPr>
                <w:rFonts w:eastAsia="Batang"/>
              </w:rPr>
            </w:pPr>
            <w:r>
              <w:rPr>
                <w:rFonts w:eastAsia="Batang"/>
              </w:rPr>
              <w:t>23</w:t>
            </w:r>
          </w:p>
        </w:tc>
        <w:tc>
          <w:tcPr>
            <w:tcW w:w="1170" w:type="dxa"/>
          </w:tcPr>
          <w:p w14:paraId="2C08CCE5" w14:textId="14FDA0BA" w:rsidR="005B56F0" w:rsidRPr="00A20A0E" w:rsidRDefault="005B56F0" w:rsidP="00856E68">
            <w:pPr>
              <w:pStyle w:val="TAC"/>
              <w:rPr>
                <w:rFonts w:eastAsia="Batang"/>
              </w:rPr>
            </w:pPr>
            <w:r>
              <w:rPr>
                <w:rFonts w:eastAsia="Batang"/>
              </w:rPr>
              <w:t>3</w:t>
            </w:r>
          </w:p>
        </w:tc>
        <w:tc>
          <w:tcPr>
            <w:tcW w:w="1350" w:type="dxa"/>
          </w:tcPr>
          <w:p w14:paraId="247988C0" w14:textId="2A4ED973" w:rsidR="005B56F0" w:rsidRPr="00A20A0E" w:rsidRDefault="00C602DB" w:rsidP="00856E68">
            <w:pPr>
              <w:pStyle w:val="TAC"/>
              <w:rPr>
                <w:rFonts w:eastAsia="Batang"/>
              </w:rPr>
            </w:pPr>
            <w:r>
              <w:rPr>
                <w:rFonts w:eastAsia="Batang"/>
              </w:rPr>
              <w:t>24</w:t>
            </w:r>
          </w:p>
        </w:tc>
        <w:tc>
          <w:tcPr>
            <w:tcW w:w="1350" w:type="dxa"/>
          </w:tcPr>
          <w:p w14:paraId="13C5E814" w14:textId="0356327D" w:rsidR="005B56F0" w:rsidRPr="00A20A0E" w:rsidRDefault="00C602DB" w:rsidP="00856E68">
            <w:pPr>
              <w:pStyle w:val="TAC"/>
              <w:rPr>
                <w:rFonts w:eastAsia="Batang"/>
              </w:rPr>
            </w:pPr>
            <w:r>
              <w:rPr>
                <w:rFonts w:eastAsia="Batang"/>
              </w:rPr>
              <w:t>5</w:t>
            </w:r>
          </w:p>
        </w:tc>
        <w:tc>
          <w:tcPr>
            <w:tcW w:w="1266" w:type="dxa"/>
          </w:tcPr>
          <w:p w14:paraId="4228EFD9" w14:textId="3860CA00" w:rsidR="005B56F0" w:rsidRPr="00A20A0E" w:rsidRDefault="00C602DB" w:rsidP="00856E68">
            <w:pPr>
              <w:pStyle w:val="TAC"/>
              <w:rPr>
                <w:rFonts w:eastAsia="Batang"/>
              </w:rPr>
            </w:pPr>
            <w:r>
              <w:rPr>
                <w:rFonts w:eastAsia="Batang"/>
              </w:rPr>
              <w:t>11</w:t>
            </w:r>
          </w:p>
        </w:tc>
      </w:tr>
      <w:tr w:rsidR="004908C2" w14:paraId="2CD00D83" w14:textId="50B74447" w:rsidTr="004908C2">
        <w:trPr>
          <w:jc w:val="center"/>
        </w:trPr>
        <w:tc>
          <w:tcPr>
            <w:tcW w:w="1548" w:type="dxa"/>
            <w:shd w:val="clear" w:color="auto" w:fill="auto"/>
          </w:tcPr>
          <w:p w14:paraId="531328B7" w14:textId="77777777" w:rsidR="005B56F0" w:rsidRPr="00A20A0E" w:rsidRDefault="005B56F0" w:rsidP="00856E68">
            <w:pPr>
              <w:pStyle w:val="TAC"/>
              <w:rPr>
                <w:rFonts w:eastAsia="Batang"/>
              </w:rPr>
            </w:pPr>
            <w:r w:rsidRPr="00A20A0E">
              <w:rPr>
                <w:rFonts w:eastAsia="Batang"/>
              </w:rPr>
              <w:t>4</w:t>
            </w:r>
          </w:p>
        </w:tc>
        <w:tc>
          <w:tcPr>
            <w:tcW w:w="1417" w:type="dxa"/>
            <w:shd w:val="clear" w:color="auto" w:fill="auto"/>
          </w:tcPr>
          <w:p w14:paraId="210DE327" w14:textId="77777777" w:rsidR="005B56F0" w:rsidRPr="00A20A0E" w:rsidRDefault="005B56F0" w:rsidP="00856E68">
            <w:pPr>
              <w:pStyle w:val="TAC"/>
              <w:rPr>
                <w:rFonts w:eastAsia="Batang"/>
              </w:rPr>
            </w:pPr>
            <w:r w:rsidRPr="00A20A0E">
              <w:rPr>
                <w:rFonts w:eastAsia="Batang"/>
              </w:rPr>
              <w:t>8</w:t>
            </w:r>
          </w:p>
        </w:tc>
        <w:tc>
          <w:tcPr>
            <w:tcW w:w="1530" w:type="dxa"/>
          </w:tcPr>
          <w:p w14:paraId="10966299" w14:textId="1B02CC76" w:rsidR="005B56F0" w:rsidRPr="00A20A0E" w:rsidRDefault="005B56F0" w:rsidP="00856E68">
            <w:pPr>
              <w:pStyle w:val="TAC"/>
              <w:rPr>
                <w:rFonts w:eastAsia="Batang"/>
              </w:rPr>
            </w:pPr>
            <w:r>
              <w:rPr>
                <w:rFonts w:eastAsia="Batang"/>
              </w:rPr>
              <w:t>17</w:t>
            </w:r>
          </w:p>
        </w:tc>
        <w:tc>
          <w:tcPr>
            <w:tcW w:w="1170" w:type="dxa"/>
          </w:tcPr>
          <w:p w14:paraId="613CCCE0" w14:textId="556A9485" w:rsidR="005B56F0" w:rsidRPr="00A20A0E" w:rsidRDefault="005B56F0" w:rsidP="00856E68">
            <w:pPr>
              <w:pStyle w:val="TAC"/>
              <w:rPr>
                <w:rFonts w:eastAsia="Batang"/>
              </w:rPr>
            </w:pPr>
            <w:r>
              <w:rPr>
                <w:rFonts w:eastAsia="Batang"/>
              </w:rPr>
              <w:t>4</w:t>
            </w:r>
          </w:p>
        </w:tc>
        <w:tc>
          <w:tcPr>
            <w:tcW w:w="1350" w:type="dxa"/>
          </w:tcPr>
          <w:p w14:paraId="63E13D2E" w14:textId="3F8D153F" w:rsidR="005B56F0" w:rsidRPr="00A20A0E" w:rsidRDefault="00C602DB" w:rsidP="00856E68">
            <w:pPr>
              <w:pStyle w:val="TAC"/>
              <w:rPr>
                <w:rFonts w:eastAsia="Batang"/>
              </w:rPr>
            </w:pPr>
            <w:r>
              <w:rPr>
                <w:rFonts w:eastAsia="Batang"/>
              </w:rPr>
              <w:t>32</w:t>
            </w:r>
          </w:p>
        </w:tc>
        <w:tc>
          <w:tcPr>
            <w:tcW w:w="1350" w:type="dxa"/>
          </w:tcPr>
          <w:p w14:paraId="2D0A618E" w14:textId="1CDBA95F" w:rsidR="005B56F0" w:rsidRPr="00A20A0E" w:rsidRDefault="00C602DB" w:rsidP="00856E68">
            <w:pPr>
              <w:pStyle w:val="TAC"/>
              <w:rPr>
                <w:rFonts w:eastAsia="Batang"/>
              </w:rPr>
            </w:pPr>
            <w:r>
              <w:rPr>
                <w:rFonts w:eastAsia="Batang"/>
              </w:rPr>
              <w:t>4</w:t>
            </w:r>
          </w:p>
        </w:tc>
        <w:tc>
          <w:tcPr>
            <w:tcW w:w="1266" w:type="dxa"/>
          </w:tcPr>
          <w:p w14:paraId="21C33A07" w14:textId="46A45EF0" w:rsidR="005B56F0" w:rsidRPr="00A20A0E" w:rsidRDefault="00C602DB" w:rsidP="00856E68">
            <w:pPr>
              <w:pStyle w:val="TAC"/>
              <w:rPr>
                <w:rFonts w:eastAsia="Batang"/>
              </w:rPr>
            </w:pPr>
            <w:r>
              <w:rPr>
                <w:rFonts w:eastAsia="Batang"/>
              </w:rPr>
              <w:t>16</w:t>
            </w:r>
          </w:p>
        </w:tc>
      </w:tr>
      <w:tr w:rsidR="004908C2" w14:paraId="00869E3A" w14:textId="6FACDA79" w:rsidTr="004908C2">
        <w:trPr>
          <w:jc w:val="center"/>
        </w:trPr>
        <w:tc>
          <w:tcPr>
            <w:tcW w:w="1548" w:type="dxa"/>
            <w:shd w:val="clear" w:color="auto" w:fill="auto"/>
          </w:tcPr>
          <w:p w14:paraId="44A312DC" w14:textId="77777777" w:rsidR="005B56F0" w:rsidRPr="00A20A0E" w:rsidRDefault="005B56F0" w:rsidP="00856E68">
            <w:pPr>
              <w:pStyle w:val="TAC"/>
              <w:rPr>
                <w:rFonts w:eastAsia="Batang"/>
              </w:rPr>
            </w:pPr>
            <w:r w:rsidRPr="00A20A0E">
              <w:rPr>
                <w:rFonts w:eastAsia="Batang"/>
              </w:rPr>
              <w:t>5</w:t>
            </w:r>
          </w:p>
        </w:tc>
        <w:tc>
          <w:tcPr>
            <w:tcW w:w="1417" w:type="dxa"/>
            <w:shd w:val="clear" w:color="auto" w:fill="auto"/>
          </w:tcPr>
          <w:p w14:paraId="3F176B92" w14:textId="77777777" w:rsidR="005B56F0" w:rsidRPr="00A20A0E" w:rsidRDefault="005B56F0" w:rsidP="00856E68">
            <w:pPr>
              <w:pStyle w:val="TAC"/>
              <w:rPr>
                <w:rFonts w:eastAsia="Batang"/>
              </w:rPr>
            </w:pPr>
            <w:r w:rsidRPr="00A20A0E">
              <w:rPr>
                <w:rFonts w:eastAsia="Batang"/>
              </w:rPr>
              <w:t>10</w:t>
            </w:r>
          </w:p>
        </w:tc>
        <w:tc>
          <w:tcPr>
            <w:tcW w:w="1530" w:type="dxa"/>
          </w:tcPr>
          <w:p w14:paraId="3DE1BF9D" w14:textId="02CB279C" w:rsidR="005B56F0" w:rsidRPr="00A20A0E" w:rsidRDefault="005B56F0" w:rsidP="00856E68">
            <w:pPr>
              <w:pStyle w:val="TAC"/>
              <w:rPr>
                <w:rFonts w:eastAsia="Batang"/>
              </w:rPr>
            </w:pPr>
            <w:r>
              <w:rPr>
                <w:rFonts w:eastAsia="Batang"/>
              </w:rPr>
              <w:t>13</w:t>
            </w:r>
          </w:p>
        </w:tc>
        <w:tc>
          <w:tcPr>
            <w:tcW w:w="1170" w:type="dxa"/>
          </w:tcPr>
          <w:p w14:paraId="57AE4DFA" w14:textId="46BB2F6A" w:rsidR="005B56F0" w:rsidRPr="00A20A0E" w:rsidRDefault="005B56F0" w:rsidP="00856E68">
            <w:pPr>
              <w:pStyle w:val="TAC"/>
              <w:rPr>
                <w:rFonts w:eastAsia="Batang"/>
              </w:rPr>
            </w:pPr>
            <w:r>
              <w:rPr>
                <w:rFonts w:eastAsia="Batang"/>
              </w:rPr>
              <w:t>5</w:t>
            </w:r>
          </w:p>
        </w:tc>
        <w:tc>
          <w:tcPr>
            <w:tcW w:w="1350" w:type="dxa"/>
          </w:tcPr>
          <w:p w14:paraId="478C317C" w14:textId="790E610D" w:rsidR="005B56F0" w:rsidRPr="00A20A0E" w:rsidRDefault="00C602DB" w:rsidP="00856E68">
            <w:pPr>
              <w:pStyle w:val="TAC"/>
              <w:rPr>
                <w:rFonts w:eastAsia="Batang"/>
              </w:rPr>
            </w:pPr>
            <w:r>
              <w:rPr>
                <w:rFonts w:eastAsia="Batang"/>
              </w:rPr>
              <w:t>40</w:t>
            </w:r>
          </w:p>
        </w:tc>
        <w:tc>
          <w:tcPr>
            <w:tcW w:w="1350" w:type="dxa"/>
          </w:tcPr>
          <w:p w14:paraId="688A6E32" w14:textId="31FD71B0" w:rsidR="005B56F0" w:rsidRPr="00A20A0E" w:rsidRDefault="00C602DB" w:rsidP="00856E68">
            <w:pPr>
              <w:pStyle w:val="TAC"/>
              <w:rPr>
                <w:rFonts w:eastAsia="Batang"/>
              </w:rPr>
            </w:pPr>
            <w:r>
              <w:rPr>
                <w:rFonts w:eastAsia="Batang"/>
              </w:rPr>
              <w:t>3</w:t>
            </w:r>
          </w:p>
        </w:tc>
        <w:tc>
          <w:tcPr>
            <w:tcW w:w="1266" w:type="dxa"/>
          </w:tcPr>
          <w:p w14:paraId="55463B48" w14:textId="2F6B8063" w:rsidR="005B56F0" w:rsidRPr="00A20A0E" w:rsidRDefault="00C602DB" w:rsidP="00856E68">
            <w:pPr>
              <w:pStyle w:val="TAC"/>
              <w:rPr>
                <w:rFonts w:eastAsia="Batang"/>
              </w:rPr>
            </w:pPr>
            <w:r>
              <w:rPr>
                <w:rFonts w:eastAsia="Batang"/>
              </w:rPr>
              <w:t>22</w:t>
            </w:r>
          </w:p>
        </w:tc>
      </w:tr>
      <w:tr w:rsidR="004908C2" w14:paraId="20C33C39" w14:textId="63664EF9" w:rsidTr="004908C2">
        <w:trPr>
          <w:jc w:val="center"/>
        </w:trPr>
        <w:tc>
          <w:tcPr>
            <w:tcW w:w="1548" w:type="dxa"/>
            <w:shd w:val="clear" w:color="auto" w:fill="auto"/>
          </w:tcPr>
          <w:p w14:paraId="4770D6E9" w14:textId="77777777" w:rsidR="005B56F0" w:rsidRPr="00A20A0E" w:rsidRDefault="005B56F0" w:rsidP="00856E68">
            <w:pPr>
              <w:pStyle w:val="TAC"/>
              <w:rPr>
                <w:rFonts w:eastAsia="Batang"/>
              </w:rPr>
            </w:pPr>
            <w:r w:rsidRPr="00A20A0E">
              <w:rPr>
                <w:rFonts w:eastAsia="Batang"/>
              </w:rPr>
              <w:t>6</w:t>
            </w:r>
          </w:p>
        </w:tc>
        <w:tc>
          <w:tcPr>
            <w:tcW w:w="1417" w:type="dxa"/>
            <w:shd w:val="clear" w:color="auto" w:fill="auto"/>
          </w:tcPr>
          <w:p w14:paraId="4EF17931" w14:textId="77777777" w:rsidR="005B56F0" w:rsidRPr="00A20A0E" w:rsidRDefault="005B56F0" w:rsidP="00856E68">
            <w:pPr>
              <w:pStyle w:val="TAC"/>
              <w:rPr>
                <w:rFonts w:eastAsia="Batang"/>
              </w:rPr>
            </w:pPr>
            <w:r w:rsidRPr="00A20A0E">
              <w:rPr>
                <w:rFonts w:eastAsia="Batang"/>
              </w:rPr>
              <w:t>12</w:t>
            </w:r>
          </w:p>
        </w:tc>
        <w:tc>
          <w:tcPr>
            <w:tcW w:w="1530" w:type="dxa"/>
          </w:tcPr>
          <w:p w14:paraId="0C5BC2C7" w14:textId="020F69AD" w:rsidR="005B56F0" w:rsidRPr="00A20A0E" w:rsidRDefault="005B56F0" w:rsidP="00856E68">
            <w:pPr>
              <w:pStyle w:val="TAC"/>
              <w:rPr>
                <w:rFonts w:eastAsia="Batang"/>
              </w:rPr>
            </w:pPr>
            <w:r>
              <w:rPr>
                <w:rFonts w:eastAsia="Batang"/>
              </w:rPr>
              <w:t>11</w:t>
            </w:r>
          </w:p>
        </w:tc>
        <w:tc>
          <w:tcPr>
            <w:tcW w:w="1170" w:type="dxa"/>
          </w:tcPr>
          <w:p w14:paraId="79062BF0" w14:textId="2455D50F" w:rsidR="005B56F0" w:rsidRPr="00A20A0E" w:rsidRDefault="005B56F0" w:rsidP="00856E68">
            <w:pPr>
              <w:pStyle w:val="TAC"/>
              <w:rPr>
                <w:rFonts w:eastAsia="Batang"/>
              </w:rPr>
            </w:pPr>
            <w:r>
              <w:rPr>
                <w:rFonts w:eastAsia="Batang"/>
              </w:rPr>
              <w:t>6</w:t>
            </w:r>
          </w:p>
        </w:tc>
        <w:tc>
          <w:tcPr>
            <w:tcW w:w="1350" w:type="dxa"/>
          </w:tcPr>
          <w:p w14:paraId="7B4510D1" w14:textId="302C6BF3" w:rsidR="005B56F0" w:rsidRPr="00A20A0E" w:rsidRDefault="00C602DB" w:rsidP="00856E68">
            <w:pPr>
              <w:pStyle w:val="TAC"/>
              <w:rPr>
                <w:rFonts w:eastAsia="Batang"/>
              </w:rPr>
            </w:pPr>
            <w:r>
              <w:rPr>
                <w:rFonts w:eastAsia="Batang"/>
              </w:rPr>
              <w:t>48</w:t>
            </w:r>
          </w:p>
        </w:tc>
        <w:tc>
          <w:tcPr>
            <w:tcW w:w="1350" w:type="dxa"/>
          </w:tcPr>
          <w:p w14:paraId="6E1C859E" w14:textId="62FF2E0C" w:rsidR="005B56F0" w:rsidRPr="00A20A0E" w:rsidRDefault="00C602DB" w:rsidP="00856E68">
            <w:pPr>
              <w:pStyle w:val="TAC"/>
              <w:rPr>
                <w:rFonts w:eastAsia="Batang"/>
              </w:rPr>
            </w:pPr>
            <w:r>
              <w:rPr>
                <w:rFonts w:eastAsia="Batang"/>
              </w:rPr>
              <w:t>2</w:t>
            </w:r>
          </w:p>
        </w:tc>
        <w:tc>
          <w:tcPr>
            <w:tcW w:w="1266" w:type="dxa"/>
          </w:tcPr>
          <w:p w14:paraId="66F09BDE" w14:textId="2572ADAC" w:rsidR="005B56F0" w:rsidRPr="00A20A0E" w:rsidRDefault="00C602DB" w:rsidP="00856E68">
            <w:pPr>
              <w:pStyle w:val="TAC"/>
              <w:rPr>
                <w:rFonts w:eastAsia="Batang"/>
              </w:rPr>
            </w:pPr>
            <w:r>
              <w:rPr>
                <w:rFonts w:eastAsia="Batang"/>
              </w:rPr>
              <w:t>32</w:t>
            </w:r>
          </w:p>
        </w:tc>
      </w:tr>
      <w:tr w:rsidR="004908C2" w14:paraId="2F335747" w14:textId="497267B4" w:rsidTr="004908C2">
        <w:trPr>
          <w:jc w:val="center"/>
        </w:trPr>
        <w:tc>
          <w:tcPr>
            <w:tcW w:w="1548" w:type="dxa"/>
            <w:shd w:val="clear" w:color="auto" w:fill="auto"/>
          </w:tcPr>
          <w:p w14:paraId="7CEA0E00" w14:textId="77777777" w:rsidR="005B56F0" w:rsidRPr="00A20A0E" w:rsidRDefault="005B56F0" w:rsidP="00856E68">
            <w:pPr>
              <w:pStyle w:val="TAC"/>
              <w:rPr>
                <w:rFonts w:eastAsia="Batang"/>
              </w:rPr>
            </w:pPr>
            <w:r w:rsidRPr="00A20A0E">
              <w:rPr>
                <w:rFonts w:eastAsia="Batang"/>
              </w:rPr>
              <w:t>7</w:t>
            </w:r>
          </w:p>
        </w:tc>
        <w:tc>
          <w:tcPr>
            <w:tcW w:w="1417" w:type="dxa"/>
            <w:shd w:val="clear" w:color="auto" w:fill="auto"/>
          </w:tcPr>
          <w:p w14:paraId="3A281827" w14:textId="77777777" w:rsidR="005B56F0" w:rsidRPr="00A20A0E" w:rsidRDefault="005B56F0" w:rsidP="00856E68">
            <w:pPr>
              <w:pStyle w:val="TAC"/>
              <w:rPr>
                <w:rFonts w:eastAsia="Batang"/>
              </w:rPr>
            </w:pPr>
            <w:r w:rsidRPr="00A20A0E">
              <w:rPr>
                <w:rFonts w:eastAsia="Batang"/>
              </w:rPr>
              <w:t>13</w:t>
            </w:r>
          </w:p>
        </w:tc>
        <w:tc>
          <w:tcPr>
            <w:tcW w:w="1530" w:type="dxa"/>
          </w:tcPr>
          <w:p w14:paraId="7D991D9E" w14:textId="7D8AB615" w:rsidR="005B56F0" w:rsidRPr="00A20A0E" w:rsidRDefault="005B56F0" w:rsidP="00856E68">
            <w:pPr>
              <w:pStyle w:val="TAC"/>
              <w:rPr>
                <w:rFonts w:eastAsia="Batang"/>
              </w:rPr>
            </w:pPr>
            <w:r>
              <w:rPr>
                <w:rFonts w:eastAsia="Batang"/>
              </w:rPr>
              <w:t>10</w:t>
            </w:r>
          </w:p>
        </w:tc>
        <w:tc>
          <w:tcPr>
            <w:tcW w:w="1170" w:type="dxa"/>
          </w:tcPr>
          <w:p w14:paraId="6F958548" w14:textId="4D783119" w:rsidR="005B56F0" w:rsidRPr="00A20A0E" w:rsidRDefault="005B56F0" w:rsidP="00856E68">
            <w:pPr>
              <w:pStyle w:val="TAC"/>
              <w:rPr>
                <w:rFonts w:eastAsia="Batang"/>
              </w:rPr>
            </w:pPr>
            <w:r>
              <w:rPr>
                <w:rFonts w:eastAsia="Batang"/>
              </w:rPr>
              <w:t>7</w:t>
            </w:r>
          </w:p>
        </w:tc>
        <w:tc>
          <w:tcPr>
            <w:tcW w:w="1350" w:type="dxa"/>
          </w:tcPr>
          <w:p w14:paraId="112C5245" w14:textId="3D7B3841" w:rsidR="005B56F0" w:rsidRPr="00A20A0E" w:rsidRDefault="00C602DB" w:rsidP="00856E68">
            <w:pPr>
              <w:pStyle w:val="TAC"/>
              <w:rPr>
                <w:rFonts w:eastAsia="Batang"/>
              </w:rPr>
            </w:pPr>
            <w:r>
              <w:rPr>
                <w:rFonts w:eastAsia="Batang"/>
              </w:rPr>
              <w:t>52</w:t>
            </w:r>
          </w:p>
        </w:tc>
        <w:tc>
          <w:tcPr>
            <w:tcW w:w="1350" w:type="dxa"/>
          </w:tcPr>
          <w:p w14:paraId="6D6C76CD" w14:textId="72967CA4" w:rsidR="005B56F0" w:rsidRPr="00A20A0E" w:rsidRDefault="00C602DB" w:rsidP="00856E68">
            <w:pPr>
              <w:pStyle w:val="TAC"/>
              <w:rPr>
                <w:rFonts w:eastAsia="Batang"/>
              </w:rPr>
            </w:pPr>
            <w:r>
              <w:rPr>
                <w:rFonts w:eastAsia="Batang"/>
              </w:rPr>
              <w:t>2</w:t>
            </w:r>
          </w:p>
        </w:tc>
        <w:tc>
          <w:tcPr>
            <w:tcW w:w="1266" w:type="dxa"/>
          </w:tcPr>
          <w:p w14:paraId="45013889" w14:textId="51EFF885" w:rsidR="005B56F0" w:rsidRPr="00A20A0E" w:rsidRDefault="00C602DB" w:rsidP="00856E68">
            <w:pPr>
              <w:pStyle w:val="TAC"/>
              <w:rPr>
                <w:rFonts w:eastAsia="Batang"/>
              </w:rPr>
            </w:pPr>
            <w:r>
              <w:rPr>
                <w:rFonts w:eastAsia="Batang"/>
              </w:rPr>
              <w:t>32</w:t>
            </w:r>
          </w:p>
        </w:tc>
      </w:tr>
      <w:tr w:rsidR="004908C2" w14:paraId="2C1F8AF3" w14:textId="3BCABB58" w:rsidTr="004908C2">
        <w:trPr>
          <w:jc w:val="center"/>
        </w:trPr>
        <w:tc>
          <w:tcPr>
            <w:tcW w:w="1548" w:type="dxa"/>
            <w:shd w:val="clear" w:color="auto" w:fill="auto"/>
          </w:tcPr>
          <w:p w14:paraId="5FA800BA" w14:textId="77777777" w:rsidR="005B56F0" w:rsidRPr="00A20A0E" w:rsidRDefault="005B56F0" w:rsidP="00856E68">
            <w:pPr>
              <w:pStyle w:val="TAC"/>
              <w:rPr>
                <w:rFonts w:eastAsia="Batang"/>
              </w:rPr>
            </w:pPr>
            <w:r w:rsidRPr="00A20A0E">
              <w:rPr>
                <w:rFonts w:eastAsia="Batang"/>
              </w:rPr>
              <w:t>8</w:t>
            </w:r>
          </w:p>
        </w:tc>
        <w:tc>
          <w:tcPr>
            <w:tcW w:w="1417" w:type="dxa"/>
            <w:shd w:val="clear" w:color="auto" w:fill="auto"/>
          </w:tcPr>
          <w:p w14:paraId="4B30D9C7" w14:textId="77777777" w:rsidR="005B56F0" w:rsidRPr="00A20A0E" w:rsidRDefault="005B56F0" w:rsidP="00856E68">
            <w:pPr>
              <w:pStyle w:val="TAC"/>
              <w:rPr>
                <w:rFonts w:eastAsia="Batang"/>
              </w:rPr>
            </w:pPr>
            <w:r w:rsidRPr="00A20A0E">
              <w:rPr>
                <w:rFonts w:eastAsia="Batang"/>
              </w:rPr>
              <w:t>15</w:t>
            </w:r>
          </w:p>
        </w:tc>
        <w:tc>
          <w:tcPr>
            <w:tcW w:w="1530" w:type="dxa"/>
          </w:tcPr>
          <w:p w14:paraId="4CA58E95" w14:textId="17007476" w:rsidR="005B56F0" w:rsidRPr="00A20A0E" w:rsidRDefault="005B56F0" w:rsidP="00856E68">
            <w:pPr>
              <w:pStyle w:val="TAC"/>
              <w:rPr>
                <w:rFonts w:eastAsia="Batang"/>
              </w:rPr>
            </w:pPr>
            <w:r>
              <w:rPr>
                <w:rFonts w:eastAsia="Batang"/>
              </w:rPr>
              <w:t>9</w:t>
            </w:r>
          </w:p>
        </w:tc>
        <w:tc>
          <w:tcPr>
            <w:tcW w:w="1170" w:type="dxa"/>
          </w:tcPr>
          <w:p w14:paraId="1F615258" w14:textId="07808752" w:rsidR="005B56F0" w:rsidRPr="00A20A0E" w:rsidRDefault="005B56F0" w:rsidP="00856E68">
            <w:pPr>
              <w:pStyle w:val="TAC"/>
              <w:rPr>
                <w:rFonts w:eastAsia="Batang"/>
              </w:rPr>
            </w:pPr>
            <w:r>
              <w:rPr>
                <w:rFonts w:eastAsia="Batang"/>
              </w:rPr>
              <w:t>8</w:t>
            </w:r>
          </w:p>
        </w:tc>
        <w:tc>
          <w:tcPr>
            <w:tcW w:w="1350" w:type="dxa"/>
          </w:tcPr>
          <w:p w14:paraId="0C42F012" w14:textId="51F0F107" w:rsidR="005B56F0" w:rsidRPr="00A20A0E" w:rsidRDefault="00C602DB" w:rsidP="00856E68">
            <w:pPr>
              <w:pStyle w:val="TAC"/>
              <w:rPr>
                <w:rFonts w:eastAsia="Batang"/>
              </w:rPr>
            </w:pPr>
            <w:r>
              <w:rPr>
                <w:rFonts w:eastAsia="Batang"/>
              </w:rPr>
              <w:t>60</w:t>
            </w:r>
          </w:p>
        </w:tc>
        <w:tc>
          <w:tcPr>
            <w:tcW w:w="1350" w:type="dxa"/>
          </w:tcPr>
          <w:p w14:paraId="4141E462" w14:textId="12388A34" w:rsidR="005B56F0" w:rsidRPr="00A20A0E" w:rsidRDefault="00C602DB" w:rsidP="00856E68">
            <w:pPr>
              <w:pStyle w:val="TAC"/>
              <w:rPr>
                <w:rFonts w:eastAsia="Batang"/>
              </w:rPr>
            </w:pPr>
            <w:r>
              <w:rPr>
                <w:rFonts w:eastAsia="Batang"/>
              </w:rPr>
              <w:t>2</w:t>
            </w:r>
          </w:p>
        </w:tc>
        <w:tc>
          <w:tcPr>
            <w:tcW w:w="1266" w:type="dxa"/>
          </w:tcPr>
          <w:p w14:paraId="6B81E9D2" w14:textId="5E634B37" w:rsidR="005B56F0" w:rsidRPr="00A20A0E" w:rsidRDefault="00C602DB" w:rsidP="00856E68">
            <w:pPr>
              <w:pStyle w:val="TAC"/>
              <w:rPr>
                <w:rFonts w:eastAsia="Batang"/>
              </w:rPr>
            </w:pPr>
            <w:r>
              <w:rPr>
                <w:rFonts w:eastAsia="Batang"/>
              </w:rPr>
              <w:t>32</w:t>
            </w:r>
          </w:p>
        </w:tc>
      </w:tr>
      <w:tr w:rsidR="004908C2" w14:paraId="06C05BD5" w14:textId="2D1CE6E8" w:rsidTr="004908C2">
        <w:trPr>
          <w:jc w:val="center"/>
        </w:trPr>
        <w:tc>
          <w:tcPr>
            <w:tcW w:w="1548" w:type="dxa"/>
            <w:shd w:val="clear" w:color="auto" w:fill="auto"/>
          </w:tcPr>
          <w:p w14:paraId="51225615" w14:textId="77777777" w:rsidR="005B56F0" w:rsidRPr="00A20A0E" w:rsidRDefault="005B56F0" w:rsidP="00856E68">
            <w:pPr>
              <w:pStyle w:val="TAC"/>
              <w:rPr>
                <w:rFonts w:eastAsia="Batang"/>
              </w:rPr>
            </w:pPr>
            <w:r w:rsidRPr="00A20A0E">
              <w:rPr>
                <w:rFonts w:eastAsia="Batang"/>
              </w:rPr>
              <w:t>9</w:t>
            </w:r>
          </w:p>
        </w:tc>
        <w:tc>
          <w:tcPr>
            <w:tcW w:w="1417" w:type="dxa"/>
            <w:shd w:val="clear" w:color="auto" w:fill="auto"/>
          </w:tcPr>
          <w:p w14:paraId="2D4D3A3F" w14:textId="77777777" w:rsidR="005B56F0" w:rsidRPr="00A20A0E" w:rsidRDefault="005B56F0" w:rsidP="00856E68">
            <w:pPr>
              <w:pStyle w:val="TAC"/>
              <w:rPr>
                <w:rFonts w:eastAsia="Batang"/>
              </w:rPr>
            </w:pPr>
            <w:r w:rsidRPr="00A20A0E">
              <w:rPr>
                <w:rFonts w:eastAsia="Batang"/>
              </w:rPr>
              <w:t>17</w:t>
            </w:r>
          </w:p>
        </w:tc>
        <w:tc>
          <w:tcPr>
            <w:tcW w:w="1530" w:type="dxa"/>
          </w:tcPr>
          <w:p w14:paraId="07D77319" w14:textId="68D40DF5" w:rsidR="005B56F0" w:rsidRPr="00A20A0E" w:rsidRDefault="005B56F0" w:rsidP="00856E68">
            <w:pPr>
              <w:pStyle w:val="TAC"/>
              <w:rPr>
                <w:rFonts w:eastAsia="Batang"/>
              </w:rPr>
            </w:pPr>
            <w:r>
              <w:rPr>
                <w:rFonts w:eastAsia="Batang"/>
              </w:rPr>
              <w:t>8</w:t>
            </w:r>
          </w:p>
        </w:tc>
        <w:tc>
          <w:tcPr>
            <w:tcW w:w="1170" w:type="dxa"/>
          </w:tcPr>
          <w:p w14:paraId="3EE7F284" w14:textId="2A28608C" w:rsidR="005B56F0" w:rsidRPr="00A20A0E" w:rsidRDefault="005B56F0" w:rsidP="00856E68">
            <w:pPr>
              <w:pStyle w:val="TAC"/>
              <w:rPr>
                <w:rFonts w:eastAsia="Batang"/>
              </w:rPr>
            </w:pPr>
            <w:r>
              <w:rPr>
                <w:rFonts w:eastAsia="Batang"/>
              </w:rPr>
              <w:t>8</w:t>
            </w:r>
          </w:p>
        </w:tc>
        <w:tc>
          <w:tcPr>
            <w:tcW w:w="1350" w:type="dxa"/>
          </w:tcPr>
          <w:p w14:paraId="34D15B7C" w14:textId="0920C8DA" w:rsidR="005B56F0" w:rsidRPr="00A20A0E" w:rsidRDefault="00C602DB" w:rsidP="00856E68">
            <w:pPr>
              <w:pStyle w:val="TAC"/>
              <w:rPr>
                <w:rFonts w:eastAsia="Batang"/>
              </w:rPr>
            </w:pPr>
            <w:r>
              <w:rPr>
                <w:rFonts w:eastAsia="Batang"/>
              </w:rPr>
              <w:t>68</w:t>
            </w:r>
          </w:p>
        </w:tc>
        <w:tc>
          <w:tcPr>
            <w:tcW w:w="1350" w:type="dxa"/>
          </w:tcPr>
          <w:p w14:paraId="7D968352" w14:textId="1E1AB2A7" w:rsidR="005B56F0" w:rsidRPr="00A20A0E" w:rsidRDefault="00C602DB" w:rsidP="00856E68">
            <w:pPr>
              <w:pStyle w:val="TAC"/>
              <w:rPr>
                <w:rFonts w:eastAsia="Batang"/>
              </w:rPr>
            </w:pPr>
            <w:r>
              <w:rPr>
                <w:rFonts w:eastAsia="Batang"/>
              </w:rPr>
              <w:t>2</w:t>
            </w:r>
          </w:p>
        </w:tc>
        <w:tc>
          <w:tcPr>
            <w:tcW w:w="1266" w:type="dxa"/>
          </w:tcPr>
          <w:p w14:paraId="48D32A8C" w14:textId="741B765F" w:rsidR="005B56F0" w:rsidRPr="00A20A0E" w:rsidRDefault="00C602DB" w:rsidP="00856E68">
            <w:pPr>
              <w:pStyle w:val="TAC"/>
              <w:rPr>
                <w:rFonts w:eastAsia="Batang"/>
              </w:rPr>
            </w:pPr>
            <w:r>
              <w:rPr>
                <w:rFonts w:eastAsia="Batang"/>
              </w:rPr>
              <w:t>32</w:t>
            </w:r>
          </w:p>
        </w:tc>
      </w:tr>
      <w:tr w:rsidR="004908C2" w14:paraId="3E1A98CD" w14:textId="490FBBF3" w:rsidTr="004908C2">
        <w:trPr>
          <w:jc w:val="center"/>
        </w:trPr>
        <w:tc>
          <w:tcPr>
            <w:tcW w:w="1548" w:type="dxa"/>
            <w:shd w:val="clear" w:color="auto" w:fill="auto"/>
          </w:tcPr>
          <w:p w14:paraId="1C8F9ECC" w14:textId="77777777" w:rsidR="005B56F0" w:rsidRPr="00A20A0E" w:rsidRDefault="005B56F0" w:rsidP="00856E68">
            <w:pPr>
              <w:pStyle w:val="TAC"/>
              <w:rPr>
                <w:rFonts w:eastAsia="Batang"/>
              </w:rPr>
            </w:pPr>
            <w:r w:rsidRPr="00A20A0E">
              <w:rPr>
                <w:rFonts w:eastAsia="Batang"/>
              </w:rPr>
              <w:t>10</w:t>
            </w:r>
          </w:p>
        </w:tc>
        <w:tc>
          <w:tcPr>
            <w:tcW w:w="1417" w:type="dxa"/>
            <w:shd w:val="clear" w:color="auto" w:fill="auto"/>
          </w:tcPr>
          <w:p w14:paraId="4CCBB639" w14:textId="77777777" w:rsidR="005B56F0" w:rsidRPr="00A20A0E" w:rsidRDefault="005B56F0" w:rsidP="00856E68">
            <w:pPr>
              <w:pStyle w:val="TAC"/>
              <w:rPr>
                <w:rFonts w:eastAsia="Batang"/>
              </w:rPr>
            </w:pPr>
            <w:r w:rsidRPr="00A20A0E">
              <w:rPr>
                <w:rFonts w:eastAsia="Batang"/>
              </w:rPr>
              <w:t>19</w:t>
            </w:r>
          </w:p>
        </w:tc>
        <w:tc>
          <w:tcPr>
            <w:tcW w:w="1530" w:type="dxa"/>
          </w:tcPr>
          <w:p w14:paraId="2C0AF15E" w14:textId="6A0CADF4" w:rsidR="005B56F0" w:rsidRPr="00A20A0E" w:rsidRDefault="005B56F0" w:rsidP="00856E68">
            <w:pPr>
              <w:pStyle w:val="TAC"/>
              <w:rPr>
                <w:rFonts w:eastAsia="Batang"/>
              </w:rPr>
            </w:pPr>
            <w:r>
              <w:rPr>
                <w:rFonts w:eastAsia="Batang"/>
              </w:rPr>
              <w:t>7</w:t>
            </w:r>
          </w:p>
        </w:tc>
        <w:tc>
          <w:tcPr>
            <w:tcW w:w="1170" w:type="dxa"/>
          </w:tcPr>
          <w:p w14:paraId="4DF5A946" w14:textId="07025A43" w:rsidR="005B56F0" w:rsidRPr="00A20A0E" w:rsidRDefault="005B56F0" w:rsidP="00856E68">
            <w:pPr>
              <w:pStyle w:val="TAC"/>
              <w:rPr>
                <w:rFonts w:eastAsia="Batang"/>
              </w:rPr>
            </w:pPr>
            <w:r>
              <w:rPr>
                <w:rFonts w:eastAsia="Batang"/>
              </w:rPr>
              <w:t>10</w:t>
            </w:r>
          </w:p>
        </w:tc>
        <w:tc>
          <w:tcPr>
            <w:tcW w:w="1350" w:type="dxa"/>
          </w:tcPr>
          <w:p w14:paraId="12FE6F1F" w14:textId="49C60240" w:rsidR="005B56F0" w:rsidRPr="00A20A0E" w:rsidRDefault="00C602DB" w:rsidP="00856E68">
            <w:pPr>
              <w:pStyle w:val="TAC"/>
              <w:rPr>
                <w:rFonts w:eastAsia="Batang"/>
              </w:rPr>
            </w:pPr>
            <w:r>
              <w:rPr>
                <w:rFonts w:eastAsia="Batang"/>
              </w:rPr>
              <w:t>0</w:t>
            </w:r>
          </w:p>
        </w:tc>
        <w:tc>
          <w:tcPr>
            <w:tcW w:w="1350" w:type="dxa"/>
          </w:tcPr>
          <w:p w14:paraId="6CC83B39" w14:textId="6F2925ED" w:rsidR="005B56F0" w:rsidRPr="00A20A0E" w:rsidRDefault="00C602DB" w:rsidP="00856E68">
            <w:pPr>
              <w:pStyle w:val="TAC"/>
              <w:rPr>
                <w:rFonts w:eastAsia="Batang"/>
              </w:rPr>
            </w:pPr>
            <w:r>
              <w:rPr>
                <w:rFonts w:eastAsia="Batang"/>
              </w:rPr>
              <w:t>1</w:t>
            </w:r>
          </w:p>
        </w:tc>
        <w:tc>
          <w:tcPr>
            <w:tcW w:w="1266" w:type="dxa"/>
          </w:tcPr>
          <w:p w14:paraId="7BAA2241" w14:textId="03D24B0B" w:rsidR="005B56F0" w:rsidRPr="00A20A0E" w:rsidRDefault="00C602DB" w:rsidP="00856E68">
            <w:pPr>
              <w:pStyle w:val="TAC"/>
              <w:rPr>
                <w:rFonts w:eastAsia="Batang"/>
              </w:rPr>
            </w:pPr>
            <w:r>
              <w:rPr>
                <w:rFonts w:eastAsia="Batang"/>
              </w:rPr>
              <w:t>64</w:t>
            </w:r>
          </w:p>
        </w:tc>
      </w:tr>
      <w:tr w:rsidR="004908C2" w14:paraId="3F9C348E" w14:textId="5C1A0D6F" w:rsidTr="004908C2">
        <w:trPr>
          <w:jc w:val="center"/>
        </w:trPr>
        <w:tc>
          <w:tcPr>
            <w:tcW w:w="1548" w:type="dxa"/>
            <w:shd w:val="clear" w:color="auto" w:fill="auto"/>
          </w:tcPr>
          <w:p w14:paraId="1D64C020" w14:textId="77777777" w:rsidR="005B56F0" w:rsidRPr="00A20A0E" w:rsidRDefault="005B56F0" w:rsidP="00856E68">
            <w:pPr>
              <w:pStyle w:val="TAC"/>
              <w:rPr>
                <w:rFonts w:eastAsia="Batang"/>
              </w:rPr>
            </w:pPr>
            <w:r w:rsidRPr="00A20A0E">
              <w:rPr>
                <w:rFonts w:eastAsia="Batang"/>
              </w:rPr>
              <w:t>11</w:t>
            </w:r>
          </w:p>
        </w:tc>
        <w:tc>
          <w:tcPr>
            <w:tcW w:w="1417" w:type="dxa"/>
            <w:shd w:val="clear" w:color="auto" w:fill="auto"/>
          </w:tcPr>
          <w:p w14:paraId="3D2B4253" w14:textId="77777777" w:rsidR="005B56F0" w:rsidRPr="00A20A0E" w:rsidRDefault="005B56F0" w:rsidP="00856E68">
            <w:pPr>
              <w:pStyle w:val="TAC"/>
              <w:rPr>
                <w:rFonts w:eastAsia="Batang"/>
              </w:rPr>
            </w:pPr>
            <w:r w:rsidRPr="00A20A0E">
              <w:rPr>
                <w:rFonts w:eastAsia="Batang"/>
              </w:rPr>
              <w:t>23</w:t>
            </w:r>
          </w:p>
        </w:tc>
        <w:tc>
          <w:tcPr>
            <w:tcW w:w="1530" w:type="dxa"/>
          </w:tcPr>
          <w:p w14:paraId="1EA6E650" w14:textId="004D68DA" w:rsidR="005B56F0" w:rsidRPr="00A20A0E" w:rsidRDefault="005B56F0" w:rsidP="00856E68">
            <w:pPr>
              <w:pStyle w:val="TAC"/>
              <w:rPr>
                <w:rFonts w:eastAsia="Batang"/>
              </w:rPr>
            </w:pPr>
            <w:r>
              <w:rPr>
                <w:rFonts w:eastAsia="Batang"/>
              </w:rPr>
              <w:t>6</w:t>
            </w:r>
          </w:p>
        </w:tc>
        <w:tc>
          <w:tcPr>
            <w:tcW w:w="1170" w:type="dxa"/>
          </w:tcPr>
          <w:p w14:paraId="2AAC5D22" w14:textId="30892D24" w:rsidR="005B56F0" w:rsidRPr="00A20A0E" w:rsidRDefault="005B56F0" w:rsidP="00856E68">
            <w:pPr>
              <w:pStyle w:val="TAC"/>
              <w:rPr>
                <w:rFonts w:eastAsia="Batang"/>
              </w:rPr>
            </w:pPr>
            <w:r>
              <w:rPr>
                <w:rFonts w:eastAsia="Batang"/>
              </w:rPr>
              <w:t>11</w:t>
            </w:r>
          </w:p>
        </w:tc>
        <w:tc>
          <w:tcPr>
            <w:tcW w:w="1350" w:type="dxa"/>
          </w:tcPr>
          <w:p w14:paraId="5E84D1B8" w14:textId="4C512DC9" w:rsidR="005B56F0" w:rsidRPr="00A20A0E" w:rsidRDefault="00C602DB" w:rsidP="00856E68">
            <w:pPr>
              <w:pStyle w:val="TAC"/>
              <w:rPr>
                <w:rFonts w:eastAsia="Batang"/>
              </w:rPr>
            </w:pPr>
            <w:r>
              <w:rPr>
                <w:rFonts w:eastAsia="Batang"/>
              </w:rPr>
              <w:t>0</w:t>
            </w:r>
          </w:p>
        </w:tc>
        <w:tc>
          <w:tcPr>
            <w:tcW w:w="1350" w:type="dxa"/>
          </w:tcPr>
          <w:p w14:paraId="433C9205" w14:textId="18A0F30E" w:rsidR="005B56F0" w:rsidRPr="00A20A0E" w:rsidRDefault="00C602DB" w:rsidP="00856E68">
            <w:pPr>
              <w:pStyle w:val="TAC"/>
              <w:rPr>
                <w:rFonts w:eastAsia="Batang"/>
              </w:rPr>
            </w:pPr>
            <w:r>
              <w:rPr>
                <w:rFonts w:eastAsia="Batang"/>
              </w:rPr>
              <w:t>1</w:t>
            </w:r>
          </w:p>
        </w:tc>
        <w:tc>
          <w:tcPr>
            <w:tcW w:w="1266" w:type="dxa"/>
          </w:tcPr>
          <w:p w14:paraId="6E823C0E" w14:textId="452FC0D7" w:rsidR="005B56F0" w:rsidRPr="00A20A0E" w:rsidRDefault="00C602DB" w:rsidP="00856E68">
            <w:pPr>
              <w:pStyle w:val="TAC"/>
              <w:rPr>
                <w:rFonts w:eastAsia="Batang"/>
              </w:rPr>
            </w:pPr>
            <w:r>
              <w:rPr>
                <w:rFonts w:eastAsia="Batang"/>
              </w:rPr>
              <w:t>64</w:t>
            </w:r>
          </w:p>
        </w:tc>
      </w:tr>
      <w:tr w:rsidR="004908C2" w14:paraId="744A75CA" w14:textId="3151A7D1" w:rsidTr="004908C2">
        <w:trPr>
          <w:jc w:val="center"/>
        </w:trPr>
        <w:tc>
          <w:tcPr>
            <w:tcW w:w="1548" w:type="dxa"/>
            <w:shd w:val="clear" w:color="auto" w:fill="auto"/>
          </w:tcPr>
          <w:p w14:paraId="66991396" w14:textId="77777777" w:rsidR="005B56F0" w:rsidRPr="00A20A0E" w:rsidRDefault="005B56F0" w:rsidP="00856E68">
            <w:pPr>
              <w:pStyle w:val="TAC"/>
              <w:rPr>
                <w:rFonts w:eastAsia="Batang"/>
              </w:rPr>
            </w:pPr>
            <w:r w:rsidRPr="00A20A0E">
              <w:rPr>
                <w:rFonts w:eastAsia="Batang"/>
              </w:rPr>
              <w:t>12</w:t>
            </w:r>
          </w:p>
        </w:tc>
        <w:tc>
          <w:tcPr>
            <w:tcW w:w="1417" w:type="dxa"/>
            <w:shd w:val="clear" w:color="auto" w:fill="auto"/>
          </w:tcPr>
          <w:p w14:paraId="19913FD4" w14:textId="77777777" w:rsidR="005B56F0" w:rsidRPr="00A20A0E" w:rsidRDefault="005B56F0" w:rsidP="00856E68">
            <w:pPr>
              <w:pStyle w:val="TAC"/>
              <w:rPr>
                <w:rFonts w:eastAsia="Batang"/>
              </w:rPr>
            </w:pPr>
            <w:r w:rsidRPr="00A20A0E">
              <w:rPr>
                <w:rFonts w:eastAsia="Batang"/>
              </w:rPr>
              <w:t>27</w:t>
            </w:r>
          </w:p>
        </w:tc>
        <w:tc>
          <w:tcPr>
            <w:tcW w:w="1530" w:type="dxa"/>
          </w:tcPr>
          <w:p w14:paraId="43F87EB2" w14:textId="19959E37" w:rsidR="005B56F0" w:rsidRPr="00A20A0E" w:rsidRDefault="005B56F0" w:rsidP="00856E68">
            <w:pPr>
              <w:pStyle w:val="TAC"/>
              <w:rPr>
                <w:rFonts w:eastAsia="Batang"/>
              </w:rPr>
            </w:pPr>
            <w:r>
              <w:rPr>
                <w:rFonts w:eastAsia="Batang"/>
              </w:rPr>
              <w:t>5</w:t>
            </w:r>
          </w:p>
        </w:tc>
        <w:tc>
          <w:tcPr>
            <w:tcW w:w="1170" w:type="dxa"/>
          </w:tcPr>
          <w:p w14:paraId="46E2CE61" w14:textId="7BE11233" w:rsidR="005B56F0" w:rsidRPr="00A20A0E" w:rsidRDefault="005B56F0" w:rsidP="00856E68">
            <w:pPr>
              <w:pStyle w:val="TAC"/>
              <w:rPr>
                <w:rFonts w:eastAsia="Batang"/>
              </w:rPr>
            </w:pPr>
            <w:r>
              <w:rPr>
                <w:rFonts w:eastAsia="Batang"/>
              </w:rPr>
              <w:t>13</w:t>
            </w:r>
          </w:p>
        </w:tc>
        <w:tc>
          <w:tcPr>
            <w:tcW w:w="1350" w:type="dxa"/>
          </w:tcPr>
          <w:p w14:paraId="191EB5AE" w14:textId="61565E5F" w:rsidR="005B56F0" w:rsidRPr="00A20A0E" w:rsidRDefault="00C602DB" w:rsidP="00856E68">
            <w:pPr>
              <w:pStyle w:val="TAC"/>
              <w:rPr>
                <w:rFonts w:eastAsia="Batang"/>
              </w:rPr>
            </w:pPr>
            <w:r>
              <w:rPr>
                <w:rFonts w:eastAsia="Batang"/>
              </w:rPr>
              <w:t>0</w:t>
            </w:r>
          </w:p>
        </w:tc>
        <w:tc>
          <w:tcPr>
            <w:tcW w:w="1350" w:type="dxa"/>
          </w:tcPr>
          <w:p w14:paraId="3105C085" w14:textId="71992099" w:rsidR="005B56F0" w:rsidRPr="00A20A0E" w:rsidRDefault="00C602DB" w:rsidP="00856E68">
            <w:pPr>
              <w:pStyle w:val="TAC"/>
              <w:rPr>
                <w:rFonts w:eastAsia="Batang"/>
              </w:rPr>
            </w:pPr>
            <w:r>
              <w:rPr>
                <w:rFonts w:eastAsia="Batang"/>
              </w:rPr>
              <w:t>1</w:t>
            </w:r>
          </w:p>
        </w:tc>
        <w:tc>
          <w:tcPr>
            <w:tcW w:w="1266" w:type="dxa"/>
          </w:tcPr>
          <w:p w14:paraId="249FD5B8" w14:textId="7C0F5CB5" w:rsidR="005B56F0" w:rsidRPr="00A20A0E" w:rsidRDefault="00C602DB" w:rsidP="00856E68">
            <w:pPr>
              <w:pStyle w:val="TAC"/>
              <w:rPr>
                <w:rFonts w:eastAsia="Batang"/>
              </w:rPr>
            </w:pPr>
            <w:r>
              <w:rPr>
                <w:rFonts w:eastAsia="Batang"/>
              </w:rPr>
              <w:t>64</w:t>
            </w:r>
          </w:p>
        </w:tc>
      </w:tr>
      <w:tr w:rsidR="004908C2" w14:paraId="099A4C1B" w14:textId="72752A96" w:rsidTr="004908C2">
        <w:trPr>
          <w:jc w:val="center"/>
        </w:trPr>
        <w:tc>
          <w:tcPr>
            <w:tcW w:w="1548" w:type="dxa"/>
            <w:shd w:val="clear" w:color="auto" w:fill="auto"/>
          </w:tcPr>
          <w:p w14:paraId="6795B50D" w14:textId="77777777" w:rsidR="005B56F0" w:rsidRPr="00A20A0E" w:rsidRDefault="005B56F0" w:rsidP="00856E68">
            <w:pPr>
              <w:pStyle w:val="TAC"/>
              <w:rPr>
                <w:rFonts w:eastAsia="Batang"/>
              </w:rPr>
            </w:pPr>
            <w:r w:rsidRPr="00A20A0E">
              <w:rPr>
                <w:rFonts w:eastAsia="Batang"/>
              </w:rPr>
              <w:t>13</w:t>
            </w:r>
          </w:p>
        </w:tc>
        <w:tc>
          <w:tcPr>
            <w:tcW w:w="1417" w:type="dxa"/>
            <w:shd w:val="clear" w:color="auto" w:fill="auto"/>
          </w:tcPr>
          <w:p w14:paraId="754F9880" w14:textId="77777777" w:rsidR="005B56F0" w:rsidRPr="00A20A0E" w:rsidRDefault="005B56F0" w:rsidP="00856E68">
            <w:pPr>
              <w:pStyle w:val="TAC"/>
              <w:rPr>
                <w:rFonts w:eastAsia="Batang"/>
              </w:rPr>
            </w:pPr>
            <w:r w:rsidRPr="00A20A0E">
              <w:rPr>
                <w:rFonts w:eastAsia="Batang"/>
              </w:rPr>
              <w:t>34</w:t>
            </w:r>
          </w:p>
        </w:tc>
        <w:tc>
          <w:tcPr>
            <w:tcW w:w="1530" w:type="dxa"/>
          </w:tcPr>
          <w:p w14:paraId="059E9CD5" w14:textId="04841C3A" w:rsidR="005B56F0" w:rsidRPr="00A20A0E" w:rsidRDefault="005B56F0" w:rsidP="00856E68">
            <w:pPr>
              <w:pStyle w:val="TAC"/>
              <w:rPr>
                <w:rFonts w:eastAsia="Batang"/>
              </w:rPr>
            </w:pPr>
            <w:r>
              <w:rPr>
                <w:rFonts w:eastAsia="Batang"/>
              </w:rPr>
              <w:t>4</w:t>
            </w:r>
          </w:p>
        </w:tc>
        <w:tc>
          <w:tcPr>
            <w:tcW w:w="1170" w:type="dxa"/>
          </w:tcPr>
          <w:p w14:paraId="1889BF6D" w14:textId="16B221B5" w:rsidR="005B56F0" w:rsidRPr="00A20A0E" w:rsidRDefault="005B56F0" w:rsidP="00856E68">
            <w:pPr>
              <w:pStyle w:val="TAC"/>
              <w:rPr>
                <w:rFonts w:eastAsia="Batang"/>
              </w:rPr>
            </w:pPr>
            <w:r>
              <w:rPr>
                <w:rFonts w:eastAsia="Batang"/>
              </w:rPr>
              <w:t>16</w:t>
            </w:r>
          </w:p>
        </w:tc>
        <w:tc>
          <w:tcPr>
            <w:tcW w:w="1350" w:type="dxa"/>
          </w:tcPr>
          <w:p w14:paraId="4354AAFF" w14:textId="496F40FF" w:rsidR="005B56F0" w:rsidRPr="00A20A0E" w:rsidRDefault="00C602DB" w:rsidP="00856E68">
            <w:pPr>
              <w:pStyle w:val="TAC"/>
              <w:rPr>
                <w:rFonts w:eastAsia="Batang"/>
              </w:rPr>
            </w:pPr>
            <w:r>
              <w:rPr>
                <w:rFonts w:eastAsia="Batang"/>
              </w:rPr>
              <w:t>0</w:t>
            </w:r>
          </w:p>
        </w:tc>
        <w:tc>
          <w:tcPr>
            <w:tcW w:w="1350" w:type="dxa"/>
          </w:tcPr>
          <w:p w14:paraId="768C3A2F" w14:textId="1A84767C" w:rsidR="005B56F0" w:rsidRPr="00A20A0E" w:rsidRDefault="00C602DB" w:rsidP="00856E68">
            <w:pPr>
              <w:pStyle w:val="TAC"/>
              <w:rPr>
                <w:rFonts w:eastAsia="Batang"/>
              </w:rPr>
            </w:pPr>
            <w:r>
              <w:rPr>
                <w:rFonts w:eastAsia="Batang"/>
              </w:rPr>
              <w:t>1</w:t>
            </w:r>
          </w:p>
        </w:tc>
        <w:tc>
          <w:tcPr>
            <w:tcW w:w="1266" w:type="dxa"/>
          </w:tcPr>
          <w:p w14:paraId="13EFB98D" w14:textId="5F0188B4" w:rsidR="005B56F0" w:rsidRPr="00A20A0E" w:rsidRDefault="00C602DB" w:rsidP="00856E68">
            <w:pPr>
              <w:pStyle w:val="TAC"/>
              <w:rPr>
                <w:rFonts w:eastAsia="Batang"/>
              </w:rPr>
            </w:pPr>
            <w:r>
              <w:rPr>
                <w:rFonts w:eastAsia="Batang"/>
              </w:rPr>
              <w:t>64</w:t>
            </w:r>
          </w:p>
        </w:tc>
      </w:tr>
      <w:tr w:rsidR="004908C2" w14:paraId="29F6A549" w14:textId="47BE3C73" w:rsidTr="004908C2">
        <w:trPr>
          <w:jc w:val="center"/>
        </w:trPr>
        <w:tc>
          <w:tcPr>
            <w:tcW w:w="1548" w:type="dxa"/>
            <w:shd w:val="clear" w:color="auto" w:fill="auto"/>
          </w:tcPr>
          <w:p w14:paraId="7F6666F8" w14:textId="77777777" w:rsidR="005B56F0" w:rsidRPr="00A20A0E" w:rsidRDefault="005B56F0" w:rsidP="00856E68">
            <w:pPr>
              <w:pStyle w:val="TAC"/>
              <w:rPr>
                <w:rFonts w:eastAsia="Batang"/>
              </w:rPr>
            </w:pPr>
            <w:r w:rsidRPr="00A20A0E">
              <w:rPr>
                <w:rFonts w:eastAsia="Batang"/>
              </w:rPr>
              <w:t>14</w:t>
            </w:r>
          </w:p>
        </w:tc>
        <w:tc>
          <w:tcPr>
            <w:tcW w:w="1417" w:type="dxa"/>
            <w:shd w:val="clear" w:color="auto" w:fill="auto"/>
          </w:tcPr>
          <w:p w14:paraId="16893D05" w14:textId="77777777" w:rsidR="005B56F0" w:rsidRPr="00A20A0E" w:rsidRDefault="005B56F0" w:rsidP="00856E68">
            <w:pPr>
              <w:pStyle w:val="TAC"/>
              <w:rPr>
                <w:rFonts w:eastAsia="Batang"/>
              </w:rPr>
            </w:pPr>
            <w:r w:rsidRPr="00A20A0E">
              <w:rPr>
                <w:rFonts w:eastAsia="Batang"/>
              </w:rPr>
              <w:t>46</w:t>
            </w:r>
          </w:p>
        </w:tc>
        <w:tc>
          <w:tcPr>
            <w:tcW w:w="1530" w:type="dxa"/>
          </w:tcPr>
          <w:p w14:paraId="1E595611" w14:textId="4AC3DB2B" w:rsidR="005B56F0" w:rsidRPr="00A20A0E" w:rsidRDefault="005B56F0" w:rsidP="00856E68">
            <w:pPr>
              <w:pStyle w:val="TAC"/>
              <w:rPr>
                <w:rFonts w:eastAsia="Batang"/>
              </w:rPr>
            </w:pPr>
            <w:r>
              <w:rPr>
                <w:rFonts w:eastAsia="Batang"/>
              </w:rPr>
              <w:t>3</w:t>
            </w:r>
          </w:p>
        </w:tc>
        <w:tc>
          <w:tcPr>
            <w:tcW w:w="1170" w:type="dxa"/>
          </w:tcPr>
          <w:p w14:paraId="39AB6EAF" w14:textId="6793DFBD" w:rsidR="005B56F0" w:rsidRPr="00A20A0E" w:rsidRDefault="005B56F0" w:rsidP="00856E68">
            <w:pPr>
              <w:pStyle w:val="TAC"/>
              <w:rPr>
                <w:rFonts w:eastAsia="Batang"/>
              </w:rPr>
            </w:pPr>
            <w:r>
              <w:rPr>
                <w:rFonts w:eastAsia="Batang"/>
              </w:rPr>
              <w:t>22</w:t>
            </w:r>
          </w:p>
        </w:tc>
        <w:tc>
          <w:tcPr>
            <w:tcW w:w="1350" w:type="dxa"/>
          </w:tcPr>
          <w:p w14:paraId="6FD5114F" w14:textId="4C1D5259" w:rsidR="005B56F0" w:rsidRPr="00A20A0E" w:rsidRDefault="00C602DB" w:rsidP="00856E68">
            <w:pPr>
              <w:pStyle w:val="TAC"/>
              <w:rPr>
                <w:rFonts w:eastAsia="Batang"/>
              </w:rPr>
            </w:pPr>
            <w:r>
              <w:rPr>
                <w:rFonts w:eastAsia="Batang"/>
              </w:rPr>
              <w:t>0</w:t>
            </w:r>
          </w:p>
        </w:tc>
        <w:tc>
          <w:tcPr>
            <w:tcW w:w="1350" w:type="dxa"/>
          </w:tcPr>
          <w:p w14:paraId="7572B3A0" w14:textId="66C231E9" w:rsidR="005B56F0" w:rsidRPr="00A20A0E" w:rsidRDefault="00C602DB" w:rsidP="00856E68">
            <w:pPr>
              <w:pStyle w:val="TAC"/>
              <w:rPr>
                <w:rFonts w:eastAsia="Batang"/>
              </w:rPr>
            </w:pPr>
            <w:r>
              <w:rPr>
                <w:rFonts w:eastAsia="Batang"/>
              </w:rPr>
              <w:t>1</w:t>
            </w:r>
          </w:p>
        </w:tc>
        <w:tc>
          <w:tcPr>
            <w:tcW w:w="1266" w:type="dxa"/>
          </w:tcPr>
          <w:p w14:paraId="6821F4B9" w14:textId="14C2C95E" w:rsidR="005B56F0" w:rsidRPr="00A20A0E" w:rsidRDefault="00C602DB" w:rsidP="00856E68">
            <w:pPr>
              <w:pStyle w:val="TAC"/>
              <w:rPr>
                <w:rFonts w:eastAsia="Batang"/>
              </w:rPr>
            </w:pPr>
            <w:r>
              <w:rPr>
                <w:rFonts w:eastAsia="Batang"/>
              </w:rPr>
              <w:t>64</w:t>
            </w:r>
          </w:p>
        </w:tc>
      </w:tr>
      <w:tr w:rsidR="004908C2" w14:paraId="33AF7979" w14:textId="7D57F763" w:rsidTr="004908C2">
        <w:trPr>
          <w:jc w:val="center"/>
        </w:trPr>
        <w:tc>
          <w:tcPr>
            <w:tcW w:w="1548" w:type="dxa"/>
            <w:shd w:val="clear" w:color="auto" w:fill="auto"/>
          </w:tcPr>
          <w:p w14:paraId="762FAB65" w14:textId="77777777" w:rsidR="005B56F0" w:rsidRPr="00A20A0E" w:rsidRDefault="005B56F0" w:rsidP="00856E68">
            <w:pPr>
              <w:pStyle w:val="TAC"/>
              <w:rPr>
                <w:rFonts w:eastAsia="Batang"/>
              </w:rPr>
            </w:pPr>
            <w:r w:rsidRPr="00A20A0E">
              <w:rPr>
                <w:rFonts w:eastAsia="Batang"/>
              </w:rPr>
              <w:t>15</w:t>
            </w:r>
          </w:p>
        </w:tc>
        <w:tc>
          <w:tcPr>
            <w:tcW w:w="1417" w:type="dxa"/>
            <w:shd w:val="clear" w:color="auto" w:fill="auto"/>
          </w:tcPr>
          <w:p w14:paraId="1DCF45A4" w14:textId="77777777" w:rsidR="005B56F0" w:rsidRPr="00A20A0E" w:rsidRDefault="005B56F0" w:rsidP="00856E68">
            <w:pPr>
              <w:pStyle w:val="TAC"/>
              <w:rPr>
                <w:rFonts w:eastAsia="Batang"/>
              </w:rPr>
            </w:pPr>
            <w:r w:rsidRPr="00A20A0E">
              <w:rPr>
                <w:rFonts w:eastAsia="Batang"/>
              </w:rPr>
              <w:t>69</w:t>
            </w:r>
          </w:p>
        </w:tc>
        <w:tc>
          <w:tcPr>
            <w:tcW w:w="1530" w:type="dxa"/>
          </w:tcPr>
          <w:p w14:paraId="2885F8EF" w14:textId="2EFB4378" w:rsidR="005B56F0" w:rsidRPr="00A20A0E" w:rsidRDefault="005B56F0" w:rsidP="00856E68">
            <w:pPr>
              <w:pStyle w:val="TAC"/>
              <w:rPr>
                <w:rFonts w:eastAsia="Batang"/>
              </w:rPr>
            </w:pPr>
            <w:r>
              <w:rPr>
                <w:rFonts w:eastAsia="Batang"/>
              </w:rPr>
              <w:t>2</w:t>
            </w:r>
          </w:p>
        </w:tc>
        <w:tc>
          <w:tcPr>
            <w:tcW w:w="1170" w:type="dxa"/>
          </w:tcPr>
          <w:p w14:paraId="2FF33F9C" w14:textId="67EA244C" w:rsidR="005B56F0" w:rsidRPr="00A20A0E" w:rsidRDefault="005B56F0" w:rsidP="00856E68">
            <w:pPr>
              <w:pStyle w:val="TAC"/>
              <w:rPr>
                <w:rFonts w:eastAsia="Batang"/>
              </w:rPr>
            </w:pPr>
            <w:r>
              <w:rPr>
                <w:rFonts w:eastAsia="Batang"/>
              </w:rPr>
              <w:t>32</w:t>
            </w:r>
          </w:p>
        </w:tc>
        <w:tc>
          <w:tcPr>
            <w:tcW w:w="1350" w:type="dxa"/>
          </w:tcPr>
          <w:p w14:paraId="7195342B" w14:textId="1BED06C3" w:rsidR="005B56F0" w:rsidRPr="00A20A0E" w:rsidRDefault="00C602DB" w:rsidP="00856E68">
            <w:pPr>
              <w:pStyle w:val="TAC"/>
              <w:rPr>
                <w:rFonts w:eastAsia="Batang"/>
              </w:rPr>
            </w:pPr>
            <w:r>
              <w:rPr>
                <w:rFonts w:eastAsia="Batang"/>
              </w:rPr>
              <w:t>0</w:t>
            </w:r>
          </w:p>
        </w:tc>
        <w:tc>
          <w:tcPr>
            <w:tcW w:w="1350" w:type="dxa"/>
          </w:tcPr>
          <w:p w14:paraId="4AB0BBDF" w14:textId="4301A0B2" w:rsidR="005B56F0" w:rsidRPr="00A20A0E" w:rsidRDefault="00C602DB" w:rsidP="00856E68">
            <w:pPr>
              <w:pStyle w:val="TAC"/>
              <w:rPr>
                <w:rFonts w:eastAsia="Batang"/>
              </w:rPr>
            </w:pPr>
            <w:r>
              <w:rPr>
                <w:rFonts w:eastAsia="Batang"/>
              </w:rPr>
              <w:t>1</w:t>
            </w:r>
          </w:p>
        </w:tc>
        <w:tc>
          <w:tcPr>
            <w:tcW w:w="1266" w:type="dxa"/>
          </w:tcPr>
          <w:p w14:paraId="32BA99C9" w14:textId="7E8F32DD" w:rsidR="005B56F0" w:rsidRPr="00A20A0E" w:rsidRDefault="00C602DB" w:rsidP="00856E68">
            <w:pPr>
              <w:pStyle w:val="TAC"/>
              <w:rPr>
                <w:rFonts w:eastAsia="Batang"/>
              </w:rPr>
            </w:pPr>
            <w:r>
              <w:rPr>
                <w:rFonts w:eastAsia="Batang"/>
              </w:rPr>
              <w:t>64</w:t>
            </w:r>
          </w:p>
        </w:tc>
      </w:tr>
    </w:tbl>
    <w:p w14:paraId="1A2E1245" w14:textId="5C9902E3" w:rsidR="00856E68" w:rsidRDefault="00856E68" w:rsidP="00DF38E0"/>
    <w:p w14:paraId="7DC4D6F1" w14:textId="7FD9D347" w:rsidR="00DF38E0" w:rsidRPr="00DF38E0" w:rsidRDefault="00DF38E0" w:rsidP="00DF38E0">
      <w:pPr>
        <w:rPr>
          <w:b/>
        </w:rPr>
      </w:pPr>
      <w:r w:rsidRPr="00DF38E0">
        <w:rPr>
          <w:b/>
          <w:u w:val="single"/>
        </w:rPr>
        <w:t xml:space="preserve">Observation </w:t>
      </w:r>
      <w:r w:rsidR="004462C5">
        <w:rPr>
          <w:b/>
          <w:u w:val="single"/>
        </w:rPr>
        <w:t>1.2</w:t>
      </w:r>
      <w:r w:rsidRPr="00DF38E0">
        <w:rPr>
          <w:b/>
          <w:u w:val="single"/>
        </w:rPr>
        <w:t>:</w:t>
      </w:r>
      <w:r w:rsidRPr="00DF38E0">
        <w:rPr>
          <w:b/>
        </w:rPr>
        <w:t xml:space="preserve"> If access and backhaul links use same resources for RACH, supportable number of cyclic shifts for each ZC root sequence decrease significantly.</w:t>
      </w:r>
    </w:p>
    <w:p w14:paraId="4B84CE5E" w14:textId="3CFDD3A5" w:rsidR="00DF38E0" w:rsidRPr="00DF38E0" w:rsidRDefault="00DF38E0" w:rsidP="00DF38E0">
      <w:pPr>
        <w:pStyle w:val="ListParagraph"/>
        <w:numPr>
          <w:ilvl w:val="0"/>
          <w:numId w:val="45"/>
        </w:numPr>
        <w:ind w:firstLineChars="0"/>
        <w:rPr>
          <w:b/>
        </w:rPr>
      </w:pPr>
      <w:r w:rsidRPr="00DF38E0">
        <w:rPr>
          <w:b/>
        </w:rPr>
        <w:t>This, in turn, leads to the use of higher number of ZC root sequences in each cells and higher interference during RACH transmission.</w:t>
      </w:r>
    </w:p>
    <w:p w14:paraId="70AD30E3" w14:textId="68A436AA" w:rsidR="00DF38E0" w:rsidRPr="00011E1C" w:rsidRDefault="0068004C" w:rsidP="00DF38E0">
      <w:r>
        <w:t>That i</w:t>
      </w:r>
      <w:r w:rsidR="00011E1C" w:rsidRPr="00011E1C">
        <w:t xml:space="preserve">s </w:t>
      </w:r>
      <w:r w:rsidR="00011E1C">
        <w:t>why, it is beneficial to allow network the flexibility to separate access and backhaul RACH resources in the time domain. This can be done in several ways, e.g.: 1) by introducing additional bits in RMSI to indicates backhaul CBRA occasions and 2) using different SI-RNTI to convey access and backhaul RMSI. Since backhaul transmission may happen infrequently, the periodicity of backhaul RACH resources, that are orthogonal to access RACH resources, can be extended to reduce the additional over</w:t>
      </w:r>
      <w:r>
        <w:t>head</w:t>
      </w:r>
      <w:r w:rsidR="00011E1C">
        <w:t>.</w:t>
      </w:r>
    </w:p>
    <w:p w14:paraId="1E6B5494" w14:textId="7A1BFB6F" w:rsidR="00DF38E0" w:rsidRPr="00DF38E0" w:rsidRDefault="00DF38E0" w:rsidP="00DF38E0">
      <w:pPr>
        <w:rPr>
          <w:b/>
        </w:rPr>
      </w:pPr>
      <w:r w:rsidRPr="00DF38E0">
        <w:rPr>
          <w:b/>
          <w:u w:val="single"/>
        </w:rPr>
        <w:t xml:space="preserve">Observation </w:t>
      </w:r>
      <w:r w:rsidR="004462C5">
        <w:rPr>
          <w:b/>
          <w:u w:val="single"/>
        </w:rPr>
        <w:t>1.</w:t>
      </w:r>
      <w:r w:rsidR="006F7DEB">
        <w:rPr>
          <w:b/>
          <w:u w:val="single"/>
        </w:rPr>
        <w:t>3</w:t>
      </w:r>
      <w:r w:rsidRPr="00DF38E0">
        <w:rPr>
          <w:b/>
          <w:u w:val="single"/>
        </w:rPr>
        <w:t>:</w:t>
      </w:r>
      <w:r w:rsidRPr="00DF38E0">
        <w:rPr>
          <w:b/>
        </w:rPr>
        <w:t xml:space="preserve"> Periodicity of backhaul RACH resources, that are orthogonal to access RACH resources, can be extended to reduce overhead.</w:t>
      </w:r>
    </w:p>
    <w:p w14:paraId="44477DAB" w14:textId="238891FB" w:rsidR="00DF38E0" w:rsidRPr="00DF38E0" w:rsidRDefault="00DF38E0" w:rsidP="00DF38E0">
      <w:pPr>
        <w:rPr>
          <w:b/>
        </w:rPr>
      </w:pPr>
      <w:r w:rsidRPr="00DF38E0">
        <w:rPr>
          <w:b/>
          <w:u w:val="single"/>
        </w:rPr>
        <w:t xml:space="preserve">Proposal </w:t>
      </w:r>
      <w:r w:rsidR="00E351A8">
        <w:rPr>
          <w:b/>
          <w:u w:val="single"/>
        </w:rPr>
        <w:t>1.1</w:t>
      </w:r>
      <w:r w:rsidRPr="00DF38E0">
        <w:rPr>
          <w:b/>
          <w:u w:val="single"/>
        </w:rPr>
        <w:t>:</w:t>
      </w:r>
      <w:r w:rsidRPr="00DF38E0">
        <w:rPr>
          <w:b/>
        </w:rPr>
        <w:t xml:space="preserve"> NR </w:t>
      </w:r>
      <w:r>
        <w:rPr>
          <w:b/>
        </w:rPr>
        <w:t>allows</w:t>
      </w:r>
      <w:r w:rsidRPr="00DF38E0">
        <w:rPr>
          <w:b/>
        </w:rPr>
        <w:t xml:space="preserve"> network the flexibility to configure access and backhaul RACH resources with different occasions and periodici</w:t>
      </w:r>
      <w:r w:rsidR="00F66EA2">
        <w:rPr>
          <w:b/>
        </w:rPr>
        <w:t>ti</w:t>
      </w:r>
      <w:r w:rsidRPr="00DF38E0">
        <w:rPr>
          <w:b/>
        </w:rPr>
        <w:t>es</w:t>
      </w:r>
      <w:r w:rsidR="00011E1C">
        <w:rPr>
          <w:b/>
        </w:rPr>
        <w:t xml:space="preserve">. </w:t>
      </w:r>
    </w:p>
    <w:p w14:paraId="42DC10B5" w14:textId="22ECA512" w:rsidR="00DF38E0" w:rsidRPr="00DF38E0" w:rsidRDefault="00011E1C" w:rsidP="00DF38E0">
      <w:pPr>
        <w:pStyle w:val="ListParagraph"/>
        <w:numPr>
          <w:ilvl w:val="0"/>
          <w:numId w:val="45"/>
        </w:numPr>
        <w:ind w:firstLineChars="0"/>
        <w:rPr>
          <w:b/>
        </w:rPr>
      </w:pPr>
      <w:r>
        <w:rPr>
          <w:b/>
        </w:rPr>
        <w:t>Different mechanisms can be considered to enable this, e.g., a</w:t>
      </w:r>
      <w:r w:rsidR="00DF38E0" w:rsidRPr="00DF38E0">
        <w:rPr>
          <w:b/>
        </w:rPr>
        <w:t>dditional bits can be introduced in RMSI to indicate backhaul CBRA occasions.</w:t>
      </w:r>
    </w:p>
    <w:p w14:paraId="56D0D78C" w14:textId="27012201" w:rsidR="00DF38E0" w:rsidRDefault="00DF38E0" w:rsidP="00DF38E0">
      <w:pPr>
        <w:jc w:val="center"/>
      </w:pPr>
    </w:p>
    <w:p w14:paraId="71824DB0" w14:textId="77777777" w:rsidR="00D406D8" w:rsidRDefault="00D406D8" w:rsidP="00DF38E0">
      <w:pPr>
        <w:jc w:val="center"/>
      </w:pPr>
    </w:p>
    <w:p w14:paraId="40EEF2C3" w14:textId="79103BDD" w:rsidR="00FC0714" w:rsidRPr="0088737B" w:rsidRDefault="00FC0714" w:rsidP="00FC0714">
      <w:pPr>
        <w:pStyle w:val="Heading2"/>
        <w:spacing w:after="240"/>
      </w:pPr>
      <w:r w:rsidRPr="0088737B">
        <w:lastRenderedPageBreak/>
        <w:t>Inter-relay discovery and measurements</w:t>
      </w:r>
    </w:p>
    <w:p w14:paraId="7ED57CA0" w14:textId="4C4F3102" w:rsidR="00CC0D94" w:rsidRPr="00CC0D94" w:rsidRDefault="00F74044" w:rsidP="00CC0D94">
      <w:pPr>
        <w:rPr>
          <w:lang w:val="en-GB"/>
        </w:rPr>
      </w:pPr>
      <w:r>
        <w:t>RAN1 #93</w:t>
      </w:r>
      <w:r w:rsidRPr="00141EFE">
        <w:t xml:space="preserve"> achieved the following agreement</w:t>
      </w:r>
      <w:r>
        <w:t>s</w:t>
      </w:r>
    </w:p>
    <w:tbl>
      <w:tblPr>
        <w:tblStyle w:val="TableGrid"/>
        <w:tblW w:w="0" w:type="auto"/>
        <w:tblLook w:val="04A0" w:firstRow="1" w:lastRow="0" w:firstColumn="1" w:lastColumn="0" w:noHBand="0" w:noVBand="1"/>
      </w:tblPr>
      <w:tblGrid>
        <w:gridCol w:w="9631"/>
      </w:tblGrid>
      <w:tr w:rsidR="00CC0D94" w14:paraId="72B87F44" w14:textId="77777777" w:rsidTr="00CC0D94">
        <w:tc>
          <w:tcPr>
            <w:tcW w:w="9631" w:type="dxa"/>
          </w:tcPr>
          <w:p w14:paraId="2AF73F27" w14:textId="77777777" w:rsidR="00CC0D94" w:rsidRDefault="00CC0D94" w:rsidP="00CC0D94">
            <w:pPr>
              <w:rPr>
                <w:szCs w:val="20"/>
                <w:lang w:eastAsia="x-none"/>
              </w:rPr>
            </w:pPr>
            <w:r w:rsidRPr="00D13A54">
              <w:rPr>
                <w:szCs w:val="20"/>
                <w:highlight w:val="green"/>
                <w:lang w:eastAsia="x-none"/>
              </w:rPr>
              <w:t>Agreements</w:t>
            </w:r>
            <w:r>
              <w:rPr>
                <w:szCs w:val="20"/>
                <w:lang w:eastAsia="x-none"/>
              </w:rPr>
              <w:t>:</w:t>
            </w:r>
          </w:p>
          <w:p w14:paraId="6A3E80ED" w14:textId="77777777" w:rsidR="00CC0D94" w:rsidRPr="00D13A54" w:rsidRDefault="00CC0D94" w:rsidP="00CC0D94">
            <w:pPr>
              <w:pStyle w:val="maintext"/>
              <w:numPr>
                <w:ilvl w:val="0"/>
                <w:numId w:val="34"/>
              </w:numPr>
              <w:ind w:left="360" w:firstLineChars="0"/>
              <w:rPr>
                <w:rFonts w:ascii="Calibri" w:hAnsi="Calibri"/>
              </w:rPr>
            </w:pPr>
            <w:r w:rsidRPr="00D13A54">
              <w:rPr>
                <w:rFonts w:ascii="Calibri" w:hAnsi="Calibri"/>
              </w:rPr>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14:paraId="7AE4E20E" w14:textId="77777777" w:rsidR="00CC0D94" w:rsidRPr="00D13A54" w:rsidRDefault="00CC0D94" w:rsidP="00CC0D94">
            <w:pPr>
              <w:pStyle w:val="maintext"/>
              <w:numPr>
                <w:ilvl w:val="0"/>
                <w:numId w:val="34"/>
              </w:numPr>
              <w:ind w:left="360" w:firstLineChars="0"/>
              <w:rPr>
                <w:rFonts w:ascii="Calibri" w:hAnsi="Calibri"/>
              </w:rPr>
            </w:pPr>
            <w:r w:rsidRPr="00D13A54">
              <w:rPr>
                <w:rFonts w:ascii="Calibri" w:hAnsi="Calibri"/>
              </w:rPr>
              <w:t>The following solutions can be further considered:</w:t>
            </w:r>
          </w:p>
          <w:p w14:paraId="39C12ABF" w14:textId="77777777" w:rsidR="00CC0D94" w:rsidRPr="00D13A54" w:rsidRDefault="00CC0D94" w:rsidP="00CC0D94">
            <w:pPr>
              <w:pStyle w:val="maintext"/>
              <w:numPr>
                <w:ilvl w:val="1"/>
                <w:numId w:val="34"/>
              </w:numPr>
              <w:ind w:left="1080" w:firstLineChars="0"/>
              <w:rPr>
                <w:rFonts w:ascii="Calibri" w:hAnsi="Calibri"/>
              </w:rPr>
            </w:pPr>
            <w:bookmarkStart w:id="6" w:name="_Hlk521593571"/>
            <w:r w:rsidRPr="00D13A54">
              <w:rPr>
                <w:rFonts w:ascii="Calibri" w:hAnsi="Calibri"/>
              </w:rPr>
              <w:t>TDM of SSBs (e.g. depending on hop order, cell ID, etc.)</w:t>
            </w:r>
          </w:p>
          <w:p w14:paraId="4291BE5F" w14:textId="77777777" w:rsidR="00CC0D94" w:rsidRPr="00D13A54" w:rsidRDefault="00CC0D94" w:rsidP="00CC0D94">
            <w:pPr>
              <w:pStyle w:val="maintext"/>
              <w:numPr>
                <w:ilvl w:val="1"/>
                <w:numId w:val="34"/>
              </w:numPr>
              <w:ind w:left="1080" w:firstLineChars="0"/>
              <w:rPr>
                <w:rFonts w:ascii="Calibri" w:hAnsi="Calibri"/>
              </w:rPr>
            </w:pPr>
            <w:r w:rsidRPr="00D13A54">
              <w:rPr>
                <w:rFonts w:ascii="Calibri" w:hAnsi="Calibri"/>
              </w:rPr>
              <w:t xml:space="preserve">SSB muting across IAB nodes </w:t>
            </w:r>
            <w:bookmarkEnd w:id="6"/>
          </w:p>
          <w:p w14:paraId="6C412C4F" w14:textId="77777777" w:rsidR="00CC0D94" w:rsidRPr="00D13A54" w:rsidRDefault="00CC0D94" w:rsidP="00CC0D94">
            <w:pPr>
              <w:pStyle w:val="maintext"/>
              <w:numPr>
                <w:ilvl w:val="1"/>
                <w:numId w:val="34"/>
              </w:numPr>
              <w:ind w:left="1080" w:firstLineChars="0"/>
              <w:rPr>
                <w:rFonts w:ascii="Calibri" w:hAnsi="Calibri"/>
              </w:rPr>
            </w:pPr>
            <w:r w:rsidRPr="00D13A54">
              <w:rPr>
                <w:rFonts w:ascii="Calibri" w:hAnsi="Calibri"/>
              </w:rPr>
              <w:t xml:space="preserve">Multiplexing of SSBs for access UEs and IABs within a half-frame or across half-frames </w:t>
            </w:r>
          </w:p>
          <w:p w14:paraId="1B4DBED3" w14:textId="77777777" w:rsidR="00CC0D94" w:rsidRPr="00D13A54" w:rsidRDefault="00CC0D94" w:rsidP="00CC0D94">
            <w:pPr>
              <w:pStyle w:val="maintext"/>
              <w:numPr>
                <w:ilvl w:val="1"/>
                <w:numId w:val="34"/>
              </w:numPr>
              <w:ind w:left="1080" w:firstLineChars="0"/>
              <w:rPr>
                <w:rFonts w:ascii="Calibri" w:hAnsi="Calibri"/>
              </w:rPr>
            </w:pPr>
            <w:r w:rsidRPr="00D13A54">
              <w:rPr>
                <w:rFonts w:ascii="Calibri" w:hAnsi="Calibri"/>
              </w:rPr>
              <w:t>Additional IAB node discovery signal TDM with SSB (e.g. CSI-RS)</w:t>
            </w:r>
          </w:p>
          <w:p w14:paraId="109E5C54" w14:textId="77777777" w:rsidR="00CC0D94" w:rsidRPr="00D13A54" w:rsidRDefault="00CC0D94" w:rsidP="00CC0D94">
            <w:pPr>
              <w:pStyle w:val="maintext"/>
              <w:numPr>
                <w:ilvl w:val="1"/>
                <w:numId w:val="34"/>
              </w:numPr>
              <w:ind w:left="1080" w:firstLineChars="0"/>
              <w:rPr>
                <w:rFonts w:ascii="Calibri" w:hAnsi="Calibri"/>
              </w:rPr>
            </w:pPr>
            <w:r w:rsidRPr="00D13A54">
              <w:rPr>
                <w:rFonts w:ascii="Calibri" w:hAnsi="Calibri"/>
              </w:rPr>
              <w:t>Use of off-raster SSBs</w:t>
            </w:r>
          </w:p>
          <w:p w14:paraId="2648B46B" w14:textId="77777777" w:rsidR="00CC0D94" w:rsidRPr="00D13A54" w:rsidRDefault="00CC0D94" w:rsidP="00CC0D94">
            <w:pPr>
              <w:pStyle w:val="maintext"/>
              <w:numPr>
                <w:ilvl w:val="1"/>
                <w:numId w:val="34"/>
              </w:numPr>
              <w:ind w:left="1080" w:firstLineChars="0"/>
              <w:rPr>
                <w:rFonts w:ascii="Calibri" w:hAnsi="Calibri"/>
              </w:rPr>
            </w:pPr>
            <w:r w:rsidRPr="00D13A54">
              <w:rPr>
                <w:rFonts w:ascii="Calibri" w:hAnsi="Calibri"/>
              </w:rPr>
              <w:t>Different transmission periodicity compared to the periodicity used by access UEs</w:t>
            </w:r>
          </w:p>
          <w:p w14:paraId="113D2B72" w14:textId="6302AF69" w:rsidR="00CC0D94" w:rsidRPr="00CC0D94" w:rsidRDefault="00CC0D94" w:rsidP="008E65C4">
            <w:pPr>
              <w:pStyle w:val="maintext"/>
              <w:numPr>
                <w:ilvl w:val="0"/>
                <w:numId w:val="34"/>
              </w:numPr>
              <w:ind w:left="360" w:firstLineChars="0"/>
              <w:rPr>
                <w:rFonts w:ascii="Calibri" w:hAnsi="Calibri"/>
              </w:rPr>
            </w:pPr>
            <w:r w:rsidRPr="00D13A54">
              <w:rPr>
                <w:rFonts w:ascii="Calibri" w:hAnsi="Calibri"/>
              </w:rPr>
              <w:t>Further study coordination mechanisms for different solutions</w:t>
            </w:r>
          </w:p>
        </w:tc>
      </w:tr>
    </w:tbl>
    <w:p w14:paraId="55678AC1" w14:textId="5F1B0354" w:rsidR="00CC0D94" w:rsidRDefault="00CC0D94" w:rsidP="008E65C4"/>
    <w:tbl>
      <w:tblPr>
        <w:tblStyle w:val="TableGrid"/>
        <w:tblW w:w="0" w:type="auto"/>
        <w:tblLook w:val="04A0" w:firstRow="1" w:lastRow="0" w:firstColumn="1" w:lastColumn="0" w:noHBand="0" w:noVBand="1"/>
      </w:tblPr>
      <w:tblGrid>
        <w:gridCol w:w="9631"/>
      </w:tblGrid>
      <w:tr w:rsidR="00CC0D94" w14:paraId="37B79988" w14:textId="77777777" w:rsidTr="00CC0D94">
        <w:tc>
          <w:tcPr>
            <w:tcW w:w="9631" w:type="dxa"/>
          </w:tcPr>
          <w:p w14:paraId="1989BE31" w14:textId="77777777" w:rsidR="00CC0D94" w:rsidRPr="00B824DF" w:rsidRDefault="00CC0D94" w:rsidP="00CC0D94">
            <w:pPr>
              <w:rPr>
                <w:szCs w:val="20"/>
                <w:lang w:eastAsia="x-none"/>
              </w:rPr>
            </w:pPr>
            <w:bookmarkStart w:id="7" w:name="_Hlk521586629"/>
            <w:r w:rsidRPr="00B824DF">
              <w:rPr>
                <w:szCs w:val="20"/>
                <w:highlight w:val="green"/>
                <w:lang w:eastAsia="x-none"/>
              </w:rPr>
              <w:t>Agreements</w:t>
            </w:r>
            <w:r w:rsidRPr="00B824DF">
              <w:rPr>
                <w:szCs w:val="20"/>
                <w:lang w:eastAsia="x-none"/>
              </w:rPr>
              <w:t>:</w:t>
            </w:r>
          </w:p>
          <w:p w14:paraId="545211BA" w14:textId="77777777" w:rsidR="00CC0D94" w:rsidRPr="00B824DF" w:rsidRDefault="00CC0D94" w:rsidP="00CC0D94">
            <w:pPr>
              <w:numPr>
                <w:ilvl w:val="0"/>
                <w:numId w:val="35"/>
              </w:numPr>
              <w:spacing w:before="60" w:after="120" w:line="240" w:lineRule="auto"/>
              <w:jc w:val="both"/>
              <w:rPr>
                <w:rFonts w:ascii="Calibri" w:eastAsia="Malgun Gothic" w:hAnsi="Calibri" w:cs="Batang"/>
                <w:szCs w:val="20"/>
                <w:lang w:eastAsia="ko-KR"/>
              </w:rPr>
            </w:pPr>
            <w:r w:rsidRPr="00B824DF">
              <w:rPr>
                <w:rFonts w:ascii="Calibri" w:eastAsia="Malgun Gothic" w:hAnsi="Calibri" w:cs="Batang"/>
                <w:szCs w:val="20"/>
                <w:lang w:eastAsia="ko-KR"/>
              </w:rPr>
              <w:t>IAB supports SSB and CSI-RS based RRM measurements. The following features can be considered:</w:t>
            </w:r>
          </w:p>
          <w:p w14:paraId="6B7EE1B0" w14:textId="77777777" w:rsidR="00CC0D94" w:rsidRPr="00B824DF" w:rsidRDefault="00CC0D94" w:rsidP="00CC0D94">
            <w:pPr>
              <w:numPr>
                <w:ilvl w:val="1"/>
                <w:numId w:val="35"/>
              </w:numPr>
              <w:spacing w:before="60" w:after="120" w:line="240" w:lineRule="auto"/>
              <w:jc w:val="both"/>
              <w:rPr>
                <w:rFonts w:ascii="Calibri" w:eastAsia="Malgun Gothic" w:hAnsi="Calibri" w:cs="Batang"/>
                <w:szCs w:val="20"/>
                <w:lang w:eastAsia="ko-KR"/>
              </w:rPr>
            </w:pPr>
            <w:r w:rsidRPr="00B824DF">
              <w:rPr>
                <w:rFonts w:ascii="Calibri" w:eastAsia="Malgun Gothic" w:hAnsi="Calibri" w:cs="Batang"/>
                <w:szCs w:val="20"/>
                <w:lang w:eastAsia="ko-KR"/>
              </w:rPr>
              <w:t xml:space="preserve">Mechanisms for coordination of RS transmission and measurement occasions for IAB nodes </w:t>
            </w:r>
          </w:p>
          <w:p w14:paraId="12D6062D" w14:textId="04AEB424" w:rsidR="00CC0D94" w:rsidRPr="00F74044" w:rsidRDefault="00CC0D94" w:rsidP="00F74044">
            <w:pPr>
              <w:numPr>
                <w:ilvl w:val="1"/>
                <w:numId w:val="35"/>
              </w:numPr>
              <w:spacing w:before="60" w:after="120" w:line="240" w:lineRule="auto"/>
              <w:jc w:val="both"/>
              <w:rPr>
                <w:rFonts w:ascii="Calibri" w:eastAsia="Malgun Gothic" w:hAnsi="Calibri" w:cs="Batang"/>
                <w:szCs w:val="20"/>
                <w:lang w:eastAsia="ko-KR"/>
              </w:rPr>
            </w:pPr>
            <w:r w:rsidRPr="00B824DF">
              <w:rPr>
                <w:rFonts w:ascii="Calibri" w:eastAsia="Malgun Gothic" w:hAnsi="Calibri" w:cs="Batang"/>
                <w:szCs w:val="20"/>
                <w:lang w:eastAsia="ko-KR"/>
              </w:rPr>
              <w:t xml:space="preserve">Enhancements of SMTC and CSI-RS configurations for IAB </w:t>
            </w:r>
          </w:p>
        </w:tc>
      </w:tr>
      <w:bookmarkEnd w:id="7"/>
    </w:tbl>
    <w:p w14:paraId="39BE1135" w14:textId="77777777" w:rsidR="00F74044" w:rsidRDefault="00F74044" w:rsidP="008E65C4"/>
    <w:p w14:paraId="1482F4B5" w14:textId="2A969C0D" w:rsidR="00F74044" w:rsidRPr="005566E6" w:rsidRDefault="00F74044" w:rsidP="00F74044">
      <w:pPr>
        <w:pStyle w:val="Caption"/>
        <w:rPr>
          <w:rStyle w:val="Strong"/>
          <w:b/>
          <w:sz w:val="24"/>
        </w:rPr>
      </w:pPr>
      <w:r>
        <w:rPr>
          <w:rStyle w:val="Strong"/>
          <w:b/>
          <w:sz w:val="24"/>
        </w:rPr>
        <w:t>Half-duplex constraint</w:t>
      </w:r>
    </w:p>
    <w:p w14:paraId="7EF281B7" w14:textId="790E8F11" w:rsidR="00F74044" w:rsidRDefault="00F74044" w:rsidP="00F74044">
      <w:r>
        <w:t xml:space="preserve">As captured in the above agreements, a major design consideration for the IAB discovery and measurements is the </w:t>
      </w:r>
      <w:r w:rsidRPr="00F74044">
        <w:rPr>
          <w:b/>
        </w:rPr>
        <w:t>half-duplex constraint</w:t>
      </w:r>
      <w:r>
        <w:t xml:space="preserve"> of the IAB-nodes.</w:t>
      </w:r>
      <w:r w:rsidR="00E42E33">
        <w:t xml:space="preserve"> </w:t>
      </w:r>
      <w:r>
        <w:t xml:space="preserve">To address the </w:t>
      </w:r>
      <w:r w:rsidR="00E42E33">
        <w:t>issue</w:t>
      </w:r>
      <w:r>
        <w:t xml:space="preserve">, IAB-nodes should coordinate their TX and RX </w:t>
      </w:r>
      <w:r w:rsidRPr="00725AE8">
        <w:rPr>
          <w:b/>
        </w:rPr>
        <w:t xml:space="preserve">(TX/RX </w:t>
      </w:r>
      <w:r>
        <w:rPr>
          <w:b/>
        </w:rPr>
        <w:t>c</w:t>
      </w:r>
      <w:r w:rsidRPr="00725AE8">
        <w:rPr>
          <w:b/>
        </w:rPr>
        <w:t xml:space="preserve">oordination, or </w:t>
      </w:r>
      <w:r w:rsidRPr="004F2DB1">
        <w:rPr>
          <w:b/>
        </w:rPr>
        <w:t>muting pattern</w:t>
      </w:r>
      <w:r w:rsidRPr="00725AE8">
        <w:rPr>
          <w:b/>
        </w:rPr>
        <w:t xml:space="preserve">) </w:t>
      </w:r>
      <w:r>
        <w:t>to enable discovering/measuring other IAB-nodes while being discoverable/measurable by other IAB-nodes.</w:t>
      </w:r>
    </w:p>
    <w:p w14:paraId="09DCA9BD" w14:textId="77777777" w:rsidR="00E42E33" w:rsidRDefault="00E42E33" w:rsidP="00E42E33">
      <w:pPr>
        <w:keepNext/>
        <w:jc w:val="center"/>
      </w:pPr>
      <w:r>
        <w:rPr>
          <w:noProof/>
        </w:rPr>
        <w:drawing>
          <wp:inline distT="0" distB="0" distL="0" distR="0" wp14:anchorId="43EB81B8" wp14:editId="4B84F1A2">
            <wp:extent cx="5310836" cy="167445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50084" cy="1686827"/>
                    </a:xfrm>
                    <a:prstGeom prst="rect">
                      <a:avLst/>
                    </a:prstGeom>
                    <a:noFill/>
                  </pic:spPr>
                </pic:pic>
              </a:graphicData>
            </a:graphic>
          </wp:inline>
        </w:drawing>
      </w:r>
    </w:p>
    <w:p w14:paraId="3421752E" w14:textId="24A40DAB" w:rsidR="00E42E33" w:rsidRDefault="00E42E33" w:rsidP="00E42E33">
      <w:pPr>
        <w:pStyle w:val="Caption"/>
        <w:jc w:val="center"/>
      </w:pPr>
      <w:bookmarkStart w:id="8" w:name="_Ref521587100"/>
      <w:r>
        <w:t xml:space="preserve">Figure </w:t>
      </w:r>
      <w:r w:rsidR="00C46E82">
        <w:rPr>
          <w:noProof/>
        </w:rPr>
        <w:fldChar w:fldCharType="begin"/>
      </w:r>
      <w:r w:rsidR="00C46E82">
        <w:rPr>
          <w:noProof/>
        </w:rPr>
        <w:instrText xml:space="preserve"> SEQ Figure \* ARABIC </w:instrText>
      </w:r>
      <w:r w:rsidR="00C46E82">
        <w:rPr>
          <w:noProof/>
        </w:rPr>
        <w:fldChar w:fldCharType="separate"/>
      </w:r>
      <w:r w:rsidR="004D1C58">
        <w:rPr>
          <w:noProof/>
        </w:rPr>
        <w:t>2</w:t>
      </w:r>
      <w:r w:rsidR="00C46E82">
        <w:rPr>
          <w:noProof/>
        </w:rPr>
        <w:fldChar w:fldCharType="end"/>
      </w:r>
      <w:bookmarkEnd w:id="8"/>
      <w:r>
        <w:t xml:space="preserve">: an example of TX/RX coordination to enable IAB </w:t>
      </w:r>
      <w:r w:rsidR="00D90536">
        <w:t>discovery</w:t>
      </w:r>
      <w:r>
        <w:t xml:space="preserve"> and measurements</w:t>
      </w:r>
    </w:p>
    <w:p w14:paraId="147BBAD0" w14:textId="67B84321" w:rsidR="00E42E33" w:rsidRDefault="00E42E33" w:rsidP="00F74044"/>
    <w:p w14:paraId="22F42B5F" w14:textId="1FA9C0F7" w:rsidR="00E42E33" w:rsidRDefault="00E42E33" w:rsidP="00F74044">
      <w:r>
        <w:lastRenderedPageBreak/>
        <w:fldChar w:fldCharType="begin"/>
      </w:r>
      <w:r>
        <w:instrText xml:space="preserve"> REF _Ref521587100 \h </w:instrText>
      </w:r>
      <w:r>
        <w:fldChar w:fldCharType="separate"/>
      </w:r>
      <w:r w:rsidR="004D1C58">
        <w:t xml:space="preserve">Figure </w:t>
      </w:r>
      <w:r w:rsidR="004D1C58">
        <w:rPr>
          <w:noProof/>
        </w:rPr>
        <w:t>2</w:t>
      </w:r>
      <w:r>
        <w:fldChar w:fldCharType="end"/>
      </w:r>
      <w:r>
        <w:t xml:space="preserve"> shows an example of a TX/RX coordination pattern that is determined based on the hop-count (i.e. distance to the IAB-donor in terms of number of links</w:t>
      </w:r>
      <w:r w:rsidR="00D90536">
        <w:t>) and</w:t>
      </w:r>
      <w:r>
        <w:t xml:space="preserve"> allows measurement of the n</w:t>
      </w:r>
      <w:r w:rsidR="00FB7BB8">
        <w:t>eighboring IAB-nodes that are 1 hop away (i.e. parent and children).</w:t>
      </w:r>
    </w:p>
    <w:p w14:paraId="6F93AAEE" w14:textId="59C63B35" w:rsidR="006F0375" w:rsidRDefault="00E42E33" w:rsidP="00F74044">
      <w:r>
        <w:t xml:space="preserve">In </w:t>
      </w:r>
      <w:r w:rsidR="00D90536">
        <w:t>practice</w:t>
      </w:r>
      <w:r>
        <w:t>, different patterns may be adopted.</w:t>
      </w:r>
      <w:r w:rsidR="006F0375">
        <w:t xml:space="preserve"> These patterns can be divided into different categories, as shown in</w:t>
      </w:r>
      <w:r>
        <w:t xml:space="preserve"> </w:t>
      </w:r>
      <w:r w:rsidR="006F0375">
        <w:fldChar w:fldCharType="begin"/>
      </w:r>
      <w:r w:rsidR="006F0375">
        <w:instrText xml:space="preserve"> REF _Ref521587658 \h </w:instrText>
      </w:r>
      <w:r w:rsidR="006F0375">
        <w:fldChar w:fldCharType="separate"/>
      </w:r>
      <w:r w:rsidR="004D1C58">
        <w:t xml:space="preserve">Table </w:t>
      </w:r>
      <w:r w:rsidR="004D1C58">
        <w:rPr>
          <w:noProof/>
        </w:rPr>
        <w:t>2</w:t>
      </w:r>
      <w:r w:rsidR="006F0375">
        <w:fldChar w:fldCharType="end"/>
      </w:r>
      <w:r w:rsidR="006F0375">
        <w:t xml:space="preserve">. </w:t>
      </w:r>
      <w:r w:rsidR="006F0375">
        <w:fldChar w:fldCharType="begin"/>
      </w:r>
      <w:r w:rsidR="006F0375">
        <w:instrText xml:space="preserve"> REF _Ref521587100 \h </w:instrText>
      </w:r>
      <w:r w:rsidR="006F0375">
        <w:fldChar w:fldCharType="separate"/>
      </w:r>
      <w:r w:rsidR="004D1C58">
        <w:t xml:space="preserve">Figure </w:t>
      </w:r>
      <w:r w:rsidR="004D1C58">
        <w:rPr>
          <w:noProof/>
        </w:rPr>
        <w:t>2</w:t>
      </w:r>
      <w:r w:rsidR="006F0375">
        <w:fldChar w:fldCharType="end"/>
      </w:r>
      <w:r w:rsidR="006F0375">
        <w:t xml:space="preserve"> shows an example of a </w:t>
      </w:r>
      <w:r w:rsidR="006F0375" w:rsidRPr="006F0375">
        <w:rPr>
          <w:b/>
        </w:rPr>
        <w:t>periodic</w:t>
      </w:r>
      <w:r w:rsidR="006F0375">
        <w:t xml:space="preserve"> pattern, that would provide multiple periodic opportunities for </w:t>
      </w:r>
      <w:r w:rsidR="006F0375" w:rsidRPr="006F0375">
        <w:rPr>
          <w:i/>
        </w:rPr>
        <w:t>measurements and tracking</w:t>
      </w:r>
      <w:r w:rsidR="006F0375">
        <w:t xml:space="preserve">. A </w:t>
      </w:r>
      <w:r w:rsidR="006F0375" w:rsidRPr="006F0375">
        <w:rPr>
          <w:b/>
        </w:rPr>
        <w:t>pseudo-random</w:t>
      </w:r>
      <w:r w:rsidR="006F0375">
        <w:t xml:space="preserve"> pattern, where an IAB-n</w:t>
      </w:r>
      <w:r w:rsidR="00FB7BB8">
        <w:t>ode chooses the resources for TX</w:t>
      </w:r>
      <w:r w:rsidR="006F0375">
        <w:t xml:space="preserve"> and R</w:t>
      </w:r>
      <w:r w:rsidR="00FB7BB8">
        <w:t>X</w:t>
      </w:r>
      <w:r w:rsidR="006F0375">
        <w:t xml:space="preserve"> more randomly, seems more suitable to increase the chance of </w:t>
      </w:r>
      <w:r w:rsidR="006F0375" w:rsidRPr="006F0375">
        <w:rPr>
          <w:i/>
        </w:rPr>
        <w:t>discovery</w:t>
      </w:r>
      <w:r w:rsidR="006F0375">
        <w:t xml:space="preserve">. On the other hand, the coordination can be done more </w:t>
      </w:r>
      <w:r w:rsidR="006F0375" w:rsidRPr="00D63913">
        <w:rPr>
          <w:b/>
        </w:rPr>
        <w:t>dynamically</w:t>
      </w:r>
      <w:r w:rsidR="006F0375">
        <w:t xml:space="preserve"> to provide </w:t>
      </w:r>
      <w:r w:rsidR="006F0375" w:rsidRPr="00D63913">
        <w:rPr>
          <w:i/>
        </w:rPr>
        <w:t>flexibility</w:t>
      </w:r>
      <w:r w:rsidR="006F0375">
        <w:t xml:space="preserve"> to (re)select an efficient pattern.</w:t>
      </w:r>
    </w:p>
    <w:p w14:paraId="6965E97F" w14:textId="4657BD63" w:rsidR="006F0375" w:rsidRDefault="006F0375" w:rsidP="006F0375">
      <w:pPr>
        <w:pStyle w:val="Caption"/>
        <w:keepNext/>
        <w:jc w:val="center"/>
      </w:pPr>
      <w:bookmarkStart w:id="9" w:name="_Ref521587658"/>
      <w:r>
        <w:t xml:space="preserve">Table </w:t>
      </w:r>
      <w:r w:rsidR="00C46E82">
        <w:rPr>
          <w:noProof/>
        </w:rPr>
        <w:fldChar w:fldCharType="begin"/>
      </w:r>
      <w:r w:rsidR="00C46E82">
        <w:rPr>
          <w:noProof/>
        </w:rPr>
        <w:instrText xml:space="preserve"> SEQ Table \* ARABIC </w:instrText>
      </w:r>
      <w:r w:rsidR="00C46E82">
        <w:rPr>
          <w:noProof/>
        </w:rPr>
        <w:fldChar w:fldCharType="separate"/>
      </w:r>
      <w:r w:rsidR="004D1C58">
        <w:rPr>
          <w:noProof/>
        </w:rPr>
        <w:t>2</w:t>
      </w:r>
      <w:r w:rsidR="00C46E82">
        <w:rPr>
          <w:noProof/>
        </w:rPr>
        <w:fldChar w:fldCharType="end"/>
      </w:r>
      <w:bookmarkEnd w:id="9"/>
      <w:r>
        <w:t>: TX/RX coordination pattern</w:t>
      </w:r>
    </w:p>
    <w:tbl>
      <w:tblPr>
        <w:tblStyle w:val="GridTable4"/>
        <w:tblW w:w="8122" w:type="dxa"/>
        <w:jc w:val="center"/>
        <w:tblLook w:val="0420" w:firstRow="1" w:lastRow="0" w:firstColumn="0" w:lastColumn="0" w:noHBand="0" w:noVBand="1"/>
      </w:tblPr>
      <w:tblGrid>
        <w:gridCol w:w="2247"/>
        <w:gridCol w:w="2382"/>
        <w:gridCol w:w="1212"/>
        <w:gridCol w:w="2281"/>
      </w:tblGrid>
      <w:tr w:rsidR="00E42E33" w:rsidRPr="00E42E33" w14:paraId="0B00A5FF" w14:textId="77777777" w:rsidTr="00CA2E7E">
        <w:trPr>
          <w:cnfStyle w:val="100000000000" w:firstRow="1" w:lastRow="0" w:firstColumn="0" w:lastColumn="0" w:oddVBand="0" w:evenVBand="0" w:oddHBand="0" w:evenHBand="0" w:firstRowFirstColumn="0" w:firstRowLastColumn="0" w:lastRowFirstColumn="0" w:lastRowLastColumn="0"/>
          <w:trHeight w:val="340"/>
          <w:jc w:val="center"/>
        </w:trPr>
        <w:tc>
          <w:tcPr>
            <w:tcW w:w="2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DC455BF" w14:textId="77777777" w:rsidR="00E42E33" w:rsidRPr="00E42E33" w:rsidRDefault="00E42E33" w:rsidP="00E42E33">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Pattern</w:t>
            </w:r>
          </w:p>
        </w:tc>
        <w:tc>
          <w:tcPr>
            <w:tcW w:w="23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01A51B0" w14:textId="77777777" w:rsidR="00E42E33" w:rsidRPr="00E42E33" w:rsidRDefault="00E42E33" w:rsidP="00E42E33">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Signaling overhead</w:t>
            </w:r>
          </w:p>
        </w:tc>
        <w:tc>
          <w:tcPr>
            <w:tcW w:w="12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CBC837D" w14:textId="77777777" w:rsidR="00E42E33" w:rsidRPr="00E42E33" w:rsidRDefault="00E42E33" w:rsidP="00E42E33">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Flexibility</w:t>
            </w:r>
          </w:p>
        </w:tc>
        <w:tc>
          <w:tcPr>
            <w:tcW w:w="2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70D0EE1" w14:textId="77777777" w:rsidR="00E42E33" w:rsidRPr="00E42E33" w:rsidRDefault="00E42E33" w:rsidP="00E42E33">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 xml:space="preserve">Main use case </w:t>
            </w:r>
          </w:p>
        </w:tc>
      </w:tr>
      <w:tr w:rsidR="00E42E33" w:rsidRPr="00E42E33" w14:paraId="46B332DC" w14:textId="77777777" w:rsidTr="00CA2E7E">
        <w:trPr>
          <w:cnfStyle w:val="000000100000" w:firstRow="0" w:lastRow="0" w:firstColumn="0" w:lastColumn="0" w:oddVBand="0" w:evenVBand="0" w:oddHBand="1" w:evenHBand="0" w:firstRowFirstColumn="0" w:firstRowLastColumn="0" w:lastRowFirstColumn="0" w:lastRowLastColumn="0"/>
          <w:trHeight w:val="340"/>
          <w:jc w:val="center"/>
        </w:trPr>
        <w:tc>
          <w:tcPr>
            <w:tcW w:w="2247" w:type="dxa"/>
            <w:tcBorders>
              <w:top w:val="single" w:sz="4" w:space="0" w:color="FFFFFF" w:themeColor="background1"/>
            </w:tcBorders>
            <w:hideMark/>
          </w:tcPr>
          <w:p w14:paraId="32ECF124"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b/>
                <w:bCs/>
                <w:color w:val="000000" w:themeColor="dark1"/>
                <w:kern w:val="24"/>
                <w:sz w:val="24"/>
                <w:szCs w:val="24"/>
              </w:rPr>
              <w:t>Semi-persistent/periodic</w:t>
            </w:r>
          </w:p>
        </w:tc>
        <w:tc>
          <w:tcPr>
            <w:tcW w:w="2382" w:type="dxa"/>
            <w:tcBorders>
              <w:top w:val="single" w:sz="4" w:space="0" w:color="FFFFFF" w:themeColor="background1"/>
            </w:tcBorders>
            <w:hideMark/>
          </w:tcPr>
          <w:p w14:paraId="46EBD32F" w14:textId="580BF1B1"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None (</w:t>
            </w:r>
            <w:r w:rsidR="00D90536" w:rsidRPr="00E42E33">
              <w:rPr>
                <w:rFonts w:ascii="Microsoft Sans Serif" w:eastAsia="Times New Roman" w:hAnsi="Microsoft Sans Serif" w:cs="Microsoft Sans Serif"/>
                <w:color w:val="000000" w:themeColor="dark1"/>
                <w:kern w:val="24"/>
                <w:sz w:val="24"/>
                <w:szCs w:val="24"/>
              </w:rPr>
              <w:t>spec’d</w:t>
            </w:r>
            <w:r w:rsidRPr="00E42E33">
              <w:rPr>
                <w:rFonts w:ascii="Microsoft Sans Serif" w:eastAsia="Times New Roman" w:hAnsi="Microsoft Sans Serif" w:cs="Microsoft Sans Serif"/>
                <w:color w:val="000000" w:themeColor="dark1"/>
                <w:kern w:val="24"/>
                <w:sz w:val="24"/>
                <w:szCs w:val="24"/>
              </w:rPr>
              <w:t>) to medium</w:t>
            </w:r>
          </w:p>
        </w:tc>
        <w:tc>
          <w:tcPr>
            <w:tcW w:w="1212" w:type="dxa"/>
            <w:tcBorders>
              <w:top w:val="single" w:sz="4" w:space="0" w:color="FFFFFF" w:themeColor="background1"/>
            </w:tcBorders>
            <w:hideMark/>
          </w:tcPr>
          <w:p w14:paraId="60119B7F"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Medium</w:t>
            </w:r>
          </w:p>
        </w:tc>
        <w:tc>
          <w:tcPr>
            <w:tcW w:w="2281" w:type="dxa"/>
            <w:tcBorders>
              <w:top w:val="single" w:sz="4" w:space="0" w:color="FFFFFF" w:themeColor="background1"/>
            </w:tcBorders>
            <w:hideMark/>
          </w:tcPr>
          <w:p w14:paraId="1E8746C8"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Measurement</w:t>
            </w:r>
          </w:p>
        </w:tc>
      </w:tr>
      <w:tr w:rsidR="00E42E33" w:rsidRPr="00E42E33" w14:paraId="114A5D9C" w14:textId="77777777" w:rsidTr="00CA2E7E">
        <w:trPr>
          <w:trHeight w:val="340"/>
          <w:jc w:val="center"/>
        </w:trPr>
        <w:tc>
          <w:tcPr>
            <w:tcW w:w="2247" w:type="dxa"/>
            <w:hideMark/>
          </w:tcPr>
          <w:p w14:paraId="63B2F158"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b/>
                <w:bCs/>
                <w:color w:val="000000" w:themeColor="dark1"/>
                <w:kern w:val="24"/>
                <w:sz w:val="24"/>
                <w:szCs w:val="24"/>
              </w:rPr>
              <w:t>Pseudo-random</w:t>
            </w:r>
          </w:p>
        </w:tc>
        <w:tc>
          <w:tcPr>
            <w:tcW w:w="2382" w:type="dxa"/>
            <w:hideMark/>
          </w:tcPr>
          <w:p w14:paraId="62E1AB7C" w14:textId="1112D995"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None (</w:t>
            </w:r>
            <w:r w:rsidR="00D90536" w:rsidRPr="00E42E33">
              <w:rPr>
                <w:rFonts w:ascii="Microsoft Sans Serif" w:eastAsia="Times New Roman" w:hAnsi="Microsoft Sans Serif" w:cs="Microsoft Sans Serif"/>
                <w:color w:val="000000" w:themeColor="dark1"/>
                <w:kern w:val="24"/>
                <w:sz w:val="24"/>
                <w:szCs w:val="24"/>
              </w:rPr>
              <w:t>spec’d</w:t>
            </w:r>
            <w:r w:rsidRPr="00E42E33">
              <w:rPr>
                <w:rFonts w:ascii="Microsoft Sans Serif" w:eastAsia="Times New Roman" w:hAnsi="Microsoft Sans Serif" w:cs="Microsoft Sans Serif"/>
                <w:color w:val="000000" w:themeColor="dark1"/>
                <w:kern w:val="24"/>
                <w:sz w:val="24"/>
                <w:szCs w:val="24"/>
              </w:rPr>
              <w:t>) to low</w:t>
            </w:r>
          </w:p>
        </w:tc>
        <w:tc>
          <w:tcPr>
            <w:tcW w:w="1212" w:type="dxa"/>
            <w:hideMark/>
          </w:tcPr>
          <w:p w14:paraId="067CB12E"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Low</w:t>
            </w:r>
          </w:p>
        </w:tc>
        <w:tc>
          <w:tcPr>
            <w:tcW w:w="2281" w:type="dxa"/>
            <w:hideMark/>
          </w:tcPr>
          <w:p w14:paraId="78A5F239"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Discovery</w:t>
            </w:r>
          </w:p>
        </w:tc>
      </w:tr>
      <w:tr w:rsidR="00E42E33" w:rsidRPr="00E42E33" w14:paraId="14D4D898" w14:textId="77777777" w:rsidTr="00CA2E7E">
        <w:trPr>
          <w:cnfStyle w:val="000000100000" w:firstRow="0" w:lastRow="0" w:firstColumn="0" w:lastColumn="0" w:oddVBand="0" w:evenVBand="0" w:oddHBand="1" w:evenHBand="0" w:firstRowFirstColumn="0" w:firstRowLastColumn="0" w:lastRowFirstColumn="0" w:lastRowLastColumn="0"/>
          <w:trHeight w:val="340"/>
          <w:jc w:val="center"/>
        </w:trPr>
        <w:tc>
          <w:tcPr>
            <w:tcW w:w="2247" w:type="dxa"/>
            <w:hideMark/>
          </w:tcPr>
          <w:p w14:paraId="6CF5E889"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b/>
                <w:bCs/>
                <w:color w:val="000000" w:themeColor="dark1"/>
                <w:kern w:val="24"/>
                <w:sz w:val="24"/>
                <w:szCs w:val="24"/>
              </w:rPr>
              <w:t>Dynamic</w:t>
            </w:r>
          </w:p>
        </w:tc>
        <w:tc>
          <w:tcPr>
            <w:tcW w:w="2382" w:type="dxa"/>
            <w:hideMark/>
          </w:tcPr>
          <w:p w14:paraId="30E6B8D2"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High</w:t>
            </w:r>
          </w:p>
        </w:tc>
        <w:tc>
          <w:tcPr>
            <w:tcW w:w="1212" w:type="dxa"/>
            <w:hideMark/>
          </w:tcPr>
          <w:p w14:paraId="1E4D1D3E"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High</w:t>
            </w:r>
          </w:p>
        </w:tc>
        <w:tc>
          <w:tcPr>
            <w:tcW w:w="2281" w:type="dxa"/>
            <w:hideMark/>
          </w:tcPr>
          <w:p w14:paraId="0F679BE8" w14:textId="77777777" w:rsidR="00E42E33" w:rsidRPr="00E42E33" w:rsidRDefault="00E42E33" w:rsidP="00E42E33">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Discovery/ measurement</w:t>
            </w:r>
          </w:p>
        </w:tc>
      </w:tr>
    </w:tbl>
    <w:p w14:paraId="2D004A3D" w14:textId="753814DD" w:rsidR="00E42E33" w:rsidRDefault="00E42E33" w:rsidP="00F74044"/>
    <w:p w14:paraId="47DD6346" w14:textId="458A3657" w:rsidR="00F74044" w:rsidRDefault="00D63913" w:rsidP="00F74044">
      <w:pPr>
        <w:rPr>
          <w:b/>
        </w:rPr>
      </w:pPr>
      <w:r>
        <w:rPr>
          <w:b/>
        </w:rPr>
        <w:t>Proposal</w:t>
      </w:r>
      <w:r w:rsidR="00F74044" w:rsidRPr="00F74140">
        <w:rPr>
          <w:b/>
        </w:rPr>
        <w:t xml:space="preserve"> </w:t>
      </w:r>
      <w:r w:rsidR="00F74044">
        <w:rPr>
          <w:b/>
        </w:rPr>
        <w:t>2.</w:t>
      </w:r>
      <w:r>
        <w:rPr>
          <w:b/>
        </w:rPr>
        <w:t>1</w:t>
      </w:r>
      <w:r w:rsidR="00F74044" w:rsidRPr="00F74140">
        <w:rPr>
          <w:b/>
        </w:rPr>
        <w:t xml:space="preserve">: </w:t>
      </w:r>
      <w:r>
        <w:rPr>
          <w:b/>
        </w:rPr>
        <w:t xml:space="preserve">to address the half-duplex constraint in the IAB-node discovery and measurements, support different </w:t>
      </w:r>
      <w:r w:rsidR="00F74044">
        <w:rPr>
          <w:b/>
        </w:rPr>
        <w:t>TX/RX coordination</w:t>
      </w:r>
      <w:r w:rsidR="00F74044" w:rsidRPr="00C916BF">
        <w:rPr>
          <w:b/>
        </w:rPr>
        <w:t xml:space="preserve"> pattern</w:t>
      </w:r>
      <w:r>
        <w:rPr>
          <w:b/>
        </w:rPr>
        <w:t>s. The patterns may be (pseudo-)random, semi-persistent/</w:t>
      </w:r>
      <w:r w:rsidR="00F74044">
        <w:rPr>
          <w:b/>
        </w:rPr>
        <w:t xml:space="preserve">periodic, </w:t>
      </w:r>
      <w:r>
        <w:rPr>
          <w:b/>
        </w:rPr>
        <w:t xml:space="preserve">or </w:t>
      </w:r>
      <w:r w:rsidR="00F74044">
        <w:rPr>
          <w:b/>
        </w:rPr>
        <w:t>dynamic</w:t>
      </w:r>
      <w:r>
        <w:rPr>
          <w:b/>
        </w:rPr>
        <w:t>ally configured</w:t>
      </w:r>
      <w:r w:rsidR="00F74044">
        <w:rPr>
          <w:b/>
        </w:rPr>
        <w:t xml:space="preserve">. </w:t>
      </w:r>
    </w:p>
    <w:p w14:paraId="386BC628" w14:textId="2CC864DE" w:rsidR="00D63913" w:rsidRDefault="00D63913" w:rsidP="00F74044"/>
    <w:p w14:paraId="35FFC837" w14:textId="405FDA59" w:rsidR="00DB2223" w:rsidRDefault="00D63913" w:rsidP="00F74044">
      <w:r>
        <w:t xml:space="preserve">There are also different ways to configure the coordination pattern. In general, the configuration may be done in a centralized manner by the network (e.g. IAB-donor’s CU), or in a distributed way. </w:t>
      </w:r>
      <w:r w:rsidR="00DB2223">
        <w:t>Centralized scheme</w:t>
      </w:r>
      <w:r w:rsidR="00FB7BB8">
        <w:t>s</w:t>
      </w:r>
      <w:r w:rsidR="00DB2223">
        <w:t xml:space="preserve"> allow </w:t>
      </w:r>
      <w:r w:rsidR="00FB7BB8">
        <w:t>better</w:t>
      </w:r>
      <w:r w:rsidR="00DB2223">
        <w:t xml:space="preserve"> </w:t>
      </w:r>
      <w:r w:rsidR="00D90536">
        <w:t>optimization</w:t>
      </w:r>
      <w:r w:rsidR="00FB7BB8">
        <w:t>s</w:t>
      </w:r>
      <w:r w:rsidR="00D90536">
        <w:t xml:space="preserve"> but</w:t>
      </w:r>
      <w:r w:rsidR="00DB2223">
        <w:t xml:space="preserve"> may impose more signaling overhead and a slower operation. In the distributed schemes, we may either consider distributed coordination among IAB-nodes to determine a TX/RX </w:t>
      </w:r>
      <w:r w:rsidR="00D90536">
        <w:t>pattern or</w:t>
      </w:r>
      <w:r w:rsidR="00DB2223">
        <w:t xml:space="preserve"> predefine some rules that can be followed by each IAB-node individually</w:t>
      </w:r>
      <w:r w:rsidR="00FB7BB8">
        <w:t>,</w:t>
      </w:r>
      <w:r w:rsidR="00DB2223">
        <w:t xml:space="preserve"> with no need to do explicit coordination. The required signaling to enable these different schemes should be further studied. </w:t>
      </w:r>
    </w:p>
    <w:p w14:paraId="6472A547" w14:textId="68E596BC" w:rsidR="00DB2223" w:rsidRDefault="00DB2223" w:rsidP="00DB2223">
      <w:pPr>
        <w:pStyle w:val="Caption"/>
        <w:keepNext/>
        <w:jc w:val="center"/>
      </w:pPr>
      <w:r>
        <w:t xml:space="preserve">Table </w:t>
      </w:r>
      <w:r w:rsidR="00C46E82">
        <w:rPr>
          <w:noProof/>
        </w:rPr>
        <w:fldChar w:fldCharType="begin"/>
      </w:r>
      <w:r w:rsidR="00C46E82">
        <w:rPr>
          <w:noProof/>
        </w:rPr>
        <w:instrText xml:space="preserve"> SEQ Table \* ARABIC </w:instrText>
      </w:r>
      <w:r w:rsidR="00C46E82">
        <w:rPr>
          <w:noProof/>
        </w:rPr>
        <w:fldChar w:fldCharType="separate"/>
      </w:r>
      <w:r w:rsidR="004D1C58">
        <w:rPr>
          <w:noProof/>
        </w:rPr>
        <w:t>3</w:t>
      </w:r>
      <w:r w:rsidR="00C46E82">
        <w:rPr>
          <w:noProof/>
        </w:rPr>
        <w:fldChar w:fldCharType="end"/>
      </w:r>
      <w:r>
        <w:t>: Configuration of TX/RX pattern</w:t>
      </w:r>
    </w:p>
    <w:tbl>
      <w:tblPr>
        <w:tblStyle w:val="GridTable4"/>
        <w:tblW w:w="97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20" w:firstRow="1" w:lastRow="0" w:firstColumn="0" w:lastColumn="0" w:noHBand="0" w:noVBand="1"/>
      </w:tblPr>
      <w:tblGrid>
        <w:gridCol w:w="1507"/>
        <w:gridCol w:w="3168"/>
        <w:gridCol w:w="2425"/>
        <w:gridCol w:w="2680"/>
      </w:tblGrid>
      <w:tr w:rsidR="00DB2223" w:rsidRPr="00DB2223" w14:paraId="7AC5E855" w14:textId="77777777" w:rsidTr="00CA2E7E">
        <w:trPr>
          <w:cnfStyle w:val="100000000000" w:firstRow="1" w:lastRow="0" w:firstColumn="0" w:lastColumn="0" w:oddVBand="0" w:evenVBand="0" w:oddHBand="0" w:evenHBand="0" w:firstRowFirstColumn="0" w:firstRowLastColumn="0" w:lastRowFirstColumn="0" w:lastRowLastColumn="0"/>
          <w:trHeight w:val="432"/>
        </w:trPr>
        <w:tc>
          <w:tcPr>
            <w:tcW w:w="1507" w:type="dxa"/>
            <w:tcBorders>
              <w:top w:val="none" w:sz="0" w:space="0" w:color="auto"/>
              <w:left w:val="none" w:sz="0" w:space="0" w:color="auto"/>
              <w:bottom w:val="single" w:sz="4" w:space="0" w:color="FFFFFF" w:themeColor="background1"/>
              <w:right w:val="none" w:sz="0" w:space="0" w:color="auto"/>
            </w:tcBorders>
            <w:hideMark/>
          </w:tcPr>
          <w:p w14:paraId="1DF8026A" w14:textId="66513D94" w:rsidR="00DB2223" w:rsidRPr="00DB2223" w:rsidRDefault="00FB7BB8" w:rsidP="00DB2223">
            <w:pPr>
              <w:spacing w:after="0" w:line="240" w:lineRule="auto"/>
              <w:jc w:val="center"/>
              <w:rPr>
                <w:rFonts w:ascii="Arial" w:eastAsia="Times New Roman" w:hAnsi="Arial" w:cs="Arial"/>
                <w:sz w:val="24"/>
                <w:szCs w:val="24"/>
              </w:rPr>
            </w:pPr>
            <w:r>
              <w:rPr>
                <w:rFonts w:ascii="Microsoft Sans Serif" w:eastAsia="Times New Roman" w:hAnsi="Microsoft Sans Serif" w:cs="Microsoft Sans Serif"/>
                <w:color w:val="FFFFFF" w:themeColor="light1"/>
                <w:kern w:val="24"/>
                <w:sz w:val="24"/>
                <w:szCs w:val="24"/>
              </w:rPr>
              <w:t>Method</w:t>
            </w:r>
          </w:p>
        </w:tc>
        <w:tc>
          <w:tcPr>
            <w:tcW w:w="3168" w:type="dxa"/>
            <w:tcBorders>
              <w:top w:val="none" w:sz="0" w:space="0" w:color="auto"/>
              <w:left w:val="none" w:sz="0" w:space="0" w:color="auto"/>
              <w:bottom w:val="single" w:sz="4" w:space="0" w:color="FFFFFF" w:themeColor="background1"/>
              <w:right w:val="none" w:sz="0" w:space="0" w:color="auto"/>
            </w:tcBorders>
            <w:hideMark/>
          </w:tcPr>
          <w:p w14:paraId="4E81608B" w14:textId="77777777" w:rsidR="00DB2223" w:rsidRPr="00DB2223" w:rsidRDefault="00DB2223" w:rsidP="00DB2223">
            <w:pPr>
              <w:spacing w:after="0" w:line="240" w:lineRule="auto"/>
              <w:jc w:val="center"/>
              <w:rPr>
                <w:rFonts w:ascii="Arial" w:eastAsia="Times New Roman" w:hAnsi="Arial" w:cs="Arial"/>
                <w:sz w:val="24"/>
                <w:szCs w:val="24"/>
              </w:rPr>
            </w:pPr>
            <w:r w:rsidRPr="00DB2223">
              <w:rPr>
                <w:rFonts w:ascii="Microsoft Sans Serif" w:eastAsia="Times New Roman" w:hAnsi="Microsoft Sans Serif" w:cs="Microsoft Sans Serif"/>
                <w:color w:val="FFFFFF" w:themeColor="light1"/>
                <w:kern w:val="24"/>
                <w:sz w:val="24"/>
                <w:szCs w:val="24"/>
              </w:rPr>
              <w:t>Description</w:t>
            </w:r>
          </w:p>
        </w:tc>
        <w:tc>
          <w:tcPr>
            <w:tcW w:w="2425" w:type="dxa"/>
            <w:tcBorders>
              <w:top w:val="none" w:sz="0" w:space="0" w:color="auto"/>
              <w:left w:val="none" w:sz="0" w:space="0" w:color="auto"/>
              <w:bottom w:val="single" w:sz="4" w:space="0" w:color="FFFFFF" w:themeColor="background1"/>
              <w:right w:val="none" w:sz="0" w:space="0" w:color="auto"/>
            </w:tcBorders>
            <w:hideMark/>
          </w:tcPr>
          <w:p w14:paraId="54618BA3" w14:textId="77777777" w:rsidR="00DB2223" w:rsidRPr="00DB2223" w:rsidRDefault="00DB2223" w:rsidP="00DB2223">
            <w:pPr>
              <w:spacing w:after="0" w:line="240" w:lineRule="auto"/>
              <w:jc w:val="center"/>
              <w:rPr>
                <w:rFonts w:ascii="Arial" w:eastAsia="Times New Roman" w:hAnsi="Arial" w:cs="Arial"/>
                <w:sz w:val="24"/>
                <w:szCs w:val="24"/>
              </w:rPr>
            </w:pPr>
            <w:r w:rsidRPr="00DB2223">
              <w:rPr>
                <w:rFonts w:ascii="Microsoft Sans Serif" w:eastAsia="Times New Roman" w:hAnsi="Microsoft Sans Serif" w:cs="Microsoft Sans Serif"/>
                <w:color w:val="FFFFFF" w:themeColor="light1"/>
                <w:kern w:val="24"/>
                <w:sz w:val="24"/>
                <w:szCs w:val="24"/>
              </w:rPr>
              <w:t>Determination</w:t>
            </w:r>
          </w:p>
        </w:tc>
        <w:tc>
          <w:tcPr>
            <w:tcW w:w="2680" w:type="dxa"/>
            <w:tcBorders>
              <w:top w:val="none" w:sz="0" w:space="0" w:color="auto"/>
              <w:left w:val="none" w:sz="0" w:space="0" w:color="auto"/>
              <w:bottom w:val="single" w:sz="4" w:space="0" w:color="FFFFFF" w:themeColor="background1"/>
              <w:right w:val="none" w:sz="0" w:space="0" w:color="auto"/>
            </w:tcBorders>
            <w:hideMark/>
          </w:tcPr>
          <w:p w14:paraId="3D36CF92" w14:textId="77777777" w:rsidR="00DB2223" w:rsidRPr="00DB2223" w:rsidRDefault="00DB2223" w:rsidP="00DB2223">
            <w:pPr>
              <w:spacing w:after="0" w:line="240" w:lineRule="auto"/>
              <w:jc w:val="center"/>
              <w:rPr>
                <w:rFonts w:ascii="Arial" w:eastAsia="Times New Roman" w:hAnsi="Arial" w:cs="Arial"/>
                <w:sz w:val="24"/>
                <w:szCs w:val="24"/>
              </w:rPr>
            </w:pPr>
            <w:r w:rsidRPr="00DB2223">
              <w:rPr>
                <w:rFonts w:ascii="Microsoft Sans Serif" w:eastAsia="Times New Roman" w:hAnsi="Microsoft Sans Serif" w:cs="Microsoft Sans Serif"/>
                <w:color w:val="FFFFFF" w:themeColor="light1"/>
                <w:kern w:val="24"/>
                <w:sz w:val="24"/>
                <w:szCs w:val="24"/>
              </w:rPr>
              <w:t>Signaling</w:t>
            </w:r>
          </w:p>
        </w:tc>
      </w:tr>
      <w:tr w:rsidR="00DB2223" w:rsidRPr="00DB2223" w14:paraId="43A9133B" w14:textId="77777777" w:rsidTr="00CA2E7E">
        <w:trPr>
          <w:cnfStyle w:val="000000100000" w:firstRow="0" w:lastRow="0" w:firstColumn="0" w:lastColumn="0" w:oddVBand="0" w:evenVBand="0" w:oddHBand="1" w:evenHBand="0" w:firstRowFirstColumn="0" w:firstRowLastColumn="0" w:lastRowFirstColumn="0" w:lastRowLastColumn="0"/>
          <w:trHeight w:val="432"/>
        </w:trPr>
        <w:tc>
          <w:tcPr>
            <w:tcW w:w="1507" w:type="dxa"/>
            <w:tcBorders>
              <w:top w:val="single" w:sz="4" w:space="0" w:color="FFFFFF" w:themeColor="background1"/>
              <w:left w:val="single" w:sz="4" w:space="0" w:color="auto"/>
              <w:bottom w:val="single" w:sz="4" w:space="0" w:color="auto"/>
              <w:right w:val="single" w:sz="4" w:space="0" w:color="auto"/>
            </w:tcBorders>
            <w:vAlign w:val="center"/>
            <w:hideMark/>
          </w:tcPr>
          <w:p w14:paraId="156EEBFC" w14:textId="77777777"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b/>
                <w:bCs/>
                <w:color w:val="000000" w:themeColor="dark1"/>
                <w:kern w:val="24"/>
                <w:sz w:val="24"/>
                <w:szCs w:val="24"/>
              </w:rPr>
              <w:t>Centralized</w:t>
            </w:r>
          </w:p>
        </w:tc>
        <w:tc>
          <w:tcPr>
            <w:tcW w:w="3168" w:type="dxa"/>
            <w:tcBorders>
              <w:top w:val="single" w:sz="4" w:space="0" w:color="FFFFFF" w:themeColor="background1"/>
              <w:left w:val="single" w:sz="4" w:space="0" w:color="auto"/>
              <w:bottom w:val="single" w:sz="4" w:space="0" w:color="auto"/>
              <w:right w:val="single" w:sz="4" w:space="0" w:color="auto"/>
            </w:tcBorders>
            <w:vAlign w:val="center"/>
            <w:hideMark/>
          </w:tcPr>
          <w:p w14:paraId="5B5FD3A0" w14:textId="77777777"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Determined by the NW, and indicated to IAB-nodes</w:t>
            </w:r>
          </w:p>
        </w:tc>
        <w:tc>
          <w:tcPr>
            <w:tcW w:w="2425" w:type="dxa"/>
            <w:tcBorders>
              <w:top w:val="single" w:sz="4" w:space="0" w:color="FFFFFF" w:themeColor="background1"/>
              <w:left w:val="single" w:sz="4" w:space="0" w:color="auto"/>
              <w:bottom w:val="single" w:sz="4" w:space="0" w:color="auto"/>
              <w:right w:val="single" w:sz="4" w:space="0" w:color="auto"/>
            </w:tcBorders>
            <w:vAlign w:val="center"/>
            <w:hideMark/>
          </w:tcPr>
          <w:p w14:paraId="064679FE" w14:textId="77777777"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Left to implementation</w:t>
            </w:r>
          </w:p>
        </w:tc>
        <w:tc>
          <w:tcPr>
            <w:tcW w:w="2680" w:type="dxa"/>
            <w:tcBorders>
              <w:top w:val="single" w:sz="4" w:space="0" w:color="FFFFFF" w:themeColor="background1"/>
              <w:left w:val="single" w:sz="4" w:space="0" w:color="auto"/>
              <w:bottom w:val="single" w:sz="4" w:space="0" w:color="auto"/>
              <w:right w:val="single" w:sz="4" w:space="0" w:color="auto"/>
            </w:tcBorders>
            <w:vAlign w:val="center"/>
            <w:hideMark/>
          </w:tcPr>
          <w:p w14:paraId="58C2C915" w14:textId="7BD94C65"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 xml:space="preserve">Measurements + </w:t>
            </w:r>
            <w:r w:rsidRPr="00DB2223">
              <w:rPr>
                <w:rFonts w:ascii="Microsoft Sans Serif" w:eastAsia="Times New Roman" w:hAnsi="Microsoft Sans Serif" w:cs="Microsoft Sans Serif"/>
                <w:color w:val="C00000"/>
                <w:kern w:val="24"/>
                <w:sz w:val="24"/>
                <w:szCs w:val="24"/>
              </w:rPr>
              <w:t>configuration (</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r>
      <w:tr w:rsidR="00DB2223" w:rsidRPr="00DB2223" w14:paraId="585EB4AB" w14:textId="77777777" w:rsidTr="00CA2E7E">
        <w:trPr>
          <w:trHeight w:val="432"/>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85387CA" w14:textId="77777777"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b/>
                <w:bCs/>
                <w:color w:val="000000" w:themeColor="dark1"/>
                <w:kern w:val="24"/>
                <w:sz w:val="24"/>
                <w:szCs w:val="24"/>
              </w:rPr>
              <w:t>Distributed</w:t>
            </w:r>
          </w:p>
        </w:tc>
        <w:tc>
          <w:tcPr>
            <w:tcW w:w="3168" w:type="dxa"/>
            <w:tcBorders>
              <w:top w:val="single" w:sz="4" w:space="0" w:color="auto"/>
              <w:left w:val="single" w:sz="4" w:space="0" w:color="auto"/>
              <w:bottom w:val="single" w:sz="4" w:space="0" w:color="auto"/>
              <w:right w:val="single" w:sz="4" w:space="0" w:color="auto"/>
            </w:tcBorders>
            <w:vAlign w:val="center"/>
            <w:hideMark/>
          </w:tcPr>
          <w:p w14:paraId="478D238E" w14:textId="77777777"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Distributed coordination</w:t>
            </w:r>
          </w:p>
        </w:tc>
        <w:tc>
          <w:tcPr>
            <w:tcW w:w="2425" w:type="dxa"/>
            <w:tcBorders>
              <w:top w:val="single" w:sz="4" w:space="0" w:color="auto"/>
              <w:left w:val="single" w:sz="4" w:space="0" w:color="auto"/>
              <w:bottom w:val="single" w:sz="4" w:space="0" w:color="auto"/>
              <w:right w:val="single" w:sz="4" w:space="0" w:color="auto"/>
            </w:tcBorders>
            <w:vAlign w:val="center"/>
            <w:hideMark/>
          </w:tcPr>
          <w:p w14:paraId="0C99C9E4" w14:textId="3B4A5580"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To be spec</w:t>
            </w:r>
            <w:r>
              <w:rPr>
                <w:rFonts w:ascii="Microsoft Sans Serif" w:eastAsia="Times New Roman" w:hAnsi="Microsoft Sans Serif" w:cs="Microsoft Sans Serif"/>
                <w:color w:val="000000" w:themeColor="dark1"/>
                <w:kern w:val="24"/>
                <w:sz w:val="24"/>
                <w:szCs w:val="24"/>
              </w:rPr>
              <w:t>ified</w:t>
            </w:r>
            <w:r w:rsidRPr="00DB2223">
              <w:rPr>
                <w:rFonts w:ascii="Microsoft Sans Serif" w:eastAsia="Times New Roman" w:hAnsi="Microsoft Sans Serif" w:cs="Microsoft Sans Serif"/>
                <w:color w:val="000000" w:themeColor="dark1"/>
                <w:kern w:val="24"/>
                <w:sz w:val="24"/>
                <w:szCs w:val="24"/>
              </w:rPr>
              <w:t xml:space="preserve"> </w:t>
            </w:r>
            <w:r w:rsidRPr="00DB2223">
              <w:rPr>
                <w:rFonts w:ascii="Microsoft Sans Serif" w:eastAsia="Times New Roman" w:hAnsi="Microsoft Sans Serif" w:cs="Microsoft Sans Serif"/>
                <w:color w:val="C00000"/>
                <w:kern w:val="24"/>
                <w:sz w:val="24"/>
                <w:szCs w:val="24"/>
              </w:rPr>
              <w:t>(</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c>
          <w:tcPr>
            <w:tcW w:w="2680" w:type="dxa"/>
            <w:tcBorders>
              <w:top w:val="single" w:sz="4" w:space="0" w:color="auto"/>
              <w:left w:val="single" w:sz="4" w:space="0" w:color="auto"/>
              <w:bottom w:val="single" w:sz="4" w:space="0" w:color="auto"/>
              <w:right w:val="single" w:sz="4" w:space="0" w:color="auto"/>
            </w:tcBorders>
            <w:vAlign w:val="center"/>
            <w:hideMark/>
          </w:tcPr>
          <w:p w14:paraId="02E2F85D" w14:textId="1333FBD7"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C00000"/>
                <w:kern w:val="24"/>
                <w:sz w:val="24"/>
                <w:szCs w:val="24"/>
              </w:rPr>
              <w:t>Coordination + configuration (</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r>
      <w:tr w:rsidR="00DB2223" w:rsidRPr="00DB2223" w14:paraId="1A7BB4AB" w14:textId="77777777" w:rsidTr="00CA2E7E">
        <w:trPr>
          <w:cnfStyle w:val="000000100000" w:firstRow="0" w:lastRow="0" w:firstColumn="0" w:lastColumn="0" w:oddVBand="0" w:evenVBand="0" w:oddHBand="1" w:evenHBand="0" w:firstRowFirstColumn="0" w:firstRowLastColumn="0" w:lastRowFirstColumn="0" w:lastRowLastColumn="0"/>
          <w:trHeight w:val="14"/>
        </w:trPr>
        <w:tc>
          <w:tcPr>
            <w:tcW w:w="1507" w:type="dxa"/>
            <w:vMerge/>
            <w:tcBorders>
              <w:top w:val="single" w:sz="4" w:space="0" w:color="auto"/>
              <w:left w:val="single" w:sz="4" w:space="0" w:color="auto"/>
              <w:bottom w:val="single" w:sz="4" w:space="0" w:color="auto"/>
              <w:right w:val="single" w:sz="4" w:space="0" w:color="auto"/>
            </w:tcBorders>
            <w:vAlign w:val="center"/>
            <w:hideMark/>
          </w:tcPr>
          <w:p w14:paraId="4445D665" w14:textId="77777777" w:rsidR="00DB2223" w:rsidRPr="00DB2223" w:rsidRDefault="00DB2223" w:rsidP="00CA2E7E">
            <w:pPr>
              <w:spacing w:after="0" w:line="240" w:lineRule="auto"/>
              <w:rPr>
                <w:rFonts w:ascii="Arial" w:eastAsia="Times New Roman" w:hAnsi="Arial" w:cs="Arial"/>
                <w:sz w:val="24"/>
                <w:szCs w:val="24"/>
              </w:rPr>
            </w:pPr>
          </w:p>
        </w:tc>
        <w:tc>
          <w:tcPr>
            <w:tcW w:w="3168" w:type="dxa"/>
            <w:tcBorders>
              <w:top w:val="single" w:sz="4" w:space="0" w:color="auto"/>
              <w:left w:val="single" w:sz="4" w:space="0" w:color="auto"/>
              <w:bottom w:val="single" w:sz="4" w:space="0" w:color="auto"/>
              <w:right w:val="single" w:sz="4" w:space="0" w:color="auto"/>
            </w:tcBorders>
            <w:vAlign w:val="center"/>
            <w:hideMark/>
          </w:tcPr>
          <w:p w14:paraId="463EBC1B" w14:textId="65A83503"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 xml:space="preserve">Following </w:t>
            </w:r>
            <w:r>
              <w:rPr>
                <w:rFonts w:ascii="Microsoft Sans Serif" w:eastAsia="Times New Roman" w:hAnsi="Microsoft Sans Serif" w:cs="Microsoft Sans Serif"/>
                <w:color w:val="000000" w:themeColor="dark1"/>
                <w:kern w:val="24"/>
                <w:sz w:val="24"/>
                <w:szCs w:val="24"/>
              </w:rPr>
              <w:t xml:space="preserve">a </w:t>
            </w:r>
            <w:r w:rsidRPr="00DB2223">
              <w:rPr>
                <w:rFonts w:ascii="Microsoft Sans Serif" w:eastAsia="Times New Roman" w:hAnsi="Microsoft Sans Serif" w:cs="Microsoft Sans Serif"/>
                <w:color w:val="000000" w:themeColor="dark1"/>
                <w:kern w:val="24"/>
                <w:sz w:val="24"/>
                <w:szCs w:val="24"/>
              </w:rPr>
              <w:t>pre-</w:t>
            </w:r>
            <w:r w:rsidR="00D90536" w:rsidRPr="00DB2223">
              <w:rPr>
                <w:rFonts w:ascii="Microsoft Sans Serif" w:eastAsia="Times New Roman" w:hAnsi="Microsoft Sans Serif" w:cs="Microsoft Sans Serif"/>
                <w:color w:val="000000" w:themeColor="dark1"/>
                <w:kern w:val="24"/>
                <w:sz w:val="24"/>
                <w:szCs w:val="24"/>
              </w:rPr>
              <w:t>conf</w:t>
            </w:r>
            <w:r w:rsidR="00D90536">
              <w:rPr>
                <w:rFonts w:ascii="Microsoft Sans Serif" w:eastAsia="Times New Roman" w:hAnsi="Microsoft Sans Serif" w:cs="Microsoft Sans Serif"/>
                <w:color w:val="000000" w:themeColor="dark1"/>
                <w:kern w:val="24"/>
                <w:sz w:val="24"/>
                <w:szCs w:val="24"/>
              </w:rPr>
              <w:t>igured</w:t>
            </w:r>
            <w:r>
              <w:rPr>
                <w:rFonts w:ascii="Microsoft Sans Serif" w:eastAsia="Times New Roman" w:hAnsi="Microsoft Sans Serif" w:cs="Microsoft Sans Serif"/>
                <w:color w:val="000000" w:themeColor="dark1"/>
                <w:kern w:val="24"/>
                <w:sz w:val="24"/>
                <w:szCs w:val="24"/>
              </w:rPr>
              <w:t xml:space="preserve"> rule </w:t>
            </w:r>
            <w:r w:rsidRPr="00DB2223">
              <w:rPr>
                <w:rFonts w:ascii="Microsoft Sans Serif" w:eastAsia="Times New Roman" w:hAnsi="Microsoft Sans Serif" w:cs="Microsoft Sans Serif"/>
                <w:color w:val="000000" w:themeColor="dark1"/>
                <w:kern w:val="24"/>
                <w:sz w:val="24"/>
                <w:szCs w:val="24"/>
              </w:rPr>
              <w:t>(e.g. hop-based, pseudo-random)</w:t>
            </w:r>
          </w:p>
        </w:tc>
        <w:tc>
          <w:tcPr>
            <w:tcW w:w="2425" w:type="dxa"/>
            <w:tcBorders>
              <w:top w:val="single" w:sz="4" w:space="0" w:color="auto"/>
              <w:left w:val="single" w:sz="4" w:space="0" w:color="auto"/>
              <w:bottom w:val="single" w:sz="4" w:space="0" w:color="auto"/>
              <w:right w:val="single" w:sz="4" w:space="0" w:color="auto"/>
            </w:tcBorders>
            <w:vAlign w:val="center"/>
            <w:hideMark/>
          </w:tcPr>
          <w:p w14:paraId="6FC3225C" w14:textId="08E7B82F" w:rsidR="00DB2223" w:rsidRPr="00DB2223" w:rsidRDefault="00DB2223" w:rsidP="00CA2E7E">
            <w:pPr>
              <w:spacing w:after="0" w:line="240" w:lineRule="auto"/>
              <w:rPr>
                <w:rFonts w:ascii="Arial" w:eastAsia="Times New Roman" w:hAnsi="Arial" w:cs="Arial"/>
                <w:sz w:val="24"/>
                <w:szCs w:val="24"/>
              </w:rPr>
            </w:pPr>
            <w:r>
              <w:rPr>
                <w:rFonts w:ascii="Microsoft Sans Serif" w:eastAsia="Times New Roman" w:hAnsi="Microsoft Sans Serif" w:cs="Microsoft Sans Serif"/>
                <w:color w:val="000000" w:themeColor="dark1"/>
                <w:kern w:val="24"/>
                <w:sz w:val="24"/>
                <w:szCs w:val="24"/>
              </w:rPr>
              <w:t>To be specified</w:t>
            </w:r>
            <w:r w:rsidRPr="00DB2223">
              <w:rPr>
                <w:rFonts w:ascii="Microsoft Sans Serif" w:eastAsia="Times New Roman" w:hAnsi="Microsoft Sans Serif" w:cs="Microsoft Sans Serif"/>
                <w:color w:val="000000" w:themeColor="dark1"/>
                <w:kern w:val="24"/>
                <w:sz w:val="24"/>
                <w:szCs w:val="24"/>
              </w:rPr>
              <w:t xml:space="preserve"> </w:t>
            </w:r>
            <w:r w:rsidRPr="00DB2223">
              <w:rPr>
                <w:rFonts w:ascii="Microsoft Sans Serif" w:eastAsia="Times New Roman" w:hAnsi="Microsoft Sans Serif" w:cs="Microsoft Sans Serif"/>
                <w:color w:val="C00000"/>
                <w:kern w:val="24"/>
                <w:sz w:val="24"/>
                <w:szCs w:val="24"/>
              </w:rPr>
              <w:t>(</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C0A195C" w14:textId="77777777" w:rsidR="00DB2223" w:rsidRPr="00DB2223" w:rsidRDefault="00DB2223" w:rsidP="00CA2E7E">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None</w:t>
            </w:r>
          </w:p>
        </w:tc>
      </w:tr>
    </w:tbl>
    <w:p w14:paraId="043AD551" w14:textId="77777777" w:rsidR="00DB2223" w:rsidRDefault="00DB2223" w:rsidP="00F74044"/>
    <w:p w14:paraId="2D26ABB5" w14:textId="4A69E00D" w:rsidR="00DB2223" w:rsidRDefault="00DB2223" w:rsidP="00DB2223">
      <w:pPr>
        <w:rPr>
          <w:b/>
        </w:rPr>
      </w:pPr>
      <w:r>
        <w:rPr>
          <w:b/>
        </w:rPr>
        <w:t>Proposal</w:t>
      </w:r>
      <w:r w:rsidRPr="00F74140">
        <w:rPr>
          <w:b/>
        </w:rPr>
        <w:t xml:space="preserve"> </w:t>
      </w:r>
      <w:r>
        <w:rPr>
          <w:b/>
        </w:rPr>
        <w:t>2.2</w:t>
      </w:r>
      <w:r w:rsidRPr="00F74140">
        <w:rPr>
          <w:b/>
        </w:rPr>
        <w:t xml:space="preserve">: </w:t>
      </w:r>
      <w:r w:rsidR="001B637A">
        <w:rPr>
          <w:b/>
        </w:rPr>
        <w:t>support configuring the TX/RX pattern both centrally (baseline) and in a distributed manner.</w:t>
      </w:r>
    </w:p>
    <w:p w14:paraId="5AC53387" w14:textId="247A2A1C" w:rsidR="001B637A" w:rsidRPr="001B637A" w:rsidRDefault="001B637A" w:rsidP="001B637A">
      <w:pPr>
        <w:pStyle w:val="ListParagraph"/>
        <w:numPr>
          <w:ilvl w:val="0"/>
          <w:numId w:val="26"/>
        </w:numPr>
        <w:ind w:firstLineChars="0"/>
        <w:rPr>
          <w:b/>
        </w:rPr>
      </w:pPr>
      <w:r>
        <w:rPr>
          <w:b/>
        </w:rPr>
        <w:t>FFS the required signaling.</w:t>
      </w:r>
    </w:p>
    <w:p w14:paraId="5320CF95" w14:textId="7DAE373B" w:rsidR="00D63913" w:rsidRDefault="00D63913" w:rsidP="00F74044"/>
    <w:p w14:paraId="1C579070" w14:textId="25B0C7E0" w:rsidR="00E55802" w:rsidRPr="005566E6" w:rsidRDefault="00E55802" w:rsidP="00E55802">
      <w:pPr>
        <w:pStyle w:val="Caption"/>
        <w:rPr>
          <w:rStyle w:val="Strong"/>
          <w:b/>
          <w:sz w:val="24"/>
        </w:rPr>
      </w:pPr>
      <w:r>
        <w:rPr>
          <w:rStyle w:val="Strong"/>
          <w:b/>
          <w:sz w:val="24"/>
        </w:rPr>
        <w:lastRenderedPageBreak/>
        <w:t>Impact on the UEs</w:t>
      </w:r>
    </w:p>
    <w:p w14:paraId="1F89C214" w14:textId="58AA0FC0" w:rsidR="001B637A" w:rsidRDefault="00A22B3C" w:rsidP="00A22B3C">
      <w:r>
        <w:t xml:space="preserve">It is already agreed that the </w:t>
      </w:r>
      <w:r w:rsidR="00D90536">
        <w:t>resources</w:t>
      </w:r>
      <w:r>
        <w:t xml:space="preserve"> used for IAB discovery and measurements should be orthogonal in time to those used by </w:t>
      </w:r>
      <w:r w:rsidR="00FB7BB8">
        <w:t xml:space="preserve">the </w:t>
      </w:r>
      <w:r>
        <w:t xml:space="preserve">access UEs for cell detection and measurements – the reason being the half-duplex </w:t>
      </w:r>
      <w:r w:rsidR="00D90536">
        <w:t>constraints</w:t>
      </w:r>
      <w:r>
        <w:t xml:space="preserve"> of the IAB-nodes. Various solution</w:t>
      </w:r>
      <w:r w:rsidR="00FB7BB8">
        <w:t>s</w:t>
      </w:r>
      <w:r>
        <w:t xml:space="preserve"> (like </w:t>
      </w:r>
      <w:r w:rsidRPr="00A22B3C">
        <w:rPr>
          <w:lang w:val="en-GB"/>
        </w:rPr>
        <w:t xml:space="preserve">TDM of SSBs depending </w:t>
      </w:r>
      <w:r w:rsidR="00FB7BB8">
        <w:rPr>
          <w:lang w:val="en-GB"/>
        </w:rPr>
        <w:t>on the</w:t>
      </w:r>
      <w:r w:rsidRPr="00A22B3C">
        <w:rPr>
          <w:lang w:val="en-GB"/>
        </w:rPr>
        <w:t xml:space="preserve"> hop order, </w:t>
      </w:r>
      <w:r w:rsidR="00FB7BB8">
        <w:rPr>
          <w:lang w:val="en-GB"/>
        </w:rPr>
        <w:t xml:space="preserve">or </w:t>
      </w:r>
      <w:r w:rsidRPr="00A22B3C">
        <w:t>SSB muting across IAB nodes</w:t>
      </w:r>
      <w:r>
        <w:t xml:space="preserve">, etc.) were also suggested as seen in the </w:t>
      </w:r>
      <w:r w:rsidR="00FB7BB8">
        <w:t xml:space="preserve">RAN1 #93 </w:t>
      </w:r>
      <w:r>
        <w:t xml:space="preserve">agreement. </w:t>
      </w:r>
    </w:p>
    <w:p w14:paraId="4261ED75" w14:textId="36B7B96D" w:rsidR="00F74044" w:rsidRDefault="00A22B3C" w:rsidP="00F74044">
      <w:r>
        <w:t xml:space="preserve">However, we note that if some SSBs are used for IAB discovery and measurement, we need to make sure there is no impact on the access UEs. </w:t>
      </w:r>
      <w:r w:rsidRPr="00345EE0">
        <w:t xml:space="preserve">More specifically, there are some </w:t>
      </w:r>
      <w:r w:rsidR="00D90536" w:rsidRPr="00345EE0">
        <w:t>restrictions</w:t>
      </w:r>
      <w:r w:rsidRPr="00345EE0">
        <w:t xml:space="preserve"> for the SSBs transmitted on a sync raster</w:t>
      </w:r>
      <w:r w:rsidR="003D10F1">
        <w:t xml:space="preserve">, </w:t>
      </w:r>
      <w:r w:rsidR="00C678A3">
        <w:t>as the access UEs assume a single periodicity for all SSBs transmitted by a cell. Hence</w:t>
      </w:r>
      <w:r w:rsidR="003D10F1">
        <w:t xml:space="preserve"> a sporadic SSB transmission (following a muting pattern) can confuse the access UEs. </w:t>
      </w:r>
      <w:r w:rsidR="00BB6109">
        <w:t>So</w:t>
      </w:r>
      <w:r w:rsidR="003D10F1">
        <w:t xml:space="preserve">, we propose to use off-raster SSBs for IAB discovery and </w:t>
      </w:r>
      <w:r w:rsidR="00D90536">
        <w:t>measurements</w:t>
      </w:r>
      <w:r w:rsidR="003D10F1">
        <w:t xml:space="preserve">. </w:t>
      </w:r>
    </w:p>
    <w:p w14:paraId="0135CDFE" w14:textId="77777777" w:rsidR="003D10F1" w:rsidRDefault="003D10F1" w:rsidP="00F74044">
      <w:pPr>
        <w:rPr>
          <w:b/>
        </w:rPr>
      </w:pPr>
    </w:p>
    <w:p w14:paraId="1967288E" w14:textId="3BBC8445" w:rsidR="00F74044" w:rsidRPr="003975DB" w:rsidRDefault="00F74044" w:rsidP="00F74044">
      <w:pPr>
        <w:rPr>
          <w:b/>
        </w:rPr>
      </w:pPr>
      <w:r w:rsidRPr="003975DB">
        <w:rPr>
          <w:b/>
        </w:rPr>
        <w:t xml:space="preserve">Observation </w:t>
      </w:r>
      <w:r>
        <w:rPr>
          <w:b/>
        </w:rPr>
        <w:t>2.</w:t>
      </w:r>
      <w:r w:rsidR="003D10F1">
        <w:rPr>
          <w:b/>
        </w:rPr>
        <w:t>1</w:t>
      </w:r>
      <w:r w:rsidRPr="003975DB">
        <w:rPr>
          <w:b/>
        </w:rPr>
        <w:t xml:space="preserve">: Sporadic SSB transmissions, following a muting pattern, </w:t>
      </w:r>
      <w:r>
        <w:rPr>
          <w:b/>
        </w:rPr>
        <w:t>may</w:t>
      </w:r>
      <w:r w:rsidRPr="003975DB">
        <w:rPr>
          <w:b/>
        </w:rPr>
        <w:t xml:space="preserve"> confuse the </w:t>
      </w:r>
      <w:r w:rsidR="003D10F1">
        <w:rPr>
          <w:b/>
        </w:rPr>
        <w:t xml:space="preserve">initial access </w:t>
      </w:r>
      <w:r w:rsidRPr="003975DB">
        <w:rPr>
          <w:b/>
        </w:rPr>
        <w:t>UEs, if they are transmitted on a sync raster.</w:t>
      </w:r>
    </w:p>
    <w:p w14:paraId="21255E34" w14:textId="435D594E" w:rsidR="00F74044" w:rsidRDefault="003D10F1" w:rsidP="008E65C4">
      <w:r>
        <w:rPr>
          <w:b/>
        </w:rPr>
        <w:t>Proposal</w:t>
      </w:r>
      <w:r w:rsidRPr="00F74140">
        <w:rPr>
          <w:b/>
        </w:rPr>
        <w:t xml:space="preserve"> </w:t>
      </w:r>
      <w:r>
        <w:rPr>
          <w:b/>
        </w:rPr>
        <w:t>2.3</w:t>
      </w:r>
      <w:r w:rsidRPr="00F74140">
        <w:rPr>
          <w:b/>
        </w:rPr>
        <w:t xml:space="preserve">: </w:t>
      </w:r>
      <w:r>
        <w:rPr>
          <w:b/>
        </w:rPr>
        <w:t>use off-</w:t>
      </w:r>
      <w:r w:rsidR="00D90536">
        <w:rPr>
          <w:b/>
        </w:rPr>
        <w:t>raster</w:t>
      </w:r>
      <w:r>
        <w:rPr>
          <w:b/>
        </w:rPr>
        <w:t xml:space="preserve"> SSBs for IAB discovery and </w:t>
      </w:r>
      <w:r w:rsidR="00D90536">
        <w:rPr>
          <w:b/>
        </w:rPr>
        <w:t>measurements</w:t>
      </w:r>
      <w:r>
        <w:rPr>
          <w:b/>
        </w:rPr>
        <w:t xml:space="preserve">. </w:t>
      </w:r>
    </w:p>
    <w:p w14:paraId="3D1143E5" w14:textId="36B25953" w:rsidR="00F74044" w:rsidRDefault="00F74044" w:rsidP="008E65C4"/>
    <w:p w14:paraId="2D19BF1C" w14:textId="3FE7B25C" w:rsidR="00FC657E" w:rsidRPr="00453CD8" w:rsidRDefault="00955E4C" w:rsidP="009D3895">
      <w:pPr>
        <w:pStyle w:val="Caption"/>
        <w:rPr>
          <w:rStyle w:val="Strong"/>
          <w:b/>
          <w:sz w:val="24"/>
        </w:rPr>
      </w:pPr>
      <w:r>
        <w:rPr>
          <w:rStyle w:val="Strong"/>
          <w:b/>
          <w:sz w:val="24"/>
        </w:rPr>
        <w:t>Rel-15</w:t>
      </w:r>
      <w:r w:rsidR="00FC657E" w:rsidRPr="00453CD8">
        <w:rPr>
          <w:rStyle w:val="Strong"/>
          <w:b/>
          <w:sz w:val="24"/>
        </w:rPr>
        <w:t xml:space="preserve"> RRM for </w:t>
      </w:r>
      <w:r>
        <w:rPr>
          <w:rStyle w:val="Strong"/>
          <w:b/>
          <w:sz w:val="24"/>
        </w:rPr>
        <w:t>IAB</w:t>
      </w:r>
      <w:r w:rsidR="00FC657E" w:rsidRPr="00453CD8">
        <w:rPr>
          <w:rStyle w:val="Strong"/>
          <w:b/>
          <w:sz w:val="24"/>
        </w:rPr>
        <w:t xml:space="preserve"> discovery and measurements</w:t>
      </w:r>
    </w:p>
    <w:p w14:paraId="5E873DB0" w14:textId="30FFADF4" w:rsidR="00955E4C" w:rsidRDefault="00955E4C" w:rsidP="00FC657E">
      <w:pPr>
        <w:rPr>
          <w:rFonts w:eastAsia="Arial"/>
        </w:rPr>
      </w:pPr>
      <w:r>
        <w:rPr>
          <w:rFonts w:eastAsia="Arial"/>
        </w:rPr>
        <w:t>It was agreed that IAB can use both SSB based (SMTC) and CSI-RS based RRM. In [</w:t>
      </w:r>
      <w:r w:rsidR="00E418B5">
        <w:rPr>
          <w:rFonts w:eastAsia="Arial"/>
        </w:rPr>
        <w:t>4</w:t>
      </w:r>
      <w:r>
        <w:rPr>
          <w:rFonts w:eastAsia="Arial"/>
        </w:rPr>
        <w:t xml:space="preserve">], we compared the two methods and identified a few simple </w:t>
      </w:r>
      <w:r w:rsidR="00E418B5">
        <w:rPr>
          <w:rFonts w:eastAsia="Arial"/>
        </w:rPr>
        <w:t>modifications</w:t>
      </w:r>
      <w:r>
        <w:rPr>
          <w:rFonts w:eastAsia="Arial"/>
        </w:rPr>
        <w:t xml:space="preserve"> that can </w:t>
      </w:r>
      <w:r w:rsidR="00D90536">
        <w:rPr>
          <w:rFonts w:eastAsia="Arial"/>
        </w:rPr>
        <w:t>enhance</w:t>
      </w:r>
      <w:r>
        <w:rPr>
          <w:rFonts w:eastAsia="Arial"/>
        </w:rPr>
        <w:t xml:space="preserve"> design of Rel-15 RRM for IAB. This is reiterated below in </w:t>
      </w:r>
      <w:r w:rsidR="00CA2E7E">
        <w:rPr>
          <w:rFonts w:eastAsia="Arial"/>
        </w:rPr>
        <w:fldChar w:fldCharType="begin"/>
      </w:r>
      <w:r w:rsidR="00CA2E7E">
        <w:rPr>
          <w:rFonts w:eastAsia="Arial"/>
        </w:rPr>
        <w:instrText xml:space="preserve"> REF _Ref521594882 \h </w:instrText>
      </w:r>
      <w:r w:rsidR="00CA2E7E">
        <w:rPr>
          <w:rFonts w:eastAsia="Arial"/>
        </w:rPr>
      </w:r>
      <w:r w:rsidR="00CA2E7E">
        <w:rPr>
          <w:rFonts w:eastAsia="Arial"/>
        </w:rPr>
        <w:fldChar w:fldCharType="separate"/>
      </w:r>
      <w:r w:rsidR="004D1C58">
        <w:t xml:space="preserve">Table </w:t>
      </w:r>
      <w:r w:rsidR="004D1C58">
        <w:rPr>
          <w:noProof/>
        </w:rPr>
        <w:t>4</w:t>
      </w:r>
      <w:r w:rsidR="00CA2E7E">
        <w:rPr>
          <w:rFonts w:eastAsia="Arial"/>
        </w:rPr>
        <w:fldChar w:fldCharType="end"/>
      </w:r>
      <w:r>
        <w:rPr>
          <w:rFonts w:eastAsia="Arial"/>
        </w:rPr>
        <w:t>.</w:t>
      </w:r>
    </w:p>
    <w:p w14:paraId="01487186" w14:textId="5F717F0C" w:rsidR="00CA2E7E" w:rsidRDefault="00CA2E7E" w:rsidP="00CA2E7E">
      <w:pPr>
        <w:pStyle w:val="Caption"/>
        <w:keepNext/>
        <w:jc w:val="center"/>
      </w:pPr>
      <w:bookmarkStart w:id="10" w:name="_Ref521594882"/>
      <w:r>
        <w:t xml:space="preserve">Table </w:t>
      </w:r>
      <w:r w:rsidR="00C46E82">
        <w:rPr>
          <w:noProof/>
        </w:rPr>
        <w:fldChar w:fldCharType="begin"/>
      </w:r>
      <w:r w:rsidR="00C46E82">
        <w:rPr>
          <w:noProof/>
        </w:rPr>
        <w:instrText xml:space="preserve"> SEQ Table \* ARABIC </w:instrText>
      </w:r>
      <w:r w:rsidR="00C46E82">
        <w:rPr>
          <w:noProof/>
        </w:rPr>
        <w:fldChar w:fldCharType="separate"/>
      </w:r>
      <w:r w:rsidR="004D1C58">
        <w:rPr>
          <w:noProof/>
        </w:rPr>
        <w:t>4</w:t>
      </w:r>
      <w:r w:rsidR="00C46E82">
        <w:rPr>
          <w:noProof/>
        </w:rPr>
        <w:fldChar w:fldCharType="end"/>
      </w:r>
      <w:bookmarkEnd w:id="10"/>
      <w:r>
        <w:t>: RRM design enhancement</w:t>
      </w:r>
    </w:p>
    <w:tbl>
      <w:tblPr>
        <w:tblStyle w:val="GridTable4"/>
        <w:tblW w:w="9780" w:type="dxa"/>
        <w:tblLook w:val="04A0" w:firstRow="1" w:lastRow="0" w:firstColumn="1" w:lastColumn="0" w:noHBand="0" w:noVBand="1"/>
      </w:tblPr>
      <w:tblGrid>
        <w:gridCol w:w="2420"/>
        <w:gridCol w:w="4140"/>
        <w:gridCol w:w="3220"/>
      </w:tblGrid>
      <w:tr w:rsidR="00CA2E7E" w:rsidRPr="00955E4C" w14:paraId="2AD4B2FE" w14:textId="77777777" w:rsidTr="00CA2E7E">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262413E" w14:textId="77777777" w:rsidR="00955E4C" w:rsidRPr="00955E4C" w:rsidRDefault="00955E4C" w:rsidP="00955E4C">
            <w:pPr>
              <w:spacing w:line="256" w:lineRule="auto"/>
              <w:jc w:val="center"/>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FFFFFF" w:themeColor="light1"/>
                <w:kern w:val="24"/>
                <w:sz w:val="24"/>
                <w:szCs w:val="24"/>
              </w:rPr>
              <w:t>Aspects</w:t>
            </w:r>
          </w:p>
        </w:tc>
        <w:tc>
          <w:tcPr>
            <w:tcW w:w="4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E6DCBA0" w14:textId="77777777" w:rsidR="00955E4C" w:rsidRPr="00955E4C" w:rsidRDefault="00955E4C" w:rsidP="00955E4C">
            <w:pPr>
              <w:spacing w:line="256" w:lineRule="auto"/>
              <w:jc w:val="center"/>
              <w:cnfStyle w:val="100000000000" w:firstRow="1"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FFFFFF" w:themeColor="light1"/>
                <w:kern w:val="24"/>
                <w:sz w:val="24"/>
                <w:szCs w:val="24"/>
              </w:rPr>
              <w:t>Rel-15</w:t>
            </w:r>
          </w:p>
        </w:tc>
        <w:tc>
          <w:tcPr>
            <w:tcW w:w="32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529ACBE" w14:textId="417F1F16" w:rsidR="00955E4C" w:rsidRPr="00955E4C" w:rsidRDefault="00955E4C" w:rsidP="00955E4C">
            <w:pPr>
              <w:spacing w:line="256" w:lineRule="auto"/>
              <w:jc w:val="center"/>
              <w:cnfStyle w:val="100000000000" w:firstRow="1"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FFFFFF" w:themeColor="light1"/>
                <w:kern w:val="24"/>
                <w:sz w:val="24"/>
                <w:szCs w:val="24"/>
              </w:rPr>
              <w:t>Rel-16</w:t>
            </w:r>
            <w:r w:rsidR="00CA2E7E">
              <w:rPr>
                <w:rFonts w:ascii="Microsoft Sans Serif" w:eastAsia="Times New Roman" w:hAnsi="Microsoft Sans Serif" w:cs="Microsoft Sans Serif"/>
                <w:color w:val="FFFFFF" w:themeColor="light1"/>
                <w:kern w:val="24"/>
                <w:sz w:val="24"/>
                <w:szCs w:val="24"/>
              </w:rPr>
              <w:t xml:space="preserve"> IAB proposal</w:t>
            </w:r>
          </w:p>
        </w:tc>
      </w:tr>
      <w:tr w:rsidR="00CA2E7E" w:rsidRPr="00955E4C" w14:paraId="4EE68A7B" w14:textId="77777777" w:rsidTr="00CA2E7E">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420" w:type="dxa"/>
            <w:tcBorders>
              <w:top w:val="single" w:sz="4" w:space="0" w:color="FFFFFF" w:themeColor="background1"/>
            </w:tcBorders>
            <w:hideMark/>
          </w:tcPr>
          <w:p w14:paraId="3CE37611" w14:textId="77777777" w:rsidR="00955E4C" w:rsidRPr="00955E4C" w:rsidRDefault="00955E4C" w:rsidP="00955E4C">
            <w:pPr>
              <w:spacing w:line="256" w:lineRule="auto"/>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000000" w:themeColor="dark1"/>
                <w:kern w:val="24"/>
                <w:sz w:val="24"/>
                <w:szCs w:val="24"/>
              </w:rPr>
              <w:t xml:space="preserve">Periodicity </w:t>
            </w:r>
          </w:p>
        </w:tc>
        <w:tc>
          <w:tcPr>
            <w:tcW w:w="4140" w:type="dxa"/>
            <w:tcBorders>
              <w:top w:val="single" w:sz="4" w:space="0" w:color="FFFFFF" w:themeColor="background1"/>
            </w:tcBorders>
            <w:hideMark/>
          </w:tcPr>
          <w:p w14:paraId="7D354210" w14:textId="77777777" w:rsidR="00955E4C" w:rsidRPr="00955E4C" w:rsidRDefault="00955E4C" w:rsidP="00955E4C">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b/>
                <w:kern w:val="24"/>
                <w:sz w:val="24"/>
                <w:szCs w:val="24"/>
              </w:rPr>
              <w:t>SMTC:</w:t>
            </w:r>
            <w:r w:rsidRPr="00955E4C">
              <w:rPr>
                <w:rFonts w:ascii="Microsoft Sans Serif" w:eastAsia="Times New Roman" w:hAnsi="Microsoft Sans Serif" w:cs="Microsoft Sans Serif"/>
                <w:kern w:val="24"/>
                <w:sz w:val="24"/>
                <w:szCs w:val="24"/>
              </w:rPr>
              <w:t xml:space="preserve">   up to 160 msec</w:t>
            </w:r>
          </w:p>
          <w:p w14:paraId="7F34627C" w14:textId="11CF1B6F" w:rsidR="00955E4C" w:rsidRPr="00955E4C" w:rsidRDefault="00955E4C" w:rsidP="00955E4C">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b/>
                <w:kern w:val="24"/>
                <w:sz w:val="24"/>
                <w:szCs w:val="24"/>
              </w:rPr>
              <w:t>CSI-RS:</w:t>
            </w:r>
            <w:r w:rsidRPr="00955E4C">
              <w:rPr>
                <w:rFonts w:ascii="Microsoft Sans Serif" w:eastAsia="Calibri" w:hAnsi="Microsoft Sans Serif" w:cs="Microsoft Sans Serif"/>
                <w:kern w:val="24"/>
                <w:sz w:val="24"/>
                <w:szCs w:val="24"/>
              </w:rPr>
              <w:t xml:space="preserve"> </w:t>
            </w:r>
            <w:r w:rsidR="00CA2E7E" w:rsidRPr="00CA2E7E">
              <w:rPr>
                <w:rFonts w:ascii="Microsoft Sans Serif" w:eastAsia="Calibri" w:hAnsi="Microsoft Sans Serif" w:cs="Microsoft Sans Serif"/>
                <w:kern w:val="24"/>
                <w:sz w:val="24"/>
                <w:szCs w:val="24"/>
              </w:rPr>
              <w:t xml:space="preserve"> </w:t>
            </w:r>
            <w:r w:rsidRPr="00955E4C">
              <w:rPr>
                <w:rFonts w:ascii="Microsoft Sans Serif" w:eastAsia="Calibri" w:hAnsi="Microsoft Sans Serif" w:cs="Microsoft Sans Serif"/>
                <w:kern w:val="24"/>
                <w:sz w:val="24"/>
                <w:szCs w:val="24"/>
              </w:rPr>
              <w:t>up to 40 msec</w:t>
            </w:r>
          </w:p>
        </w:tc>
        <w:tc>
          <w:tcPr>
            <w:tcW w:w="3220" w:type="dxa"/>
            <w:tcBorders>
              <w:top w:val="single" w:sz="4" w:space="0" w:color="FFFFFF" w:themeColor="background1"/>
            </w:tcBorders>
            <w:hideMark/>
          </w:tcPr>
          <w:p w14:paraId="17B326DC" w14:textId="7BD31238" w:rsidR="00955E4C" w:rsidRPr="00955E4C" w:rsidRDefault="00955E4C" w:rsidP="00955E4C">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color w:val="C00000"/>
                <w:kern w:val="24"/>
                <w:sz w:val="24"/>
                <w:szCs w:val="24"/>
              </w:rPr>
              <w:t xml:space="preserve">Support longer periods </w:t>
            </w:r>
            <w:r w:rsidRPr="00955E4C">
              <w:rPr>
                <w:rFonts w:ascii="Microsoft Sans Serif" w:eastAsia="Calibri" w:hAnsi="Microsoft Sans Serif" w:cs="Microsoft Sans Serif"/>
                <w:color w:val="000000" w:themeColor="text1"/>
                <w:kern w:val="24"/>
                <w:sz w:val="24"/>
                <w:szCs w:val="24"/>
              </w:rPr>
              <w:t>(</w:t>
            </w:r>
            <w:r w:rsidR="00CA2E7E">
              <w:rPr>
                <w:rFonts w:ascii="Microsoft Sans Serif" w:eastAsia="Calibri" w:hAnsi="Microsoft Sans Serif" w:cs="Microsoft Sans Serif"/>
                <w:color w:val="000000" w:themeColor="text1"/>
                <w:kern w:val="24"/>
                <w:sz w:val="24"/>
                <w:szCs w:val="24"/>
              </w:rPr>
              <w:t>semi-</w:t>
            </w:r>
            <w:r w:rsidRPr="00955E4C">
              <w:rPr>
                <w:rFonts w:ascii="Microsoft Sans Serif" w:eastAsia="Calibri" w:hAnsi="Microsoft Sans Serif" w:cs="Microsoft Sans Serif"/>
                <w:color w:val="000000" w:themeColor="text1"/>
                <w:kern w:val="24"/>
                <w:sz w:val="24"/>
                <w:szCs w:val="24"/>
              </w:rPr>
              <w:t>static IAB network)</w:t>
            </w:r>
          </w:p>
        </w:tc>
      </w:tr>
      <w:tr w:rsidR="00955E4C" w:rsidRPr="00955E4C" w14:paraId="7C8F40FD" w14:textId="77777777" w:rsidTr="00CA2E7E">
        <w:trPr>
          <w:trHeight w:val="394"/>
        </w:trPr>
        <w:tc>
          <w:tcPr>
            <w:cnfStyle w:val="001000000000" w:firstRow="0" w:lastRow="0" w:firstColumn="1" w:lastColumn="0" w:oddVBand="0" w:evenVBand="0" w:oddHBand="0" w:evenHBand="0" w:firstRowFirstColumn="0" w:firstRowLastColumn="0" w:lastRowFirstColumn="0" w:lastRowLastColumn="0"/>
            <w:tcW w:w="2420" w:type="dxa"/>
            <w:hideMark/>
          </w:tcPr>
          <w:p w14:paraId="7D5B723D" w14:textId="77777777" w:rsidR="00955E4C" w:rsidRPr="00955E4C" w:rsidRDefault="00955E4C" w:rsidP="00955E4C">
            <w:pPr>
              <w:spacing w:line="256" w:lineRule="auto"/>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color w:val="000000" w:themeColor="dark1"/>
                <w:kern w:val="24"/>
                <w:sz w:val="24"/>
                <w:szCs w:val="24"/>
              </w:rPr>
              <w:t>Time-domain configuration</w:t>
            </w:r>
          </w:p>
        </w:tc>
        <w:tc>
          <w:tcPr>
            <w:tcW w:w="4140" w:type="dxa"/>
            <w:hideMark/>
          </w:tcPr>
          <w:p w14:paraId="383A7B08" w14:textId="77777777" w:rsidR="00955E4C" w:rsidRPr="00955E4C" w:rsidRDefault="00955E4C" w:rsidP="00955E4C">
            <w:pPr>
              <w:spacing w:line="256" w:lineRule="auto"/>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b/>
                <w:kern w:val="24"/>
                <w:sz w:val="24"/>
                <w:szCs w:val="24"/>
              </w:rPr>
              <w:t>SMTC:</w:t>
            </w:r>
            <w:r w:rsidRPr="00955E4C">
              <w:rPr>
                <w:rFonts w:ascii="Microsoft Sans Serif" w:eastAsia="Times New Roman" w:hAnsi="Microsoft Sans Serif" w:cs="Microsoft Sans Serif"/>
                <w:kern w:val="24"/>
                <w:sz w:val="24"/>
                <w:szCs w:val="24"/>
              </w:rPr>
              <w:t xml:space="preserve">  follow SS burst set pattern</w:t>
            </w:r>
          </w:p>
          <w:p w14:paraId="368EB8E6" w14:textId="21ECEA27" w:rsidR="00955E4C" w:rsidRPr="00955E4C" w:rsidRDefault="00955E4C" w:rsidP="00955E4C">
            <w:pPr>
              <w:spacing w:line="256" w:lineRule="auto"/>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b/>
                <w:color w:val="A6A6A6" w:themeColor="background1" w:themeShade="A6"/>
                <w:kern w:val="24"/>
                <w:sz w:val="24"/>
                <w:szCs w:val="24"/>
              </w:rPr>
              <w:t>CSI-RS:</w:t>
            </w:r>
            <w:r w:rsidRPr="00955E4C">
              <w:rPr>
                <w:rFonts w:ascii="Microsoft Sans Serif" w:eastAsia="Calibri" w:hAnsi="Microsoft Sans Serif" w:cs="Microsoft Sans Serif"/>
                <w:color w:val="A6A6A6" w:themeColor="background1" w:themeShade="A6"/>
                <w:kern w:val="24"/>
                <w:sz w:val="24"/>
                <w:szCs w:val="24"/>
              </w:rPr>
              <w:t xml:space="preserve"> </w:t>
            </w:r>
            <w:r w:rsidR="00CA2E7E" w:rsidRPr="00CA2E7E">
              <w:rPr>
                <w:rFonts w:ascii="Microsoft Sans Serif" w:eastAsia="Calibri" w:hAnsi="Microsoft Sans Serif" w:cs="Microsoft Sans Serif"/>
                <w:color w:val="A6A6A6" w:themeColor="background1" w:themeShade="A6"/>
                <w:kern w:val="24"/>
                <w:sz w:val="24"/>
                <w:szCs w:val="24"/>
              </w:rPr>
              <w:t xml:space="preserve"> </w:t>
            </w:r>
            <w:r w:rsidRPr="00955E4C">
              <w:rPr>
                <w:rFonts w:ascii="Microsoft Sans Serif" w:eastAsia="Calibri" w:hAnsi="Microsoft Sans Serif" w:cs="Microsoft Sans Serif"/>
                <w:color w:val="A6A6A6" w:themeColor="background1" w:themeShade="A6"/>
                <w:kern w:val="24"/>
                <w:sz w:val="24"/>
                <w:szCs w:val="24"/>
              </w:rPr>
              <w:t>symbol-level flexibility</w:t>
            </w:r>
          </w:p>
        </w:tc>
        <w:tc>
          <w:tcPr>
            <w:tcW w:w="3220" w:type="dxa"/>
            <w:hideMark/>
          </w:tcPr>
          <w:p w14:paraId="1C5824FA" w14:textId="77777777" w:rsidR="00955E4C" w:rsidRPr="00955E4C" w:rsidRDefault="00955E4C" w:rsidP="00955E4C">
            <w:pPr>
              <w:spacing w:line="256" w:lineRule="auto"/>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C00000"/>
                <w:kern w:val="24"/>
                <w:sz w:val="24"/>
                <w:szCs w:val="24"/>
              </w:rPr>
              <w:t xml:space="preserve">Allow more flexibility for SSB TD locations </w:t>
            </w:r>
          </w:p>
        </w:tc>
      </w:tr>
      <w:tr w:rsidR="00CA2E7E" w:rsidRPr="00955E4C" w14:paraId="385A7A67" w14:textId="77777777" w:rsidTr="00CA2E7E">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420" w:type="dxa"/>
            <w:hideMark/>
          </w:tcPr>
          <w:p w14:paraId="1EBD36A1" w14:textId="77777777" w:rsidR="00955E4C" w:rsidRPr="00955E4C" w:rsidRDefault="00955E4C" w:rsidP="00955E4C">
            <w:pPr>
              <w:spacing w:line="256" w:lineRule="auto"/>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000000" w:themeColor="dark1"/>
                <w:kern w:val="24"/>
                <w:sz w:val="24"/>
                <w:szCs w:val="24"/>
              </w:rPr>
              <w:t>Flexibility of measurement config</w:t>
            </w:r>
          </w:p>
        </w:tc>
        <w:tc>
          <w:tcPr>
            <w:tcW w:w="4140" w:type="dxa"/>
            <w:hideMark/>
          </w:tcPr>
          <w:p w14:paraId="5BE576C2" w14:textId="77777777" w:rsidR="00955E4C" w:rsidRPr="00955E4C" w:rsidRDefault="00955E4C" w:rsidP="00955E4C">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b/>
                <w:kern w:val="24"/>
                <w:sz w:val="24"/>
                <w:szCs w:val="24"/>
              </w:rPr>
              <w:t>SMTC:</w:t>
            </w:r>
            <w:r w:rsidRPr="00955E4C">
              <w:rPr>
                <w:rFonts w:ascii="Microsoft Sans Serif" w:eastAsia="Times New Roman" w:hAnsi="Microsoft Sans Serif" w:cs="Microsoft Sans Serif"/>
                <w:kern w:val="24"/>
                <w:sz w:val="24"/>
                <w:szCs w:val="24"/>
              </w:rPr>
              <w:t xml:space="preserve"> 1 window per freq (inter-freq)</w:t>
            </w:r>
          </w:p>
          <w:p w14:paraId="0D09DA21" w14:textId="1D72D03C" w:rsidR="00955E4C" w:rsidRPr="00955E4C" w:rsidRDefault="00955E4C" w:rsidP="00955E4C">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b/>
                <w:color w:val="808080" w:themeColor="background1" w:themeShade="80"/>
                <w:kern w:val="24"/>
                <w:sz w:val="24"/>
                <w:szCs w:val="24"/>
              </w:rPr>
              <w:t>CSI-RS:</w:t>
            </w:r>
            <w:r w:rsidRPr="00955E4C">
              <w:rPr>
                <w:rFonts w:ascii="Microsoft Sans Serif" w:eastAsia="Calibri" w:hAnsi="Microsoft Sans Serif" w:cs="Microsoft Sans Serif"/>
                <w:color w:val="808080" w:themeColor="background1" w:themeShade="80"/>
                <w:kern w:val="24"/>
                <w:sz w:val="24"/>
                <w:szCs w:val="24"/>
              </w:rPr>
              <w:t xml:space="preserve"> </w:t>
            </w:r>
            <w:r w:rsidR="00CA2E7E" w:rsidRPr="00CA2E7E">
              <w:rPr>
                <w:rFonts w:ascii="Microsoft Sans Serif" w:eastAsia="Calibri" w:hAnsi="Microsoft Sans Serif" w:cs="Microsoft Sans Serif"/>
                <w:color w:val="808080" w:themeColor="background1" w:themeShade="80"/>
                <w:kern w:val="24"/>
                <w:sz w:val="24"/>
                <w:szCs w:val="24"/>
              </w:rPr>
              <w:t xml:space="preserve"> </w:t>
            </w:r>
            <w:r w:rsidRPr="00955E4C">
              <w:rPr>
                <w:rFonts w:ascii="Microsoft Sans Serif" w:eastAsia="Calibri" w:hAnsi="Microsoft Sans Serif" w:cs="Microsoft Sans Serif"/>
                <w:color w:val="808080" w:themeColor="background1" w:themeShade="80"/>
                <w:kern w:val="24"/>
                <w:sz w:val="24"/>
                <w:szCs w:val="24"/>
              </w:rPr>
              <w:t>can configure multiple windows</w:t>
            </w:r>
          </w:p>
        </w:tc>
        <w:tc>
          <w:tcPr>
            <w:tcW w:w="3220" w:type="dxa"/>
            <w:hideMark/>
          </w:tcPr>
          <w:p w14:paraId="4E01DBCF" w14:textId="77777777" w:rsidR="00955E4C" w:rsidRPr="00955E4C" w:rsidRDefault="00955E4C" w:rsidP="00955E4C">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C00000"/>
                <w:kern w:val="24"/>
                <w:sz w:val="24"/>
                <w:szCs w:val="24"/>
              </w:rPr>
              <w:t xml:space="preserve">Allow more flexible SMTC config </w:t>
            </w:r>
            <w:r w:rsidRPr="00955E4C">
              <w:rPr>
                <w:rFonts w:ascii="Microsoft Sans Serif" w:eastAsia="Times New Roman" w:hAnsi="Microsoft Sans Serif" w:cs="Microsoft Sans Serif"/>
                <w:color w:val="000000" w:themeColor="text1"/>
                <w:kern w:val="24"/>
                <w:sz w:val="24"/>
                <w:szCs w:val="24"/>
              </w:rPr>
              <w:t>(to configure TX/RX coordination pattern)</w:t>
            </w:r>
          </w:p>
        </w:tc>
      </w:tr>
    </w:tbl>
    <w:p w14:paraId="70A8A73C" w14:textId="77777777" w:rsidR="00955E4C" w:rsidRDefault="00955E4C" w:rsidP="00FC657E">
      <w:pPr>
        <w:rPr>
          <w:rFonts w:eastAsia="Arial"/>
        </w:rPr>
      </w:pPr>
    </w:p>
    <w:p w14:paraId="4C8DA264" w14:textId="77777777" w:rsidR="00CA2E7E" w:rsidRDefault="00CA2E7E" w:rsidP="00CA2E7E">
      <w:pPr>
        <w:rPr>
          <w:rFonts w:eastAsia="Arial"/>
        </w:rPr>
      </w:pPr>
      <w:r>
        <w:rPr>
          <w:rFonts w:eastAsia="Arial"/>
        </w:rPr>
        <w:t xml:space="preserve">Rel-15 RRM limits the periodicity to 160 msec and 40 msec respectively for SMTC and CSI-RS based methods. Allowing larger values of periodicity for IAB will be beneficial in reducing the resource overhead, considering the semi-static nature of IAB network. </w:t>
      </w:r>
    </w:p>
    <w:p w14:paraId="6F84EAD6" w14:textId="457257F9" w:rsidR="00955E4C" w:rsidRDefault="00CA2E7E" w:rsidP="00FC657E">
      <w:pPr>
        <w:rPr>
          <w:rFonts w:eastAsia="Arial"/>
        </w:rPr>
      </w:pPr>
      <w:r>
        <w:rPr>
          <w:rFonts w:eastAsia="Arial"/>
        </w:rPr>
        <w:t xml:space="preserve">Currently in Rel-15, the SSBs transmitted within SMTC for RRM must follow the same SS burst set pattern as </w:t>
      </w:r>
      <w:r w:rsidR="00FB7BB8">
        <w:rPr>
          <w:rFonts w:eastAsia="Arial"/>
        </w:rPr>
        <w:t xml:space="preserve">the </w:t>
      </w:r>
      <w:r>
        <w:rPr>
          <w:rFonts w:eastAsia="Arial"/>
        </w:rPr>
        <w:t xml:space="preserve">cell-defining SSBs. Such </w:t>
      </w:r>
      <w:r w:rsidR="00FB7BB8">
        <w:rPr>
          <w:rFonts w:eastAsia="Arial"/>
        </w:rPr>
        <w:t xml:space="preserve">a </w:t>
      </w:r>
      <w:r w:rsidR="00D90536">
        <w:rPr>
          <w:rFonts w:eastAsia="Arial"/>
        </w:rPr>
        <w:t>restriction</w:t>
      </w:r>
      <w:r>
        <w:rPr>
          <w:rFonts w:eastAsia="Arial"/>
        </w:rPr>
        <w:t xml:space="preserve"> can be relaxed for IAB to allow more flexible arrangement of SSBs </w:t>
      </w:r>
      <w:r w:rsidR="00EF22A2">
        <w:rPr>
          <w:rFonts w:eastAsia="Arial"/>
        </w:rPr>
        <w:t xml:space="preserve">to reduce the overhead. This in turn may need more signaling overhead to configure the SMTC. </w:t>
      </w:r>
    </w:p>
    <w:p w14:paraId="4D982A0A" w14:textId="012A88AD" w:rsidR="003763BB" w:rsidRDefault="00EF22A2" w:rsidP="00FC657E">
      <w:pPr>
        <w:rPr>
          <w:rFonts w:eastAsia="Arial"/>
        </w:rPr>
      </w:pPr>
      <w:r>
        <w:rPr>
          <w:rFonts w:eastAsia="Arial"/>
        </w:rPr>
        <w:t>Rel-15 allows configuring on</w:t>
      </w:r>
      <w:r w:rsidR="00FC06DF">
        <w:rPr>
          <w:rFonts w:eastAsia="Arial"/>
        </w:rPr>
        <w:t xml:space="preserve">ly 1 SMTC window per frequency for inter-frequency RRM </w:t>
      </w:r>
      <w:r w:rsidR="00FC06DF" w:rsidRPr="009C288B">
        <w:rPr>
          <w:rFonts w:eastAsia="Arial"/>
        </w:rPr>
        <w:t>and 2 for intra-frequency</w:t>
      </w:r>
      <w:r w:rsidR="00FC06DF">
        <w:rPr>
          <w:rFonts w:eastAsia="Arial"/>
        </w:rPr>
        <w:t>. This will limit the TX/RX coordination patterns that we can configure to address the half-duplex issue. Hence, we propose more flexible SMTC configuration</w:t>
      </w:r>
      <w:r w:rsidR="003763BB">
        <w:rPr>
          <w:rFonts w:eastAsia="Arial"/>
        </w:rPr>
        <w:t xml:space="preserve"> such as</w:t>
      </w:r>
      <w:r w:rsidR="0068593D">
        <w:rPr>
          <w:rFonts w:eastAsia="Arial"/>
        </w:rPr>
        <w:t xml:space="preserve"> (see </w:t>
      </w:r>
      <w:r w:rsidR="0068593D">
        <w:rPr>
          <w:rFonts w:eastAsia="Arial"/>
        </w:rPr>
        <w:fldChar w:fldCharType="begin"/>
      </w:r>
      <w:r w:rsidR="0068593D">
        <w:rPr>
          <w:rFonts w:eastAsia="Arial"/>
        </w:rPr>
        <w:instrText xml:space="preserve"> REF _Ref521672822 \h </w:instrText>
      </w:r>
      <w:r w:rsidR="0068593D">
        <w:rPr>
          <w:rFonts w:eastAsia="Arial"/>
        </w:rPr>
      </w:r>
      <w:r w:rsidR="0068593D">
        <w:rPr>
          <w:rFonts w:eastAsia="Arial"/>
        </w:rPr>
        <w:fldChar w:fldCharType="separate"/>
      </w:r>
      <w:r w:rsidR="004D1C58">
        <w:t xml:space="preserve">Figure </w:t>
      </w:r>
      <w:r w:rsidR="004D1C58">
        <w:rPr>
          <w:noProof/>
        </w:rPr>
        <w:t>3</w:t>
      </w:r>
      <w:r w:rsidR="0068593D">
        <w:rPr>
          <w:rFonts w:eastAsia="Arial"/>
        </w:rPr>
        <w:fldChar w:fldCharType="end"/>
      </w:r>
      <w:r w:rsidR="0068593D">
        <w:rPr>
          <w:rFonts w:eastAsia="Arial"/>
        </w:rPr>
        <w:t>)</w:t>
      </w:r>
    </w:p>
    <w:p w14:paraId="1E606907" w14:textId="1B604CA6" w:rsidR="00EF22A2" w:rsidRDefault="00FC06DF" w:rsidP="003763BB">
      <w:pPr>
        <w:pStyle w:val="ListParagraph"/>
        <w:numPr>
          <w:ilvl w:val="0"/>
          <w:numId w:val="26"/>
        </w:numPr>
        <w:ind w:firstLineChars="0"/>
        <w:rPr>
          <w:rFonts w:eastAsia="Arial"/>
        </w:rPr>
      </w:pPr>
      <w:r w:rsidRPr="003763BB">
        <w:rPr>
          <w:rFonts w:eastAsia="Arial"/>
        </w:rPr>
        <w:lastRenderedPageBreak/>
        <w:t>increase the number of SMTC w</w:t>
      </w:r>
      <w:r w:rsidR="003763BB">
        <w:rPr>
          <w:rFonts w:eastAsia="Arial"/>
        </w:rPr>
        <w:t>indows</w:t>
      </w:r>
    </w:p>
    <w:p w14:paraId="58694642" w14:textId="77BC1DB8" w:rsidR="003763BB" w:rsidRDefault="00DB29A9" w:rsidP="003763BB">
      <w:pPr>
        <w:pStyle w:val="ListParagraph"/>
        <w:numPr>
          <w:ilvl w:val="0"/>
          <w:numId w:val="26"/>
        </w:numPr>
        <w:ind w:firstLineChars="0"/>
        <w:rPr>
          <w:rFonts w:eastAsia="Arial"/>
        </w:rPr>
      </w:pPr>
      <w:r>
        <w:rPr>
          <w:rFonts w:eastAsia="Arial"/>
        </w:rPr>
        <w:t>use a similar design to configure transmission windows (</w:t>
      </w:r>
      <w:r w:rsidR="009C288B">
        <w:rPr>
          <w:rFonts w:eastAsia="Arial"/>
        </w:rPr>
        <w:t>i.e. SSB transmission timing configuration or STTC</w:t>
      </w:r>
      <w:r>
        <w:rPr>
          <w:rFonts w:eastAsia="Arial"/>
        </w:rPr>
        <w:t>).</w:t>
      </w:r>
    </w:p>
    <w:p w14:paraId="3DF83259" w14:textId="77777777" w:rsidR="0068593D" w:rsidRDefault="00DB29A9" w:rsidP="0068593D">
      <w:pPr>
        <w:keepNext/>
        <w:jc w:val="center"/>
      </w:pPr>
      <w:r>
        <w:rPr>
          <w:rFonts w:eastAsia="Arial"/>
          <w:noProof/>
        </w:rPr>
        <w:drawing>
          <wp:inline distT="0" distB="0" distL="0" distR="0" wp14:anchorId="7F2F43FF" wp14:editId="7F803174">
            <wp:extent cx="4534509" cy="7022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06849" cy="713462"/>
                    </a:xfrm>
                    <a:prstGeom prst="rect">
                      <a:avLst/>
                    </a:prstGeom>
                    <a:noFill/>
                  </pic:spPr>
                </pic:pic>
              </a:graphicData>
            </a:graphic>
          </wp:inline>
        </w:drawing>
      </w:r>
    </w:p>
    <w:p w14:paraId="7B60E13D" w14:textId="26A5E294" w:rsidR="00DB29A9" w:rsidRDefault="0068593D" w:rsidP="0068593D">
      <w:pPr>
        <w:pStyle w:val="Caption"/>
        <w:jc w:val="center"/>
        <w:rPr>
          <w:rFonts w:eastAsia="Arial"/>
        </w:rPr>
      </w:pPr>
      <w:bookmarkStart w:id="11" w:name="_Ref521672822"/>
      <w:r>
        <w:t xml:space="preserve">Figure </w:t>
      </w:r>
      <w:r w:rsidR="00C46E82">
        <w:rPr>
          <w:noProof/>
        </w:rPr>
        <w:fldChar w:fldCharType="begin"/>
      </w:r>
      <w:r w:rsidR="00C46E82">
        <w:rPr>
          <w:noProof/>
        </w:rPr>
        <w:instrText xml:space="preserve"> SEQ Figure \* ARABIC </w:instrText>
      </w:r>
      <w:r w:rsidR="00C46E82">
        <w:rPr>
          <w:noProof/>
        </w:rPr>
        <w:fldChar w:fldCharType="separate"/>
      </w:r>
      <w:r w:rsidR="004D1C58">
        <w:rPr>
          <w:noProof/>
        </w:rPr>
        <w:t>3</w:t>
      </w:r>
      <w:r w:rsidR="00C46E82">
        <w:rPr>
          <w:noProof/>
        </w:rPr>
        <w:fldChar w:fldCharType="end"/>
      </w:r>
      <w:bookmarkEnd w:id="11"/>
      <w:r>
        <w:t xml:space="preserve">: configuring multiple measurement (SMTC) and transmission (SSTC) </w:t>
      </w:r>
      <w:r w:rsidR="00BB6109">
        <w:t>windows</w:t>
      </w:r>
      <w:r>
        <w:t xml:space="preserve"> for IAB </w:t>
      </w:r>
      <w:r w:rsidR="00BB6109">
        <w:t>discovery</w:t>
      </w:r>
      <w:r>
        <w:t>/measurements</w:t>
      </w:r>
    </w:p>
    <w:p w14:paraId="71539B4F" w14:textId="77777777" w:rsidR="00955E4C" w:rsidRDefault="00955E4C" w:rsidP="00FC657E">
      <w:pPr>
        <w:rPr>
          <w:rFonts w:eastAsia="Arial"/>
        </w:rPr>
      </w:pPr>
    </w:p>
    <w:p w14:paraId="178892DA" w14:textId="699F847B" w:rsidR="00FC657E" w:rsidRDefault="00FC657E" w:rsidP="00FC657E">
      <w:pPr>
        <w:rPr>
          <w:b/>
        </w:rPr>
      </w:pPr>
      <w:r>
        <w:rPr>
          <w:b/>
        </w:rPr>
        <w:t xml:space="preserve">Proposal </w:t>
      </w:r>
      <w:r w:rsidR="005525CC">
        <w:rPr>
          <w:b/>
        </w:rPr>
        <w:t>2.</w:t>
      </w:r>
      <w:r w:rsidR="00DB29A9">
        <w:rPr>
          <w:b/>
        </w:rPr>
        <w:t>4</w:t>
      </w:r>
      <w:r w:rsidRPr="005566E6">
        <w:rPr>
          <w:b/>
        </w:rPr>
        <w:t xml:space="preserve">: </w:t>
      </w:r>
      <w:r>
        <w:rPr>
          <w:b/>
        </w:rPr>
        <w:t>simple modifications to the NR R15 RRM framework should be considered to make it more s</w:t>
      </w:r>
      <w:r w:rsidR="0088737B">
        <w:rPr>
          <w:b/>
        </w:rPr>
        <w:t>uitable for backhaul operations, such as</w:t>
      </w:r>
    </w:p>
    <w:p w14:paraId="55AE7473" w14:textId="77777777" w:rsidR="0088737B" w:rsidRDefault="0088737B" w:rsidP="00FC657E">
      <w:pPr>
        <w:pStyle w:val="ListParagraph"/>
        <w:numPr>
          <w:ilvl w:val="0"/>
          <w:numId w:val="33"/>
        </w:numPr>
        <w:ind w:firstLineChars="0"/>
        <w:rPr>
          <w:b/>
        </w:rPr>
      </w:pPr>
      <w:r>
        <w:rPr>
          <w:b/>
        </w:rPr>
        <w:t>configuring n</w:t>
      </w:r>
      <w:r w:rsidR="00FC657E">
        <w:rPr>
          <w:b/>
        </w:rPr>
        <w:t>ew values for CSI-RS/SMTC periodicity</w:t>
      </w:r>
      <w:r w:rsidR="00DB29A9">
        <w:rPr>
          <w:b/>
        </w:rPr>
        <w:t xml:space="preserve"> (e.g. larger than 160 msec)</w:t>
      </w:r>
      <w:r>
        <w:rPr>
          <w:b/>
        </w:rPr>
        <w:t>,</w:t>
      </w:r>
    </w:p>
    <w:p w14:paraId="2D78F16A" w14:textId="77777777" w:rsidR="0088737B" w:rsidRDefault="0088737B" w:rsidP="00FC657E">
      <w:pPr>
        <w:pStyle w:val="ListParagraph"/>
        <w:numPr>
          <w:ilvl w:val="0"/>
          <w:numId w:val="33"/>
        </w:numPr>
        <w:ind w:firstLineChars="0"/>
        <w:rPr>
          <w:b/>
        </w:rPr>
      </w:pPr>
      <w:r>
        <w:rPr>
          <w:b/>
        </w:rPr>
        <w:t xml:space="preserve">increasing the </w:t>
      </w:r>
      <w:r w:rsidR="00FC657E">
        <w:rPr>
          <w:b/>
        </w:rPr>
        <w:t xml:space="preserve">maximum number of SMTC configured per frequency, </w:t>
      </w:r>
    </w:p>
    <w:p w14:paraId="6D76642C" w14:textId="68961EF0" w:rsidR="00FC657E" w:rsidRDefault="0088737B" w:rsidP="00FC657E">
      <w:pPr>
        <w:pStyle w:val="ListParagraph"/>
        <w:numPr>
          <w:ilvl w:val="0"/>
          <w:numId w:val="33"/>
        </w:numPr>
        <w:ind w:firstLineChars="0"/>
        <w:rPr>
          <w:b/>
        </w:rPr>
      </w:pPr>
      <w:r>
        <w:rPr>
          <w:b/>
        </w:rPr>
        <w:t xml:space="preserve">supporting more </w:t>
      </w:r>
      <w:r w:rsidR="00FC657E">
        <w:rPr>
          <w:b/>
        </w:rPr>
        <w:t>flexible time-domain location of the SSBs within a SMTC</w:t>
      </w:r>
      <w:r w:rsidR="0068593D">
        <w:rPr>
          <w:b/>
        </w:rPr>
        <w:t>,</w:t>
      </w:r>
    </w:p>
    <w:p w14:paraId="622DD572" w14:textId="51024B00" w:rsidR="0068593D" w:rsidRPr="005C1785" w:rsidRDefault="0068593D" w:rsidP="00FC657E">
      <w:pPr>
        <w:pStyle w:val="ListParagraph"/>
        <w:numPr>
          <w:ilvl w:val="0"/>
          <w:numId w:val="33"/>
        </w:numPr>
        <w:ind w:firstLineChars="0"/>
        <w:rPr>
          <w:b/>
        </w:rPr>
      </w:pPr>
      <w:r>
        <w:rPr>
          <w:b/>
        </w:rPr>
        <w:t xml:space="preserve">leveraging SMTC design to configure transmission windows (STTC). </w:t>
      </w:r>
    </w:p>
    <w:p w14:paraId="71EDE7EA" w14:textId="77777777" w:rsidR="00FC657E" w:rsidRDefault="00FC657E" w:rsidP="00FC657E"/>
    <w:p w14:paraId="31E583A5" w14:textId="77777777" w:rsidR="00FC657E" w:rsidRPr="002302B3" w:rsidRDefault="00FC657E" w:rsidP="009D3895">
      <w:pPr>
        <w:pStyle w:val="Caption"/>
        <w:rPr>
          <w:rStyle w:val="Strong"/>
          <w:b/>
          <w:sz w:val="24"/>
        </w:rPr>
      </w:pPr>
      <w:r w:rsidRPr="002302B3">
        <w:rPr>
          <w:rStyle w:val="Strong"/>
          <w:b/>
          <w:sz w:val="24"/>
        </w:rPr>
        <w:t xml:space="preserve">A baseline framework </w:t>
      </w:r>
    </w:p>
    <w:p w14:paraId="4CF82084" w14:textId="286A742E" w:rsidR="00FC657E" w:rsidRDefault="00FC657E" w:rsidP="00FC657E">
      <w:r>
        <w:fldChar w:fldCharType="begin"/>
      </w:r>
      <w:r>
        <w:instrText xml:space="preserve"> REF _Ref513563849 \h </w:instrText>
      </w:r>
      <w:r>
        <w:fldChar w:fldCharType="separate"/>
      </w:r>
      <w:r w:rsidR="004D1C58">
        <w:t xml:space="preserve">Figure </w:t>
      </w:r>
      <w:r w:rsidR="004D1C58">
        <w:rPr>
          <w:noProof/>
        </w:rPr>
        <w:t>4</w:t>
      </w:r>
      <w:r>
        <w:fldChar w:fldCharType="end"/>
      </w:r>
      <w:r>
        <w:t xml:space="preserve"> demonstrates a baseline framework to support BH discovery and measurements in an NR-IAB network,</w:t>
      </w:r>
      <w:r w:rsidR="00B34898">
        <w:t xml:space="preserve"> and </w:t>
      </w:r>
      <w:r w:rsidR="00B34898" w:rsidRPr="003975DB">
        <w:fldChar w:fldCharType="begin"/>
      </w:r>
      <w:r w:rsidR="00B34898" w:rsidRPr="003975DB">
        <w:instrText xml:space="preserve"> REF _Ref513564034 \h </w:instrText>
      </w:r>
      <w:r w:rsidR="00B34898">
        <w:instrText xml:space="preserve"> \* MERGEFORMAT </w:instrText>
      </w:r>
      <w:r w:rsidR="00B34898" w:rsidRPr="003975DB">
        <w:fldChar w:fldCharType="separate"/>
      </w:r>
      <w:r w:rsidR="004D1C58">
        <w:t xml:space="preserve">Table </w:t>
      </w:r>
      <w:r w:rsidR="004D1C58">
        <w:rPr>
          <w:noProof/>
        </w:rPr>
        <w:t>5</w:t>
      </w:r>
      <w:r w:rsidR="00B34898" w:rsidRPr="003975DB">
        <w:fldChar w:fldCharType="end"/>
      </w:r>
      <w:r w:rsidR="00B34898" w:rsidRPr="003975DB">
        <w:t xml:space="preserve"> summarize</w:t>
      </w:r>
      <w:r w:rsidR="00B34898">
        <w:t>s the proposed signals to be used for various operations.</w:t>
      </w:r>
    </w:p>
    <w:p w14:paraId="177365BB" w14:textId="231735C7" w:rsidR="00FC657E" w:rsidRDefault="00B34898" w:rsidP="00B34898">
      <w:r>
        <w:t>Note in this proposal, i</w:t>
      </w:r>
      <w:r w:rsidR="00FC657E" w:rsidRPr="00B34898">
        <w:t>nter-IAB-node discovery</w:t>
      </w:r>
      <w:r w:rsidR="00FC657E">
        <w:t xml:space="preserve"> is based on a periodic transmission of off-raster SSBs, following a muting pattern, </w:t>
      </w:r>
      <w:r>
        <w:t xml:space="preserve">on </w:t>
      </w:r>
      <w:r w:rsidR="00FC657E">
        <w:t xml:space="preserve">TDM’ed </w:t>
      </w:r>
      <w:r>
        <w:t xml:space="preserve">resources </w:t>
      </w:r>
      <w:r w:rsidR="00FC657E">
        <w:t>with cell-defining SSBs, and transmitted with potentially a long periodicity</w:t>
      </w:r>
      <w:r>
        <w:t>.</w:t>
      </w:r>
    </w:p>
    <w:p w14:paraId="4C76DBAC" w14:textId="77777777" w:rsidR="0088737B" w:rsidRDefault="0088737B" w:rsidP="00B34898"/>
    <w:p w14:paraId="4112726D" w14:textId="1B6A85E2" w:rsidR="00FC657E" w:rsidRDefault="0088737B" w:rsidP="0088737B">
      <w:pPr>
        <w:keepNext/>
      </w:pPr>
      <w:r>
        <w:rPr>
          <w:noProof/>
        </w:rPr>
        <w:drawing>
          <wp:inline distT="0" distB="0" distL="0" distR="0" wp14:anchorId="4812B5C8" wp14:editId="0D9B8A59">
            <wp:extent cx="6188659" cy="1803315"/>
            <wp:effectExtent l="0" t="0" r="317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29589" cy="1815242"/>
                    </a:xfrm>
                    <a:prstGeom prst="rect">
                      <a:avLst/>
                    </a:prstGeom>
                    <a:noFill/>
                  </pic:spPr>
                </pic:pic>
              </a:graphicData>
            </a:graphic>
          </wp:inline>
        </w:drawing>
      </w:r>
    </w:p>
    <w:p w14:paraId="7BBCA1FA" w14:textId="067ADD05" w:rsidR="00FC657E" w:rsidRPr="00402BA8" w:rsidRDefault="00FC657E" w:rsidP="00FC657E">
      <w:pPr>
        <w:pStyle w:val="Caption"/>
        <w:jc w:val="center"/>
      </w:pPr>
      <w:bookmarkStart w:id="12" w:name="_Ref513563849"/>
      <w:r>
        <w:t xml:space="preserve">Figure </w:t>
      </w:r>
      <w:r w:rsidR="00C46E82">
        <w:rPr>
          <w:noProof/>
        </w:rPr>
        <w:fldChar w:fldCharType="begin"/>
      </w:r>
      <w:r w:rsidR="00C46E82">
        <w:rPr>
          <w:noProof/>
        </w:rPr>
        <w:instrText xml:space="preserve"> SEQ Figure \* ARABIC </w:instrText>
      </w:r>
      <w:r w:rsidR="00C46E82">
        <w:rPr>
          <w:noProof/>
        </w:rPr>
        <w:fldChar w:fldCharType="separate"/>
      </w:r>
      <w:r w:rsidR="004D1C58">
        <w:rPr>
          <w:noProof/>
        </w:rPr>
        <w:t>4</w:t>
      </w:r>
      <w:r w:rsidR="00C46E82">
        <w:rPr>
          <w:noProof/>
        </w:rPr>
        <w:fldChar w:fldCharType="end"/>
      </w:r>
      <w:bookmarkEnd w:id="12"/>
      <w:r>
        <w:t xml:space="preserve">: </w:t>
      </w:r>
      <w:r w:rsidR="002C2ACB">
        <w:t>Signa</w:t>
      </w:r>
      <w:r>
        <w:t>ling used for various BH operations</w:t>
      </w:r>
    </w:p>
    <w:p w14:paraId="0E9EE09F" w14:textId="77777777" w:rsidR="00FC657E" w:rsidRDefault="00FC657E" w:rsidP="00FC657E"/>
    <w:p w14:paraId="480771E7" w14:textId="2D7B83EB" w:rsidR="00FC657E" w:rsidRDefault="00FC657E" w:rsidP="00FC657E">
      <w:pPr>
        <w:pStyle w:val="Caption"/>
        <w:keepNext/>
        <w:jc w:val="center"/>
      </w:pPr>
      <w:bookmarkStart w:id="13" w:name="_Ref513564034"/>
      <w:r>
        <w:t xml:space="preserve">Table </w:t>
      </w:r>
      <w:r w:rsidR="00C46E82">
        <w:rPr>
          <w:noProof/>
        </w:rPr>
        <w:fldChar w:fldCharType="begin"/>
      </w:r>
      <w:r w:rsidR="00C46E82">
        <w:rPr>
          <w:noProof/>
        </w:rPr>
        <w:instrText xml:space="preserve"> SEQ Table \* ARABIC </w:instrText>
      </w:r>
      <w:r w:rsidR="00C46E82">
        <w:rPr>
          <w:noProof/>
        </w:rPr>
        <w:fldChar w:fldCharType="separate"/>
      </w:r>
      <w:r w:rsidR="004D1C58">
        <w:rPr>
          <w:noProof/>
        </w:rPr>
        <w:t>5</w:t>
      </w:r>
      <w:r w:rsidR="00C46E82">
        <w:rPr>
          <w:noProof/>
        </w:rPr>
        <w:fldChar w:fldCharType="end"/>
      </w:r>
      <w:bookmarkEnd w:id="13"/>
      <w:r>
        <w:t>: reference signals used for various BH operations</w:t>
      </w:r>
    </w:p>
    <w:tbl>
      <w:tblPr>
        <w:tblStyle w:val="TableGrid"/>
        <w:tblW w:w="0" w:type="auto"/>
        <w:jc w:val="center"/>
        <w:tblLook w:val="04A0" w:firstRow="1" w:lastRow="0" w:firstColumn="1" w:lastColumn="0" w:noHBand="0" w:noVBand="1"/>
      </w:tblPr>
      <w:tblGrid>
        <w:gridCol w:w="2740"/>
        <w:gridCol w:w="2038"/>
        <w:gridCol w:w="2625"/>
      </w:tblGrid>
      <w:tr w:rsidR="00FC657E" w14:paraId="7D8CBFD5" w14:textId="77777777" w:rsidTr="00FC657E">
        <w:trPr>
          <w:jc w:val="center"/>
        </w:trPr>
        <w:tc>
          <w:tcPr>
            <w:tcW w:w="2740" w:type="dxa"/>
          </w:tcPr>
          <w:p w14:paraId="60A98B33" w14:textId="77777777" w:rsidR="00FC657E" w:rsidRPr="00ED450C" w:rsidRDefault="00FC657E" w:rsidP="00FC657E">
            <w:pPr>
              <w:rPr>
                <w:b/>
              </w:rPr>
            </w:pPr>
            <w:r w:rsidRPr="00ED450C">
              <w:rPr>
                <w:b/>
              </w:rPr>
              <w:t>BH procedure</w:t>
            </w:r>
          </w:p>
        </w:tc>
        <w:tc>
          <w:tcPr>
            <w:tcW w:w="2038" w:type="dxa"/>
          </w:tcPr>
          <w:p w14:paraId="634E1B69" w14:textId="77777777" w:rsidR="00FC657E" w:rsidRPr="00ED450C" w:rsidRDefault="00FC657E" w:rsidP="00FC657E">
            <w:pPr>
              <w:rPr>
                <w:b/>
              </w:rPr>
            </w:pPr>
            <w:r>
              <w:rPr>
                <w:b/>
              </w:rPr>
              <w:t>Baseline ref signals</w:t>
            </w:r>
          </w:p>
        </w:tc>
        <w:tc>
          <w:tcPr>
            <w:tcW w:w="2625" w:type="dxa"/>
          </w:tcPr>
          <w:p w14:paraId="467E7CF6" w14:textId="77777777" w:rsidR="00FC657E" w:rsidRPr="00ED450C" w:rsidRDefault="00FC657E" w:rsidP="00FC657E">
            <w:pPr>
              <w:rPr>
                <w:b/>
              </w:rPr>
            </w:pPr>
            <w:r w:rsidRPr="00ED450C">
              <w:rPr>
                <w:b/>
              </w:rPr>
              <w:t xml:space="preserve">Additional </w:t>
            </w:r>
            <w:r>
              <w:rPr>
                <w:b/>
              </w:rPr>
              <w:t xml:space="preserve">ref signals </w:t>
            </w:r>
          </w:p>
        </w:tc>
      </w:tr>
      <w:tr w:rsidR="00FC657E" w14:paraId="7FEA8E40" w14:textId="77777777" w:rsidTr="00FC657E">
        <w:trPr>
          <w:jc w:val="center"/>
        </w:trPr>
        <w:tc>
          <w:tcPr>
            <w:tcW w:w="2740" w:type="dxa"/>
          </w:tcPr>
          <w:p w14:paraId="1BA83FBF" w14:textId="77777777" w:rsidR="00FC657E" w:rsidRPr="00ED450C" w:rsidRDefault="00FC657E" w:rsidP="00FC657E">
            <w:pPr>
              <w:rPr>
                <w:b/>
              </w:rPr>
            </w:pPr>
            <w:r w:rsidRPr="00ED450C">
              <w:rPr>
                <w:b/>
              </w:rPr>
              <w:lastRenderedPageBreak/>
              <w:t>Initial acquisition</w:t>
            </w:r>
          </w:p>
        </w:tc>
        <w:tc>
          <w:tcPr>
            <w:tcW w:w="2038" w:type="dxa"/>
          </w:tcPr>
          <w:p w14:paraId="20A2557C" w14:textId="77777777" w:rsidR="00FC657E" w:rsidRDefault="00FC657E" w:rsidP="00FC657E">
            <w:r>
              <w:t>CD SSBs</w:t>
            </w:r>
          </w:p>
        </w:tc>
        <w:tc>
          <w:tcPr>
            <w:tcW w:w="2625" w:type="dxa"/>
          </w:tcPr>
          <w:p w14:paraId="0EB63A63" w14:textId="77777777" w:rsidR="00FC657E" w:rsidRDefault="00FC657E" w:rsidP="00FC657E">
            <w:r>
              <w:t>Off-raster SSBs</w:t>
            </w:r>
          </w:p>
        </w:tc>
      </w:tr>
      <w:tr w:rsidR="00FC657E" w14:paraId="00006FCB" w14:textId="77777777" w:rsidTr="00FC657E">
        <w:trPr>
          <w:jc w:val="center"/>
        </w:trPr>
        <w:tc>
          <w:tcPr>
            <w:tcW w:w="2740" w:type="dxa"/>
          </w:tcPr>
          <w:p w14:paraId="6460267B" w14:textId="77777777" w:rsidR="00FC657E" w:rsidRPr="00ED450C" w:rsidRDefault="00FC657E" w:rsidP="00FC657E">
            <w:pPr>
              <w:rPr>
                <w:b/>
              </w:rPr>
            </w:pPr>
            <w:r w:rsidRPr="00ED450C">
              <w:rPr>
                <w:b/>
              </w:rPr>
              <w:t>Inter-</w:t>
            </w:r>
            <w:r>
              <w:rPr>
                <w:b/>
              </w:rPr>
              <w:t>IAB-node</w:t>
            </w:r>
            <w:r w:rsidRPr="00ED450C">
              <w:rPr>
                <w:b/>
              </w:rPr>
              <w:t xml:space="preserve"> discovery</w:t>
            </w:r>
          </w:p>
        </w:tc>
        <w:tc>
          <w:tcPr>
            <w:tcW w:w="2038" w:type="dxa"/>
          </w:tcPr>
          <w:p w14:paraId="57B138FD" w14:textId="77777777" w:rsidR="00FC657E" w:rsidRDefault="00FC657E" w:rsidP="00FC657E">
            <w:r>
              <w:t>Off-raster SSBs</w:t>
            </w:r>
          </w:p>
        </w:tc>
        <w:tc>
          <w:tcPr>
            <w:tcW w:w="2625" w:type="dxa"/>
          </w:tcPr>
          <w:p w14:paraId="44E428DD" w14:textId="77777777" w:rsidR="00FC657E" w:rsidRDefault="00FC657E" w:rsidP="00FC657E">
            <w:r>
              <w:t>CD SSBs, CSI-RS</w:t>
            </w:r>
          </w:p>
        </w:tc>
      </w:tr>
      <w:tr w:rsidR="00FC657E" w14:paraId="45634A96" w14:textId="77777777" w:rsidTr="00FC657E">
        <w:trPr>
          <w:jc w:val="center"/>
        </w:trPr>
        <w:tc>
          <w:tcPr>
            <w:tcW w:w="2740" w:type="dxa"/>
          </w:tcPr>
          <w:p w14:paraId="2BCD797E" w14:textId="77777777" w:rsidR="00FC657E" w:rsidRPr="00ED450C" w:rsidRDefault="00FC657E" w:rsidP="00FC657E">
            <w:pPr>
              <w:rPr>
                <w:b/>
              </w:rPr>
            </w:pPr>
            <w:r w:rsidRPr="00ED450C">
              <w:rPr>
                <w:b/>
              </w:rPr>
              <w:t>BH measurements</w:t>
            </w:r>
          </w:p>
        </w:tc>
        <w:tc>
          <w:tcPr>
            <w:tcW w:w="2038" w:type="dxa"/>
          </w:tcPr>
          <w:p w14:paraId="04BA99D7" w14:textId="77777777" w:rsidR="00FC657E" w:rsidRDefault="00FC657E" w:rsidP="00FC657E">
            <w:r>
              <w:t>On-demand CSI-RS</w:t>
            </w:r>
          </w:p>
        </w:tc>
        <w:tc>
          <w:tcPr>
            <w:tcW w:w="2625" w:type="dxa"/>
          </w:tcPr>
          <w:p w14:paraId="05AC7DD0" w14:textId="77777777" w:rsidR="00FC657E" w:rsidRDefault="00FC657E" w:rsidP="00FC657E">
            <w:r>
              <w:t>CD SSBs, off-raster SSBs</w:t>
            </w:r>
          </w:p>
        </w:tc>
      </w:tr>
    </w:tbl>
    <w:p w14:paraId="0D3134E9" w14:textId="77777777" w:rsidR="00FC657E" w:rsidRDefault="00FC657E" w:rsidP="00FC657E"/>
    <w:p w14:paraId="4C654AEA" w14:textId="2B970600" w:rsidR="00CA4D12" w:rsidRDefault="00FC657E" w:rsidP="00FC657E">
      <w:pPr>
        <w:rPr>
          <w:b/>
        </w:rPr>
      </w:pPr>
      <w:r>
        <w:rPr>
          <w:b/>
        </w:rPr>
        <w:t>Proposal</w:t>
      </w:r>
      <w:r w:rsidRPr="00F74140">
        <w:rPr>
          <w:b/>
        </w:rPr>
        <w:t xml:space="preserve"> </w:t>
      </w:r>
      <w:r w:rsidR="0088737B">
        <w:rPr>
          <w:b/>
        </w:rPr>
        <w:t>2.5</w:t>
      </w:r>
      <w:r w:rsidRPr="00F74140">
        <w:rPr>
          <w:b/>
        </w:rPr>
        <w:t xml:space="preserve">: </w:t>
      </w:r>
      <w:r>
        <w:rPr>
          <w:b/>
        </w:rPr>
        <w:t xml:space="preserve">adopt the proposed framework </w:t>
      </w:r>
      <w:r w:rsidRPr="006810B6">
        <w:rPr>
          <w:b/>
        </w:rPr>
        <w:t xml:space="preserve">in </w:t>
      </w:r>
      <w:r w:rsidR="006810B6" w:rsidRPr="006810B6">
        <w:rPr>
          <w:b/>
        </w:rPr>
        <w:fldChar w:fldCharType="begin"/>
      </w:r>
      <w:r w:rsidR="006810B6" w:rsidRPr="006810B6">
        <w:rPr>
          <w:b/>
        </w:rPr>
        <w:instrText xml:space="preserve"> REF _Ref513564034 \h  \* MERGEFORMAT </w:instrText>
      </w:r>
      <w:r w:rsidR="006810B6" w:rsidRPr="006810B6">
        <w:rPr>
          <w:b/>
        </w:rPr>
      </w:r>
      <w:r w:rsidR="006810B6" w:rsidRPr="006810B6">
        <w:rPr>
          <w:b/>
        </w:rPr>
        <w:fldChar w:fldCharType="separate"/>
      </w:r>
      <w:r w:rsidR="004D1C58" w:rsidRPr="004D1C58">
        <w:rPr>
          <w:b/>
        </w:rPr>
        <w:t xml:space="preserve">Table </w:t>
      </w:r>
      <w:r w:rsidR="004D1C58" w:rsidRPr="004D1C58">
        <w:rPr>
          <w:b/>
          <w:noProof/>
        </w:rPr>
        <w:t>5</w:t>
      </w:r>
      <w:r w:rsidR="006810B6" w:rsidRPr="006810B6">
        <w:rPr>
          <w:b/>
        </w:rPr>
        <w:fldChar w:fldCharType="end"/>
      </w:r>
      <w:r w:rsidR="006810B6" w:rsidRPr="006810B6">
        <w:rPr>
          <w:b/>
        </w:rPr>
        <w:t xml:space="preserve"> </w:t>
      </w:r>
      <w:r w:rsidRPr="006810B6">
        <w:rPr>
          <w:b/>
        </w:rPr>
        <w:t>for</w:t>
      </w:r>
      <w:r>
        <w:rPr>
          <w:b/>
        </w:rPr>
        <w:t xml:space="preserve"> initial acquisition, inter-IAB-node discovery and BH measurements.</w:t>
      </w:r>
    </w:p>
    <w:p w14:paraId="62084013" w14:textId="1586AF90" w:rsidR="009D3895" w:rsidRDefault="009D3895" w:rsidP="00FC657E"/>
    <w:p w14:paraId="6B09DBFC" w14:textId="3AE7BD60" w:rsidR="00F74044" w:rsidRPr="004D1C58" w:rsidRDefault="001D5B3E" w:rsidP="00F74044">
      <w:pPr>
        <w:pStyle w:val="Heading2"/>
        <w:spacing w:after="240"/>
      </w:pPr>
      <w:r w:rsidRPr="004D1C58">
        <w:t>Link Failure Recovery</w:t>
      </w:r>
    </w:p>
    <w:p w14:paraId="74AAA466" w14:textId="2E64F9F6" w:rsidR="001D5B3E" w:rsidRDefault="001D5B3E" w:rsidP="00FC657E">
      <w:r>
        <w:t>The following agreement regarding BH link failure was achieved in RAN1 #93.</w:t>
      </w:r>
    </w:p>
    <w:tbl>
      <w:tblPr>
        <w:tblStyle w:val="TableGrid"/>
        <w:tblW w:w="0" w:type="auto"/>
        <w:tblLook w:val="04A0" w:firstRow="1" w:lastRow="0" w:firstColumn="1" w:lastColumn="0" w:noHBand="0" w:noVBand="1"/>
      </w:tblPr>
      <w:tblGrid>
        <w:gridCol w:w="9631"/>
      </w:tblGrid>
      <w:tr w:rsidR="001D5B3E" w:rsidRPr="00CC0D94" w14:paraId="499F9D2E" w14:textId="77777777" w:rsidTr="00A712D5">
        <w:tc>
          <w:tcPr>
            <w:tcW w:w="9631" w:type="dxa"/>
          </w:tcPr>
          <w:p w14:paraId="21E4DE0A" w14:textId="77777777" w:rsidR="001D5B3E" w:rsidRPr="00B824DF" w:rsidRDefault="001D5B3E" w:rsidP="00A712D5">
            <w:pPr>
              <w:rPr>
                <w:szCs w:val="20"/>
                <w:lang w:eastAsia="x-none"/>
              </w:rPr>
            </w:pPr>
            <w:r w:rsidRPr="00B824DF">
              <w:rPr>
                <w:szCs w:val="20"/>
                <w:highlight w:val="green"/>
                <w:lang w:eastAsia="x-none"/>
              </w:rPr>
              <w:t>Agreements</w:t>
            </w:r>
            <w:r w:rsidRPr="00B824DF">
              <w:rPr>
                <w:szCs w:val="20"/>
                <w:lang w:eastAsia="x-none"/>
              </w:rPr>
              <w:t>:</w:t>
            </w:r>
          </w:p>
          <w:p w14:paraId="6426EB64" w14:textId="77777777" w:rsidR="001D5B3E" w:rsidRPr="00B824DF" w:rsidRDefault="001D5B3E" w:rsidP="00A712D5">
            <w:pPr>
              <w:numPr>
                <w:ilvl w:val="0"/>
                <w:numId w:val="35"/>
              </w:numPr>
              <w:spacing w:before="60" w:after="120" w:line="240" w:lineRule="auto"/>
              <w:jc w:val="both"/>
              <w:rPr>
                <w:rFonts w:ascii="Calibri" w:eastAsia="Malgun Gothic" w:hAnsi="Calibri" w:cs="Batang"/>
                <w:szCs w:val="20"/>
                <w:lang w:eastAsia="ko-KR"/>
              </w:rPr>
            </w:pPr>
            <w:r w:rsidRPr="00B824DF">
              <w:rPr>
                <w:rFonts w:ascii="Calibri" w:eastAsia="Malgun Gothic" w:hAnsi="Calibri" w:cs="Batang"/>
                <w:szCs w:val="20"/>
                <w:lang w:eastAsia="ko-KR"/>
              </w:rPr>
              <w:t>An IAB-node supports mechanisms for detecting/recovering from backhaul link failure based on Rel-15 mechanisms.</w:t>
            </w:r>
          </w:p>
          <w:p w14:paraId="4421394A" w14:textId="77777777" w:rsidR="001D5B3E" w:rsidRPr="00CC0D94" w:rsidRDefault="001D5B3E" w:rsidP="00A712D5">
            <w:pPr>
              <w:numPr>
                <w:ilvl w:val="1"/>
                <w:numId w:val="35"/>
              </w:numPr>
              <w:spacing w:before="60" w:after="120" w:line="240" w:lineRule="auto"/>
              <w:jc w:val="both"/>
              <w:rPr>
                <w:rFonts w:ascii="Calibri" w:eastAsia="Malgun Gothic" w:hAnsi="Calibri" w:cs="Batang"/>
                <w:szCs w:val="20"/>
                <w:lang w:eastAsia="ko-KR"/>
              </w:rPr>
            </w:pPr>
            <w:r w:rsidRPr="00B824DF">
              <w:rPr>
                <w:rFonts w:ascii="Calibri" w:eastAsia="Malgun Gothic" w:hAnsi="Calibri" w:cs="Batang"/>
                <w:szCs w:val="20"/>
                <w:lang w:eastAsia="ko-KR"/>
              </w:rPr>
              <w:t>Study enhancements to RLM RS and associated procedures for IAB</w:t>
            </w:r>
          </w:p>
        </w:tc>
      </w:tr>
    </w:tbl>
    <w:p w14:paraId="186A3CEA" w14:textId="44591543" w:rsidR="001D5B3E" w:rsidRDefault="001D5B3E" w:rsidP="00FC657E"/>
    <w:p w14:paraId="5945881D" w14:textId="7A25ABB2" w:rsidR="003C1489" w:rsidRDefault="003C1489" w:rsidP="00BA76E8">
      <w:pPr>
        <w:rPr>
          <w:lang w:val="en-GB"/>
        </w:rPr>
      </w:pPr>
      <w:r w:rsidRPr="003C1489">
        <w:rPr>
          <w:lang w:val="en-GB"/>
        </w:rPr>
        <w:t xml:space="preserve">In </w:t>
      </w:r>
      <w:r>
        <w:rPr>
          <w:lang w:val="en-GB"/>
        </w:rPr>
        <w:t xml:space="preserve">Rel-15, RLF is declared after </w:t>
      </w:r>
      <w:r w:rsidR="00BB17E6">
        <w:rPr>
          <w:lang w:val="en-GB"/>
        </w:rPr>
        <w:t xml:space="preserve">N310 consecutive OOS are detected and T310 timer runs for the configured time without receiving N311 consecutive IS indications. </w:t>
      </w:r>
      <w:r w:rsidR="00B27082">
        <w:rPr>
          <w:lang w:val="en-GB"/>
        </w:rPr>
        <w:fldChar w:fldCharType="begin"/>
      </w:r>
      <w:r w:rsidR="00B27082">
        <w:rPr>
          <w:lang w:val="en-GB"/>
        </w:rPr>
        <w:instrText xml:space="preserve"> REF _Ref521695041 \h </w:instrText>
      </w:r>
      <w:r w:rsidR="00B27082">
        <w:rPr>
          <w:lang w:val="en-GB"/>
        </w:rPr>
      </w:r>
      <w:r w:rsidR="00B27082">
        <w:rPr>
          <w:lang w:val="en-GB"/>
        </w:rPr>
        <w:fldChar w:fldCharType="separate"/>
      </w:r>
      <w:r w:rsidR="004D1C58">
        <w:t xml:space="preserve">Figure </w:t>
      </w:r>
      <w:r w:rsidR="004D1C58">
        <w:rPr>
          <w:noProof/>
        </w:rPr>
        <w:t>5</w:t>
      </w:r>
      <w:r w:rsidR="00B27082">
        <w:rPr>
          <w:lang w:val="en-GB"/>
        </w:rPr>
        <w:fldChar w:fldCharType="end"/>
      </w:r>
      <w:r w:rsidR="00BB17E6">
        <w:rPr>
          <w:lang w:val="en-GB"/>
        </w:rPr>
        <w:t xml:space="preserve"> </w:t>
      </w:r>
      <w:r w:rsidR="00B27082">
        <w:rPr>
          <w:lang w:val="en-GB"/>
        </w:rPr>
        <w:t xml:space="preserve">and </w:t>
      </w:r>
      <w:r w:rsidR="00B27082">
        <w:rPr>
          <w:lang w:val="en-GB"/>
        </w:rPr>
        <w:fldChar w:fldCharType="begin"/>
      </w:r>
      <w:r w:rsidR="00B27082">
        <w:rPr>
          <w:lang w:val="en-GB"/>
        </w:rPr>
        <w:instrText xml:space="preserve"> REF _Ref521695155 \h </w:instrText>
      </w:r>
      <w:r w:rsidR="00B27082">
        <w:rPr>
          <w:lang w:val="en-GB"/>
        </w:rPr>
      </w:r>
      <w:r w:rsidR="00B27082">
        <w:rPr>
          <w:lang w:val="en-GB"/>
        </w:rPr>
        <w:fldChar w:fldCharType="separate"/>
      </w:r>
      <w:r w:rsidR="004D1C58">
        <w:t xml:space="preserve">Figure </w:t>
      </w:r>
      <w:r w:rsidR="004D1C58">
        <w:rPr>
          <w:noProof/>
        </w:rPr>
        <w:t>6</w:t>
      </w:r>
      <w:r w:rsidR="00B27082">
        <w:rPr>
          <w:lang w:val="en-GB"/>
        </w:rPr>
        <w:fldChar w:fldCharType="end"/>
      </w:r>
      <w:r w:rsidR="00B27082">
        <w:rPr>
          <w:lang w:val="en-GB"/>
        </w:rPr>
        <w:t xml:space="preserve"> </w:t>
      </w:r>
      <w:r w:rsidR="00BB17E6">
        <w:rPr>
          <w:lang w:val="en-GB"/>
        </w:rPr>
        <w:t>show the detection of RLF and recovery before RLF.</w:t>
      </w:r>
    </w:p>
    <w:p w14:paraId="33BB2D68" w14:textId="77777777" w:rsidR="00B27082" w:rsidRDefault="00BB17E6" w:rsidP="00B27082">
      <w:pPr>
        <w:keepNext/>
        <w:jc w:val="center"/>
      </w:pPr>
      <w:r>
        <w:rPr>
          <w:noProof/>
          <w:lang w:val="en-GB"/>
        </w:rPr>
        <w:drawing>
          <wp:inline distT="0" distB="0" distL="0" distR="0" wp14:anchorId="0360FFBA" wp14:editId="6524E105">
            <wp:extent cx="4876800" cy="12420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LF_Start.png"/>
                    <pic:cNvPicPr/>
                  </pic:nvPicPr>
                  <pic:blipFill>
                    <a:blip r:embed="rId20">
                      <a:extLst>
                        <a:ext uri="{28A0092B-C50C-407E-A947-70E740481C1C}">
                          <a14:useLocalDpi xmlns:a14="http://schemas.microsoft.com/office/drawing/2010/main" val="0"/>
                        </a:ext>
                      </a:extLst>
                    </a:blip>
                    <a:stretch>
                      <a:fillRect/>
                    </a:stretch>
                  </pic:blipFill>
                  <pic:spPr>
                    <a:xfrm>
                      <a:off x="0" y="0"/>
                      <a:ext cx="4886896" cy="1244603"/>
                    </a:xfrm>
                    <a:prstGeom prst="rect">
                      <a:avLst/>
                    </a:prstGeom>
                  </pic:spPr>
                </pic:pic>
              </a:graphicData>
            </a:graphic>
          </wp:inline>
        </w:drawing>
      </w:r>
    </w:p>
    <w:p w14:paraId="599B3140" w14:textId="15228A90" w:rsidR="00BB17E6" w:rsidRDefault="00B27082" w:rsidP="00B27082">
      <w:pPr>
        <w:pStyle w:val="Caption"/>
        <w:jc w:val="center"/>
      </w:pPr>
      <w:bookmarkStart w:id="14" w:name="_Ref521695041"/>
      <w:r>
        <w:t xml:space="preserve">Figure </w:t>
      </w:r>
      <w:r w:rsidR="00FE63DA">
        <w:rPr>
          <w:noProof/>
        </w:rPr>
        <w:fldChar w:fldCharType="begin"/>
      </w:r>
      <w:r w:rsidR="00FE63DA">
        <w:rPr>
          <w:noProof/>
        </w:rPr>
        <w:instrText xml:space="preserve"> SEQ Figure \* ARABIC </w:instrText>
      </w:r>
      <w:r w:rsidR="00FE63DA">
        <w:rPr>
          <w:noProof/>
        </w:rPr>
        <w:fldChar w:fldCharType="separate"/>
      </w:r>
      <w:r w:rsidR="004D1C58">
        <w:rPr>
          <w:noProof/>
        </w:rPr>
        <w:t>5</w:t>
      </w:r>
      <w:r w:rsidR="00FE63DA">
        <w:rPr>
          <w:noProof/>
        </w:rPr>
        <w:fldChar w:fldCharType="end"/>
      </w:r>
      <w:bookmarkEnd w:id="14"/>
      <w:r>
        <w:t>:Detection of RLF</w:t>
      </w:r>
    </w:p>
    <w:p w14:paraId="0E6E36E6" w14:textId="77777777" w:rsidR="00B27082" w:rsidRPr="00B27082" w:rsidRDefault="00B27082" w:rsidP="00B27082"/>
    <w:p w14:paraId="6F049085" w14:textId="77777777" w:rsidR="00B27082" w:rsidRDefault="00BB17E6" w:rsidP="00B27082">
      <w:pPr>
        <w:keepNext/>
        <w:jc w:val="center"/>
      </w:pPr>
      <w:r>
        <w:rPr>
          <w:noProof/>
          <w:lang w:val="en-GB"/>
        </w:rPr>
        <w:drawing>
          <wp:inline distT="0" distB="0" distL="0" distR="0" wp14:anchorId="6F468BB7" wp14:editId="7E7140F2">
            <wp:extent cx="4867275" cy="1296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LF_Stop.png"/>
                    <pic:cNvPicPr/>
                  </pic:nvPicPr>
                  <pic:blipFill>
                    <a:blip r:embed="rId21">
                      <a:extLst>
                        <a:ext uri="{28A0092B-C50C-407E-A947-70E740481C1C}">
                          <a14:useLocalDpi xmlns:a14="http://schemas.microsoft.com/office/drawing/2010/main" val="0"/>
                        </a:ext>
                      </a:extLst>
                    </a:blip>
                    <a:stretch>
                      <a:fillRect/>
                    </a:stretch>
                  </pic:blipFill>
                  <pic:spPr>
                    <a:xfrm>
                      <a:off x="0" y="0"/>
                      <a:ext cx="4868188" cy="1296318"/>
                    </a:xfrm>
                    <a:prstGeom prst="rect">
                      <a:avLst/>
                    </a:prstGeom>
                  </pic:spPr>
                </pic:pic>
              </a:graphicData>
            </a:graphic>
          </wp:inline>
        </w:drawing>
      </w:r>
    </w:p>
    <w:p w14:paraId="166A6AF6" w14:textId="2DA1FF89" w:rsidR="00BB17E6" w:rsidRDefault="00B27082" w:rsidP="00B27082">
      <w:pPr>
        <w:pStyle w:val="Caption"/>
        <w:jc w:val="center"/>
        <w:rPr>
          <w:lang w:val="en-GB"/>
        </w:rPr>
      </w:pPr>
      <w:bookmarkStart w:id="15" w:name="_Ref521695155"/>
      <w:r>
        <w:t xml:space="preserve">Figure </w:t>
      </w:r>
      <w:r w:rsidR="00FE63DA">
        <w:rPr>
          <w:noProof/>
        </w:rPr>
        <w:fldChar w:fldCharType="begin"/>
      </w:r>
      <w:r w:rsidR="00FE63DA">
        <w:rPr>
          <w:noProof/>
        </w:rPr>
        <w:instrText xml:space="preserve"> SEQ Figure \* ARABIC </w:instrText>
      </w:r>
      <w:r w:rsidR="00FE63DA">
        <w:rPr>
          <w:noProof/>
        </w:rPr>
        <w:fldChar w:fldCharType="separate"/>
      </w:r>
      <w:r w:rsidR="004D1C58">
        <w:rPr>
          <w:noProof/>
        </w:rPr>
        <w:t>6</w:t>
      </w:r>
      <w:r w:rsidR="00FE63DA">
        <w:rPr>
          <w:noProof/>
        </w:rPr>
        <w:fldChar w:fldCharType="end"/>
      </w:r>
      <w:bookmarkEnd w:id="15"/>
      <w:r>
        <w:t>: Recovery before declaring RLF</w:t>
      </w:r>
    </w:p>
    <w:p w14:paraId="2D0DFF26" w14:textId="22F889C2" w:rsidR="00BB17E6" w:rsidRPr="00BB17E6" w:rsidRDefault="00BB17E6" w:rsidP="00BB17E6">
      <w:pPr>
        <w:rPr>
          <w:lang w:val="en-GB"/>
        </w:rPr>
      </w:pPr>
      <w:r>
        <w:rPr>
          <w:lang w:val="en-GB"/>
        </w:rPr>
        <w:t>Note that, in Rel-15, failure of beam recovery procedure leads to RLF declaration. But success of beam recovery procedure does not impact RLF procedure.</w:t>
      </w:r>
    </w:p>
    <w:p w14:paraId="70C0721D" w14:textId="0FD32FE0" w:rsidR="00BA76E8" w:rsidRPr="00BA6356" w:rsidRDefault="00BA76E8" w:rsidP="00BA76E8">
      <w:pPr>
        <w:rPr>
          <w:b/>
        </w:rPr>
      </w:pPr>
      <w:r w:rsidRPr="00BA6356">
        <w:rPr>
          <w:b/>
          <w:u w:val="single"/>
          <w:lang w:val="en-GB"/>
        </w:rPr>
        <w:t xml:space="preserve">Observation </w:t>
      </w:r>
      <w:r w:rsidR="00D406D8">
        <w:rPr>
          <w:b/>
          <w:u w:val="single"/>
          <w:lang w:val="en-GB"/>
        </w:rPr>
        <w:t>3.1</w:t>
      </w:r>
      <w:r w:rsidRPr="00BA6356">
        <w:rPr>
          <w:b/>
          <w:u w:val="single"/>
          <w:lang w:val="en-GB"/>
        </w:rPr>
        <w:t>:</w:t>
      </w:r>
      <w:r w:rsidRPr="00BA6356">
        <w:rPr>
          <w:b/>
          <w:lang w:val="en-GB"/>
        </w:rPr>
        <w:t xml:space="preserve"> In Rel-15,</w:t>
      </w:r>
      <w:r w:rsidRPr="00BA6356">
        <w:rPr>
          <w:rFonts w:eastAsiaTheme="minorEastAsia" w:hAnsi="Microsoft Sans Serif"/>
          <w:b/>
          <w:color w:val="262626" w:themeColor="text1" w:themeTint="D9"/>
          <w:kern w:val="24"/>
          <w:sz w:val="36"/>
          <w:szCs w:val="36"/>
        </w:rPr>
        <w:t xml:space="preserve"> </w:t>
      </w:r>
      <w:r w:rsidRPr="00BA6356">
        <w:rPr>
          <w:b/>
        </w:rPr>
        <w:t xml:space="preserve">RLF is declared after a </w:t>
      </w:r>
      <w:r w:rsidR="00BB17E6">
        <w:rPr>
          <w:b/>
        </w:rPr>
        <w:t xml:space="preserve">N310 </w:t>
      </w:r>
      <w:r w:rsidRPr="00BA6356">
        <w:rPr>
          <w:b/>
        </w:rPr>
        <w:t>consecutive OOS are detected and T310 timer runs for the configured time without receiving N311 consecutive IS indications.</w:t>
      </w:r>
    </w:p>
    <w:p w14:paraId="21E6BF11" w14:textId="77777777" w:rsidR="00BA76E8" w:rsidRDefault="00BA76E8" w:rsidP="00BA76E8">
      <w:pPr>
        <w:pStyle w:val="ListParagraph"/>
        <w:numPr>
          <w:ilvl w:val="0"/>
          <w:numId w:val="30"/>
        </w:numPr>
        <w:ind w:firstLineChars="0"/>
        <w:rPr>
          <w:b/>
        </w:rPr>
      </w:pPr>
      <w:r w:rsidRPr="00BA6356">
        <w:rPr>
          <w:b/>
        </w:rPr>
        <w:lastRenderedPageBreak/>
        <w:t xml:space="preserve">In Rel-15, failure of beam recovery procedure leads to RLF declaration. </w:t>
      </w:r>
    </w:p>
    <w:p w14:paraId="2C3CC4D2" w14:textId="77777777" w:rsidR="00BA76E8" w:rsidRPr="00BA6356" w:rsidRDefault="00BA76E8" w:rsidP="00BA76E8">
      <w:pPr>
        <w:pStyle w:val="ListParagraph"/>
        <w:numPr>
          <w:ilvl w:val="0"/>
          <w:numId w:val="30"/>
        </w:numPr>
        <w:ind w:firstLineChars="0"/>
        <w:rPr>
          <w:b/>
        </w:rPr>
      </w:pPr>
      <w:r>
        <w:rPr>
          <w:b/>
        </w:rPr>
        <w:t xml:space="preserve">In Rel-15, </w:t>
      </w:r>
      <w:r w:rsidRPr="00BA6356">
        <w:rPr>
          <w:b/>
        </w:rPr>
        <w:t>Success of beam recovery procedure does not impact RLF procedure.</w:t>
      </w:r>
    </w:p>
    <w:p w14:paraId="5B2E6766" w14:textId="4182E141" w:rsidR="00BB17E6" w:rsidRDefault="00BB17E6" w:rsidP="00BA76E8">
      <w:r w:rsidRPr="00BB17E6">
        <w:t>No</w:t>
      </w:r>
      <w:r>
        <w:t>w, radio link monitoring signals (used for declaring/stopping RLF) and candidate beam reference signals (used to convey beam failure recovery) can be different. Communication can happen via candidate beam reference signal even if radio link monitoring reference signals fail.</w:t>
      </w:r>
    </w:p>
    <w:p w14:paraId="55084C04" w14:textId="77031AC9" w:rsidR="00BB17E6" w:rsidRPr="00BB17E6" w:rsidRDefault="00BB17E6" w:rsidP="00BA76E8">
      <w:r>
        <w:t>Compared to access UE, declaring RLF is more costly for an IAB MT node. The corresponding IAB DU will have to release all resources of its child nodes. Hence, declaring RLF while the beam recovery procedure becomes successful, is undesirable.</w:t>
      </w:r>
    </w:p>
    <w:p w14:paraId="3257775E" w14:textId="63DC9672" w:rsidR="00BA76E8" w:rsidRPr="00BA6356" w:rsidRDefault="00BA76E8" w:rsidP="00BA76E8">
      <w:pPr>
        <w:rPr>
          <w:b/>
        </w:rPr>
      </w:pPr>
      <w:r w:rsidRPr="00BA6356">
        <w:rPr>
          <w:b/>
          <w:u w:val="single"/>
        </w:rPr>
        <w:t xml:space="preserve">Observation </w:t>
      </w:r>
      <w:r w:rsidR="00D406D8">
        <w:rPr>
          <w:b/>
          <w:u w:val="single"/>
        </w:rPr>
        <w:t>3.2</w:t>
      </w:r>
      <w:r w:rsidRPr="00BA6356">
        <w:rPr>
          <w:b/>
        </w:rPr>
        <w:t>: Radio link monitoring and candidate beam reference signals can be different.</w:t>
      </w:r>
    </w:p>
    <w:p w14:paraId="608B2B23" w14:textId="77777777" w:rsidR="00BA76E8" w:rsidRPr="00BA6356" w:rsidRDefault="00BA76E8" w:rsidP="00BA76E8">
      <w:pPr>
        <w:pStyle w:val="ListParagraph"/>
        <w:numPr>
          <w:ilvl w:val="0"/>
          <w:numId w:val="30"/>
        </w:numPr>
        <w:ind w:firstLineChars="0"/>
        <w:rPr>
          <w:b/>
        </w:rPr>
      </w:pPr>
      <w:r w:rsidRPr="00BA6356">
        <w:rPr>
          <w:b/>
        </w:rPr>
        <w:t>Communication can happen via candidate beam reference signal even if radio link monitoring reference fail.</w:t>
      </w:r>
    </w:p>
    <w:p w14:paraId="5602BD53" w14:textId="68291459" w:rsidR="00BA76E8" w:rsidRPr="00BA6356" w:rsidRDefault="00BA76E8" w:rsidP="00BA76E8">
      <w:pPr>
        <w:rPr>
          <w:b/>
        </w:rPr>
      </w:pPr>
      <w:r w:rsidRPr="00BA6356">
        <w:rPr>
          <w:b/>
          <w:u w:val="single"/>
        </w:rPr>
        <w:t xml:space="preserve">Observation </w:t>
      </w:r>
      <w:r w:rsidR="00D406D8">
        <w:rPr>
          <w:b/>
          <w:u w:val="single"/>
        </w:rPr>
        <w:t>3.3</w:t>
      </w:r>
      <w:r w:rsidRPr="00BA6356">
        <w:rPr>
          <w:b/>
          <w:u w:val="single"/>
        </w:rPr>
        <w:t>:</w:t>
      </w:r>
      <w:r w:rsidRPr="00BA6356">
        <w:rPr>
          <w:b/>
        </w:rPr>
        <w:t xml:space="preserve"> Declaring RLF is costly for an IAB </w:t>
      </w:r>
      <w:r w:rsidR="00FA495B">
        <w:rPr>
          <w:b/>
        </w:rPr>
        <w:t>UEF</w:t>
      </w:r>
      <w:r w:rsidRPr="00BA6356">
        <w:rPr>
          <w:b/>
        </w:rPr>
        <w:t xml:space="preserve"> node.</w:t>
      </w:r>
    </w:p>
    <w:p w14:paraId="4225EA4D" w14:textId="77777777" w:rsidR="00BA76E8" w:rsidRDefault="00BA76E8" w:rsidP="00BA76E8">
      <w:pPr>
        <w:pStyle w:val="ListParagraph"/>
        <w:numPr>
          <w:ilvl w:val="0"/>
          <w:numId w:val="30"/>
        </w:numPr>
        <w:ind w:firstLineChars="0"/>
        <w:rPr>
          <w:b/>
        </w:rPr>
      </w:pPr>
      <w:r w:rsidRPr="00BA6356">
        <w:rPr>
          <w:b/>
        </w:rPr>
        <w:t>The corresponding IAB DU will have to release all resources of its child nodes.</w:t>
      </w:r>
    </w:p>
    <w:p w14:paraId="77871309" w14:textId="29C204C7" w:rsidR="00BA76E8" w:rsidRDefault="00BB17E6" w:rsidP="00BF730E">
      <w:r w:rsidRPr="00BB17E6">
        <w:t>That</w:t>
      </w:r>
      <w:r>
        <w:t xml:space="preserve">’s why, success of beam recovery procedure should stop the </w:t>
      </w:r>
      <w:r w:rsidR="00FA495B">
        <w:t xml:space="preserve">T310 timer and prevent IAB UEF to declare RLF. </w:t>
      </w:r>
      <w:r w:rsidR="006F509B">
        <w:fldChar w:fldCharType="begin"/>
      </w:r>
      <w:r w:rsidR="006F509B">
        <w:instrText xml:space="preserve"> REF _Ref521695248 \h </w:instrText>
      </w:r>
      <w:r w:rsidR="006F509B">
        <w:fldChar w:fldCharType="separate"/>
      </w:r>
      <w:r w:rsidR="004D1C58">
        <w:t xml:space="preserve">Figure </w:t>
      </w:r>
      <w:r w:rsidR="004D1C58">
        <w:rPr>
          <w:noProof/>
        </w:rPr>
        <w:t>7</w:t>
      </w:r>
      <w:r w:rsidR="006F509B">
        <w:fldChar w:fldCharType="end"/>
      </w:r>
      <w:r w:rsidR="00610624">
        <w:t xml:space="preserve"> shows how such a process may work. Here, T310 timer starts after the upper layer receives N310 number of consecutive OOS indications. While the timer is running, the layer receives indication of beam failure recovery success from lower layer. Hence, without getting N311 number of consecutive IS indications, the T310 timer is stopped. </w:t>
      </w:r>
    </w:p>
    <w:p w14:paraId="27B6EEB8" w14:textId="77777777" w:rsidR="00610624" w:rsidRPr="00610624" w:rsidRDefault="00610624" w:rsidP="00610624">
      <w:pPr>
        <w:ind w:left="360"/>
      </w:pPr>
    </w:p>
    <w:p w14:paraId="2FFA1C5A" w14:textId="77777777" w:rsidR="00BF730E" w:rsidRDefault="00BA76E8" w:rsidP="00BF730E">
      <w:pPr>
        <w:keepNext/>
        <w:ind w:left="360"/>
      </w:pPr>
      <w:r>
        <w:rPr>
          <w:b/>
          <w:noProof/>
        </w:rPr>
        <w:drawing>
          <wp:inline distT="0" distB="0" distL="0" distR="0" wp14:anchorId="427115D2" wp14:editId="075EFAED">
            <wp:extent cx="5476875" cy="146748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LF_IS.png"/>
                    <pic:cNvPicPr/>
                  </pic:nvPicPr>
                  <pic:blipFill>
                    <a:blip r:embed="rId22">
                      <a:extLst>
                        <a:ext uri="{28A0092B-C50C-407E-A947-70E740481C1C}">
                          <a14:useLocalDpi xmlns:a14="http://schemas.microsoft.com/office/drawing/2010/main" val="0"/>
                        </a:ext>
                      </a:extLst>
                    </a:blip>
                    <a:stretch>
                      <a:fillRect/>
                    </a:stretch>
                  </pic:blipFill>
                  <pic:spPr>
                    <a:xfrm>
                      <a:off x="0" y="0"/>
                      <a:ext cx="5485735" cy="1469862"/>
                    </a:xfrm>
                    <a:prstGeom prst="rect">
                      <a:avLst/>
                    </a:prstGeom>
                  </pic:spPr>
                </pic:pic>
              </a:graphicData>
            </a:graphic>
          </wp:inline>
        </w:drawing>
      </w:r>
    </w:p>
    <w:p w14:paraId="13F24B44" w14:textId="09E86254" w:rsidR="00BA76E8" w:rsidRDefault="00BF730E" w:rsidP="00BF730E">
      <w:pPr>
        <w:pStyle w:val="Caption"/>
        <w:jc w:val="center"/>
        <w:rPr>
          <w:b w:val="0"/>
        </w:rPr>
      </w:pPr>
      <w:bookmarkStart w:id="16" w:name="_Ref521695248"/>
      <w:r>
        <w:t xml:space="preserve">Figure </w:t>
      </w:r>
      <w:r w:rsidR="00FE63DA">
        <w:rPr>
          <w:noProof/>
        </w:rPr>
        <w:fldChar w:fldCharType="begin"/>
      </w:r>
      <w:r w:rsidR="00FE63DA">
        <w:rPr>
          <w:noProof/>
        </w:rPr>
        <w:instrText xml:space="preserve"> SEQ Figure \* ARABIC </w:instrText>
      </w:r>
      <w:r w:rsidR="00FE63DA">
        <w:rPr>
          <w:noProof/>
        </w:rPr>
        <w:fldChar w:fldCharType="separate"/>
      </w:r>
      <w:r w:rsidR="004D1C58">
        <w:rPr>
          <w:noProof/>
        </w:rPr>
        <w:t>7</w:t>
      </w:r>
      <w:r w:rsidR="00FE63DA">
        <w:rPr>
          <w:noProof/>
        </w:rPr>
        <w:fldChar w:fldCharType="end"/>
      </w:r>
      <w:bookmarkEnd w:id="16"/>
      <w:r>
        <w:t>: Stopping of T310 timer based on success of beam failure recovery</w:t>
      </w:r>
    </w:p>
    <w:p w14:paraId="513E2115" w14:textId="6E6286B1" w:rsidR="00BA76E8" w:rsidRPr="00BA6356" w:rsidRDefault="00BA76E8" w:rsidP="00BA76E8">
      <w:pPr>
        <w:rPr>
          <w:b/>
          <w:lang w:val="en-GB"/>
        </w:rPr>
      </w:pPr>
      <w:r w:rsidRPr="00BA6356">
        <w:rPr>
          <w:b/>
          <w:u w:val="single"/>
          <w:lang w:val="en-GB"/>
        </w:rPr>
        <w:t>Proposal</w:t>
      </w:r>
      <w:r w:rsidR="006F509B">
        <w:rPr>
          <w:b/>
          <w:u w:val="single"/>
          <w:lang w:val="en-GB"/>
        </w:rPr>
        <w:t xml:space="preserve"> 3.1</w:t>
      </w:r>
      <w:r w:rsidRPr="00BA6356">
        <w:rPr>
          <w:b/>
          <w:u w:val="single"/>
          <w:lang w:val="en-GB"/>
        </w:rPr>
        <w:t>:</w:t>
      </w:r>
      <w:r w:rsidRPr="00BA6356">
        <w:rPr>
          <w:b/>
          <w:lang w:val="en-GB"/>
        </w:rPr>
        <w:t xml:space="preserve"> </w:t>
      </w:r>
      <w:r w:rsidR="00610624">
        <w:rPr>
          <w:b/>
          <w:lang w:val="en-GB"/>
        </w:rPr>
        <w:t>NR supports s</w:t>
      </w:r>
      <w:r w:rsidRPr="00BA6356">
        <w:rPr>
          <w:b/>
          <w:lang w:val="en-GB"/>
        </w:rPr>
        <w:t xml:space="preserve">uccess of beam recovery procedure </w:t>
      </w:r>
      <w:r w:rsidRPr="00BA6356">
        <w:rPr>
          <w:b/>
        </w:rPr>
        <w:t>stop</w:t>
      </w:r>
      <w:r w:rsidR="00610624">
        <w:rPr>
          <w:b/>
        </w:rPr>
        <w:t>ping</w:t>
      </w:r>
      <w:r w:rsidRPr="00BA6356">
        <w:rPr>
          <w:b/>
        </w:rPr>
        <w:t xml:space="preserve"> the T310 timer and prevent</w:t>
      </w:r>
      <w:r w:rsidR="00610624">
        <w:rPr>
          <w:b/>
        </w:rPr>
        <w:t>ing</w:t>
      </w:r>
      <w:r w:rsidRPr="00BA6356">
        <w:rPr>
          <w:b/>
        </w:rPr>
        <w:t xml:space="preserve"> IAB UEF to declare RLF.</w:t>
      </w:r>
    </w:p>
    <w:p w14:paraId="28917EF6" w14:textId="77777777" w:rsidR="00BA76E8" w:rsidRDefault="00BA76E8" w:rsidP="00FC657E"/>
    <w:p w14:paraId="28331898" w14:textId="77777777" w:rsidR="001D5B3E" w:rsidRPr="008E65C4" w:rsidRDefault="001D5B3E" w:rsidP="00FC657E"/>
    <w:p w14:paraId="59201DF7" w14:textId="7E2FA50A" w:rsidR="00FC0714" w:rsidRPr="00E548CB" w:rsidRDefault="00FC0714" w:rsidP="00FC0714">
      <w:pPr>
        <w:pStyle w:val="Heading2"/>
        <w:spacing w:after="240"/>
      </w:pPr>
      <w:r w:rsidRPr="00E548CB">
        <w:t>OTA synchronization</w:t>
      </w:r>
    </w:p>
    <w:p w14:paraId="04DB7EA0" w14:textId="109F2F0D" w:rsidR="007979B1" w:rsidRDefault="007979B1" w:rsidP="00273974">
      <w:r w:rsidRPr="00141EFE">
        <w:t>RAN1 #9</w:t>
      </w:r>
      <w:r w:rsidR="00273974">
        <w:t>3</w:t>
      </w:r>
      <w:r w:rsidRPr="00141EFE">
        <w:t xml:space="preserve"> achieved the following agreement</w:t>
      </w:r>
    </w:p>
    <w:tbl>
      <w:tblPr>
        <w:tblStyle w:val="TableGrid"/>
        <w:tblW w:w="0" w:type="auto"/>
        <w:tblLook w:val="04A0" w:firstRow="1" w:lastRow="0" w:firstColumn="1" w:lastColumn="0" w:noHBand="0" w:noVBand="1"/>
      </w:tblPr>
      <w:tblGrid>
        <w:gridCol w:w="9631"/>
      </w:tblGrid>
      <w:tr w:rsidR="00273974" w14:paraId="62BFDE14" w14:textId="77777777" w:rsidTr="00A712D5">
        <w:tc>
          <w:tcPr>
            <w:tcW w:w="9631" w:type="dxa"/>
          </w:tcPr>
          <w:p w14:paraId="6BDECC06" w14:textId="77777777" w:rsidR="00273974" w:rsidRPr="00B321DC" w:rsidRDefault="00273974" w:rsidP="00A712D5">
            <w:pPr>
              <w:rPr>
                <w:szCs w:val="20"/>
                <w:lang w:eastAsia="x-none"/>
              </w:rPr>
            </w:pPr>
            <w:r w:rsidRPr="00B321DC">
              <w:rPr>
                <w:szCs w:val="20"/>
                <w:highlight w:val="green"/>
                <w:lang w:eastAsia="x-none"/>
              </w:rPr>
              <w:t>Agreements</w:t>
            </w:r>
            <w:r w:rsidRPr="00B321DC">
              <w:rPr>
                <w:szCs w:val="20"/>
                <w:lang w:eastAsia="x-none"/>
              </w:rPr>
              <w:t>:</w:t>
            </w:r>
          </w:p>
          <w:p w14:paraId="5D45E60F" w14:textId="77777777" w:rsidR="00273974" w:rsidRPr="00B321DC" w:rsidRDefault="00273974" w:rsidP="00A712D5">
            <w:pPr>
              <w:numPr>
                <w:ilvl w:val="0"/>
                <w:numId w:val="36"/>
              </w:numPr>
              <w:spacing w:before="60" w:after="120" w:line="240" w:lineRule="auto"/>
              <w:jc w:val="both"/>
              <w:rPr>
                <w:rFonts w:ascii="Calibri" w:hAnsi="Calibri"/>
                <w:szCs w:val="20"/>
              </w:rPr>
            </w:pPr>
            <w:r w:rsidRPr="00B321DC">
              <w:rPr>
                <w:rFonts w:ascii="Calibri" w:hAnsi="Calibri"/>
                <w:szCs w:val="20"/>
              </w:rPr>
              <w:t>IAB supports TA-based synchronization between IAB nodes, including across multiple backhaul hops</w:t>
            </w:r>
          </w:p>
          <w:p w14:paraId="41472E16" w14:textId="597E048D" w:rsidR="00273974" w:rsidRPr="00273974" w:rsidRDefault="00273974" w:rsidP="00273974">
            <w:pPr>
              <w:numPr>
                <w:ilvl w:val="1"/>
                <w:numId w:val="36"/>
              </w:numPr>
              <w:spacing w:before="60" w:after="120" w:line="240" w:lineRule="auto"/>
              <w:jc w:val="both"/>
              <w:rPr>
                <w:rFonts w:ascii="Calibri" w:hAnsi="Calibri"/>
                <w:szCs w:val="20"/>
              </w:rPr>
            </w:pPr>
            <w:r w:rsidRPr="00B321DC">
              <w:rPr>
                <w:rFonts w:ascii="Calibri" w:hAnsi="Calibri"/>
                <w:szCs w:val="20"/>
              </w:rPr>
              <w:lastRenderedPageBreak/>
              <w:t>Enhancements to existing mechanisms can be further studied</w:t>
            </w:r>
          </w:p>
        </w:tc>
      </w:tr>
    </w:tbl>
    <w:p w14:paraId="45DCB839" w14:textId="7CE17123" w:rsidR="00273974" w:rsidRDefault="00C64B9A" w:rsidP="00273974">
      <w:r>
        <w:lastRenderedPageBreak/>
        <w:t>In our companion paper [</w:t>
      </w:r>
      <w:r w:rsidR="00700732">
        <w:t>1</w:t>
      </w:r>
      <w:r>
        <w:t xml:space="preserve">], we provided our detailed view on IAB network synchronization. We identified the issue of OTA timing error accumulation across multiple </w:t>
      </w:r>
      <w:r w:rsidR="00FA7AEE">
        <w:t>hops and</w:t>
      </w:r>
      <w:r>
        <w:t xml:space="preserve"> calculated the maximum supportable number of hops to meet the cell phase accuracy requirement of 3 usec. </w:t>
      </w:r>
      <w:r w:rsidR="00E548CB">
        <w:fldChar w:fldCharType="begin"/>
      </w:r>
      <w:r w:rsidR="00E548CB">
        <w:instrText xml:space="preserve"> REF _Ref521668562 \h </w:instrText>
      </w:r>
      <w:r w:rsidR="00E548CB">
        <w:fldChar w:fldCharType="separate"/>
      </w:r>
      <w:r w:rsidR="004D1C58">
        <w:t xml:space="preserve">Table </w:t>
      </w:r>
      <w:r w:rsidR="004D1C58">
        <w:rPr>
          <w:noProof/>
        </w:rPr>
        <w:t>6</w:t>
      </w:r>
      <w:r w:rsidR="00E548CB">
        <w:fldChar w:fldCharType="end"/>
      </w:r>
      <w:r w:rsidR="00E548CB">
        <w:t xml:space="preserve"> provides these results.</w:t>
      </w:r>
    </w:p>
    <w:p w14:paraId="355AD671" w14:textId="78E17E1F" w:rsidR="00C64B9A" w:rsidRDefault="00C64B9A" w:rsidP="00273974"/>
    <w:p w14:paraId="5E3D80BA" w14:textId="62EB085D" w:rsidR="00C64B9A" w:rsidRDefault="00C64B9A" w:rsidP="00C64B9A">
      <w:pPr>
        <w:pStyle w:val="Caption"/>
        <w:keepNext/>
        <w:jc w:val="center"/>
      </w:pPr>
      <w:bookmarkStart w:id="17" w:name="_Ref521668562"/>
      <w:r>
        <w:t xml:space="preserve">Table </w:t>
      </w:r>
      <w:r w:rsidR="00C46E82">
        <w:rPr>
          <w:noProof/>
        </w:rPr>
        <w:fldChar w:fldCharType="begin"/>
      </w:r>
      <w:r w:rsidR="00C46E82">
        <w:rPr>
          <w:noProof/>
        </w:rPr>
        <w:instrText xml:space="preserve"> SEQ Table \* ARABIC </w:instrText>
      </w:r>
      <w:r w:rsidR="00C46E82">
        <w:rPr>
          <w:noProof/>
        </w:rPr>
        <w:fldChar w:fldCharType="separate"/>
      </w:r>
      <w:r w:rsidR="004D1C58">
        <w:rPr>
          <w:noProof/>
        </w:rPr>
        <w:t>6</w:t>
      </w:r>
      <w:r w:rsidR="00C46E82">
        <w:rPr>
          <w:noProof/>
        </w:rPr>
        <w:fldChar w:fldCharType="end"/>
      </w:r>
      <w:bookmarkEnd w:id="17"/>
      <w:r>
        <w:t xml:space="preserve">: </w:t>
      </w:r>
      <w:r w:rsidRPr="00CF59B8">
        <w:t>maximum time deviation per hop, and maximum number of allowable hops</w:t>
      </w:r>
    </w:p>
    <w:p w14:paraId="7DB059A1" w14:textId="70B3C1F1" w:rsidR="00C64B9A" w:rsidRDefault="00130135" w:rsidP="00273974">
      <w:r w:rsidRPr="00771AEA">
        <w:rPr>
          <w:noProof/>
        </w:rPr>
        <w:drawing>
          <wp:inline distT="0" distB="0" distL="0" distR="0" wp14:anchorId="77746BC4" wp14:editId="33FD96FF">
            <wp:extent cx="6122035" cy="15982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1598295"/>
                    </a:xfrm>
                    <a:prstGeom prst="rect">
                      <a:avLst/>
                    </a:prstGeom>
                    <a:noFill/>
                    <a:ln>
                      <a:noFill/>
                    </a:ln>
                  </pic:spPr>
                </pic:pic>
              </a:graphicData>
            </a:graphic>
          </wp:inline>
        </w:drawing>
      </w:r>
    </w:p>
    <w:p w14:paraId="050EA6A3" w14:textId="1F46F6C3" w:rsidR="002C202E" w:rsidRDefault="002C202E" w:rsidP="002C202E">
      <w:pPr>
        <w:rPr>
          <w:rFonts w:eastAsia="Arial"/>
        </w:rPr>
      </w:pPr>
    </w:p>
    <w:p w14:paraId="2F912404" w14:textId="60A93362" w:rsidR="00E548CB" w:rsidRDefault="00E548CB" w:rsidP="00E548CB">
      <w:pPr>
        <w:rPr>
          <w:rFonts w:eastAsia="Arial"/>
          <w:b/>
        </w:rPr>
      </w:pPr>
      <w:r w:rsidRPr="00D9056D">
        <w:rPr>
          <w:rFonts w:eastAsia="Arial"/>
          <w:b/>
        </w:rPr>
        <w:t xml:space="preserve">Observation </w:t>
      </w:r>
      <w:r>
        <w:rPr>
          <w:rFonts w:eastAsia="Arial"/>
          <w:b/>
        </w:rPr>
        <w:t>4.1</w:t>
      </w:r>
      <w:r w:rsidRPr="00D9056D">
        <w:rPr>
          <w:rFonts w:eastAsia="Arial"/>
          <w:b/>
        </w:rPr>
        <w:t xml:space="preserve">: </w:t>
      </w:r>
      <w:r>
        <w:rPr>
          <w:rFonts w:eastAsia="Arial"/>
          <w:b/>
        </w:rPr>
        <w:t xml:space="preserve">TA-based </w:t>
      </w:r>
      <w:r w:rsidRPr="00D9056D">
        <w:rPr>
          <w:rFonts w:eastAsia="Arial"/>
          <w:b/>
        </w:rPr>
        <w:t xml:space="preserve">OTA synchronization </w:t>
      </w:r>
      <w:r>
        <w:rPr>
          <w:rFonts w:eastAsia="Arial"/>
          <w:b/>
        </w:rPr>
        <w:t>can support multi-hop IAB network (4~5 hops) for mmw bands. TA-based OTA synchronization is not sufficient to support multiple hops in lower bands.</w:t>
      </w:r>
    </w:p>
    <w:p w14:paraId="46FB6EEF" w14:textId="6B473EEE" w:rsidR="00E548CB" w:rsidRPr="00D9708E" w:rsidRDefault="00E548CB" w:rsidP="00E548CB">
      <w:pPr>
        <w:rPr>
          <w:rFonts w:eastAsia="Arial"/>
          <w:b/>
        </w:rPr>
      </w:pPr>
      <w:r>
        <w:rPr>
          <w:rFonts w:eastAsia="Arial"/>
          <w:b/>
        </w:rPr>
        <w:t>Proposal 4.1</w:t>
      </w:r>
      <w:r w:rsidRPr="00D9056D">
        <w:rPr>
          <w:rFonts w:eastAsia="Arial"/>
          <w:b/>
        </w:rPr>
        <w:t>:</w:t>
      </w:r>
      <w:r>
        <w:rPr>
          <w:rFonts w:eastAsia="Arial"/>
          <w:b/>
        </w:rPr>
        <w:t xml:space="preserve"> </w:t>
      </w:r>
      <w:r w:rsidRPr="00D9708E">
        <w:rPr>
          <w:rFonts w:eastAsia="Arial"/>
          <w:b/>
        </w:rPr>
        <w:t xml:space="preserve">To tighten the OTA timing error, especially in lower bands, </w:t>
      </w:r>
      <w:r>
        <w:rPr>
          <w:rFonts w:eastAsia="Arial"/>
          <w:b/>
        </w:rPr>
        <w:t>RAN1</w:t>
      </w:r>
      <w:r w:rsidRPr="00D9708E">
        <w:rPr>
          <w:rFonts w:eastAsia="Arial"/>
          <w:b/>
        </w:rPr>
        <w:t xml:space="preserve"> </w:t>
      </w:r>
      <w:r>
        <w:rPr>
          <w:rFonts w:eastAsia="Arial"/>
          <w:b/>
        </w:rPr>
        <w:t xml:space="preserve">should </w:t>
      </w:r>
      <w:r w:rsidRPr="00D9708E">
        <w:rPr>
          <w:rFonts w:eastAsia="Arial"/>
          <w:b/>
        </w:rPr>
        <w:t>consider the following solutions:</w:t>
      </w:r>
    </w:p>
    <w:p w14:paraId="36DB9B1F" w14:textId="77777777" w:rsidR="00E548CB" w:rsidRPr="00D9708E" w:rsidRDefault="00E548CB" w:rsidP="00E548CB">
      <w:pPr>
        <w:pStyle w:val="ListParagraph"/>
        <w:numPr>
          <w:ilvl w:val="0"/>
          <w:numId w:val="26"/>
        </w:numPr>
        <w:ind w:firstLineChars="0"/>
        <w:rPr>
          <w:rFonts w:eastAsia="Arial"/>
          <w:b/>
        </w:rPr>
      </w:pPr>
      <w:r w:rsidRPr="00D9708E">
        <w:rPr>
          <w:rFonts w:eastAsia="Arial"/>
          <w:b/>
        </w:rPr>
        <w:t>Using wider</w:t>
      </w:r>
      <w:r>
        <w:rPr>
          <w:rFonts w:eastAsia="Arial"/>
          <w:b/>
        </w:rPr>
        <w:t xml:space="preserve"> </w:t>
      </w:r>
      <w:r w:rsidRPr="00D9708E">
        <w:rPr>
          <w:rFonts w:eastAsia="Arial"/>
          <w:b/>
        </w:rPr>
        <w:t xml:space="preserve">band signals </w:t>
      </w:r>
      <w:r>
        <w:rPr>
          <w:rFonts w:eastAsia="Arial"/>
          <w:b/>
        </w:rPr>
        <w:t xml:space="preserve">(UL and DL) to achieve more accurate </w:t>
      </w:r>
      <w:r w:rsidRPr="00D9708E">
        <w:rPr>
          <w:rFonts w:eastAsia="Arial"/>
          <w:b/>
        </w:rPr>
        <w:t xml:space="preserve">timing estimation </w:t>
      </w:r>
    </w:p>
    <w:p w14:paraId="21DAB500" w14:textId="7694F38B" w:rsidR="00E548CB" w:rsidRDefault="00E548CB" w:rsidP="00E548CB">
      <w:pPr>
        <w:pStyle w:val="ListParagraph"/>
        <w:numPr>
          <w:ilvl w:val="0"/>
          <w:numId w:val="26"/>
        </w:numPr>
        <w:ind w:firstLineChars="0"/>
        <w:rPr>
          <w:rFonts w:eastAsia="Arial"/>
          <w:b/>
        </w:rPr>
      </w:pPr>
      <w:r w:rsidRPr="00D9708E">
        <w:rPr>
          <w:rFonts w:eastAsia="Arial"/>
          <w:b/>
        </w:rPr>
        <w:t xml:space="preserve">Enhancing TA, e.g. by </w:t>
      </w:r>
      <w:r w:rsidR="00BA76E8">
        <w:rPr>
          <w:rFonts w:eastAsia="Arial"/>
          <w:b/>
        </w:rPr>
        <w:t xml:space="preserve">reducing </w:t>
      </w:r>
      <w:r w:rsidRPr="00D9708E">
        <w:rPr>
          <w:rFonts w:eastAsia="Arial"/>
          <w:b/>
        </w:rPr>
        <w:t xml:space="preserve">its granularity and </w:t>
      </w:r>
      <w:r w:rsidR="00BA76E8">
        <w:rPr>
          <w:rFonts w:eastAsia="Arial"/>
          <w:b/>
        </w:rPr>
        <w:t xml:space="preserve">increasing the </w:t>
      </w:r>
      <w:r w:rsidRPr="00D9708E">
        <w:rPr>
          <w:rFonts w:eastAsia="Arial"/>
          <w:b/>
        </w:rPr>
        <w:t>number of bits</w:t>
      </w:r>
    </w:p>
    <w:p w14:paraId="1C6223D0" w14:textId="77777777" w:rsidR="00E548CB" w:rsidRDefault="00E548CB" w:rsidP="00E548CB">
      <w:pPr>
        <w:rPr>
          <w:rFonts w:eastAsia="Arial"/>
        </w:rPr>
      </w:pPr>
    </w:p>
    <w:p w14:paraId="48A67406" w14:textId="09110D98" w:rsidR="00E548CB" w:rsidRDefault="00E548CB" w:rsidP="00E548CB">
      <w:pPr>
        <w:rPr>
          <w:rFonts w:eastAsia="Arial"/>
        </w:rPr>
      </w:pPr>
      <w:r>
        <w:rPr>
          <w:rFonts w:eastAsia="Arial"/>
        </w:rPr>
        <w:t xml:space="preserve">Given the accumulated timing error, </w:t>
      </w:r>
      <w:r w:rsidRPr="00A66880">
        <w:rPr>
          <w:rFonts w:eastAsia="Arial"/>
          <w:b/>
        </w:rPr>
        <w:t>large scale IAB networks</w:t>
      </w:r>
      <w:r>
        <w:rPr>
          <w:rFonts w:eastAsia="Arial"/>
        </w:rPr>
        <w:t xml:space="preserve"> cannot achieve tight network </w:t>
      </w:r>
      <w:r w:rsidR="00FA7AEE">
        <w:rPr>
          <w:rFonts w:eastAsia="Arial"/>
        </w:rPr>
        <w:t>synchronization</w:t>
      </w:r>
      <w:r>
        <w:rPr>
          <w:rFonts w:eastAsia="Arial"/>
        </w:rPr>
        <w:t xml:space="preserve"> by relying solely on the OTA techniques. Instead, the network should be partitioned into clusters of nodes where the timing of the center of a cluster is disciplined by GNSS or PTP and the rest of the nodes may choose OTA techniques. </w:t>
      </w:r>
    </w:p>
    <w:p w14:paraId="4CBF189F" w14:textId="77777777" w:rsidR="00E548CB" w:rsidRDefault="00E548CB" w:rsidP="00E548CB">
      <w:pPr>
        <w:rPr>
          <w:rFonts w:eastAsia="Arial"/>
          <w:b/>
        </w:rPr>
      </w:pPr>
    </w:p>
    <w:p w14:paraId="7547A0D2" w14:textId="0647203C" w:rsidR="00E548CB" w:rsidRDefault="00E548CB" w:rsidP="00E548CB">
      <w:pPr>
        <w:rPr>
          <w:rFonts w:eastAsia="Arial"/>
          <w:b/>
        </w:rPr>
      </w:pPr>
      <w:r>
        <w:rPr>
          <w:rFonts w:eastAsia="Arial"/>
          <w:b/>
        </w:rPr>
        <w:t xml:space="preserve">Proposal 4.2: IAB TR should mention TA-based OTA synchronization can support up to [5] hops in MMW bands. </w:t>
      </w:r>
    </w:p>
    <w:p w14:paraId="690F7B8E" w14:textId="7A1B8315" w:rsidR="00E548CB" w:rsidRDefault="00E548CB" w:rsidP="00E548CB">
      <w:pPr>
        <w:rPr>
          <w:rFonts w:eastAsia="Arial"/>
          <w:b/>
        </w:rPr>
      </w:pPr>
      <w:r>
        <w:rPr>
          <w:rFonts w:eastAsia="Arial"/>
          <w:b/>
        </w:rPr>
        <w:t>Proposal</w:t>
      </w:r>
      <w:r w:rsidRPr="00D9056D">
        <w:rPr>
          <w:rFonts w:eastAsia="Arial"/>
          <w:b/>
        </w:rPr>
        <w:t xml:space="preserve"> </w:t>
      </w:r>
      <w:r>
        <w:rPr>
          <w:rFonts w:eastAsia="Arial"/>
          <w:b/>
        </w:rPr>
        <w:t>4.3</w:t>
      </w:r>
      <w:r w:rsidRPr="00D9056D">
        <w:rPr>
          <w:rFonts w:eastAsia="Arial"/>
          <w:b/>
        </w:rPr>
        <w:t>:</w:t>
      </w:r>
      <w:r>
        <w:rPr>
          <w:rFonts w:eastAsia="Arial"/>
          <w:b/>
        </w:rPr>
        <w:t xml:space="preserve"> IAB network should use other synchronization techniques, such as GNSS and PTP, along with OTA techniques to achieve tight network synchronization. </w:t>
      </w:r>
    </w:p>
    <w:p w14:paraId="3A3136CF" w14:textId="40A29718" w:rsidR="00E548CB" w:rsidRDefault="00E548CB" w:rsidP="00E548CB">
      <w:pPr>
        <w:rPr>
          <w:rFonts w:eastAsia="Arial"/>
          <w:b/>
        </w:rPr>
      </w:pPr>
      <w:r>
        <w:rPr>
          <w:rFonts w:eastAsia="Arial"/>
          <w:b/>
        </w:rPr>
        <w:t>Proposal</w:t>
      </w:r>
      <w:r w:rsidRPr="00D9056D">
        <w:rPr>
          <w:rFonts w:eastAsia="Arial"/>
          <w:b/>
        </w:rPr>
        <w:t xml:space="preserve"> </w:t>
      </w:r>
      <w:r>
        <w:rPr>
          <w:rFonts w:eastAsia="Arial"/>
          <w:b/>
        </w:rPr>
        <w:t>4.4</w:t>
      </w:r>
      <w:r w:rsidRPr="00D9056D">
        <w:rPr>
          <w:rFonts w:eastAsia="Arial"/>
          <w:b/>
        </w:rPr>
        <w:t>:</w:t>
      </w:r>
      <w:r>
        <w:rPr>
          <w:rFonts w:eastAsia="Arial"/>
          <w:b/>
        </w:rPr>
        <w:t xml:space="preserve"> it should be further studied how timing adjustment of an IAB-node (following OTA synchronization) impacts the operation of its child IAB-nodes and UEs. </w:t>
      </w:r>
    </w:p>
    <w:p w14:paraId="6E0AFFEA" w14:textId="48F3A25E" w:rsidR="00E548CB" w:rsidRDefault="00E548CB" w:rsidP="002C202E">
      <w:pPr>
        <w:rPr>
          <w:rFonts w:eastAsia="Arial"/>
        </w:rPr>
      </w:pPr>
    </w:p>
    <w:p w14:paraId="45A8CC3C" w14:textId="77AFFCB3" w:rsidR="004D1C58" w:rsidRDefault="004D1C58" w:rsidP="002C202E">
      <w:pPr>
        <w:rPr>
          <w:rFonts w:eastAsia="Arial"/>
        </w:rPr>
      </w:pPr>
    </w:p>
    <w:p w14:paraId="357E563D" w14:textId="4ABF3BB3" w:rsidR="004D1C58" w:rsidRDefault="004D1C58" w:rsidP="002C202E">
      <w:pPr>
        <w:rPr>
          <w:rFonts w:eastAsia="Arial"/>
        </w:rPr>
      </w:pPr>
    </w:p>
    <w:p w14:paraId="25621E31" w14:textId="77777777" w:rsidR="004D1C58" w:rsidRPr="00925F09" w:rsidRDefault="004D1C58" w:rsidP="002C202E">
      <w:pPr>
        <w:rPr>
          <w:rFonts w:eastAsia="Arial"/>
        </w:rPr>
      </w:pPr>
    </w:p>
    <w:p w14:paraId="2F952C0E" w14:textId="7DEEAF78" w:rsidR="00FC0714" w:rsidRPr="00025ECB" w:rsidRDefault="00FC0714" w:rsidP="00FC0714">
      <w:pPr>
        <w:pStyle w:val="Heading2"/>
        <w:spacing w:after="240"/>
      </w:pPr>
      <w:r w:rsidRPr="00025ECB">
        <w:lastRenderedPageBreak/>
        <w:t>Multi-hop timing alignment</w:t>
      </w:r>
    </w:p>
    <w:p w14:paraId="16C6D198" w14:textId="77777777" w:rsidR="006F48C4" w:rsidRDefault="006F48C4" w:rsidP="006F48C4">
      <w:r w:rsidRPr="00141EFE">
        <w:t>RAN1 #9</w:t>
      </w:r>
      <w:r>
        <w:t>3</w:t>
      </w:r>
      <w:r w:rsidRPr="00141EFE">
        <w:t xml:space="preserve"> achieved the following agreement</w:t>
      </w:r>
    </w:p>
    <w:tbl>
      <w:tblPr>
        <w:tblStyle w:val="TableGrid"/>
        <w:tblW w:w="0" w:type="auto"/>
        <w:tblLook w:val="04A0" w:firstRow="1" w:lastRow="0" w:firstColumn="1" w:lastColumn="0" w:noHBand="0" w:noVBand="1"/>
      </w:tblPr>
      <w:tblGrid>
        <w:gridCol w:w="9631"/>
      </w:tblGrid>
      <w:tr w:rsidR="005E713B" w14:paraId="78D191F4" w14:textId="77777777" w:rsidTr="005E713B">
        <w:tc>
          <w:tcPr>
            <w:tcW w:w="9631" w:type="dxa"/>
          </w:tcPr>
          <w:p w14:paraId="1AD933F4" w14:textId="77777777" w:rsidR="005E713B" w:rsidRPr="00B321DC" w:rsidRDefault="005E713B" w:rsidP="005E713B">
            <w:pPr>
              <w:rPr>
                <w:szCs w:val="20"/>
                <w:lang w:eastAsia="x-none"/>
              </w:rPr>
            </w:pPr>
            <w:r w:rsidRPr="00B321DC">
              <w:rPr>
                <w:szCs w:val="20"/>
                <w:highlight w:val="green"/>
                <w:lang w:eastAsia="x-none"/>
              </w:rPr>
              <w:t>Agreements</w:t>
            </w:r>
            <w:r w:rsidRPr="00B321DC">
              <w:rPr>
                <w:szCs w:val="20"/>
                <w:lang w:eastAsia="x-none"/>
              </w:rPr>
              <w:t>:</w:t>
            </w:r>
          </w:p>
          <w:p w14:paraId="68B13FF1" w14:textId="77777777" w:rsidR="005E713B" w:rsidRPr="00B321DC" w:rsidRDefault="005E713B" w:rsidP="005E713B">
            <w:pPr>
              <w:numPr>
                <w:ilvl w:val="0"/>
                <w:numId w:val="36"/>
              </w:numPr>
              <w:spacing w:before="60" w:after="120" w:line="240" w:lineRule="auto"/>
              <w:jc w:val="both"/>
              <w:rPr>
                <w:rFonts w:ascii="Calibri" w:hAnsi="Calibri"/>
                <w:szCs w:val="20"/>
              </w:rPr>
            </w:pPr>
            <w:r w:rsidRPr="00B321DC">
              <w:rPr>
                <w:rFonts w:ascii="Calibri" w:hAnsi="Calibri"/>
                <w:szCs w:val="20"/>
              </w:rPr>
              <w:t>The following cases should be further studied:</w:t>
            </w:r>
          </w:p>
          <w:p w14:paraId="72EEF789" w14:textId="77777777" w:rsidR="005E713B" w:rsidRPr="00B321DC" w:rsidRDefault="005E713B" w:rsidP="005E713B">
            <w:pPr>
              <w:numPr>
                <w:ilvl w:val="1"/>
                <w:numId w:val="36"/>
              </w:numPr>
              <w:spacing w:before="60" w:after="120" w:line="240" w:lineRule="auto"/>
              <w:jc w:val="both"/>
              <w:rPr>
                <w:rFonts w:ascii="Calibri" w:hAnsi="Calibri"/>
                <w:szCs w:val="20"/>
              </w:rPr>
            </w:pPr>
            <w:r w:rsidRPr="00B321DC">
              <w:rPr>
                <w:rFonts w:ascii="Calibri" w:hAnsi="Calibri"/>
                <w:szCs w:val="20"/>
              </w:rPr>
              <w:t>Case 1: DL transmission timing alignment across IAB nodes and donor nodes</w:t>
            </w:r>
          </w:p>
          <w:p w14:paraId="549B2DB1" w14:textId="77777777" w:rsidR="005E713B" w:rsidRPr="00B321DC" w:rsidRDefault="005E713B" w:rsidP="005E713B">
            <w:pPr>
              <w:numPr>
                <w:ilvl w:val="1"/>
                <w:numId w:val="36"/>
              </w:numPr>
              <w:spacing w:before="60" w:after="120" w:line="240" w:lineRule="auto"/>
              <w:jc w:val="both"/>
              <w:rPr>
                <w:rFonts w:ascii="Calibri" w:hAnsi="Calibri"/>
                <w:szCs w:val="20"/>
              </w:rPr>
            </w:pPr>
            <w:r w:rsidRPr="00B321DC">
              <w:rPr>
                <w:rFonts w:ascii="Calibri" w:hAnsi="Calibri"/>
                <w:szCs w:val="20"/>
              </w:rPr>
              <w:t>Case 2: DL and UL transmission timing is aligned within an IAB node</w:t>
            </w:r>
          </w:p>
          <w:p w14:paraId="6034C0EE" w14:textId="77777777" w:rsidR="005E713B" w:rsidRPr="00B321DC" w:rsidRDefault="005E713B" w:rsidP="005E713B">
            <w:pPr>
              <w:numPr>
                <w:ilvl w:val="1"/>
                <w:numId w:val="36"/>
              </w:numPr>
              <w:spacing w:before="60" w:after="120" w:line="240" w:lineRule="auto"/>
              <w:jc w:val="both"/>
              <w:rPr>
                <w:rFonts w:ascii="Calibri" w:hAnsi="Calibri"/>
                <w:szCs w:val="20"/>
              </w:rPr>
            </w:pPr>
            <w:r w:rsidRPr="00B321DC">
              <w:rPr>
                <w:rFonts w:ascii="Calibri" w:hAnsi="Calibri"/>
                <w:szCs w:val="20"/>
              </w:rPr>
              <w:t>Case 3: DL and UL reception timing is aligned within an IAB node</w:t>
            </w:r>
          </w:p>
          <w:p w14:paraId="62DA5E4C" w14:textId="77777777" w:rsidR="005E713B" w:rsidRPr="00B321DC" w:rsidRDefault="005E713B" w:rsidP="005E713B">
            <w:pPr>
              <w:numPr>
                <w:ilvl w:val="1"/>
                <w:numId w:val="36"/>
              </w:numPr>
              <w:spacing w:before="60" w:after="120" w:line="240" w:lineRule="auto"/>
              <w:jc w:val="both"/>
              <w:rPr>
                <w:rFonts w:ascii="Calibri" w:hAnsi="Calibri"/>
                <w:szCs w:val="20"/>
              </w:rPr>
            </w:pPr>
            <w:r w:rsidRPr="00B321DC">
              <w:rPr>
                <w:rFonts w:ascii="Calibri" w:hAnsi="Calibri"/>
                <w:szCs w:val="20"/>
              </w:rPr>
              <w:t>Case 4: within an IAB node, when transmitting using case 2 while when receiving using case 3</w:t>
            </w:r>
          </w:p>
          <w:p w14:paraId="6E6082C4" w14:textId="77777777" w:rsidR="005E713B" w:rsidRPr="00B321DC" w:rsidRDefault="005E713B" w:rsidP="005E713B">
            <w:pPr>
              <w:numPr>
                <w:ilvl w:val="1"/>
                <w:numId w:val="36"/>
              </w:numPr>
              <w:spacing w:before="60" w:after="120" w:line="240" w:lineRule="auto"/>
              <w:jc w:val="both"/>
              <w:rPr>
                <w:rFonts w:ascii="Calibri" w:hAnsi="Calibri"/>
                <w:szCs w:val="20"/>
              </w:rPr>
            </w:pPr>
            <w:r w:rsidRPr="00B321DC">
              <w:rPr>
                <w:rFonts w:ascii="Calibri" w:hAnsi="Calibri"/>
                <w:szCs w:val="20"/>
              </w:rPr>
              <w:t>Case 5: Case 1 for access link timing and Case 4 for backhaul link timing within an IAB node in different time slots</w:t>
            </w:r>
          </w:p>
          <w:p w14:paraId="07858E65" w14:textId="77777777" w:rsidR="005E713B" w:rsidRPr="00B321DC" w:rsidRDefault="005E713B" w:rsidP="005E713B">
            <w:pPr>
              <w:numPr>
                <w:ilvl w:val="0"/>
                <w:numId w:val="36"/>
              </w:numPr>
              <w:spacing w:before="60" w:after="120" w:line="240" w:lineRule="auto"/>
              <w:jc w:val="both"/>
              <w:rPr>
                <w:rFonts w:ascii="Calibri" w:hAnsi="Calibri"/>
                <w:szCs w:val="20"/>
              </w:rPr>
            </w:pPr>
            <w:r w:rsidRPr="00B321DC">
              <w:rPr>
                <w:rFonts w:ascii="Calibri" w:hAnsi="Calibri"/>
                <w:szCs w:val="20"/>
              </w:rPr>
              <w:t>Further study the following levels of alignment between IAB nodes/donor nodes or within an IAB node:</w:t>
            </w:r>
          </w:p>
          <w:p w14:paraId="29B46F77" w14:textId="77777777" w:rsidR="005E713B" w:rsidRPr="00B321DC" w:rsidRDefault="005E713B" w:rsidP="005E713B">
            <w:pPr>
              <w:numPr>
                <w:ilvl w:val="1"/>
                <w:numId w:val="36"/>
              </w:numPr>
              <w:spacing w:before="60" w:after="120" w:line="240" w:lineRule="auto"/>
              <w:jc w:val="both"/>
              <w:rPr>
                <w:rFonts w:ascii="Calibri" w:hAnsi="Calibri"/>
                <w:szCs w:val="20"/>
              </w:rPr>
            </w:pPr>
            <w:r w:rsidRPr="00B321DC">
              <w:rPr>
                <w:rFonts w:ascii="Calibri" w:hAnsi="Calibri"/>
                <w:szCs w:val="20"/>
              </w:rPr>
              <w:t>Slot alignment</w:t>
            </w:r>
          </w:p>
          <w:p w14:paraId="0A24F99B" w14:textId="77777777" w:rsidR="005E713B" w:rsidRPr="00B321DC" w:rsidRDefault="005E713B" w:rsidP="005E713B">
            <w:pPr>
              <w:numPr>
                <w:ilvl w:val="1"/>
                <w:numId w:val="36"/>
              </w:numPr>
              <w:spacing w:before="60" w:after="120" w:line="240" w:lineRule="auto"/>
              <w:jc w:val="both"/>
              <w:rPr>
                <w:rFonts w:ascii="Calibri" w:hAnsi="Calibri"/>
                <w:szCs w:val="20"/>
              </w:rPr>
            </w:pPr>
            <w:r w:rsidRPr="00B321DC">
              <w:rPr>
                <w:rFonts w:ascii="Calibri" w:hAnsi="Calibri"/>
                <w:szCs w:val="20"/>
              </w:rPr>
              <w:t>Symbol-level alignment</w:t>
            </w:r>
          </w:p>
          <w:p w14:paraId="47886CD3" w14:textId="77777777" w:rsidR="005E713B" w:rsidRPr="00B321DC" w:rsidRDefault="005E713B" w:rsidP="005E713B">
            <w:pPr>
              <w:numPr>
                <w:ilvl w:val="1"/>
                <w:numId w:val="36"/>
              </w:numPr>
              <w:spacing w:before="60" w:after="120" w:line="240" w:lineRule="auto"/>
              <w:jc w:val="both"/>
              <w:rPr>
                <w:rFonts w:ascii="Calibri" w:hAnsi="Calibri"/>
                <w:szCs w:val="20"/>
              </w:rPr>
            </w:pPr>
            <w:r w:rsidRPr="00B321DC">
              <w:rPr>
                <w:rFonts w:ascii="Calibri" w:hAnsi="Calibri"/>
                <w:szCs w:val="20"/>
              </w:rPr>
              <w:t>No alignment</w:t>
            </w:r>
          </w:p>
          <w:p w14:paraId="73CF753D" w14:textId="6DABC5BE" w:rsidR="005E713B" w:rsidRPr="005E713B" w:rsidRDefault="005E713B" w:rsidP="007979B1">
            <w:pPr>
              <w:numPr>
                <w:ilvl w:val="0"/>
                <w:numId w:val="36"/>
              </w:numPr>
              <w:spacing w:before="60" w:after="120" w:line="240" w:lineRule="auto"/>
              <w:jc w:val="both"/>
              <w:rPr>
                <w:rFonts w:ascii="Calibri" w:hAnsi="Calibri"/>
                <w:szCs w:val="20"/>
              </w:rPr>
            </w:pPr>
            <w:r w:rsidRPr="00B321DC">
              <w:rPr>
                <w:rFonts w:ascii="Calibri" w:hAnsi="Calibri"/>
                <w:szCs w:val="20"/>
              </w:rPr>
              <w:t>Further consider the impact of different cases on TDM/FDM/SDM multiplexing of access and backhaul links, cross-link interference, and impact on access UEs</w:t>
            </w:r>
          </w:p>
        </w:tc>
      </w:tr>
    </w:tbl>
    <w:p w14:paraId="3B61F450" w14:textId="77777777" w:rsidR="005E713B" w:rsidRDefault="005E713B" w:rsidP="007979B1"/>
    <w:p w14:paraId="1DAFDC7E" w14:textId="4C0B65AD" w:rsidR="005E713B" w:rsidRDefault="00025ECB" w:rsidP="007979B1">
      <w:r>
        <w:t>In [</w:t>
      </w:r>
      <w:r w:rsidR="00700732">
        <w:t>1</w:t>
      </w:r>
      <w:r>
        <w:t xml:space="preserve">], we compared different timing alignment cases (cases 1-5) in details – the summary of which is provided in </w:t>
      </w:r>
      <w:r>
        <w:fldChar w:fldCharType="begin"/>
      </w:r>
      <w:r>
        <w:instrText xml:space="preserve"> REF _Ref521669446 \h </w:instrText>
      </w:r>
      <w:r>
        <w:fldChar w:fldCharType="separate"/>
      </w:r>
      <w:r w:rsidR="004D1C58">
        <w:t xml:space="preserve">Table </w:t>
      </w:r>
      <w:r w:rsidR="004D1C58">
        <w:rPr>
          <w:noProof/>
        </w:rPr>
        <w:t>7</w:t>
      </w:r>
      <w:r>
        <w:fldChar w:fldCharType="end"/>
      </w:r>
      <w:r>
        <w:t>. Based on this comparison, we propose the following:</w:t>
      </w:r>
    </w:p>
    <w:p w14:paraId="5CAE23C1" w14:textId="15517A8B" w:rsidR="00025ECB" w:rsidRDefault="00025ECB" w:rsidP="00025ECB">
      <w:pPr>
        <w:rPr>
          <w:rFonts w:eastAsia="Arial"/>
          <w:b/>
        </w:rPr>
      </w:pPr>
      <w:r>
        <w:rPr>
          <w:rFonts w:eastAsia="Arial"/>
          <w:b/>
        </w:rPr>
        <w:t>Proposal</w:t>
      </w:r>
      <w:r w:rsidRPr="00707A3D">
        <w:rPr>
          <w:rFonts w:eastAsia="Arial"/>
          <w:b/>
        </w:rPr>
        <w:t xml:space="preserve"> </w:t>
      </w:r>
      <w:r>
        <w:rPr>
          <w:rFonts w:eastAsia="Arial"/>
          <w:b/>
        </w:rPr>
        <w:t>5.1</w:t>
      </w:r>
      <w:r w:rsidRPr="00707A3D">
        <w:rPr>
          <w:rFonts w:eastAsia="Arial"/>
          <w:b/>
        </w:rPr>
        <w:t xml:space="preserve">: </w:t>
      </w:r>
      <w:r>
        <w:rPr>
          <w:rFonts w:eastAsia="Arial"/>
          <w:b/>
        </w:rPr>
        <w:t xml:space="preserve">the timing alignment case 1 (where slot boundaries across multi-hop IAB network are aligned) is adopted as the baseline. </w:t>
      </w:r>
    </w:p>
    <w:p w14:paraId="1F9E7C48" w14:textId="3F9230C9" w:rsidR="00025ECB" w:rsidRDefault="00025ECB" w:rsidP="00025ECB">
      <w:pPr>
        <w:pStyle w:val="ListParagraph"/>
        <w:numPr>
          <w:ilvl w:val="0"/>
          <w:numId w:val="26"/>
        </w:numPr>
        <w:ind w:firstLineChars="0"/>
        <w:rPr>
          <w:rFonts w:eastAsia="Arial"/>
          <w:b/>
        </w:rPr>
      </w:pPr>
      <w:r w:rsidRPr="006B2676">
        <w:rPr>
          <w:rFonts w:eastAsia="Arial"/>
          <w:b/>
        </w:rPr>
        <w:t xml:space="preserve">The other cases that allow </w:t>
      </w:r>
      <w:r w:rsidR="00FA7AEE" w:rsidRPr="006B2676">
        <w:rPr>
          <w:rFonts w:eastAsia="Arial"/>
          <w:b/>
        </w:rPr>
        <w:t>simultaneous</w:t>
      </w:r>
      <w:r w:rsidRPr="006B2676">
        <w:rPr>
          <w:rFonts w:eastAsia="Arial"/>
          <w:b/>
        </w:rPr>
        <w:t xml:space="preserve"> </w:t>
      </w:r>
      <w:r w:rsidR="00FA7AEE" w:rsidRPr="006B2676">
        <w:rPr>
          <w:rFonts w:eastAsia="Arial"/>
          <w:b/>
        </w:rPr>
        <w:t>transmissions</w:t>
      </w:r>
      <w:r w:rsidRPr="006B2676">
        <w:rPr>
          <w:rFonts w:eastAsia="Arial"/>
          <w:b/>
        </w:rPr>
        <w:t xml:space="preserve"> and/or </w:t>
      </w:r>
      <w:r w:rsidR="00FA7AEE" w:rsidRPr="006B2676">
        <w:rPr>
          <w:rFonts w:eastAsia="Arial"/>
          <w:b/>
        </w:rPr>
        <w:t>receptions</w:t>
      </w:r>
      <w:r w:rsidRPr="006B2676">
        <w:rPr>
          <w:rFonts w:eastAsia="Arial"/>
          <w:b/>
        </w:rPr>
        <w:t xml:space="preserve"> over two adjacent hops should also be supported</w:t>
      </w:r>
      <w:r>
        <w:rPr>
          <w:rFonts w:eastAsia="Arial"/>
          <w:b/>
        </w:rPr>
        <w:t>.</w:t>
      </w:r>
    </w:p>
    <w:p w14:paraId="1D36DC4C" w14:textId="0B1DE5AC" w:rsidR="00025ECB" w:rsidRPr="00025ECB" w:rsidRDefault="00025ECB" w:rsidP="007979B1">
      <w:pPr>
        <w:pStyle w:val="ListParagraph"/>
        <w:numPr>
          <w:ilvl w:val="0"/>
          <w:numId w:val="26"/>
        </w:numPr>
        <w:ind w:firstLineChars="0"/>
        <w:rPr>
          <w:rFonts w:eastAsia="Arial"/>
          <w:b/>
        </w:rPr>
      </w:pPr>
      <w:r>
        <w:rPr>
          <w:rFonts w:eastAsia="Arial"/>
          <w:b/>
        </w:rPr>
        <w:t xml:space="preserve">It is left to network, which case to select. </w:t>
      </w:r>
    </w:p>
    <w:p w14:paraId="48CE9923" w14:textId="2DC401F5" w:rsidR="006857FB" w:rsidRDefault="006857FB" w:rsidP="006857FB"/>
    <w:p w14:paraId="49350972" w14:textId="6F6D6441" w:rsidR="00025ECB" w:rsidRDefault="00025ECB" w:rsidP="00025ECB">
      <w:pPr>
        <w:pStyle w:val="Caption"/>
        <w:keepNext/>
        <w:jc w:val="center"/>
      </w:pPr>
      <w:bookmarkStart w:id="18" w:name="_Ref521669446"/>
      <w:r>
        <w:t xml:space="preserve">Table </w:t>
      </w:r>
      <w:r w:rsidR="00C46E82">
        <w:rPr>
          <w:noProof/>
        </w:rPr>
        <w:fldChar w:fldCharType="begin"/>
      </w:r>
      <w:r w:rsidR="00C46E82">
        <w:rPr>
          <w:noProof/>
        </w:rPr>
        <w:instrText xml:space="preserve"> SEQ Table \* ARABIC </w:instrText>
      </w:r>
      <w:r w:rsidR="00C46E82">
        <w:rPr>
          <w:noProof/>
        </w:rPr>
        <w:fldChar w:fldCharType="separate"/>
      </w:r>
      <w:r w:rsidR="004D1C58">
        <w:rPr>
          <w:noProof/>
        </w:rPr>
        <w:t>7</w:t>
      </w:r>
      <w:r w:rsidR="00C46E82">
        <w:rPr>
          <w:noProof/>
        </w:rPr>
        <w:fldChar w:fldCharType="end"/>
      </w:r>
      <w:bookmarkEnd w:id="18"/>
      <w:r>
        <w:t xml:space="preserve">: </w:t>
      </w:r>
      <w:r w:rsidRPr="009938A8">
        <w:t>comparison of different timing alignment cases</w:t>
      </w:r>
    </w:p>
    <w:tbl>
      <w:tblPr>
        <w:tblStyle w:val="TableGrid"/>
        <w:tblW w:w="0" w:type="auto"/>
        <w:jc w:val="center"/>
        <w:tblLook w:val="04A0" w:firstRow="1" w:lastRow="0" w:firstColumn="1" w:lastColumn="0" w:noHBand="0" w:noVBand="1"/>
      </w:tblPr>
      <w:tblGrid>
        <w:gridCol w:w="1615"/>
        <w:gridCol w:w="3420"/>
        <w:gridCol w:w="4500"/>
      </w:tblGrid>
      <w:tr w:rsidR="00025ECB" w:rsidRPr="00025ECB" w14:paraId="3ABAC959" w14:textId="77777777" w:rsidTr="00A712D5">
        <w:trPr>
          <w:trHeight w:val="1058"/>
          <w:jc w:val="center"/>
        </w:trPr>
        <w:tc>
          <w:tcPr>
            <w:tcW w:w="1615" w:type="dxa"/>
            <w:vAlign w:val="center"/>
          </w:tcPr>
          <w:p w14:paraId="38FADE50" w14:textId="77777777" w:rsidR="00025ECB" w:rsidRPr="00025ECB" w:rsidRDefault="00025ECB" w:rsidP="00025ECB">
            <w:pPr>
              <w:jc w:val="center"/>
              <w:rPr>
                <w:rFonts w:eastAsia="Arial"/>
              </w:rPr>
            </w:pPr>
          </w:p>
          <w:p w14:paraId="0B2F7304" w14:textId="77777777" w:rsidR="00025ECB" w:rsidRPr="00025ECB" w:rsidRDefault="00025ECB" w:rsidP="00025ECB">
            <w:pPr>
              <w:jc w:val="center"/>
              <w:rPr>
                <w:rFonts w:eastAsia="Arial"/>
              </w:rPr>
            </w:pPr>
            <w:r w:rsidRPr="00025ECB">
              <w:rPr>
                <w:rFonts w:eastAsia="Arial"/>
                <w:b/>
                <w:bCs/>
              </w:rPr>
              <w:t>Timing Alignment</w:t>
            </w:r>
          </w:p>
        </w:tc>
        <w:tc>
          <w:tcPr>
            <w:tcW w:w="3420" w:type="dxa"/>
            <w:vAlign w:val="center"/>
          </w:tcPr>
          <w:p w14:paraId="365C0CA9" w14:textId="77777777" w:rsidR="00025ECB" w:rsidRPr="00025ECB" w:rsidRDefault="00025ECB" w:rsidP="00025ECB">
            <w:pPr>
              <w:jc w:val="center"/>
              <w:rPr>
                <w:rFonts w:eastAsia="Arial"/>
              </w:rPr>
            </w:pPr>
            <w:r w:rsidRPr="00025ECB">
              <w:rPr>
                <w:rFonts w:eastAsia="Arial"/>
                <w:b/>
                <w:bCs/>
              </w:rPr>
              <w:t>Pros</w:t>
            </w:r>
          </w:p>
        </w:tc>
        <w:tc>
          <w:tcPr>
            <w:tcW w:w="4500" w:type="dxa"/>
            <w:vAlign w:val="center"/>
          </w:tcPr>
          <w:p w14:paraId="045E8FAE" w14:textId="77777777" w:rsidR="00025ECB" w:rsidRPr="00025ECB" w:rsidRDefault="00025ECB" w:rsidP="00025ECB">
            <w:pPr>
              <w:jc w:val="center"/>
              <w:rPr>
                <w:rFonts w:eastAsia="Arial"/>
              </w:rPr>
            </w:pPr>
            <w:r w:rsidRPr="00025ECB">
              <w:rPr>
                <w:rFonts w:eastAsia="Arial"/>
                <w:b/>
                <w:bCs/>
              </w:rPr>
              <w:t>Cons</w:t>
            </w:r>
          </w:p>
        </w:tc>
      </w:tr>
      <w:tr w:rsidR="00025ECB" w:rsidRPr="00025ECB" w14:paraId="5DB3BC63" w14:textId="77777777" w:rsidTr="00A712D5">
        <w:trPr>
          <w:trHeight w:val="1360"/>
          <w:jc w:val="center"/>
        </w:trPr>
        <w:tc>
          <w:tcPr>
            <w:tcW w:w="1615" w:type="dxa"/>
            <w:vAlign w:val="center"/>
          </w:tcPr>
          <w:p w14:paraId="2ACB2B95" w14:textId="77777777" w:rsidR="00025ECB" w:rsidRPr="00025ECB" w:rsidRDefault="00025ECB" w:rsidP="00025ECB">
            <w:pPr>
              <w:rPr>
                <w:rFonts w:eastAsia="Arial"/>
              </w:rPr>
            </w:pPr>
            <w:r w:rsidRPr="00025ECB">
              <w:rPr>
                <w:rFonts w:eastAsia="Arial"/>
              </w:rPr>
              <w:t>Case 1</w:t>
            </w:r>
          </w:p>
        </w:tc>
        <w:tc>
          <w:tcPr>
            <w:tcW w:w="3420" w:type="dxa"/>
            <w:vAlign w:val="center"/>
          </w:tcPr>
          <w:p w14:paraId="4F53BB36" w14:textId="77777777" w:rsidR="00025ECB" w:rsidRPr="00025ECB" w:rsidRDefault="00025ECB" w:rsidP="00025ECB">
            <w:pPr>
              <w:numPr>
                <w:ilvl w:val="0"/>
                <w:numId w:val="43"/>
              </w:numPr>
              <w:tabs>
                <w:tab w:val="num" w:pos="720"/>
              </w:tabs>
              <w:rPr>
                <w:rFonts w:eastAsia="Arial"/>
              </w:rPr>
            </w:pPr>
            <w:r w:rsidRPr="00025ECB">
              <w:rPr>
                <w:rFonts w:eastAsia="Arial"/>
              </w:rPr>
              <w:t xml:space="preserve">Allows </w:t>
            </w:r>
            <w:r w:rsidRPr="00025ECB">
              <w:rPr>
                <w:rFonts w:eastAsia="Arial"/>
                <w:b/>
                <w:bCs/>
              </w:rPr>
              <w:t xml:space="preserve">synchronous operation </w:t>
            </w:r>
            <w:r w:rsidRPr="00025ECB">
              <w:rPr>
                <w:rFonts w:eastAsia="Arial"/>
              </w:rPr>
              <w:t>without cross link interference (due to time misalignment)</w:t>
            </w:r>
          </w:p>
          <w:p w14:paraId="5A41D66A" w14:textId="77777777" w:rsidR="00025ECB" w:rsidRPr="00025ECB" w:rsidRDefault="00025ECB" w:rsidP="00025ECB">
            <w:pPr>
              <w:numPr>
                <w:ilvl w:val="0"/>
                <w:numId w:val="43"/>
              </w:numPr>
              <w:tabs>
                <w:tab w:val="num" w:pos="720"/>
              </w:tabs>
              <w:rPr>
                <w:rFonts w:eastAsia="Arial"/>
              </w:rPr>
            </w:pPr>
            <w:r w:rsidRPr="00025ECB">
              <w:rPr>
                <w:rFonts w:eastAsia="Arial"/>
              </w:rPr>
              <w:t>When the there is a change in timing of the BH link, timing relative to the access UEs and IAB child nodes remain the same.</w:t>
            </w:r>
          </w:p>
        </w:tc>
        <w:tc>
          <w:tcPr>
            <w:tcW w:w="4500" w:type="dxa"/>
            <w:vAlign w:val="center"/>
          </w:tcPr>
          <w:p w14:paraId="2ACB8B82" w14:textId="77777777" w:rsidR="00025ECB" w:rsidRPr="00025ECB" w:rsidRDefault="00025ECB" w:rsidP="00025ECB">
            <w:pPr>
              <w:numPr>
                <w:ilvl w:val="0"/>
                <w:numId w:val="41"/>
              </w:numPr>
              <w:tabs>
                <w:tab w:val="num" w:pos="720"/>
              </w:tabs>
              <w:rPr>
                <w:rFonts w:eastAsia="Arial"/>
              </w:rPr>
            </w:pPr>
            <w:r w:rsidRPr="00025ECB">
              <w:rPr>
                <w:rFonts w:eastAsia="Arial"/>
              </w:rPr>
              <w:t>Simultaneous Tx to parent &amp; children and Rx from the parent &amp; children creates interference due to misalignment</w:t>
            </w:r>
          </w:p>
        </w:tc>
      </w:tr>
      <w:tr w:rsidR="00025ECB" w:rsidRPr="00025ECB" w14:paraId="224E1DD8" w14:textId="77777777" w:rsidTr="00A712D5">
        <w:trPr>
          <w:jc w:val="center"/>
        </w:trPr>
        <w:tc>
          <w:tcPr>
            <w:tcW w:w="1615" w:type="dxa"/>
            <w:vAlign w:val="center"/>
          </w:tcPr>
          <w:p w14:paraId="534F0AB7" w14:textId="77777777" w:rsidR="00025ECB" w:rsidRPr="00025ECB" w:rsidRDefault="00025ECB" w:rsidP="00025ECB">
            <w:pPr>
              <w:rPr>
                <w:rFonts w:eastAsia="Arial"/>
              </w:rPr>
            </w:pPr>
            <w:r w:rsidRPr="00025ECB">
              <w:rPr>
                <w:rFonts w:eastAsia="Arial"/>
              </w:rPr>
              <w:t>Cases 2-5</w:t>
            </w:r>
          </w:p>
        </w:tc>
        <w:tc>
          <w:tcPr>
            <w:tcW w:w="3420" w:type="dxa"/>
            <w:vAlign w:val="center"/>
          </w:tcPr>
          <w:p w14:paraId="1A5AE5C6" w14:textId="006D21A2" w:rsidR="00025ECB" w:rsidRPr="00025ECB" w:rsidRDefault="00025ECB" w:rsidP="00025ECB">
            <w:pPr>
              <w:numPr>
                <w:ilvl w:val="0"/>
                <w:numId w:val="44"/>
              </w:numPr>
              <w:tabs>
                <w:tab w:val="num" w:pos="720"/>
              </w:tabs>
              <w:rPr>
                <w:rFonts w:eastAsia="Arial"/>
              </w:rPr>
            </w:pPr>
            <w:r w:rsidRPr="00025ECB">
              <w:rPr>
                <w:rFonts w:eastAsia="Arial"/>
              </w:rPr>
              <w:t xml:space="preserve">Allows </w:t>
            </w:r>
            <w:r w:rsidRPr="00025ECB">
              <w:rPr>
                <w:rFonts w:eastAsia="Arial"/>
                <w:b/>
                <w:bCs/>
              </w:rPr>
              <w:t>simultaneous</w:t>
            </w:r>
            <w:r w:rsidRPr="00025ECB">
              <w:rPr>
                <w:rFonts w:eastAsia="Arial"/>
              </w:rPr>
              <w:t xml:space="preserve"> </w:t>
            </w:r>
            <w:r w:rsidRPr="00025ECB">
              <w:rPr>
                <w:rFonts w:eastAsia="Arial"/>
                <w:b/>
                <w:bCs/>
              </w:rPr>
              <w:t xml:space="preserve">transmissions and/or </w:t>
            </w:r>
            <w:r w:rsidR="00FA7AEE" w:rsidRPr="00025ECB">
              <w:rPr>
                <w:rFonts w:eastAsia="Arial"/>
                <w:b/>
                <w:bCs/>
              </w:rPr>
              <w:t>receptions</w:t>
            </w:r>
            <w:r w:rsidRPr="00025ECB">
              <w:rPr>
                <w:rFonts w:eastAsia="Arial"/>
              </w:rPr>
              <w:t xml:space="preserve"> to the parent node and the IAB child nodes/UEs.</w:t>
            </w:r>
          </w:p>
        </w:tc>
        <w:tc>
          <w:tcPr>
            <w:tcW w:w="4500" w:type="dxa"/>
            <w:vAlign w:val="center"/>
          </w:tcPr>
          <w:p w14:paraId="2C2DA7DC" w14:textId="77777777" w:rsidR="00025ECB" w:rsidRPr="00025ECB" w:rsidRDefault="00025ECB" w:rsidP="00025ECB">
            <w:pPr>
              <w:numPr>
                <w:ilvl w:val="0"/>
                <w:numId w:val="42"/>
              </w:numPr>
              <w:tabs>
                <w:tab w:val="num" w:pos="720"/>
              </w:tabs>
              <w:rPr>
                <w:rFonts w:eastAsia="Arial"/>
              </w:rPr>
            </w:pPr>
            <w:r w:rsidRPr="00025ECB">
              <w:rPr>
                <w:rFonts w:eastAsia="Arial"/>
                <w:b/>
                <w:bCs/>
              </w:rPr>
              <w:t>With every hop, the relative timing error may grow</w:t>
            </w:r>
          </w:p>
          <w:p w14:paraId="6E8D6EF9" w14:textId="77777777" w:rsidR="00025ECB" w:rsidRPr="00025ECB" w:rsidRDefault="00025ECB" w:rsidP="00025ECB">
            <w:pPr>
              <w:numPr>
                <w:ilvl w:val="0"/>
                <w:numId w:val="42"/>
              </w:numPr>
              <w:tabs>
                <w:tab w:val="num" w:pos="720"/>
              </w:tabs>
              <w:rPr>
                <w:rFonts w:eastAsia="Arial"/>
              </w:rPr>
            </w:pPr>
            <w:r w:rsidRPr="00025ECB">
              <w:rPr>
                <w:rFonts w:eastAsia="Arial"/>
              </w:rPr>
              <w:t>Asynchronous operation</w:t>
            </w:r>
          </w:p>
          <w:p w14:paraId="42E72E4F" w14:textId="7C764EC0" w:rsidR="00025ECB" w:rsidRPr="00025ECB" w:rsidRDefault="00025ECB" w:rsidP="00025ECB">
            <w:pPr>
              <w:numPr>
                <w:ilvl w:val="0"/>
                <w:numId w:val="42"/>
              </w:numPr>
              <w:tabs>
                <w:tab w:val="num" w:pos="720"/>
              </w:tabs>
              <w:rPr>
                <w:rFonts w:eastAsia="Arial"/>
              </w:rPr>
            </w:pPr>
            <w:r w:rsidRPr="00025ECB">
              <w:rPr>
                <w:rFonts w:eastAsia="Arial"/>
              </w:rPr>
              <w:t xml:space="preserve">Requires longer guard periods </w:t>
            </w:r>
            <w:r w:rsidR="00FA7AEE" w:rsidRPr="00025ECB">
              <w:rPr>
                <w:rFonts w:eastAsia="Arial"/>
              </w:rPr>
              <w:t>to</w:t>
            </w:r>
            <w:r w:rsidRPr="00025ECB">
              <w:rPr>
                <w:rFonts w:eastAsia="Arial"/>
              </w:rPr>
              <w:t xml:space="preserve"> minimize cross link interference</w:t>
            </w:r>
          </w:p>
          <w:p w14:paraId="39E85D3F" w14:textId="77777777" w:rsidR="00025ECB" w:rsidRPr="00025ECB" w:rsidRDefault="00025ECB" w:rsidP="00025ECB">
            <w:pPr>
              <w:numPr>
                <w:ilvl w:val="0"/>
                <w:numId w:val="42"/>
              </w:numPr>
              <w:tabs>
                <w:tab w:val="num" w:pos="720"/>
              </w:tabs>
              <w:rPr>
                <w:rFonts w:eastAsia="Arial"/>
              </w:rPr>
            </w:pPr>
            <w:r w:rsidRPr="00025ECB">
              <w:rPr>
                <w:rFonts w:eastAsia="Arial"/>
              </w:rPr>
              <w:t>When the there is a change in timing of the BH link, the new timing reference needs to be communicated to the children.</w:t>
            </w:r>
          </w:p>
        </w:tc>
      </w:tr>
    </w:tbl>
    <w:p w14:paraId="613FD0CE" w14:textId="77777777" w:rsidR="009551C1" w:rsidRPr="006857FB" w:rsidRDefault="009551C1" w:rsidP="006857FB"/>
    <w:p w14:paraId="3AD62CD1" w14:textId="4B434919" w:rsidR="00FC0714" w:rsidRPr="005430CD" w:rsidRDefault="00FC0714" w:rsidP="00FC0714">
      <w:pPr>
        <w:pStyle w:val="Heading2"/>
        <w:spacing w:after="240"/>
      </w:pPr>
      <w:r w:rsidRPr="005430CD">
        <w:t>Resource allocation and coordination</w:t>
      </w:r>
    </w:p>
    <w:p w14:paraId="75A4C1FB" w14:textId="2803E481" w:rsidR="005E713B" w:rsidRDefault="00525F1C" w:rsidP="006857FB">
      <w:pPr>
        <w:rPr>
          <w:lang w:val="en-GB"/>
        </w:rPr>
      </w:pPr>
      <w:r>
        <w:rPr>
          <w:lang w:val="en-GB"/>
        </w:rPr>
        <w:t>In our companion paper [</w:t>
      </w:r>
      <w:r w:rsidR="00700732">
        <w:rPr>
          <w:lang w:val="en-GB"/>
        </w:rPr>
        <w:t>2</w:t>
      </w:r>
      <w:r>
        <w:rPr>
          <w:lang w:val="en-GB"/>
        </w:rPr>
        <w:t>], we provided our detailed view on the IAB resource management, and proposed to support two approaches:</w:t>
      </w:r>
    </w:p>
    <w:p w14:paraId="14C2ECC8" w14:textId="77777777" w:rsidR="00525F1C" w:rsidRDefault="00525F1C" w:rsidP="00525F1C">
      <w:pPr>
        <w:pStyle w:val="ListParagraph"/>
        <w:numPr>
          <w:ilvl w:val="0"/>
          <w:numId w:val="48"/>
        </w:numPr>
        <w:ind w:firstLineChars="0"/>
      </w:pPr>
      <w:r>
        <w:t xml:space="preserve">A baseline approach is a </w:t>
      </w:r>
      <w:r w:rsidRPr="00F06603">
        <w:rPr>
          <w:b/>
        </w:rPr>
        <w:t>semi-static</w:t>
      </w:r>
      <w:r>
        <w:t xml:space="preserve"> resource partitioning approach, where a set of resources, called schedulable resources, is determined for each IAB-node as a DU to schedule its child nodes at a relatively large time scale. For a centralized implementation, new signaling messages shall be defined at F1-AP interface between CU and IAB-node DU to support this baseline approach. No changes are required at NR Uu interface and no changes are required for UEs. </w:t>
      </w:r>
    </w:p>
    <w:p w14:paraId="15026583" w14:textId="77777777" w:rsidR="00525F1C" w:rsidRPr="0016172D" w:rsidRDefault="00525F1C" w:rsidP="00525F1C">
      <w:pPr>
        <w:pStyle w:val="ListParagraph"/>
        <w:numPr>
          <w:ilvl w:val="0"/>
          <w:numId w:val="48"/>
        </w:numPr>
        <w:ind w:firstLineChars="0"/>
      </w:pPr>
      <w:r>
        <w:t xml:space="preserve">An enhanced approach is a </w:t>
      </w:r>
      <w:r w:rsidRPr="00F06603">
        <w:rPr>
          <w:b/>
        </w:rPr>
        <w:t>dynamic</w:t>
      </w:r>
      <w:r>
        <w:t xml:space="preserve"> resource coordination approach, which enables fast resource coordination between IAB-nodes. Compared with the semi-static resource partitioning approach, this dynamic resource coordination can be more flexible and efficient in resource usage but at the possible expense of more control signaling overhead. Enhancements or new signaling messages at NR Uu interface may be required for IAB-nodes.           </w:t>
      </w:r>
    </w:p>
    <w:p w14:paraId="2D1FFF62" w14:textId="51656829" w:rsidR="00525F1C" w:rsidRDefault="00525F1C" w:rsidP="006857FB"/>
    <w:p w14:paraId="2171C8BD" w14:textId="64C2F477" w:rsidR="00525F1C" w:rsidRDefault="00525F1C" w:rsidP="00525F1C">
      <w:pPr>
        <w:rPr>
          <w:b/>
        </w:rPr>
      </w:pPr>
      <w:r w:rsidRPr="0034716D">
        <w:rPr>
          <w:b/>
        </w:rPr>
        <w:t>Proposal</w:t>
      </w:r>
      <w:r>
        <w:rPr>
          <w:b/>
        </w:rPr>
        <w:t xml:space="preserve"> 6.1: A semi-static resource partitioning shall be supported as a baseline approach, where a set of resources, called schedulable resources, are determined for each IAB-node to schedule its child nodes.</w:t>
      </w:r>
    </w:p>
    <w:p w14:paraId="262961E8" w14:textId="3FFF6F30" w:rsidR="00525F1C" w:rsidRDefault="00525F1C" w:rsidP="00525F1C">
      <w:pPr>
        <w:pStyle w:val="ListParagraph"/>
        <w:numPr>
          <w:ilvl w:val="0"/>
          <w:numId w:val="26"/>
        </w:numPr>
        <w:ind w:firstLineChars="0"/>
        <w:rPr>
          <w:b/>
        </w:rPr>
      </w:pPr>
      <w:r>
        <w:rPr>
          <w:b/>
        </w:rPr>
        <w:t xml:space="preserve">To support a centralized implementation of the semi-static resource partitioning schemes. New upper-layer (F1-AP) signaling is needed </w:t>
      </w:r>
      <w:r w:rsidR="002E3202">
        <w:rPr>
          <w:b/>
        </w:rPr>
        <w:t>to indicate the required reports for selecting</w:t>
      </w:r>
      <w:r>
        <w:rPr>
          <w:b/>
        </w:rPr>
        <w:t xml:space="preserve"> schedulable </w:t>
      </w:r>
      <w:r w:rsidR="00BB6109">
        <w:rPr>
          <w:b/>
        </w:rPr>
        <w:t>resources and</w:t>
      </w:r>
      <w:r w:rsidR="002E3202">
        <w:rPr>
          <w:b/>
        </w:rPr>
        <w:t xml:space="preserve"> provide the selected resources. </w:t>
      </w:r>
    </w:p>
    <w:p w14:paraId="36A78C23" w14:textId="2A3E3527" w:rsidR="002E3202" w:rsidRDefault="002E3202" w:rsidP="002E3202">
      <w:pPr>
        <w:pStyle w:val="ListParagraph"/>
        <w:numPr>
          <w:ilvl w:val="1"/>
          <w:numId w:val="26"/>
        </w:numPr>
        <w:ind w:firstLineChars="0"/>
        <w:rPr>
          <w:b/>
        </w:rPr>
      </w:pPr>
      <w:r>
        <w:rPr>
          <w:b/>
        </w:rPr>
        <w:t xml:space="preserve">Exact signaling format is out of RAN1 scope. </w:t>
      </w:r>
    </w:p>
    <w:p w14:paraId="2F89E453" w14:textId="15C32EB2" w:rsidR="002E3202" w:rsidRDefault="002E3202" w:rsidP="002E3202">
      <w:pPr>
        <w:pStyle w:val="ListParagraph"/>
        <w:numPr>
          <w:ilvl w:val="0"/>
          <w:numId w:val="26"/>
        </w:numPr>
        <w:ind w:firstLineChars="0"/>
        <w:rPr>
          <w:b/>
        </w:rPr>
      </w:pPr>
      <w:r>
        <w:rPr>
          <w:b/>
        </w:rPr>
        <w:t>The granularity for schedulable resource pattern shall be configurable.</w:t>
      </w:r>
    </w:p>
    <w:p w14:paraId="7BE31024" w14:textId="0F884D35" w:rsidR="002E3202" w:rsidRDefault="002E3202" w:rsidP="002E3202">
      <w:pPr>
        <w:pStyle w:val="ListParagraph"/>
        <w:numPr>
          <w:ilvl w:val="0"/>
          <w:numId w:val="26"/>
        </w:numPr>
        <w:ind w:firstLineChars="0"/>
        <w:rPr>
          <w:b/>
        </w:rPr>
      </w:pPr>
      <w:r>
        <w:rPr>
          <w:b/>
        </w:rPr>
        <w:t>A schedulable resource pattern for an IAB-node can be associated with only a subset of its child links.</w:t>
      </w:r>
    </w:p>
    <w:p w14:paraId="7B069316" w14:textId="40ABAC20" w:rsidR="002E3202" w:rsidRPr="00525F1C" w:rsidRDefault="002E3202" w:rsidP="002E3202">
      <w:pPr>
        <w:pStyle w:val="ListParagraph"/>
        <w:numPr>
          <w:ilvl w:val="0"/>
          <w:numId w:val="26"/>
        </w:numPr>
        <w:ind w:firstLineChars="0"/>
        <w:rPr>
          <w:b/>
        </w:rPr>
      </w:pPr>
      <w:r>
        <w:rPr>
          <w:b/>
        </w:rPr>
        <w:t>Interaction between schedulable resource pattern and the resource allocation (e.g. RRC-configured resources) shall be further studied, including e.g. conflict resolution rules</w:t>
      </w:r>
      <w:r w:rsidRPr="008B07F5">
        <w:rPr>
          <w:b/>
        </w:rPr>
        <w:t>.</w:t>
      </w:r>
    </w:p>
    <w:p w14:paraId="3A59C89C" w14:textId="32765014" w:rsidR="00525F1C" w:rsidRDefault="002E3202" w:rsidP="006857FB">
      <w:r w:rsidRPr="00390BC2">
        <w:rPr>
          <w:b/>
          <w:lang w:val="en-GB"/>
        </w:rPr>
        <w:t>Proposal 6</w:t>
      </w:r>
      <w:r>
        <w:rPr>
          <w:b/>
          <w:lang w:val="en-GB"/>
        </w:rPr>
        <w:t>.2</w:t>
      </w:r>
      <w:r w:rsidRPr="00390BC2">
        <w:rPr>
          <w:b/>
          <w:lang w:val="en-GB"/>
        </w:rPr>
        <w:t>:</w:t>
      </w:r>
      <w:r>
        <w:rPr>
          <w:b/>
          <w:lang w:val="en-GB"/>
        </w:rPr>
        <w:t xml:space="preserve"> A dynamic coordination approach shall be supported with potentially using enhanced slot format indication framework.</w:t>
      </w:r>
    </w:p>
    <w:p w14:paraId="5460E31F" w14:textId="7017117B" w:rsidR="005E713B" w:rsidRDefault="005E713B" w:rsidP="00141EFE">
      <w:pPr>
        <w:rPr>
          <w:rFonts w:eastAsia="SimSun"/>
          <w:b/>
        </w:rPr>
      </w:pPr>
    </w:p>
    <w:p w14:paraId="59889A59" w14:textId="39E5514E" w:rsidR="005E713B" w:rsidRPr="00EB388D" w:rsidRDefault="005E713B" w:rsidP="00BF3547">
      <w:pPr>
        <w:pStyle w:val="Heading2"/>
        <w:spacing w:after="240"/>
      </w:pPr>
      <w:r w:rsidRPr="00EB388D">
        <w:t>Cross-link interference</w:t>
      </w:r>
    </w:p>
    <w:p w14:paraId="4006A22E" w14:textId="7102BC95" w:rsidR="005E713B" w:rsidRPr="001D5B3E" w:rsidRDefault="001D5B3E" w:rsidP="00141EFE">
      <w:pPr>
        <w:rPr>
          <w:rFonts w:eastAsia="SimSun"/>
        </w:rPr>
      </w:pPr>
      <w:r w:rsidRPr="001D5B3E">
        <w:rPr>
          <w:rFonts w:eastAsia="SimSun"/>
        </w:rPr>
        <w:t>RAN</w:t>
      </w:r>
      <w:r>
        <w:rPr>
          <w:rFonts w:eastAsia="SimSun"/>
        </w:rPr>
        <w:t>1 #93 achieved the following agreement regarding CLI:</w:t>
      </w:r>
    </w:p>
    <w:tbl>
      <w:tblPr>
        <w:tblStyle w:val="TableGrid"/>
        <w:tblW w:w="0" w:type="auto"/>
        <w:tblLook w:val="04A0" w:firstRow="1" w:lastRow="0" w:firstColumn="1" w:lastColumn="0" w:noHBand="0" w:noVBand="1"/>
      </w:tblPr>
      <w:tblGrid>
        <w:gridCol w:w="9631"/>
      </w:tblGrid>
      <w:tr w:rsidR="005E713B" w14:paraId="0D086841" w14:textId="77777777" w:rsidTr="005E713B">
        <w:tc>
          <w:tcPr>
            <w:tcW w:w="9631" w:type="dxa"/>
          </w:tcPr>
          <w:p w14:paraId="16944D2C" w14:textId="77777777" w:rsidR="005E713B" w:rsidRPr="001D5B3E" w:rsidRDefault="005E713B" w:rsidP="005E713B">
            <w:pPr>
              <w:rPr>
                <w:lang w:eastAsia="x-none"/>
              </w:rPr>
            </w:pPr>
            <w:r w:rsidRPr="001D5B3E">
              <w:rPr>
                <w:highlight w:val="green"/>
                <w:lang w:eastAsia="x-none"/>
              </w:rPr>
              <w:t>Agreements</w:t>
            </w:r>
            <w:r w:rsidRPr="001D5B3E">
              <w:rPr>
                <w:lang w:eastAsia="x-none"/>
              </w:rPr>
              <w:t>:</w:t>
            </w:r>
          </w:p>
          <w:p w14:paraId="5261565E" w14:textId="77777777" w:rsidR="005E713B" w:rsidRPr="001D5B3E" w:rsidRDefault="005E713B" w:rsidP="005E713B">
            <w:pPr>
              <w:numPr>
                <w:ilvl w:val="0"/>
                <w:numId w:val="40"/>
              </w:numPr>
              <w:spacing w:after="0" w:line="288" w:lineRule="auto"/>
              <w:jc w:val="both"/>
              <w:rPr>
                <w:rFonts w:ascii="Calibri" w:hAnsi="Calibri"/>
                <w:kern w:val="24"/>
              </w:rPr>
            </w:pPr>
            <w:r w:rsidRPr="001D5B3E">
              <w:rPr>
                <w:rFonts w:ascii="Calibri" w:hAnsi="Calibri"/>
                <w:kern w:val="24"/>
              </w:rPr>
              <w:t>CLI mitigation techniques including advanced receivers and transmitter coordination should be studied and prioritized in terms of complexity and performance.</w:t>
            </w:r>
          </w:p>
          <w:p w14:paraId="7B3B35A0" w14:textId="77777777" w:rsidR="005E713B" w:rsidRPr="001D5B3E" w:rsidRDefault="005E713B" w:rsidP="005E713B">
            <w:pPr>
              <w:numPr>
                <w:ilvl w:val="0"/>
                <w:numId w:val="40"/>
              </w:numPr>
              <w:spacing w:after="0" w:line="288" w:lineRule="auto"/>
              <w:jc w:val="both"/>
              <w:rPr>
                <w:rFonts w:ascii="Calibri" w:hAnsi="Calibri"/>
                <w:kern w:val="24"/>
              </w:rPr>
            </w:pPr>
            <w:r w:rsidRPr="001D5B3E">
              <w:rPr>
                <w:rFonts w:ascii="Calibri" w:hAnsi="Calibri"/>
                <w:kern w:val="24"/>
              </w:rPr>
              <w:t>CLI mitigation techniques should be able to manage the following inter IAB node interference scenarios:</w:t>
            </w:r>
          </w:p>
          <w:p w14:paraId="29854764" w14:textId="77777777" w:rsidR="005E713B" w:rsidRPr="001D5B3E" w:rsidRDefault="005E713B" w:rsidP="005E713B">
            <w:pPr>
              <w:numPr>
                <w:ilvl w:val="1"/>
                <w:numId w:val="39"/>
              </w:numPr>
              <w:spacing w:after="0" w:line="288" w:lineRule="auto"/>
              <w:jc w:val="both"/>
              <w:rPr>
                <w:rFonts w:ascii="Calibri" w:hAnsi="Calibri"/>
                <w:kern w:val="24"/>
              </w:rPr>
            </w:pPr>
            <w:r w:rsidRPr="001D5B3E">
              <w:rPr>
                <w:rFonts w:ascii="Calibri" w:hAnsi="Calibri"/>
                <w:kern w:val="24"/>
              </w:rPr>
              <w:t>Case 1: Victim IAB node is receiving in DL in the backhaul link, interfering IAB node is transmitting in UL in the backhaul link.</w:t>
            </w:r>
          </w:p>
          <w:p w14:paraId="7910A25D" w14:textId="77777777" w:rsidR="005E713B" w:rsidRPr="001D5B3E" w:rsidRDefault="005E713B" w:rsidP="005E713B">
            <w:pPr>
              <w:numPr>
                <w:ilvl w:val="1"/>
                <w:numId w:val="39"/>
              </w:numPr>
              <w:spacing w:after="0" w:line="288" w:lineRule="auto"/>
              <w:jc w:val="both"/>
              <w:rPr>
                <w:rFonts w:ascii="Calibri" w:hAnsi="Calibri"/>
                <w:kern w:val="24"/>
              </w:rPr>
            </w:pPr>
            <w:r w:rsidRPr="001D5B3E">
              <w:rPr>
                <w:rFonts w:ascii="Calibri" w:hAnsi="Calibri"/>
                <w:kern w:val="24"/>
              </w:rPr>
              <w:t>Case 2: Victim IAB node is receiving in DL in the backhaul link, interfering IAB node is transmitting in DL in the access link.</w:t>
            </w:r>
          </w:p>
          <w:p w14:paraId="0E31BE3A" w14:textId="77777777" w:rsidR="005E713B" w:rsidRPr="001D5B3E" w:rsidRDefault="005E713B" w:rsidP="005E713B">
            <w:pPr>
              <w:numPr>
                <w:ilvl w:val="1"/>
                <w:numId w:val="39"/>
              </w:numPr>
              <w:spacing w:after="0" w:line="288" w:lineRule="auto"/>
              <w:jc w:val="both"/>
              <w:rPr>
                <w:rFonts w:ascii="Calibri" w:hAnsi="Calibri"/>
                <w:kern w:val="24"/>
              </w:rPr>
            </w:pPr>
            <w:r w:rsidRPr="001D5B3E">
              <w:rPr>
                <w:rFonts w:ascii="Calibri" w:hAnsi="Calibri"/>
                <w:kern w:val="24"/>
              </w:rPr>
              <w:t>Case 3: Victim IAB node is receiving in UL in the access link, interfering IAB node is transmitting in UL in the backhaul link.</w:t>
            </w:r>
          </w:p>
          <w:p w14:paraId="255B750A" w14:textId="77777777" w:rsidR="005E713B" w:rsidRPr="001D5B3E" w:rsidRDefault="005E713B" w:rsidP="005E713B">
            <w:pPr>
              <w:numPr>
                <w:ilvl w:val="1"/>
                <w:numId w:val="39"/>
              </w:numPr>
              <w:spacing w:after="0" w:line="288" w:lineRule="auto"/>
              <w:jc w:val="both"/>
              <w:rPr>
                <w:rFonts w:ascii="Calibri" w:hAnsi="Calibri"/>
                <w:kern w:val="24"/>
              </w:rPr>
            </w:pPr>
            <w:r w:rsidRPr="001D5B3E">
              <w:rPr>
                <w:rFonts w:ascii="Calibri" w:hAnsi="Calibri"/>
                <w:kern w:val="24"/>
              </w:rPr>
              <w:t>Case 4: Victim IAB node is receiving in UL in the access link, interfering IAB node is transmitting in DL in the access link.</w:t>
            </w:r>
          </w:p>
          <w:p w14:paraId="40A5BC6D" w14:textId="77777777" w:rsidR="005E713B" w:rsidRPr="001D5B3E" w:rsidRDefault="005E713B" w:rsidP="005E713B">
            <w:pPr>
              <w:numPr>
                <w:ilvl w:val="0"/>
                <w:numId w:val="39"/>
              </w:numPr>
              <w:spacing w:after="0" w:line="288" w:lineRule="auto"/>
              <w:jc w:val="both"/>
              <w:rPr>
                <w:rFonts w:ascii="Calibri" w:hAnsi="Calibri"/>
                <w:kern w:val="24"/>
              </w:rPr>
            </w:pPr>
            <w:r w:rsidRPr="001D5B3E">
              <w:rPr>
                <w:rFonts w:ascii="Calibri" w:hAnsi="Calibri"/>
                <w:kern w:val="24"/>
              </w:rPr>
              <w:t>Note: In this case access links include links to and from the IAB node to child IAB nodes and UEs which are served by the IAB node</w:t>
            </w:r>
          </w:p>
          <w:p w14:paraId="313A797D" w14:textId="77777777" w:rsidR="005E713B" w:rsidRPr="001D5B3E" w:rsidRDefault="005E713B" w:rsidP="005E713B">
            <w:pPr>
              <w:pStyle w:val="maintext"/>
              <w:numPr>
                <w:ilvl w:val="0"/>
                <w:numId w:val="40"/>
              </w:numPr>
              <w:ind w:firstLineChars="0"/>
              <w:rPr>
                <w:rFonts w:ascii="Calibri" w:hAnsi="Calibri"/>
                <w:kern w:val="24"/>
                <w:sz w:val="22"/>
                <w:szCs w:val="22"/>
              </w:rPr>
            </w:pPr>
            <w:r w:rsidRPr="001D5B3E">
              <w:rPr>
                <w:rFonts w:ascii="Calibri" w:hAnsi="Calibri"/>
                <w:kern w:val="24"/>
                <w:sz w:val="22"/>
                <w:szCs w:val="22"/>
              </w:rPr>
              <w:t>CLI measurements such as short-term and long term measurements, and multiple-antenna and beamforming based measurements should be studied to enable CLI mitigation in IAB.</w:t>
            </w:r>
          </w:p>
          <w:p w14:paraId="7768DD8D" w14:textId="3C798F1E" w:rsidR="005E713B" w:rsidRPr="005E713B" w:rsidRDefault="005E713B" w:rsidP="00141EFE">
            <w:pPr>
              <w:numPr>
                <w:ilvl w:val="0"/>
                <w:numId w:val="40"/>
              </w:numPr>
              <w:spacing w:after="0" w:line="288" w:lineRule="auto"/>
              <w:jc w:val="both"/>
              <w:rPr>
                <w:kern w:val="24"/>
                <w:szCs w:val="20"/>
              </w:rPr>
            </w:pPr>
            <w:r w:rsidRPr="001D5B3E">
              <w:rPr>
                <w:rFonts w:ascii="Calibri" w:hAnsi="Calibri"/>
                <w:kern w:val="24"/>
              </w:rPr>
              <w:t>Mechanisms for inter IAB node CLI measurement need to be able to capture Cases 1-4.</w:t>
            </w:r>
            <w:r w:rsidRPr="00F76A81">
              <w:rPr>
                <w:szCs w:val="20"/>
              </w:rPr>
              <w:t xml:space="preserve"> </w:t>
            </w:r>
          </w:p>
        </w:tc>
      </w:tr>
    </w:tbl>
    <w:p w14:paraId="7DABAC36" w14:textId="5B313A1A" w:rsidR="005E713B" w:rsidRDefault="005E713B" w:rsidP="00141EFE">
      <w:pPr>
        <w:rPr>
          <w:rFonts w:eastAsia="SimSun"/>
          <w:b/>
        </w:rPr>
      </w:pPr>
    </w:p>
    <w:p w14:paraId="291200CD" w14:textId="055C9B5F" w:rsidR="009B14E6" w:rsidRDefault="00383877" w:rsidP="00141EFE">
      <w:pPr>
        <w:rPr>
          <w:rFonts w:eastAsia="SimSun"/>
        </w:rPr>
      </w:pPr>
      <w:r>
        <w:rPr>
          <w:rFonts w:eastAsia="SimSun"/>
        </w:rPr>
        <w:t xml:space="preserve">We note that the identified interference cases of IAB (cases 1 to 4) are </w:t>
      </w:r>
      <w:r w:rsidR="00D90536">
        <w:rPr>
          <w:rFonts w:eastAsia="SimSun"/>
        </w:rPr>
        <w:t>like</w:t>
      </w:r>
      <w:r>
        <w:rPr>
          <w:rFonts w:eastAsia="SimSun"/>
        </w:rPr>
        <w:t xml:space="preserve"> the scenarios that may happen in the access network – e.g. UL-to-DL and DL-to-UL cross-link interference due to flexible TDD, or UL-to-UL and DL-to-DL inter-cell </w:t>
      </w:r>
      <w:r w:rsidR="00D90536">
        <w:rPr>
          <w:rFonts w:eastAsia="SimSun"/>
        </w:rPr>
        <w:t>interference</w:t>
      </w:r>
      <w:r>
        <w:rPr>
          <w:rFonts w:eastAsia="SimSun"/>
        </w:rPr>
        <w:t xml:space="preserve">. </w:t>
      </w:r>
      <w:r w:rsidR="00FA7AEE">
        <w:rPr>
          <w:rFonts w:eastAsia="SimSun"/>
        </w:rPr>
        <w:t>T</w:t>
      </w:r>
      <w:r>
        <w:rPr>
          <w:rFonts w:eastAsia="SimSun"/>
        </w:rPr>
        <w:t xml:space="preserve">here is no </w:t>
      </w:r>
      <w:r w:rsidR="00D90536">
        <w:rPr>
          <w:rFonts w:eastAsia="SimSun"/>
        </w:rPr>
        <w:t>interference</w:t>
      </w:r>
      <w:r>
        <w:rPr>
          <w:rFonts w:eastAsia="SimSun"/>
        </w:rPr>
        <w:t xml:space="preserve"> scenario specific to IAB, </w:t>
      </w:r>
      <w:r w:rsidR="00FA7AEE">
        <w:rPr>
          <w:rFonts w:eastAsia="SimSun"/>
        </w:rPr>
        <w:t xml:space="preserve">hence </w:t>
      </w:r>
      <w:r>
        <w:rPr>
          <w:rFonts w:eastAsia="SimSun"/>
        </w:rPr>
        <w:t xml:space="preserve">common CLI management techniques (RS design, </w:t>
      </w:r>
      <w:r w:rsidR="00D90536">
        <w:rPr>
          <w:rFonts w:eastAsia="SimSun"/>
        </w:rPr>
        <w:t>measurements</w:t>
      </w:r>
      <w:r>
        <w:rPr>
          <w:rFonts w:eastAsia="SimSun"/>
        </w:rPr>
        <w:t xml:space="preserve">, and coordination) should be adopted for both access and backhaul networks. We further notice that the RAN plenary has agreed to </w:t>
      </w:r>
      <w:r w:rsidR="009B14E6">
        <w:rPr>
          <w:rFonts w:eastAsia="SimSun"/>
        </w:rPr>
        <w:t xml:space="preserve">a new work item (WI) for CLI – to start in </w:t>
      </w:r>
      <w:r w:rsidR="00FA7AEE">
        <w:rPr>
          <w:rFonts w:eastAsia="SimSun"/>
        </w:rPr>
        <w:t xml:space="preserve">January </w:t>
      </w:r>
      <w:r w:rsidR="009B14E6">
        <w:rPr>
          <w:rFonts w:eastAsia="SimSun"/>
        </w:rPr>
        <w:t xml:space="preserve">2019. </w:t>
      </w:r>
      <w:r w:rsidR="00FA7AEE">
        <w:rPr>
          <w:rFonts w:eastAsia="SimSun"/>
        </w:rPr>
        <w:t>Therefore</w:t>
      </w:r>
      <w:r w:rsidR="009B14E6">
        <w:rPr>
          <w:rFonts w:eastAsia="SimSun"/>
        </w:rPr>
        <w:t>, it is more natural to have a unified CLI design to be worked out during the CLI WI.</w:t>
      </w:r>
    </w:p>
    <w:p w14:paraId="6BCA4018" w14:textId="7ED11E8B" w:rsidR="003655DB" w:rsidRDefault="003F2E48" w:rsidP="00141EFE">
      <w:pPr>
        <w:rPr>
          <w:rFonts w:eastAsia="SimSun"/>
        </w:rPr>
      </w:pPr>
      <w:r>
        <w:rPr>
          <w:rFonts w:eastAsia="SimSun"/>
        </w:rPr>
        <w:t>To further evaluate the severity of CLI in the backhaul network (</w:t>
      </w:r>
      <w:r w:rsidR="00FA7AEE">
        <w:rPr>
          <w:rFonts w:eastAsia="SimSun"/>
        </w:rPr>
        <w:t xml:space="preserve">i.e. </w:t>
      </w:r>
      <w:r>
        <w:rPr>
          <w:rFonts w:eastAsia="SimSun"/>
        </w:rPr>
        <w:t xml:space="preserve">BH-to-BH </w:t>
      </w:r>
      <w:r w:rsidR="00D90536">
        <w:rPr>
          <w:rFonts w:eastAsia="SimSun"/>
        </w:rPr>
        <w:t>interference</w:t>
      </w:r>
      <w:r>
        <w:rPr>
          <w:rFonts w:eastAsia="SimSun"/>
        </w:rPr>
        <w:t xml:space="preserve">), we </w:t>
      </w:r>
      <w:r w:rsidR="00FA7AEE">
        <w:rPr>
          <w:rFonts w:eastAsia="SimSun"/>
        </w:rPr>
        <w:t>investigate</w:t>
      </w:r>
      <w:r>
        <w:rPr>
          <w:rFonts w:eastAsia="SimSun"/>
        </w:rPr>
        <w:t xml:space="preserve"> </w:t>
      </w:r>
      <w:r w:rsidR="003655DB">
        <w:rPr>
          <w:rFonts w:eastAsia="SimSun"/>
        </w:rPr>
        <w:t>two</w:t>
      </w:r>
      <w:r>
        <w:rPr>
          <w:rFonts w:eastAsia="SimSun"/>
        </w:rPr>
        <w:t xml:space="preserve"> worst-case scenario</w:t>
      </w:r>
      <w:r w:rsidR="003655DB">
        <w:rPr>
          <w:rFonts w:eastAsia="SimSun"/>
        </w:rPr>
        <w:t>s</w:t>
      </w:r>
      <w:r>
        <w:rPr>
          <w:rFonts w:eastAsia="SimSun"/>
        </w:rPr>
        <w:t xml:space="preserve"> in a homogenous network layout with 19 micro </w:t>
      </w:r>
      <w:r w:rsidR="00D90536">
        <w:rPr>
          <w:rFonts w:eastAsia="SimSun"/>
        </w:rPr>
        <w:t>sites</w:t>
      </w:r>
      <w:r w:rsidR="003655DB">
        <w:rPr>
          <w:rFonts w:eastAsia="SimSun"/>
        </w:rPr>
        <w:t xml:space="preserve">, with 1, 3 or 7 IAB-donors and a RSRP-based topology. Other simulation assumptions can be found in the </w:t>
      </w:r>
      <w:r w:rsidR="003655DB" w:rsidRPr="00A712D5">
        <w:rPr>
          <w:rFonts w:eastAsia="SimSun"/>
        </w:rPr>
        <w:t>Appendix</w:t>
      </w:r>
      <w:r w:rsidR="003655DB">
        <w:rPr>
          <w:rFonts w:eastAsia="SimSun"/>
        </w:rPr>
        <w:t>.</w:t>
      </w:r>
    </w:p>
    <w:p w14:paraId="0A8ECD8B" w14:textId="487CAD11" w:rsidR="00383877" w:rsidRDefault="003655DB" w:rsidP="003655DB">
      <w:pPr>
        <w:rPr>
          <w:rFonts w:eastAsia="SimSun"/>
        </w:rPr>
      </w:pPr>
      <w:r w:rsidRPr="00A712D5">
        <w:rPr>
          <w:rFonts w:eastAsia="SimSun"/>
          <w:b/>
          <w:u w:val="single"/>
        </w:rPr>
        <w:t>Scenario 1:</w:t>
      </w:r>
      <w:r>
        <w:rPr>
          <w:rFonts w:eastAsia="SimSun"/>
        </w:rPr>
        <w:t xml:space="preserve"> to calculate the interference on a victim link, we assume all other IAB-nodes are active and transmitting at the same time, and towards the direction of one of their BH links</w:t>
      </w:r>
      <w:r w:rsidR="00824BE5">
        <w:rPr>
          <w:rFonts w:eastAsia="SimSun"/>
        </w:rPr>
        <w:t xml:space="preserve"> that is selected at random</w:t>
      </w:r>
      <w:r>
        <w:rPr>
          <w:rFonts w:eastAsia="SimSun"/>
        </w:rPr>
        <w:t xml:space="preserve">. </w:t>
      </w:r>
    </w:p>
    <w:p w14:paraId="3CDF26B5" w14:textId="6EB32115" w:rsidR="00824BE5" w:rsidRPr="00383877" w:rsidRDefault="00824BE5" w:rsidP="003655DB">
      <w:pPr>
        <w:rPr>
          <w:rFonts w:eastAsia="SimSun"/>
        </w:rPr>
      </w:pPr>
      <w:r w:rsidRPr="00A712D5">
        <w:rPr>
          <w:rFonts w:eastAsia="SimSun"/>
          <w:b/>
          <w:u w:val="single"/>
        </w:rPr>
        <w:t>Scenario 2:</w:t>
      </w:r>
      <w:r>
        <w:rPr>
          <w:rFonts w:eastAsia="SimSun"/>
        </w:rPr>
        <w:t xml:space="preserve"> to calculate the </w:t>
      </w:r>
      <w:r w:rsidR="00D90536">
        <w:rPr>
          <w:rFonts w:eastAsia="SimSun"/>
        </w:rPr>
        <w:t>interference</w:t>
      </w:r>
      <w:r>
        <w:rPr>
          <w:rFonts w:eastAsia="SimSun"/>
        </w:rPr>
        <w:t xml:space="preserve"> on a victim link, we assume all other IAB-nodes are active and transmitting at the same time, and towards the direction that causes the maximum interference on the victim link. </w:t>
      </w:r>
    </w:p>
    <w:p w14:paraId="116209CF" w14:textId="77777777" w:rsidR="00824BE5" w:rsidRDefault="001A6C81" w:rsidP="00824BE5">
      <w:pPr>
        <w:keepNext/>
        <w:jc w:val="center"/>
      </w:pPr>
      <w:r w:rsidRPr="001A6C81">
        <w:rPr>
          <w:rFonts w:eastAsia="SimSun"/>
          <w:b/>
          <w:noProof/>
        </w:rPr>
        <w:drawing>
          <wp:inline distT="0" distB="0" distL="0" distR="0" wp14:anchorId="50B4EA97" wp14:editId="2D98D0F8">
            <wp:extent cx="4418380" cy="302229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22788" cy="3025310"/>
                    </a:xfrm>
                    <a:prstGeom prst="rect">
                      <a:avLst/>
                    </a:prstGeom>
                    <a:noFill/>
                    <a:ln>
                      <a:noFill/>
                    </a:ln>
                  </pic:spPr>
                </pic:pic>
              </a:graphicData>
            </a:graphic>
          </wp:inline>
        </w:drawing>
      </w:r>
    </w:p>
    <w:p w14:paraId="37CEE06B" w14:textId="2344A7BE" w:rsidR="001D5B3E" w:rsidRDefault="00824BE5" w:rsidP="00824BE5">
      <w:pPr>
        <w:pStyle w:val="Caption"/>
        <w:jc w:val="center"/>
        <w:rPr>
          <w:rFonts w:eastAsia="SimSun"/>
          <w:b w:val="0"/>
        </w:rPr>
      </w:pPr>
      <w:bookmarkStart w:id="19" w:name="_Ref521615695"/>
      <w:r>
        <w:t xml:space="preserve">Figure </w:t>
      </w:r>
      <w:r w:rsidR="00C46E82">
        <w:rPr>
          <w:noProof/>
        </w:rPr>
        <w:fldChar w:fldCharType="begin"/>
      </w:r>
      <w:r w:rsidR="00C46E82">
        <w:rPr>
          <w:noProof/>
        </w:rPr>
        <w:instrText xml:space="preserve"> SEQ Figure \* ARABIC </w:instrText>
      </w:r>
      <w:r w:rsidR="00C46E82">
        <w:rPr>
          <w:noProof/>
        </w:rPr>
        <w:fldChar w:fldCharType="separate"/>
      </w:r>
      <w:r w:rsidR="004D1C58">
        <w:rPr>
          <w:noProof/>
        </w:rPr>
        <w:t>8</w:t>
      </w:r>
      <w:r w:rsidR="00C46E82">
        <w:rPr>
          <w:noProof/>
        </w:rPr>
        <w:fldChar w:fldCharType="end"/>
      </w:r>
      <w:bookmarkEnd w:id="19"/>
      <w:r>
        <w:t>: BH-to-BH interference (homogenous network</w:t>
      </w:r>
      <w:r w:rsidR="00DE1EE3">
        <w:t>)</w:t>
      </w:r>
    </w:p>
    <w:p w14:paraId="1E3B8F45" w14:textId="67BE39E2" w:rsidR="003655DB" w:rsidRDefault="003655DB" w:rsidP="00141EFE">
      <w:pPr>
        <w:rPr>
          <w:rFonts w:eastAsia="SimSun"/>
          <w:b/>
        </w:rPr>
      </w:pPr>
    </w:p>
    <w:p w14:paraId="07BF79FB" w14:textId="50BFC43D" w:rsidR="00824BE5" w:rsidRDefault="00824BE5" w:rsidP="00141EFE">
      <w:pPr>
        <w:rPr>
          <w:rFonts w:eastAsia="SimSun"/>
        </w:rPr>
      </w:pPr>
      <w:r w:rsidRPr="00824BE5">
        <w:rPr>
          <w:rFonts w:eastAsia="SimSun"/>
        </w:rPr>
        <w:fldChar w:fldCharType="begin"/>
      </w:r>
      <w:r w:rsidRPr="00824BE5">
        <w:rPr>
          <w:rFonts w:eastAsia="SimSun"/>
        </w:rPr>
        <w:instrText xml:space="preserve"> REF _Ref521615695 \h  \* MERGEFORMAT </w:instrText>
      </w:r>
      <w:r w:rsidRPr="00824BE5">
        <w:rPr>
          <w:rFonts w:eastAsia="SimSun"/>
        </w:rPr>
      </w:r>
      <w:r w:rsidRPr="00824BE5">
        <w:rPr>
          <w:rFonts w:eastAsia="SimSun"/>
        </w:rPr>
        <w:fldChar w:fldCharType="separate"/>
      </w:r>
      <w:r w:rsidR="004D1C58">
        <w:t xml:space="preserve">Figure </w:t>
      </w:r>
      <w:r w:rsidR="004D1C58">
        <w:rPr>
          <w:noProof/>
        </w:rPr>
        <w:t>8</w:t>
      </w:r>
      <w:r w:rsidRPr="00824BE5">
        <w:rPr>
          <w:rFonts w:eastAsia="SimSun"/>
        </w:rPr>
        <w:fldChar w:fldCharType="end"/>
      </w:r>
      <w:r w:rsidRPr="00824BE5">
        <w:rPr>
          <w:rFonts w:eastAsia="SimSun"/>
        </w:rPr>
        <w:t xml:space="preserve"> compare</w:t>
      </w:r>
      <w:r>
        <w:rPr>
          <w:rFonts w:eastAsia="SimSun"/>
        </w:rPr>
        <w:t>s the SNR and SINR of the</w:t>
      </w:r>
      <w:r w:rsidR="00A712D5">
        <w:rPr>
          <w:rFonts w:eastAsia="SimSun"/>
        </w:rPr>
        <w:t>se</w:t>
      </w:r>
      <w:r>
        <w:rPr>
          <w:rFonts w:eastAsia="SimSun"/>
        </w:rPr>
        <w:t xml:space="preserve"> </w:t>
      </w:r>
      <w:r w:rsidR="00D90536">
        <w:rPr>
          <w:rFonts w:eastAsia="SimSun"/>
        </w:rPr>
        <w:t>scenarios</w:t>
      </w:r>
      <w:r>
        <w:rPr>
          <w:rFonts w:eastAsia="SimSun"/>
        </w:rPr>
        <w:t xml:space="preserve">. It is observed, although there </w:t>
      </w:r>
      <w:r w:rsidR="00A712D5">
        <w:rPr>
          <w:rFonts w:eastAsia="SimSun"/>
        </w:rPr>
        <w:t xml:space="preserve">could be </w:t>
      </w:r>
      <w:r>
        <w:rPr>
          <w:rFonts w:eastAsia="SimSun"/>
        </w:rPr>
        <w:t xml:space="preserve">10dB to 20dB reduction in SNR due to </w:t>
      </w:r>
      <w:r w:rsidR="00D90536">
        <w:rPr>
          <w:rFonts w:eastAsia="SimSun"/>
        </w:rPr>
        <w:t>interference</w:t>
      </w:r>
      <w:r>
        <w:rPr>
          <w:rFonts w:eastAsia="SimSun"/>
        </w:rPr>
        <w:t xml:space="preserve"> in scenario 1 and 2 respectively, the resulting worst-case SINR is still very good: 20dB and 30dB at 10% for scenario 1 and 2 respectively. Therefore, even in the worst-case interference scenarios, we are in a regime that </w:t>
      </w:r>
      <w:r w:rsidR="00DE1EE3">
        <w:rPr>
          <w:rFonts w:eastAsia="SimSun"/>
        </w:rPr>
        <w:t xml:space="preserve">BH SINR is sufficient to provide the best spectral efficiency. </w:t>
      </w:r>
    </w:p>
    <w:p w14:paraId="5DCE1C66" w14:textId="683174F3" w:rsidR="00DE1EE3" w:rsidRDefault="00DE1EE3" w:rsidP="00141EFE">
      <w:pPr>
        <w:rPr>
          <w:rFonts w:eastAsia="SimSun"/>
        </w:rPr>
      </w:pPr>
      <w:r>
        <w:rPr>
          <w:rFonts w:eastAsia="SimSun"/>
        </w:rPr>
        <w:t xml:space="preserve">We also note that </w:t>
      </w:r>
      <w:r w:rsidR="00A712D5">
        <w:rPr>
          <w:rFonts w:eastAsia="SimSun"/>
        </w:rPr>
        <w:t>BH</w:t>
      </w:r>
      <w:r>
        <w:rPr>
          <w:rFonts w:eastAsia="SimSun"/>
        </w:rPr>
        <w:t xml:space="preserve"> interference can be rectified </w:t>
      </w:r>
      <w:r w:rsidR="00A712D5">
        <w:rPr>
          <w:rFonts w:eastAsia="SimSun"/>
        </w:rPr>
        <w:t xml:space="preserve">to some extent </w:t>
      </w:r>
      <w:r>
        <w:rPr>
          <w:rFonts w:eastAsia="SimSun"/>
        </w:rPr>
        <w:t xml:space="preserve">in </w:t>
      </w:r>
      <w:r w:rsidRPr="00A712D5">
        <w:rPr>
          <w:rFonts w:eastAsia="SimSun"/>
          <w:b/>
        </w:rPr>
        <w:t xml:space="preserve">IAB </w:t>
      </w:r>
      <w:r w:rsidR="00D90536" w:rsidRPr="00A712D5">
        <w:rPr>
          <w:rFonts w:eastAsia="SimSun"/>
          <w:b/>
        </w:rPr>
        <w:t>topology</w:t>
      </w:r>
      <w:r w:rsidRPr="00A712D5">
        <w:rPr>
          <w:rFonts w:eastAsia="SimSun"/>
          <w:b/>
        </w:rPr>
        <w:t xml:space="preserve"> management</w:t>
      </w:r>
      <w:r>
        <w:rPr>
          <w:rFonts w:eastAsia="SimSun"/>
        </w:rPr>
        <w:t xml:space="preserve"> (i.e. </w:t>
      </w:r>
      <w:r w:rsidR="00D90536">
        <w:rPr>
          <w:rFonts w:eastAsia="SimSun"/>
        </w:rPr>
        <w:t>establishing</w:t>
      </w:r>
      <w:r w:rsidR="00A712D5">
        <w:rPr>
          <w:rFonts w:eastAsia="SimSun"/>
        </w:rPr>
        <w:t xml:space="preserve"> BH links that create</w:t>
      </w:r>
      <w:r>
        <w:rPr>
          <w:rFonts w:eastAsia="SimSun"/>
        </w:rPr>
        <w:t xml:space="preserve"> less cross-interference) and </w:t>
      </w:r>
      <w:r w:rsidRPr="00A712D5">
        <w:rPr>
          <w:rFonts w:eastAsia="SimSun"/>
          <w:b/>
        </w:rPr>
        <w:t>resource allocation</w:t>
      </w:r>
      <w:r>
        <w:rPr>
          <w:rFonts w:eastAsia="SimSun"/>
        </w:rPr>
        <w:t xml:space="preserve"> (i.e. allocating orthogonal </w:t>
      </w:r>
      <w:r w:rsidR="00D90536">
        <w:rPr>
          <w:rFonts w:eastAsia="SimSun"/>
        </w:rPr>
        <w:t>resources</w:t>
      </w:r>
      <w:r>
        <w:rPr>
          <w:rFonts w:eastAsia="SimSun"/>
        </w:rPr>
        <w:t xml:space="preserve"> to </w:t>
      </w:r>
      <w:r w:rsidR="00A712D5">
        <w:rPr>
          <w:rFonts w:eastAsia="SimSun"/>
        </w:rPr>
        <w:t xml:space="preserve">the </w:t>
      </w:r>
      <w:r>
        <w:rPr>
          <w:rFonts w:eastAsia="SimSun"/>
        </w:rPr>
        <w:t xml:space="preserve">interfering links). </w:t>
      </w:r>
      <w:r w:rsidR="00A712D5">
        <w:rPr>
          <w:rFonts w:eastAsia="SimSun"/>
        </w:rPr>
        <w:t>Any</w:t>
      </w:r>
      <w:r>
        <w:rPr>
          <w:rFonts w:eastAsia="SimSun"/>
        </w:rPr>
        <w:t xml:space="preserve"> further improvement through </w:t>
      </w:r>
      <w:r w:rsidRPr="00A712D5">
        <w:rPr>
          <w:rFonts w:eastAsia="SimSun"/>
          <w:b/>
        </w:rPr>
        <w:t>scheduling coordination</w:t>
      </w:r>
      <w:r>
        <w:rPr>
          <w:rFonts w:eastAsia="SimSun"/>
        </w:rPr>
        <w:t xml:space="preserve"> is expected to be marginal. </w:t>
      </w:r>
    </w:p>
    <w:p w14:paraId="38C17AB4" w14:textId="718D1EC8" w:rsidR="00DE1EE3" w:rsidRDefault="00DE1EE3" w:rsidP="00141EFE">
      <w:pPr>
        <w:rPr>
          <w:rFonts w:eastAsia="SimSun"/>
        </w:rPr>
      </w:pPr>
    </w:p>
    <w:p w14:paraId="31621722" w14:textId="09FB7F78" w:rsidR="00DE1EE3" w:rsidRDefault="00DE1EE3" w:rsidP="00DE1EE3">
      <w:pPr>
        <w:rPr>
          <w:rFonts w:eastAsia="Arial"/>
          <w:b/>
        </w:rPr>
      </w:pPr>
      <w:r>
        <w:rPr>
          <w:rFonts w:eastAsia="Arial"/>
          <w:b/>
        </w:rPr>
        <w:t>Observation</w:t>
      </w:r>
      <w:r w:rsidRPr="00707A3D">
        <w:rPr>
          <w:rFonts w:eastAsia="Arial"/>
          <w:b/>
        </w:rPr>
        <w:t xml:space="preserve"> </w:t>
      </w:r>
      <w:r>
        <w:rPr>
          <w:rFonts w:eastAsia="Arial"/>
          <w:b/>
        </w:rPr>
        <w:t>7.1</w:t>
      </w:r>
      <w:r w:rsidRPr="00707A3D">
        <w:rPr>
          <w:rFonts w:eastAsia="Arial"/>
          <w:b/>
        </w:rPr>
        <w:t xml:space="preserve">: </w:t>
      </w:r>
      <w:r>
        <w:rPr>
          <w:rFonts w:eastAsia="Arial"/>
          <w:b/>
        </w:rPr>
        <w:t xml:space="preserve">in a homogenous IAB network, </w:t>
      </w:r>
      <w:r w:rsidR="00A01425">
        <w:rPr>
          <w:rFonts w:eastAsia="Arial"/>
          <w:b/>
        </w:rPr>
        <w:t xml:space="preserve">the </w:t>
      </w:r>
      <w:r>
        <w:rPr>
          <w:rFonts w:eastAsia="Arial"/>
          <w:b/>
        </w:rPr>
        <w:t xml:space="preserve">worst-case </w:t>
      </w:r>
      <w:r w:rsidR="00A01425">
        <w:rPr>
          <w:rFonts w:eastAsia="Arial"/>
          <w:b/>
        </w:rPr>
        <w:t xml:space="preserve">SINR (due to </w:t>
      </w:r>
      <w:r>
        <w:rPr>
          <w:rFonts w:eastAsia="Arial"/>
          <w:b/>
        </w:rPr>
        <w:t>BH-to-BH interference</w:t>
      </w:r>
      <w:r w:rsidR="00A01425">
        <w:rPr>
          <w:rFonts w:eastAsia="Arial"/>
          <w:b/>
        </w:rPr>
        <w:t xml:space="preserve">) </w:t>
      </w:r>
      <w:r>
        <w:rPr>
          <w:rFonts w:eastAsia="Arial"/>
          <w:b/>
        </w:rPr>
        <w:t>is sufficiently high: &gt;20dB at 10% and &gt;30dB at 50%.</w:t>
      </w:r>
    </w:p>
    <w:p w14:paraId="0232ED05" w14:textId="3C1B5B67" w:rsidR="00DE1EE3" w:rsidRDefault="00DE1EE3" w:rsidP="00DE1EE3">
      <w:pPr>
        <w:rPr>
          <w:rFonts w:eastAsia="Arial"/>
          <w:b/>
        </w:rPr>
      </w:pPr>
      <w:r>
        <w:rPr>
          <w:rFonts w:eastAsia="Arial"/>
          <w:b/>
        </w:rPr>
        <w:t>Observation</w:t>
      </w:r>
      <w:r w:rsidRPr="00707A3D">
        <w:rPr>
          <w:rFonts w:eastAsia="Arial"/>
          <w:b/>
        </w:rPr>
        <w:t xml:space="preserve"> </w:t>
      </w:r>
      <w:r>
        <w:rPr>
          <w:rFonts w:eastAsia="Arial"/>
          <w:b/>
        </w:rPr>
        <w:t xml:space="preserve">7.2: IAB CLI </w:t>
      </w:r>
      <w:r w:rsidR="00D90536">
        <w:rPr>
          <w:rFonts w:eastAsia="Arial"/>
          <w:b/>
        </w:rPr>
        <w:t>scenarios</w:t>
      </w:r>
      <w:r>
        <w:rPr>
          <w:rFonts w:eastAsia="Arial"/>
          <w:b/>
        </w:rPr>
        <w:t xml:space="preserve"> are very similar to cross-link (in flexible </w:t>
      </w:r>
      <w:r w:rsidR="00A01425">
        <w:rPr>
          <w:rFonts w:eastAsia="Arial"/>
          <w:b/>
        </w:rPr>
        <w:t>TDD</w:t>
      </w:r>
      <w:r>
        <w:rPr>
          <w:rFonts w:eastAsia="Arial"/>
          <w:b/>
        </w:rPr>
        <w:t xml:space="preserve">) and inter-cell </w:t>
      </w:r>
      <w:r w:rsidR="00D90536">
        <w:rPr>
          <w:rFonts w:eastAsia="Arial"/>
          <w:b/>
        </w:rPr>
        <w:t>interference</w:t>
      </w:r>
      <w:r>
        <w:rPr>
          <w:rFonts w:eastAsia="Arial"/>
          <w:b/>
        </w:rPr>
        <w:t xml:space="preserve"> </w:t>
      </w:r>
      <w:r w:rsidR="00D90536">
        <w:rPr>
          <w:rFonts w:eastAsia="Arial"/>
          <w:b/>
        </w:rPr>
        <w:t>scenarios</w:t>
      </w:r>
      <w:r>
        <w:rPr>
          <w:rFonts w:eastAsia="Arial"/>
          <w:b/>
        </w:rPr>
        <w:t xml:space="preserve"> in </w:t>
      </w:r>
      <w:r w:rsidR="006549FD">
        <w:rPr>
          <w:rFonts w:eastAsia="Arial"/>
          <w:b/>
        </w:rPr>
        <w:t xml:space="preserve">the </w:t>
      </w:r>
      <w:r>
        <w:rPr>
          <w:rFonts w:eastAsia="Arial"/>
          <w:b/>
        </w:rPr>
        <w:t xml:space="preserve">access network.  </w:t>
      </w:r>
    </w:p>
    <w:p w14:paraId="1398B04F" w14:textId="0F47B2E5" w:rsidR="006549FD" w:rsidRDefault="006549FD" w:rsidP="00DE1EE3">
      <w:pPr>
        <w:rPr>
          <w:rFonts w:eastAsia="Arial"/>
          <w:b/>
        </w:rPr>
      </w:pPr>
      <w:r>
        <w:rPr>
          <w:rFonts w:eastAsia="Arial"/>
          <w:b/>
        </w:rPr>
        <w:t xml:space="preserve">Proposal 7.1: IAB CLI study should be unified with other CLI </w:t>
      </w:r>
      <w:r w:rsidR="00FA7AEE">
        <w:rPr>
          <w:rFonts w:eastAsia="Arial"/>
          <w:b/>
        </w:rPr>
        <w:t>scenarios and</w:t>
      </w:r>
      <w:r>
        <w:rPr>
          <w:rFonts w:eastAsia="Arial"/>
          <w:b/>
        </w:rPr>
        <w:t xml:space="preserve"> </w:t>
      </w:r>
      <w:r w:rsidR="00A01425">
        <w:rPr>
          <w:rFonts w:eastAsia="Arial"/>
          <w:b/>
        </w:rPr>
        <w:t>worked out in</w:t>
      </w:r>
      <w:r>
        <w:rPr>
          <w:rFonts w:eastAsia="Arial"/>
          <w:b/>
        </w:rPr>
        <w:t xml:space="preserve"> the CLI WI.</w:t>
      </w:r>
    </w:p>
    <w:p w14:paraId="28FCB831" w14:textId="77777777" w:rsidR="00DE1EE3" w:rsidRDefault="00DE1EE3" w:rsidP="00DE1EE3">
      <w:pPr>
        <w:rPr>
          <w:rFonts w:eastAsia="Arial"/>
          <w:b/>
        </w:rPr>
      </w:pPr>
    </w:p>
    <w:p w14:paraId="2CF7E03E" w14:textId="1057C5F3" w:rsidR="005E713B" w:rsidRPr="00B04090" w:rsidRDefault="005E713B" w:rsidP="005E713B">
      <w:pPr>
        <w:pStyle w:val="Heading2"/>
        <w:spacing w:after="240"/>
      </w:pPr>
      <w:r w:rsidRPr="00B04090">
        <w:t>Power Control</w:t>
      </w:r>
    </w:p>
    <w:p w14:paraId="1251B041" w14:textId="4EAE8407" w:rsidR="001D5B3E" w:rsidRPr="001D5B3E" w:rsidRDefault="001D5B3E" w:rsidP="001D5B3E">
      <w:pPr>
        <w:rPr>
          <w:lang w:val="en-GB"/>
        </w:rPr>
      </w:pPr>
      <w:r>
        <w:rPr>
          <w:lang w:val="en-GB"/>
        </w:rPr>
        <w:t xml:space="preserve">Among other agreements, RAN1 #93 </w:t>
      </w:r>
      <w:r w:rsidR="006755A4">
        <w:rPr>
          <w:lang w:val="en-GB"/>
        </w:rPr>
        <w:t xml:space="preserve">also </w:t>
      </w:r>
      <w:r>
        <w:rPr>
          <w:lang w:val="en-GB"/>
        </w:rPr>
        <w:t>agreed to the following:</w:t>
      </w:r>
    </w:p>
    <w:tbl>
      <w:tblPr>
        <w:tblStyle w:val="TableGrid"/>
        <w:tblW w:w="0" w:type="auto"/>
        <w:tblLook w:val="04A0" w:firstRow="1" w:lastRow="0" w:firstColumn="1" w:lastColumn="0" w:noHBand="0" w:noVBand="1"/>
      </w:tblPr>
      <w:tblGrid>
        <w:gridCol w:w="9631"/>
      </w:tblGrid>
      <w:tr w:rsidR="005E713B" w14:paraId="2C91BA8D" w14:textId="77777777" w:rsidTr="005E713B">
        <w:tc>
          <w:tcPr>
            <w:tcW w:w="9631" w:type="dxa"/>
          </w:tcPr>
          <w:p w14:paraId="6E926D08" w14:textId="77777777" w:rsidR="005E713B" w:rsidRPr="00B824DF" w:rsidRDefault="005E713B" w:rsidP="005E713B">
            <w:pPr>
              <w:rPr>
                <w:szCs w:val="20"/>
                <w:lang w:eastAsia="x-none"/>
              </w:rPr>
            </w:pPr>
            <w:r w:rsidRPr="00B824DF">
              <w:rPr>
                <w:szCs w:val="20"/>
                <w:highlight w:val="green"/>
                <w:lang w:eastAsia="x-none"/>
              </w:rPr>
              <w:t>Agreements</w:t>
            </w:r>
            <w:r w:rsidRPr="00B824DF">
              <w:rPr>
                <w:szCs w:val="20"/>
                <w:lang w:eastAsia="x-none"/>
              </w:rPr>
              <w:t>:</w:t>
            </w:r>
          </w:p>
          <w:p w14:paraId="026DC7EB" w14:textId="77777777" w:rsidR="005E713B" w:rsidRPr="00B824DF" w:rsidRDefault="005E713B" w:rsidP="005E713B">
            <w:pPr>
              <w:numPr>
                <w:ilvl w:val="0"/>
                <w:numId w:val="30"/>
              </w:numPr>
              <w:spacing w:before="60" w:after="120" w:line="240" w:lineRule="auto"/>
              <w:jc w:val="both"/>
              <w:rPr>
                <w:rFonts w:ascii="Calibri" w:hAnsi="Calibri"/>
                <w:szCs w:val="20"/>
              </w:rPr>
            </w:pPr>
            <w:r w:rsidRPr="00B824DF">
              <w:rPr>
                <w:rFonts w:ascii="Calibri" w:hAnsi="Calibri"/>
                <w:szCs w:val="20"/>
              </w:rPr>
              <w:t>IAB supports TDM, FDM, and SDM between Access and BH links at an IAB node, subject to a half-duplex constraint. Further study the following solutions for the different multiplexing options:</w:t>
            </w:r>
          </w:p>
          <w:p w14:paraId="033A30DC" w14:textId="0FC07E29" w:rsidR="005E713B" w:rsidRPr="00B824DF" w:rsidRDefault="001D5B3E" w:rsidP="005E713B">
            <w:pPr>
              <w:numPr>
                <w:ilvl w:val="1"/>
                <w:numId w:val="30"/>
              </w:numPr>
              <w:spacing w:before="60" w:after="120" w:line="240" w:lineRule="auto"/>
              <w:jc w:val="both"/>
              <w:rPr>
                <w:rFonts w:ascii="Calibri" w:hAnsi="Calibri"/>
                <w:szCs w:val="20"/>
              </w:rPr>
            </w:pPr>
            <w:r>
              <w:rPr>
                <w:rFonts w:ascii="Calibri" w:hAnsi="Calibri"/>
                <w:szCs w:val="20"/>
              </w:rPr>
              <w:t>…</w:t>
            </w:r>
          </w:p>
          <w:p w14:paraId="6A710DAF" w14:textId="77777777" w:rsidR="005E713B" w:rsidRPr="00B824DF" w:rsidRDefault="005E713B" w:rsidP="005E713B">
            <w:pPr>
              <w:numPr>
                <w:ilvl w:val="1"/>
                <w:numId w:val="30"/>
              </w:numPr>
              <w:spacing w:before="60" w:after="120" w:line="240" w:lineRule="auto"/>
              <w:jc w:val="both"/>
              <w:rPr>
                <w:szCs w:val="20"/>
              </w:rPr>
            </w:pPr>
            <w:r w:rsidRPr="00B824DF">
              <w:rPr>
                <w:rFonts w:ascii="Calibri" w:hAnsi="Calibri"/>
                <w:szCs w:val="20"/>
              </w:rPr>
              <w:t>DL and UL power control enhancements and timing requirements to allow for intra-panel FDM and SDM of backhaul and access links.</w:t>
            </w:r>
          </w:p>
          <w:p w14:paraId="5E7794BB" w14:textId="4F857B9B" w:rsidR="005E713B" w:rsidRPr="005E713B" w:rsidRDefault="001D5B3E" w:rsidP="001D5B3E">
            <w:pPr>
              <w:numPr>
                <w:ilvl w:val="1"/>
                <w:numId w:val="30"/>
              </w:numPr>
              <w:spacing w:before="60" w:after="120" w:line="240" w:lineRule="auto"/>
              <w:jc w:val="both"/>
              <w:rPr>
                <w:rFonts w:ascii="Calibri" w:hAnsi="Calibri"/>
                <w:szCs w:val="20"/>
              </w:rPr>
            </w:pPr>
            <w:r>
              <w:rPr>
                <w:rFonts w:ascii="Calibri" w:hAnsi="Calibri"/>
                <w:szCs w:val="20"/>
              </w:rPr>
              <w:t xml:space="preserve">… </w:t>
            </w:r>
          </w:p>
        </w:tc>
      </w:tr>
    </w:tbl>
    <w:p w14:paraId="43BC7484" w14:textId="1091AE55" w:rsidR="005E713B" w:rsidRDefault="005E713B" w:rsidP="005E713B">
      <w:pPr>
        <w:rPr>
          <w:lang w:val="en-GB"/>
        </w:rPr>
      </w:pPr>
    </w:p>
    <w:p w14:paraId="283D1049" w14:textId="3312610F" w:rsidR="00C913A7" w:rsidRDefault="00C913A7" w:rsidP="005E713B">
      <w:pPr>
        <w:rPr>
          <w:lang w:val="en-GB"/>
        </w:rPr>
      </w:pPr>
      <w:r>
        <w:rPr>
          <w:lang w:val="en-GB"/>
        </w:rPr>
        <w:t xml:space="preserve">An IAB-node may have concurrent </w:t>
      </w:r>
      <w:r w:rsidR="00FA7AEE">
        <w:rPr>
          <w:lang w:val="en-GB"/>
        </w:rPr>
        <w:t>communications</w:t>
      </w:r>
      <w:r>
        <w:rPr>
          <w:lang w:val="en-GB"/>
        </w:rPr>
        <w:t xml:space="preserve"> (</w:t>
      </w:r>
      <w:r w:rsidR="00FA7AEE">
        <w:rPr>
          <w:lang w:val="en-GB"/>
        </w:rPr>
        <w:t>thorough</w:t>
      </w:r>
      <w:r>
        <w:rPr>
          <w:lang w:val="en-GB"/>
        </w:rPr>
        <w:t xml:space="preserve"> FDM or SDM) over its backhaul (link to the parent) and access (link to its child</w:t>
      </w:r>
      <w:r w:rsidR="006755A4">
        <w:rPr>
          <w:lang w:val="en-GB"/>
        </w:rPr>
        <w:t>ren</w:t>
      </w:r>
      <w:r>
        <w:rPr>
          <w:lang w:val="en-GB"/>
        </w:rPr>
        <w:t xml:space="preserve">) links. In such scenarios, the IAB-node may need to adopt a power control method to either </w:t>
      </w:r>
      <w:r w:rsidR="006755A4">
        <w:rPr>
          <w:lang w:val="en-GB"/>
        </w:rPr>
        <w:t>determine h</w:t>
      </w:r>
      <w:r>
        <w:rPr>
          <w:lang w:val="en-GB"/>
        </w:rPr>
        <w:t xml:space="preserve">ow to </w:t>
      </w:r>
      <w:r w:rsidRPr="006755A4">
        <w:rPr>
          <w:b/>
          <w:lang w:val="en-GB"/>
        </w:rPr>
        <w:t>split its TX power</w:t>
      </w:r>
      <w:r>
        <w:rPr>
          <w:lang w:val="en-GB"/>
        </w:rPr>
        <w:t xml:space="preserve">, or to </w:t>
      </w:r>
      <w:r w:rsidRPr="006755A4">
        <w:rPr>
          <w:b/>
          <w:lang w:val="en-GB"/>
        </w:rPr>
        <w:t>control the interference</w:t>
      </w:r>
      <w:r>
        <w:rPr>
          <w:lang w:val="en-GB"/>
        </w:rPr>
        <w:t>.</w:t>
      </w:r>
      <w:r w:rsidR="006755A4">
        <w:rPr>
          <w:lang w:val="en-GB"/>
        </w:rPr>
        <w:t xml:space="preserve"> </w:t>
      </w:r>
      <w:r w:rsidR="006755A4">
        <w:rPr>
          <w:lang w:val="en-GB"/>
        </w:rPr>
        <w:fldChar w:fldCharType="begin"/>
      </w:r>
      <w:r w:rsidR="006755A4">
        <w:rPr>
          <w:lang w:val="en-GB"/>
        </w:rPr>
        <w:instrText xml:space="preserve"> REF _Ref521671536 \h </w:instrText>
      </w:r>
      <w:r w:rsidR="006755A4">
        <w:rPr>
          <w:lang w:val="en-GB"/>
        </w:rPr>
      </w:r>
      <w:r w:rsidR="006755A4">
        <w:rPr>
          <w:lang w:val="en-GB"/>
        </w:rPr>
        <w:fldChar w:fldCharType="separate"/>
      </w:r>
      <w:r w:rsidR="004D1C58">
        <w:t xml:space="preserve">Figure </w:t>
      </w:r>
      <w:r w:rsidR="004D1C58">
        <w:rPr>
          <w:noProof/>
        </w:rPr>
        <w:t>9</w:t>
      </w:r>
      <w:r w:rsidR="006755A4">
        <w:rPr>
          <w:lang w:val="en-GB"/>
        </w:rPr>
        <w:fldChar w:fldCharType="end"/>
      </w:r>
      <w:r w:rsidR="006755A4">
        <w:rPr>
          <w:lang w:val="en-GB"/>
        </w:rPr>
        <w:t xml:space="preserve"> demonstrates different cases, where new power control may be needed in IAB. </w:t>
      </w:r>
    </w:p>
    <w:p w14:paraId="1FFF1D84" w14:textId="77777777" w:rsidR="006755A4" w:rsidRDefault="00C913A7" w:rsidP="006755A4">
      <w:pPr>
        <w:keepNext/>
      </w:pPr>
      <w:r>
        <w:rPr>
          <w:lang w:val="en-GB"/>
        </w:rPr>
        <w:t xml:space="preserve">  </w:t>
      </w:r>
      <w:r>
        <w:rPr>
          <w:noProof/>
          <w:lang w:val="en-GB"/>
        </w:rPr>
        <w:drawing>
          <wp:inline distT="0" distB="0" distL="0" distR="0" wp14:anchorId="07D6A812" wp14:editId="50937F0C">
            <wp:extent cx="6217569" cy="190206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63090" cy="1915993"/>
                    </a:xfrm>
                    <a:prstGeom prst="rect">
                      <a:avLst/>
                    </a:prstGeom>
                    <a:noFill/>
                  </pic:spPr>
                </pic:pic>
              </a:graphicData>
            </a:graphic>
          </wp:inline>
        </w:drawing>
      </w:r>
    </w:p>
    <w:p w14:paraId="3FD9A9BA" w14:textId="5AE6BC0D" w:rsidR="00C913A7" w:rsidRPr="005E713B" w:rsidRDefault="006755A4" w:rsidP="006755A4">
      <w:pPr>
        <w:pStyle w:val="Caption"/>
        <w:jc w:val="center"/>
        <w:rPr>
          <w:lang w:val="en-GB"/>
        </w:rPr>
      </w:pPr>
      <w:bookmarkStart w:id="20" w:name="_Ref521671536"/>
      <w:r>
        <w:t xml:space="preserve">Figure </w:t>
      </w:r>
      <w:r w:rsidR="00C46E82">
        <w:rPr>
          <w:noProof/>
        </w:rPr>
        <w:fldChar w:fldCharType="begin"/>
      </w:r>
      <w:r w:rsidR="00C46E82">
        <w:rPr>
          <w:noProof/>
        </w:rPr>
        <w:instrText xml:space="preserve"> SEQ Figure \* ARABIC </w:instrText>
      </w:r>
      <w:r w:rsidR="00C46E82">
        <w:rPr>
          <w:noProof/>
        </w:rPr>
        <w:fldChar w:fldCharType="separate"/>
      </w:r>
      <w:r w:rsidR="004D1C58">
        <w:rPr>
          <w:noProof/>
        </w:rPr>
        <w:t>9</w:t>
      </w:r>
      <w:r w:rsidR="00C46E82">
        <w:rPr>
          <w:noProof/>
        </w:rPr>
        <w:fldChar w:fldCharType="end"/>
      </w:r>
      <w:bookmarkEnd w:id="20"/>
      <w:r>
        <w:t>: concurrent communications of an IAB-node with its parent and children, and the required power control cases</w:t>
      </w:r>
    </w:p>
    <w:p w14:paraId="68F8DBC7" w14:textId="77777777" w:rsidR="006755A4" w:rsidRDefault="006755A4" w:rsidP="000035F2">
      <w:pPr>
        <w:rPr>
          <w:rFonts w:eastAsia="Arial"/>
        </w:rPr>
      </w:pPr>
    </w:p>
    <w:p w14:paraId="6B68D0EE" w14:textId="237FA165" w:rsidR="00694EE7" w:rsidRDefault="00C913A7" w:rsidP="000035F2">
      <w:pPr>
        <w:rPr>
          <w:rFonts w:eastAsia="Arial"/>
        </w:rPr>
      </w:pPr>
      <w:r>
        <w:rPr>
          <w:rFonts w:eastAsia="Arial"/>
        </w:rPr>
        <w:t xml:space="preserve">We note that while the IAB-node can control the TX power on </w:t>
      </w:r>
      <w:r w:rsidR="006755A4">
        <w:rPr>
          <w:rFonts w:eastAsia="Arial"/>
        </w:rPr>
        <w:t>its</w:t>
      </w:r>
      <w:r>
        <w:rPr>
          <w:rFonts w:eastAsia="Arial"/>
        </w:rPr>
        <w:t xml:space="preserve"> access link</w:t>
      </w:r>
      <w:r w:rsidR="006755A4">
        <w:rPr>
          <w:rFonts w:eastAsia="Arial"/>
        </w:rPr>
        <w:t>s (towards its children)</w:t>
      </w:r>
      <w:r>
        <w:rPr>
          <w:rFonts w:eastAsia="Arial"/>
        </w:rPr>
        <w:t xml:space="preserve">, the TX power on the backhaul link is controlled by the parent node. </w:t>
      </w:r>
      <w:r w:rsidR="006755A4">
        <w:rPr>
          <w:rFonts w:eastAsia="Arial"/>
        </w:rPr>
        <w:t>A</w:t>
      </w:r>
      <w:r>
        <w:rPr>
          <w:rFonts w:eastAsia="Arial"/>
        </w:rPr>
        <w:t xml:space="preserve">s a baseline, we may assume the backhaul link has a higher </w:t>
      </w:r>
      <w:r w:rsidR="00FA7AEE">
        <w:rPr>
          <w:rFonts w:eastAsia="Arial"/>
        </w:rPr>
        <w:t>priority</w:t>
      </w:r>
      <w:r>
        <w:rPr>
          <w:rFonts w:eastAsia="Arial"/>
        </w:rPr>
        <w:t xml:space="preserve">, and the IAB-node controls the TX power on </w:t>
      </w:r>
      <w:r w:rsidR="006755A4">
        <w:rPr>
          <w:rFonts w:eastAsia="Arial"/>
        </w:rPr>
        <w:t>its</w:t>
      </w:r>
      <w:r>
        <w:rPr>
          <w:rFonts w:eastAsia="Arial"/>
        </w:rPr>
        <w:t xml:space="preserve"> access link</w:t>
      </w:r>
      <w:r w:rsidR="006755A4">
        <w:rPr>
          <w:rFonts w:eastAsia="Arial"/>
        </w:rPr>
        <w:t>s</w:t>
      </w:r>
      <w:r>
        <w:rPr>
          <w:rFonts w:eastAsia="Arial"/>
        </w:rPr>
        <w:t xml:space="preserve"> </w:t>
      </w:r>
      <w:r w:rsidR="006755A4" w:rsidRPr="006755A4">
        <w:rPr>
          <w:rFonts w:eastAsia="Arial"/>
          <w:b/>
        </w:rPr>
        <w:t>subject to</w:t>
      </w:r>
      <w:r>
        <w:rPr>
          <w:rFonts w:eastAsia="Arial"/>
        </w:rPr>
        <w:t xml:space="preserve"> the configured power on the backhaul link. </w:t>
      </w:r>
    </w:p>
    <w:p w14:paraId="05183D2C" w14:textId="27628BD0" w:rsidR="00C913A7" w:rsidRDefault="00807460" w:rsidP="000035F2">
      <w:pPr>
        <w:rPr>
          <w:rFonts w:eastAsia="Arial"/>
        </w:rPr>
      </w:pPr>
      <w:r>
        <w:rPr>
          <w:rFonts w:eastAsia="Arial"/>
        </w:rPr>
        <w:t>However, there are some signals (e.g. DL RS for RRM, periodic CSI-RS) that require sem</w:t>
      </w:r>
      <w:r w:rsidR="006755A4">
        <w:rPr>
          <w:rFonts w:eastAsia="Arial"/>
        </w:rPr>
        <w:t>i-statically allocated TX power</w:t>
      </w:r>
      <w:r>
        <w:rPr>
          <w:rFonts w:eastAsia="Arial"/>
        </w:rPr>
        <w:t xml:space="preserve">, </w:t>
      </w:r>
      <w:r w:rsidR="006755A4">
        <w:rPr>
          <w:rFonts w:eastAsia="Arial"/>
        </w:rPr>
        <w:t xml:space="preserve">and </w:t>
      </w:r>
      <w:r>
        <w:rPr>
          <w:rFonts w:eastAsia="Arial"/>
        </w:rPr>
        <w:t>the IAB-node cannot dynamically change the TX power of such signals. This suggests a need to semi-statically control the power of the access and backhaul links that share common time resources (i.e. S</w:t>
      </w:r>
      <w:r w:rsidR="006755A4">
        <w:rPr>
          <w:rFonts w:eastAsia="Arial"/>
        </w:rPr>
        <w:t xml:space="preserve">DM or FDM), at least for such power-sensitive transmissions. </w:t>
      </w:r>
    </w:p>
    <w:p w14:paraId="0A9A63BD" w14:textId="77777777" w:rsidR="006755A4" w:rsidRDefault="006755A4" w:rsidP="000035F2">
      <w:pPr>
        <w:rPr>
          <w:rFonts w:eastAsia="Arial"/>
        </w:rPr>
      </w:pPr>
    </w:p>
    <w:p w14:paraId="5DBB9190" w14:textId="77777777" w:rsidR="006755A4" w:rsidRDefault="00807460" w:rsidP="000035F2">
      <w:pPr>
        <w:rPr>
          <w:rFonts w:eastAsia="Arial"/>
          <w:b/>
        </w:rPr>
      </w:pPr>
      <w:r>
        <w:rPr>
          <w:rFonts w:eastAsia="Arial"/>
          <w:b/>
        </w:rPr>
        <w:t xml:space="preserve">Proposal 8.1: </w:t>
      </w:r>
      <w:r w:rsidR="00B04090">
        <w:rPr>
          <w:rFonts w:eastAsia="Arial"/>
          <w:b/>
        </w:rPr>
        <w:t>the power of the concurrent access and backhaul links (</w:t>
      </w:r>
      <w:r w:rsidR="006755A4">
        <w:rPr>
          <w:rFonts w:eastAsia="Arial"/>
          <w:b/>
        </w:rPr>
        <w:t>multiplexed in frequency or spatial)</w:t>
      </w:r>
    </w:p>
    <w:p w14:paraId="54C13670" w14:textId="3501498D" w:rsidR="00B04090" w:rsidRDefault="00B04090" w:rsidP="006755A4">
      <w:pPr>
        <w:pStyle w:val="ListParagraph"/>
        <w:numPr>
          <w:ilvl w:val="0"/>
          <w:numId w:val="33"/>
        </w:numPr>
        <w:ind w:firstLineChars="0"/>
        <w:rPr>
          <w:rFonts w:eastAsia="Arial"/>
          <w:b/>
        </w:rPr>
      </w:pPr>
      <w:r w:rsidRPr="006755A4">
        <w:rPr>
          <w:rFonts w:eastAsia="Arial"/>
          <w:b/>
        </w:rPr>
        <w:t xml:space="preserve">should be controlled semi-statically – at least for the transmissions that cannot dynamically change the power (like </w:t>
      </w:r>
      <w:r w:rsidR="006755A4">
        <w:rPr>
          <w:rFonts w:eastAsia="Arial"/>
          <w:b/>
        </w:rPr>
        <w:t>DL RS for RRM, periodic CSI-RS)</w:t>
      </w:r>
    </w:p>
    <w:p w14:paraId="0D6F635E" w14:textId="6396EFC2" w:rsidR="006755A4" w:rsidRPr="006755A4" w:rsidRDefault="006755A4" w:rsidP="006755A4">
      <w:pPr>
        <w:pStyle w:val="ListParagraph"/>
        <w:numPr>
          <w:ilvl w:val="0"/>
          <w:numId w:val="33"/>
        </w:numPr>
        <w:ind w:firstLineChars="0"/>
        <w:rPr>
          <w:rFonts w:eastAsia="Arial"/>
          <w:b/>
        </w:rPr>
      </w:pPr>
      <w:r>
        <w:rPr>
          <w:rFonts w:eastAsia="Arial"/>
          <w:b/>
        </w:rPr>
        <w:t xml:space="preserve">can be determined dynamically for the remaining transmissions. </w:t>
      </w:r>
    </w:p>
    <w:p w14:paraId="2841D243" w14:textId="24A0C5A6" w:rsidR="00B04090" w:rsidRDefault="00B04090" w:rsidP="00B04090">
      <w:pPr>
        <w:pStyle w:val="ListParagraph"/>
        <w:numPr>
          <w:ilvl w:val="0"/>
          <w:numId w:val="33"/>
        </w:numPr>
        <w:ind w:firstLineChars="0"/>
        <w:rPr>
          <w:rFonts w:eastAsia="Arial"/>
          <w:b/>
        </w:rPr>
      </w:pPr>
      <w:r>
        <w:rPr>
          <w:rFonts w:eastAsia="Arial"/>
          <w:b/>
        </w:rPr>
        <w:t xml:space="preserve">FFS: enhancements to allow more efficient SDM/FDM of </w:t>
      </w:r>
      <w:r w:rsidR="006755A4">
        <w:rPr>
          <w:rFonts w:eastAsia="Arial"/>
          <w:b/>
        </w:rPr>
        <w:t xml:space="preserve">the </w:t>
      </w:r>
      <w:r>
        <w:rPr>
          <w:rFonts w:eastAsia="Arial"/>
          <w:b/>
        </w:rPr>
        <w:t>access and backhaul links.</w:t>
      </w:r>
    </w:p>
    <w:p w14:paraId="46CB24EE" w14:textId="77777777" w:rsidR="00EB265E" w:rsidRPr="00EB265E" w:rsidRDefault="00EB265E" w:rsidP="00EB265E">
      <w:pPr>
        <w:rPr>
          <w:rFonts w:eastAsia="Arial"/>
          <w:b/>
        </w:rPr>
      </w:pPr>
    </w:p>
    <w:p w14:paraId="0BED097B" w14:textId="00D83B89" w:rsidR="00877A98" w:rsidRDefault="00877A98" w:rsidP="00FA4CFC">
      <w:pPr>
        <w:pStyle w:val="Heading1"/>
        <w:rPr>
          <w:lang w:eastAsia="zh-CN"/>
        </w:rPr>
      </w:pPr>
      <w:r w:rsidRPr="00FA4CFC">
        <w:rPr>
          <w:lang w:eastAsia="zh-CN"/>
        </w:rPr>
        <w:t>Conclusion</w:t>
      </w:r>
    </w:p>
    <w:p w14:paraId="72CB4780" w14:textId="4A9193A1" w:rsidR="00CA2A66" w:rsidRPr="00CA2A66" w:rsidRDefault="00B31DA8" w:rsidP="00CA2A66">
      <w:pPr>
        <w:pStyle w:val="Caption"/>
        <w:rPr>
          <w:rFonts w:eastAsia="Arial"/>
        </w:rPr>
      </w:pPr>
      <w:r>
        <w:rPr>
          <w:rFonts w:eastAsia="Arial"/>
          <w:b w:val="0"/>
        </w:rPr>
        <w:t xml:space="preserve">In this contribution, we provided our view on RAN1 design and standardization of NR-IAB, and overviewed main design aspects to enable NR BH. </w:t>
      </w:r>
      <w:r w:rsidRPr="00B31DA8">
        <w:rPr>
          <w:rFonts w:eastAsia="Arial"/>
          <w:b w:val="0"/>
        </w:rPr>
        <w:t>We also made the following observations and proposals:</w:t>
      </w:r>
    </w:p>
    <w:p w14:paraId="79A585C5" w14:textId="24A8D7FC" w:rsidR="002172FE" w:rsidRDefault="002172FE" w:rsidP="00996E3B">
      <w:pPr>
        <w:rPr>
          <w:rFonts w:eastAsia="Arial"/>
          <w:b/>
        </w:rPr>
      </w:pPr>
    </w:p>
    <w:p w14:paraId="7C72A74D" w14:textId="5BC83220" w:rsidR="0046480D" w:rsidRPr="00A24A03" w:rsidRDefault="0046480D" w:rsidP="0046480D">
      <w:pPr>
        <w:jc w:val="center"/>
        <w:rPr>
          <w:rFonts w:eastAsia="Arial"/>
        </w:rPr>
      </w:pPr>
      <w:r w:rsidRPr="00A24A03">
        <w:rPr>
          <w:rFonts w:eastAsia="Arial"/>
        </w:rPr>
        <w:t>--- RACH design ---</w:t>
      </w:r>
    </w:p>
    <w:p w14:paraId="7906A480" w14:textId="5014C507" w:rsidR="00A24A03" w:rsidRPr="004D1C58" w:rsidRDefault="00A24A03" w:rsidP="00A24A03">
      <w:pPr>
        <w:rPr>
          <w:b/>
        </w:rPr>
      </w:pPr>
      <w:r w:rsidRPr="004D1C58">
        <w:rPr>
          <w:b/>
        </w:rPr>
        <w:t>Observation 1.1: The ratio of backhaul link distance to access link distance might be much higher than two in NR.</w:t>
      </w:r>
    </w:p>
    <w:p w14:paraId="39DF9CC0" w14:textId="22C84B8A" w:rsidR="00A24A03" w:rsidRPr="004D1C58" w:rsidRDefault="00A24A03" w:rsidP="00A24A03">
      <w:pPr>
        <w:rPr>
          <w:b/>
        </w:rPr>
      </w:pPr>
      <w:r w:rsidRPr="004D1C58">
        <w:rPr>
          <w:b/>
        </w:rPr>
        <w:t>Observation 1.2: If access and backhaul links use same resources for RACH, supportable number of cyclic shifts for each ZC root sequence decrease significantly.</w:t>
      </w:r>
    </w:p>
    <w:p w14:paraId="528D32B6" w14:textId="77777777" w:rsidR="00A24A03" w:rsidRPr="004D1C58" w:rsidRDefault="00A24A03" w:rsidP="00A24A03">
      <w:pPr>
        <w:pStyle w:val="ListParagraph"/>
        <w:numPr>
          <w:ilvl w:val="0"/>
          <w:numId w:val="45"/>
        </w:numPr>
        <w:ind w:firstLineChars="0"/>
        <w:rPr>
          <w:b/>
        </w:rPr>
      </w:pPr>
      <w:r w:rsidRPr="004D1C58">
        <w:rPr>
          <w:b/>
        </w:rPr>
        <w:t>This, in turn, leads to the use of higher number of ZC root sequences in each cells and higher interference during RACH transmission.</w:t>
      </w:r>
    </w:p>
    <w:p w14:paraId="4CEB0DBB" w14:textId="77777777" w:rsidR="00A24A03" w:rsidRPr="004D1C58" w:rsidRDefault="00A24A03" w:rsidP="00A24A03">
      <w:pPr>
        <w:rPr>
          <w:b/>
        </w:rPr>
      </w:pPr>
      <w:r w:rsidRPr="004D1C58">
        <w:rPr>
          <w:b/>
        </w:rPr>
        <w:t>Observation 1.3: Periodicity of backhaul RACH resources, that are orthogonal to access RACH resources, can be extended to reduce overhead.</w:t>
      </w:r>
    </w:p>
    <w:p w14:paraId="707AAA3A" w14:textId="77777777" w:rsidR="00A24A03" w:rsidRPr="004D1C58" w:rsidRDefault="00A24A03" w:rsidP="00A24A03">
      <w:pPr>
        <w:rPr>
          <w:b/>
        </w:rPr>
      </w:pPr>
      <w:r w:rsidRPr="004D1C58">
        <w:rPr>
          <w:b/>
        </w:rPr>
        <w:t xml:space="preserve">Proposal 1.1: NR allows network the flexibility to configure access and backhaul RACH resources with different occasions and periodicities. </w:t>
      </w:r>
    </w:p>
    <w:p w14:paraId="2CE17778" w14:textId="77777777" w:rsidR="00A24A03" w:rsidRPr="004D1C58" w:rsidRDefault="00A24A03" w:rsidP="00A24A03">
      <w:pPr>
        <w:pStyle w:val="ListParagraph"/>
        <w:numPr>
          <w:ilvl w:val="0"/>
          <w:numId w:val="45"/>
        </w:numPr>
        <w:ind w:firstLineChars="0"/>
        <w:rPr>
          <w:b/>
        </w:rPr>
      </w:pPr>
      <w:r w:rsidRPr="004D1C58">
        <w:rPr>
          <w:b/>
        </w:rPr>
        <w:t>Different mechanisms can be considered to enable this, e.g., additional bits can be introduced in RMSI to indicate backhaul CBRA occasions.</w:t>
      </w:r>
    </w:p>
    <w:p w14:paraId="2DE74019" w14:textId="7ED2041A" w:rsidR="0046480D" w:rsidRPr="0046480D" w:rsidRDefault="0046480D" w:rsidP="0046480D">
      <w:pPr>
        <w:rPr>
          <w:rFonts w:eastAsia="Arial"/>
        </w:rPr>
      </w:pPr>
    </w:p>
    <w:p w14:paraId="6E796BB4" w14:textId="0E54F48F" w:rsidR="0046480D" w:rsidRPr="0046480D" w:rsidRDefault="0046480D" w:rsidP="0046480D">
      <w:pPr>
        <w:jc w:val="center"/>
        <w:rPr>
          <w:rFonts w:eastAsia="Arial"/>
        </w:rPr>
      </w:pPr>
      <w:r w:rsidRPr="0046480D">
        <w:rPr>
          <w:rFonts w:eastAsia="Arial"/>
        </w:rPr>
        <w:t xml:space="preserve">--- inter-relay </w:t>
      </w:r>
      <w:r w:rsidR="00BB6109" w:rsidRPr="0046480D">
        <w:rPr>
          <w:rFonts w:eastAsia="Arial"/>
        </w:rPr>
        <w:t>discovery</w:t>
      </w:r>
      <w:r w:rsidRPr="0046480D">
        <w:rPr>
          <w:rFonts w:eastAsia="Arial"/>
        </w:rPr>
        <w:t xml:space="preserve"> and measurements ---</w:t>
      </w:r>
    </w:p>
    <w:p w14:paraId="6D3D230A" w14:textId="77777777" w:rsidR="0046480D" w:rsidRDefault="0046480D" w:rsidP="0046480D">
      <w:pPr>
        <w:rPr>
          <w:b/>
        </w:rPr>
      </w:pPr>
      <w:r>
        <w:rPr>
          <w:b/>
        </w:rPr>
        <w:t>Proposal</w:t>
      </w:r>
      <w:r w:rsidRPr="00F74140">
        <w:rPr>
          <w:b/>
        </w:rPr>
        <w:t xml:space="preserve"> </w:t>
      </w:r>
      <w:r>
        <w:rPr>
          <w:b/>
        </w:rPr>
        <w:t>2.1</w:t>
      </w:r>
      <w:r w:rsidRPr="00F74140">
        <w:rPr>
          <w:b/>
        </w:rPr>
        <w:t xml:space="preserve">: </w:t>
      </w:r>
      <w:r>
        <w:rPr>
          <w:b/>
        </w:rPr>
        <w:t>to address the half-duplex constraint in the IAB-node discovery and measurements, support different TX/RX coordination</w:t>
      </w:r>
      <w:r w:rsidRPr="00C916BF">
        <w:rPr>
          <w:b/>
        </w:rPr>
        <w:t xml:space="preserve"> pattern</w:t>
      </w:r>
      <w:r>
        <w:rPr>
          <w:b/>
        </w:rPr>
        <w:t xml:space="preserve">s. The patterns may be (pseudo-)random, semi-persistent/periodic, or dynamically configured. </w:t>
      </w:r>
    </w:p>
    <w:p w14:paraId="5ED9EF7B" w14:textId="77777777" w:rsidR="0046480D" w:rsidRDefault="0046480D" w:rsidP="0046480D">
      <w:pPr>
        <w:rPr>
          <w:b/>
        </w:rPr>
      </w:pPr>
      <w:r>
        <w:rPr>
          <w:b/>
        </w:rPr>
        <w:t>Proposal</w:t>
      </w:r>
      <w:r w:rsidRPr="00F74140">
        <w:rPr>
          <w:b/>
        </w:rPr>
        <w:t xml:space="preserve"> </w:t>
      </w:r>
      <w:r>
        <w:rPr>
          <w:b/>
        </w:rPr>
        <w:t>2.2</w:t>
      </w:r>
      <w:r w:rsidRPr="00F74140">
        <w:rPr>
          <w:b/>
        </w:rPr>
        <w:t xml:space="preserve">: </w:t>
      </w:r>
      <w:r>
        <w:rPr>
          <w:b/>
        </w:rPr>
        <w:t>support configuring the TX/RX pattern both centrally (baseline) and in a distributed manner.</w:t>
      </w:r>
    </w:p>
    <w:p w14:paraId="69C533CC" w14:textId="77777777" w:rsidR="0046480D" w:rsidRPr="001B637A" w:rsidRDefault="0046480D" w:rsidP="0046480D">
      <w:pPr>
        <w:pStyle w:val="ListParagraph"/>
        <w:numPr>
          <w:ilvl w:val="0"/>
          <w:numId w:val="26"/>
        </w:numPr>
        <w:ind w:firstLineChars="0"/>
        <w:rPr>
          <w:b/>
        </w:rPr>
      </w:pPr>
      <w:r>
        <w:rPr>
          <w:b/>
        </w:rPr>
        <w:t>FFS the required signaling.</w:t>
      </w:r>
    </w:p>
    <w:p w14:paraId="088EF6EB" w14:textId="77777777" w:rsidR="0046480D" w:rsidRPr="0046480D" w:rsidRDefault="0046480D" w:rsidP="0046480D">
      <w:pPr>
        <w:rPr>
          <w:b/>
        </w:rPr>
      </w:pPr>
      <w:r w:rsidRPr="0046480D">
        <w:rPr>
          <w:b/>
        </w:rPr>
        <w:t>Observation 2.1: Sporadic SSB transmissions, following a muting pattern, may confuse the initial access UEs, if they are transmitted on a sync raster.</w:t>
      </w:r>
    </w:p>
    <w:p w14:paraId="6FA344A6" w14:textId="77777777" w:rsidR="0046480D" w:rsidRDefault="0046480D" w:rsidP="0046480D">
      <w:r w:rsidRPr="0046480D">
        <w:rPr>
          <w:b/>
        </w:rPr>
        <w:t xml:space="preserve">Proposal 2.3: use off-raster SSBs for IAB discovery and measurements. </w:t>
      </w:r>
    </w:p>
    <w:p w14:paraId="4A1BF27F" w14:textId="77777777" w:rsidR="0046480D" w:rsidRDefault="0046480D" w:rsidP="0046480D">
      <w:pPr>
        <w:rPr>
          <w:b/>
        </w:rPr>
      </w:pPr>
      <w:r>
        <w:rPr>
          <w:b/>
        </w:rPr>
        <w:t>Proposal 2.4</w:t>
      </w:r>
      <w:r w:rsidRPr="005566E6">
        <w:rPr>
          <w:b/>
        </w:rPr>
        <w:t xml:space="preserve">: </w:t>
      </w:r>
      <w:r>
        <w:rPr>
          <w:b/>
        </w:rPr>
        <w:t>simple modifications to the NR R15 RRM framework should be considered to make it more suitable for backhaul operations, such as</w:t>
      </w:r>
    </w:p>
    <w:p w14:paraId="2D32C336" w14:textId="77777777" w:rsidR="0046480D" w:rsidRDefault="0046480D" w:rsidP="0046480D">
      <w:pPr>
        <w:pStyle w:val="ListParagraph"/>
        <w:numPr>
          <w:ilvl w:val="0"/>
          <w:numId w:val="33"/>
        </w:numPr>
        <w:ind w:firstLineChars="0"/>
        <w:rPr>
          <w:b/>
        </w:rPr>
      </w:pPr>
      <w:r>
        <w:rPr>
          <w:b/>
        </w:rPr>
        <w:t>configuring new values for CSI-RS/SMTC periodicity (e.g. larger than 160 msec),</w:t>
      </w:r>
    </w:p>
    <w:p w14:paraId="0F77B6A0" w14:textId="77777777" w:rsidR="0046480D" w:rsidRDefault="0046480D" w:rsidP="0046480D">
      <w:pPr>
        <w:pStyle w:val="ListParagraph"/>
        <w:numPr>
          <w:ilvl w:val="0"/>
          <w:numId w:val="33"/>
        </w:numPr>
        <w:ind w:firstLineChars="0"/>
        <w:rPr>
          <w:b/>
        </w:rPr>
      </w:pPr>
      <w:r>
        <w:rPr>
          <w:b/>
        </w:rPr>
        <w:t xml:space="preserve">increasing the maximum number of SMTC configured per frequency, </w:t>
      </w:r>
    </w:p>
    <w:p w14:paraId="7EA5E0F4" w14:textId="77777777" w:rsidR="0046480D" w:rsidRDefault="0046480D" w:rsidP="0046480D">
      <w:pPr>
        <w:pStyle w:val="ListParagraph"/>
        <w:numPr>
          <w:ilvl w:val="0"/>
          <w:numId w:val="33"/>
        </w:numPr>
        <w:ind w:firstLineChars="0"/>
        <w:rPr>
          <w:b/>
        </w:rPr>
      </w:pPr>
      <w:r>
        <w:rPr>
          <w:b/>
        </w:rPr>
        <w:t>supporting more flexible time-domain location of the SSBs within a SMTC,</w:t>
      </w:r>
    </w:p>
    <w:p w14:paraId="3CB3DFC3" w14:textId="77777777" w:rsidR="0046480D" w:rsidRPr="005C1785" w:rsidRDefault="0046480D" w:rsidP="0046480D">
      <w:pPr>
        <w:pStyle w:val="ListParagraph"/>
        <w:numPr>
          <w:ilvl w:val="0"/>
          <w:numId w:val="33"/>
        </w:numPr>
        <w:ind w:firstLineChars="0"/>
        <w:rPr>
          <w:b/>
        </w:rPr>
      </w:pPr>
      <w:r>
        <w:rPr>
          <w:b/>
        </w:rPr>
        <w:t xml:space="preserve">leveraging SMTC design to configure transmission windows (STTC). </w:t>
      </w:r>
    </w:p>
    <w:p w14:paraId="0A60AF45" w14:textId="446745F5" w:rsidR="0046480D" w:rsidRPr="0046480D" w:rsidRDefault="0046480D" w:rsidP="0046480D">
      <w:pPr>
        <w:rPr>
          <w:b/>
        </w:rPr>
      </w:pPr>
      <w:r w:rsidRPr="0046480D">
        <w:rPr>
          <w:b/>
        </w:rPr>
        <w:t xml:space="preserve">Proposal 2.5: adopt the proposed framework in </w:t>
      </w:r>
      <w:r w:rsidRPr="0046480D">
        <w:rPr>
          <w:b/>
        </w:rPr>
        <w:fldChar w:fldCharType="begin"/>
      </w:r>
      <w:r w:rsidRPr="0046480D">
        <w:rPr>
          <w:b/>
        </w:rPr>
        <w:instrText xml:space="preserve"> REF _Ref513564034 \h  \* MERGEFORMAT </w:instrText>
      </w:r>
      <w:r w:rsidRPr="0046480D">
        <w:rPr>
          <w:b/>
        </w:rPr>
      </w:r>
      <w:r w:rsidRPr="0046480D">
        <w:rPr>
          <w:b/>
        </w:rPr>
        <w:fldChar w:fldCharType="separate"/>
      </w:r>
      <w:r w:rsidR="004D1C58" w:rsidRPr="004D1C58">
        <w:rPr>
          <w:b/>
        </w:rPr>
        <w:t xml:space="preserve">Table </w:t>
      </w:r>
      <w:r w:rsidR="004D1C58" w:rsidRPr="004D1C58">
        <w:rPr>
          <w:b/>
          <w:noProof/>
        </w:rPr>
        <w:t>5</w:t>
      </w:r>
      <w:r w:rsidRPr="0046480D">
        <w:rPr>
          <w:b/>
        </w:rPr>
        <w:fldChar w:fldCharType="end"/>
      </w:r>
      <w:r w:rsidRPr="0046480D">
        <w:rPr>
          <w:b/>
        </w:rPr>
        <w:t xml:space="preserve"> for initial acquisition, inter-IAB-node discovery and BH measurements.</w:t>
      </w:r>
    </w:p>
    <w:p w14:paraId="577BBF28" w14:textId="36785FFA" w:rsidR="007C63B1" w:rsidRDefault="00912CC6" w:rsidP="00D406D8">
      <w:pPr>
        <w:jc w:val="center"/>
        <w:rPr>
          <w:rFonts w:eastAsia="Arial"/>
        </w:rPr>
      </w:pPr>
      <w:r w:rsidRPr="00D406D8">
        <w:rPr>
          <w:rFonts w:eastAsia="Arial"/>
        </w:rPr>
        <w:t>--- link failure recovery ---</w:t>
      </w:r>
    </w:p>
    <w:p w14:paraId="15A2D13C" w14:textId="77777777" w:rsidR="00D406D8" w:rsidRPr="00BA6356" w:rsidRDefault="00D406D8" w:rsidP="00D406D8">
      <w:pPr>
        <w:rPr>
          <w:b/>
        </w:rPr>
      </w:pPr>
      <w:r w:rsidRPr="00D406D8">
        <w:rPr>
          <w:b/>
          <w:lang w:val="en-GB"/>
        </w:rPr>
        <w:t>Observation 3.1:</w:t>
      </w:r>
      <w:r w:rsidRPr="00BA6356">
        <w:rPr>
          <w:b/>
          <w:lang w:val="en-GB"/>
        </w:rPr>
        <w:t xml:space="preserve"> In Rel-15,</w:t>
      </w:r>
      <w:r w:rsidRPr="00BA6356">
        <w:rPr>
          <w:rFonts w:eastAsiaTheme="minorEastAsia" w:hAnsi="Microsoft Sans Serif"/>
          <w:b/>
          <w:color w:val="262626" w:themeColor="text1" w:themeTint="D9"/>
          <w:kern w:val="24"/>
          <w:sz w:val="36"/>
          <w:szCs w:val="36"/>
        </w:rPr>
        <w:t xml:space="preserve"> </w:t>
      </w:r>
      <w:r w:rsidRPr="00BA6356">
        <w:rPr>
          <w:b/>
        </w:rPr>
        <w:t xml:space="preserve">RLF is declared after a </w:t>
      </w:r>
      <w:r>
        <w:rPr>
          <w:b/>
        </w:rPr>
        <w:t xml:space="preserve">N310 </w:t>
      </w:r>
      <w:r w:rsidRPr="00BA6356">
        <w:rPr>
          <w:b/>
        </w:rPr>
        <w:t>consecutive OOS are detected and T310 timer runs for the configured time without receiving N311 consecutive IS indications.</w:t>
      </w:r>
    </w:p>
    <w:p w14:paraId="2241A2FF" w14:textId="77777777" w:rsidR="00D406D8" w:rsidRDefault="00D406D8" w:rsidP="00D406D8">
      <w:pPr>
        <w:pStyle w:val="ListParagraph"/>
        <w:numPr>
          <w:ilvl w:val="0"/>
          <w:numId w:val="30"/>
        </w:numPr>
        <w:ind w:firstLineChars="0"/>
        <w:rPr>
          <w:b/>
        </w:rPr>
      </w:pPr>
      <w:r w:rsidRPr="00BA6356">
        <w:rPr>
          <w:b/>
        </w:rPr>
        <w:t xml:space="preserve">In Rel-15, failure of beam recovery procedure leads to RLF declaration. </w:t>
      </w:r>
    </w:p>
    <w:p w14:paraId="17DD08AF" w14:textId="7995386A" w:rsidR="00D406D8" w:rsidRDefault="00D406D8" w:rsidP="00D406D8">
      <w:pPr>
        <w:pStyle w:val="ListParagraph"/>
        <w:numPr>
          <w:ilvl w:val="0"/>
          <w:numId w:val="30"/>
        </w:numPr>
        <w:ind w:firstLineChars="0"/>
        <w:rPr>
          <w:b/>
        </w:rPr>
      </w:pPr>
      <w:r>
        <w:rPr>
          <w:b/>
        </w:rPr>
        <w:t xml:space="preserve">In Rel-15, </w:t>
      </w:r>
      <w:r w:rsidRPr="00BA6356">
        <w:rPr>
          <w:b/>
        </w:rPr>
        <w:t>Success of beam recovery procedure does not impact RLF procedure.</w:t>
      </w:r>
    </w:p>
    <w:p w14:paraId="6CA2207C" w14:textId="77777777" w:rsidR="00D406D8" w:rsidRPr="00D406D8" w:rsidRDefault="00D406D8" w:rsidP="00D406D8">
      <w:pPr>
        <w:pStyle w:val="ListParagraph"/>
        <w:numPr>
          <w:ilvl w:val="0"/>
          <w:numId w:val="30"/>
        </w:numPr>
        <w:ind w:firstLineChars="0"/>
        <w:rPr>
          <w:b/>
        </w:rPr>
      </w:pPr>
    </w:p>
    <w:p w14:paraId="560CEBB6" w14:textId="77777777" w:rsidR="00D406D8" w:rsidRPr="00BA6356" w:rsidRDefault="00D406D8" w:rsidP="00D406D8">
      <w:pPr>
        <w:rPr>
          <w:b/>
        </w:rPr>
      </w:pPr>
      <w:r w:rsidRPr="00D406D8">
        <w:rPr>
          <w:b/>
        </w:rPr>
        <w:t>Observation 3.2:</w:t>
      </w:r>
      <w:r w:rsidRPr="00BA6356">
        <w:rPr>
          <w:b/>
        </w:rPr>
        <w:t xml:space="preserve"> Radio link monitoring and candidate beam reference signals can be different.</w:t>
      </w:r>
    </w:p>
    <w:p w14:paraId="48BB7ECE" w14:textId="77777777" w:rsidR="00D406D8" w:rsidRPr="00BA6356" w:rsidRDefault="00D406D8" w:rsidP="00D406D8">
      <w:pPr>
        <w:pStyle w:val="ListParagraph"/>
        <w:numPr>
          <w:ilvl w:val="0"/>
          <w:numId w:val="30"/>
        </w:numPr>
        <w:ind w:firstLineChars="0"/>
        <w:rPr>
          <w:b/>
        </w:rPr>
      </w:pPr>
      <w:r w:rsidRPr="00BA6356">
        <w:rPr>
          <w:b/>
        </w:rPr>
        <w:t>Communication can happen via candidate beam reference signal even if radio link monitoring reference fail.</w:t>
      </w:r>
    </w:p>
    <w:p w14:paraId="5BFC8EEF" w14:textId="77777777" w:rsidR="00D406D8" w:rsidRPr="00BA6356" w:rsidRDefault="00D406D8" w:rsidP="00D406D8">
      <w:pPr>
        <w:rPr>
          <w:b/>
        </w:rPr>
      </w:pPr>
      <w:r w:rsidRPr="00D406D8">
        <w:rPr>
          <w:b/>
        </w:rPr>
        <w:t>Observation 3.3:</w:t>
      </w:r>
      <w:r w:rsidRPr="00BA6356">
        <w:rPr>
          <w:b/>
        </w:rPr>
        <w:t xml:space="preserve"> Declaring RLF is costly for an IAB </w:t>
      </w:r>
      <w:r>
        <w:rPr>
          <w:b/>
        </w:rPr>
        <w:t>UEF</w:t>
      </w:r>
      <w:r w:rsidRPr="00BA6356">
        <w:rPr>
          <w:b/>
        </w:rPr>
        <w:t xml:space="preserve"> node.</w:t>
      </w:r>
    </w:p>
    <w:p w14:paraId="03044876" w14:textId="77777777" w:rsidR="00D406D8" w:rsidRDefault="00D406D8" w:rsidP="00D406D8">
      <w:pPr>
        <w:pStyle w:val="ListParagraph"/>
        <w:numPr>
          <w:ilvl w:val="0"/>
          <w:numId w:val="30"/>
        </w:numPr>
        <w:ind w:firstLineChars="0"/>
        <w:rPr>
          <w:b/>
        </w:rPr>
      </w:pPr>
      <w:r w:rsidRPr="00BA6356">
        <w:rPr>
          <w:b/>
        </w:rPr>
        <w:t>The corresponding IAB DU will have to release all resources of its child nodes.</w:t>
      </w:r>
    </w:p>
    <w:p w14:paraId="7E151DFB" w14:textId="17E54088" w:rsidR="00D406D8" w:rsidRPr="00D406D8" w:rsidRDefault="00D406D8" w:rsidP="00D406D8">
      <w:pPr>
        <w:rPr>
          <w:b/>
          <w:lang w:val="en-GB"/>
        </w:rPr>
      </w:pPr>
      <w:r w:rsidRPr="00D406D8">
        <w:rPr>
          <w:b/>
          <w:lang w:val="en-GB"/>
        </w:rPr>
        <w:t xml:space="preserve">Proposal 3.1: NR supports success of beam recovery procedure </w:t>
      </w:r>
      <w:r w:rsidRPr="00D406D8">
        <w:rPr>
          <w:b/>
        </w:rPr>
        <w:t>stopping the T310 timer and preventing IAB UEF to declare RLF.</w:t>
      </w:r>
    </w:p>
    <w:p w14:paraId="3B05514E" w14:textId="77777777" w:rsidR="00D406D8" w:rsidRPr="0046480D" w:rsidRDefault="00D406D8" w:rsidP="00D406D8">
      <w:pPr>
        <w:rPr>
          <w:rFonts w:eastAsia="Arial"/>
        </w:rPr>
      </w:pPr>
    </w:p>
    <w:p w14:paraId="229E6225" w14:textId="342C136D" w:rsidR="00912CC6" w:rsidRDefault="00912CC6" w:rsidP="00912CC6">
      <w:pPr>
        <w:jc w:val="center"/>
        <w:rPr>
          <w:rFonts w:eastAsia="Arial"/>
        </w:rPr>
      </w:pPr>
      <w:r w:rsidRPr="0046480D">
        <w:rPr>
          <w:rFonts w:eastAsia="Arial"/>
        </w:rPr>
        <w:t xml:space="preserve">--- </w:t>
      </w:r>
      <w:r>
        <w:rPr>
          <w:rFonts w:eastAsia="Arial"/>
        </w:rPr>
        <w:t>over-the-air synchronization</w:t>
      </w:r>
      <w:r w:rsidRPr="0046480D">
        <w:rPr>
          <w:rFonts w:eastAsia="Arial"/>
        </w:rPr>
        <w:t xml:space="preserve"> ---</w:t>
      </w:r>
    </w:p>
    <w:p w14:paraId="763CC4E7" w14:textId="77777777" w:rsidR="007C63B1" w:rsidRDefault="007C63B1" w:rsidP="007C63B1">
      <w:pPr>
        <w:rPr>
          <w:rFonts w:eastAsia="Arial"/>
          <w:b/>
        </w:rPr>
      </w:pPr>
      <w:r w:rsidRPr="00D9056D">
        <w:rPr>
          <w:rFonts w:eastAsia="Arial"/>
          <w:b/>
        </w:rPr>
        <w:t xml:space="preserve">Observation </w:t>
      </w:r>
      <w:r>
        <w:rPr>
          <w:rFonts w:eastAsia="Arial"/>
          <w:b/>
        </w:rPr>
        <w:t>4.1</w:t>
      </w:r>
      <w:r w:rsidRPr="00D9056D">
        <w:rPr>
          <w:rFonts w:eastAsia="Arial"/>
          <w:b/>
        </w:rPr>
        <w:t xml:space="preserve">: </w:t>
      </w:r>
      <w:r>
        <w:rPr>
          <w:rFonts w:eastAsia="Arial"/>
          <w:b/>
        </w:rPr>
        <w:t xml:space="preserve">TA-based </w:t>
      </w:r>
      <w:r w:rsidRPr="00D9056D">
        <w:rPr>
          <w:rFonts w:eastAsia="Arial"/>
          <w:b/>
        </w:rPr>
        <w:t xml:space="preserve">OTA synchronization </w:t>
      </w:r>
      <w:r>
        <w:rPr>
          <w:rFonts w:eastAsia="Arial"/>
          <w:b/>
        </w:rPr>
        <w:t>can support multi-hop IAB network (4~5 hops) for mmw bands. TA-based OTA synchronization is not sufficient to support multiple hops in lower bands.</w:t>
      </w:r>
    </w:p>
    <w:p w14:paraId="145ABB6C" w14:textId="77777777" w:rsidR="007C63B1" w:rsidRPr="00D9708E" w:rsidRDefault="007C63B1" w:rsidP="007C63B1">
      <w:pPr>
        <w:rPr>
          <w:rFonts w:eastAsia="Arial"/>
          <w:b/>
        </w:rPr>
      </w:pPr>
      <w:r>
        <w:rPr>
          <w:rFonts w:eastAsia="Arial"/>
          <w:b/>
        </w:rPr>
        <w:t>Proposal 4.1</w:t>
      </w:r>
      <w:r w:rsidRPr="00D9056D">
        <w:rPr>
          <w:rFonts w:eastAsia="Arial"/>
          <w:b/>
        </w:rPr>
        <w:t>:</w:t>
      </w:r>
      <w:r>
        <w:rPr>
          <w:rFonts w:eastAsia="Arial"/>
          <w:b/>
        </w:rPr>
        <w:t xml:space="preserve"> </w:t>
      </w:r>
      <w:r w:rsidRPr="00D9708E">
        <w:rPr>
          <w:rFonts w:eastAsia="Arial"/>
          <w:b/>
        </w:rPr>
        <w:t xml:space="preserve">To tighten the OTA timing error, especially in lower bands, </w:t>
      </w:r>
      <w:r>
        <w:rPr>
          <w:rFonts w:eastAsia="Arial"/>
          <w:b/>
        </w:rPr>
        <w:t>RAN1</w:t>
      </w:r>
      <w:r w:rsidRPr="00D9708E">
        <w:rPr>
          <w:rFonts w:eastAsia="Arial"/>
          <w:b/>
        </w:rPr>
        <w:t xml:space="preserve"> </w:t>
      </w:r>
      <w:r>
        <w:rPr>
          <w:rFonts w:eastAsia="Arial"/>
          <w:b/>
        </w:rPr>
        <w:t xml:space="preserve">should </w:t>
      </w:r>
      <w:r w:rsidRPr="00D9708E">
        <w:rPr>
          <w:rFonts w:eastAsia="Arial"/>
          <w:b/>
        </w:rPr>
        <w:t>consider the following solutions:</w:t>
      </w:r>
    </w:p>
    <w:p w14:paraId="77D4C81E" w14:textId="77777777" w:rsidR="007C63B1" w:rsidRPr="00D9708E" w:rsidRDefault="007C63B1" w:rsidP="007C63B1">
      <w:pPr>
        <w:pStyle w:val="ListParagraph"/>
        <w:numPr>
          <w:ilvl w:val="0"/>
          <w:numId w:val="26"/>
        </w:numPr>
        <w:ind w:firstLineChars="0"/>
        <w:rPr>
          <w:rFonts w:eastAsia="Arial"/>
          <w:b/>
        </w:rPr>
      </w:pPr>
      <w:r w:rsidRPr="00D9708E">
        <w:rPr>
          <w:rFonts w:eastAsia="Arial"/>
          <w:b/>
        </w:rPr>
        <w:t>Using wider</w:t>
      </w:r>
      <w:r>
        <w:rPr>
          <w:rFonts w:eastAsia="Arial"/>
          <w:b/>
        </w:rPr>
        <w:t xml:space="preserve"> </w:t>
      </w:r>
      <w:r w:rsidRPr="00D9708E">
        <w:rPr>
          <w:rFonts w:eastAsia="Arial"/>
          <w:b/>
        </w:rPr>
        <w:t xml:space="preserve">band signals </w:t>
      </w:r>
      <w:r>
        <w:rPr>
          <w:rFonts w:eastAsia="Arial"/>
          <w:b/>
        </w:rPr>
        <w:t xml:space="preserve">(UL and DL) to achieve more accurate </w:t>
      </w:r>
      <w:r w:rsidRPr="00D9708E">
        <w:rPr>
          <w:rFonts w:eastAsia="Arial"/>
          <w:b/>
        </w:rPr>
        <w:t xml:space="preserve">timing estimation </w:t>
      </w:r>
    </w:p>
    <w:p w14:paraId="390E1558" w14:textId="63229659" w:rsidR="007C63B1" w:rsidRDefault="007C63B1" w:rsidP="007C63B1">
      <w:pPr>
        <w:pStyle w:val="ListParagraph"/>
        <w:numPr>
          <w:ilvl w:val="0"/>
          <w:numId w:val="26"/>
        </w:numPr>
        <w:ind w:firstLineChars="0"/>
        <w:rPr>
          <w:rFonts w:eastAsia="Arial"/>
          <w:b/>
        </w:rPr>
      </w:pPr>
      <w:r w:rsidRPr="00D9708E">
        <w:rPr>
          <w:rFonts w:eastAsia="Arial"/>
          <w:b/>
        </w:rPr>
        <w:t xml:space="preserve">Enhancing TA, e.g. by </w:t>
      </w:r>
      <w:r w:rsidR="00DC06D5">
        <w:rPr>
          <w:rFonts w:eastAsia="Arial"/>
          <w:b/>
        </w:rPr>
        <w:t>reducing</w:t>
      </w:r>
      <w:r w:rsidR="00DC06D5" w:rsidRPr="00D9708E">
        <w:rPr>
          <w:rFonts w:eastAsia="Arial"/>
          <w:b/>
        </w:rPr>
        <w:t xml:space="preserve"> </w:t>
      </w:r>
      <w:r w:rsidRPr="00D9708E">
        <w:rPr>
          <w:rFonts w:eastAsia="Arial"/>
          <w:b/>
        </w:rPr>
        <w:t xml:space="preserve">its granularity and </w:t>
      </w:r>
      <w:r w:rsidR="00DC06D5">
        <w:rPr>
          <w:rFonts w:eastAsia="Arial"/>
          <w:b/>
        </w:rPr>
        <w:t xml:space="preserve">increasing </w:t>
      </w:r>
      <w:r w:rsidR="00BA76E8">
        <w:rPr>
          <w:rFonts w:eastAsia="Arial"/>
          <w:b/>
        </w:rPr>
        <w:t xml:space="preserve">the </w:t>
      </w:r>
      <w:r w:rsidRPr="00D9708E">
        <w:rPr>
          <w:rFonts w:eastAsia="Arial"/>
          <w:b/>
        </w:rPr>
        <w:t>number of bits</w:t>
      </w:r>
    </w:p>
    <w:p w14:paraId="2A94AE9F" w14:textId="77777777" w:rsidR="007C63B1" w:rsidRPr="007C63B1" w:rsidRDefault="007C63B1" w:rsidP="007C63B1">
      <w:pPr>
        <w:rPr>
          <w:rFonts w:eastAsia="Arial"/>
          <w:b/>
        </w:rPr>
      </w:pPr>
      <w:r w:rsidRPr="007C63B1">
        <w:rPr>
          <w:rFonts w:eastAsia="Arial"/>
          <w:b/>
        </w:rPr>
        <w:t xml:space="preserve">Proposal 4.2: IAB TR should mention TA-based OTA synchronization can support up to [5] hops in MMW bands. </w:t>
      </w:r>
    </w:p>
    <w:p w14:paraId="24FBD1C5" w14:textId="77777777" w:rsidR="007C63B1" w:rsidRPr="007C63B1" w:rsidRDefault="007C63B1" w:rsidP="007C63B1">
      <w:pPr>
        <w:rPr>
          <w:rFonts w:eastAsia="Arial"/>
          <w:b/>
        </w:rPr>
      </w:pPr>
      <w:r w:rsidRPr="007C63B1">
        <w:rPr>
          <w:rFonts w:eastAsia="Arial"/>
          <w:b/>
        </w:rPr>
        <w:t xml:space="preserve">Proposal 4.3: IAB network should use other synchronization techniques, such as GNSS and PTP, along with OTA techniques to achieve tight network synchronization. </w:t>
      </w:r>
    </w:p>
    <w:p w14:paraId="6BAB3B65" w14:textId="77777777" w:rsidR="007C63B1" w:rsidRPr="007C63B1" w:rsidRDefault="007C63B1" w:rsidP="007C63B1">
      <w:pPr>
        <w:rPr>
          <w:rFonts w:eastAsia="Arial"/>
          <w:b/>
        </w:rPr>
      </w:pPr>
      <w:r w:rsidRPr="007C63B1">
        <w:rPr>
          <w:rFonts w:eastAsia="Arial"/>
          <w:b/>
        </w:rPr>
        <w:t xml:space="preserve">Proposal 4.4: it should be further studied how timing adjustment of an IAB-node (following OTA synchronization) impacts the operation of its child IAB-nodes and UEs. </w:t>
      </w:r>
    </w:p>
    <w:p w14:paraId="19F20F2C" w14:textId="77777777" w:rsidR="007C63B1" w:rsidRPr="0046480D" w:rsidRDefault="007C63B1" w:rsidP="00912CC6">
      <w:pPr>
        <w:jc w:val="center"/>
        <w:rPr>
          <w:rFonts w:eastAsia="Arial"/>
        </w:rPr>
      </w:pPr>
    </w:p>
    <w:p w14:paraId="0975275D" w14:textId="0B627CA8" w:rsidR="00912CC6" w:rsidRDefault="00912CC6" w:rsidP="00912CC6">
      <w:pPr>
        <w:jc w:val="center"/>
        <w:rPr>
          <w:rFonts w:eastAsia="Arial"/>
        </w:rPr>
      </w:pPr>
      <w:r w:rsidRPr="0046480D">
        <w:rPr>
          <w:rFonts w:eastAsia="Arial"/>
        </w:rPr>
        <w:t xml:space="preserve">--- </w:t>
      </w:r>
      <w:r w:rsidR="007C63B1">
        <w:rPr>
          <w:rFonts w:eastAsia="Arial"/>
        </w:rPr>
        <w:t>multi-hop timing alignment</w:t>
      </w:r>
      <w:r w:rsidRPr="0046480D">
        <w:rPr>
          <w:rFonts w:eastAsia="Arial"/>
        </w:rPr>
        <w:t xml:space="preserve"> ---</w:t>
      </w:r>
    </w:p>
    <w:p w14:paraId="3EB7A348" w14:textId="77777777" w:rsidR="007C63B1" w:rsidRDefault="007C63B1" w:rsidP="007C63B1">
      <w:pPr>
        <w:rPr>
          <w:rFonts w:eastAsia="Arial"/>
          <w:b/>
        </w:rPr>
      </w:pPr>
      <w:r>
        <w:rPr>
          <w:rFonts w:eastAsia="Arial"/>
          <w:b/>
        </w:rPr>
        <w:t>Proposal</w:t>
      </w:r>
      <w:r w:rsidRPr="00707A3D">
        <w:rPr>
          <w:rFonts w:eastAsia="Arial"/>
          <w:b/>
        </w:rPr>
        <w:t xml:space="preserve"> </w:t>
      </w:r>
      <w:r>
        <w:rPr>
          <w:rFonts w:eastAsia="Arial"/>
          <w:b/>
        </w:rPr>
        <w:t>5.1</w:t>
      </w:r>
      <w:r w:rsidRPr="00707A3D">
        <w:rPr>
          <w:rFonts w:eastAsia="Arial"/>
          <w:b/>
        </w:rPr>
        <w:t xml:space="preserve">: </w:t>
      </w:r>
      <w:r>
        <w:rPr>
          <w:rFonts w:eastAsia="Arial"/>
          <w:b/>
        </w:rPr>
        <w:t xml:space="preserve">the timing alignment case 1 (where slot boundaries across multi-hop IAB network are aligned) is adopted as the baseline. </w:t>
      </w:r>
    </w:p>
    <w:p w14:paraId="25FFD740" w14:textId="77777777" w:rsidR="007C63B1" w:rsidRDefault="007C63B1" w:rsidP="007C63B1">
      <w:pPr>
        <w:pStyle w:val="ListParagraph"/>
        <w:numPr>
          <w:ilvl w:val="0"/>
          <w:numId w:val="26"/>
        </w:numPr>
        <w:ind w:firstLineChars="0"/>
        <w:rPr>
          <w:rFonts w:eastAsia="Arial"/>
          <w:b/>
        </w:rPr>
      </w:pPr>
      <w:r w:rsidRPr="006B2676">
        <w:rPr>
          <w:rFonts w:eastAsia="Arial"/>
          <w:b/>
        </w:rPr>
        <w:t>The other cases that allow simultaneous transmissions and/or receptions over two adjacent hops should also be supported</w:t>
      </w:r>
      <w:r>
        <w:rPr>
          <w:rFonts w:eastAsia="Arial"/>
          <w:b/>
        </w:rPr>
        <w:t>.</w:t>
      </w:r>
    </w:p>
    <w:p w14:paraId="62F180C6" w14:textId="77777777" w:rsidR="007C63B1" w:rsidRPr="00025ECB" w:rsidRDefault="007C63B1" w:rsidP="007C63B1">
      <w:pPr>
        <w:pStyle w:val="ListParagraph"/>
        <w:numPr>
          <w:ilvl w:val="0"/>
          <w:numId w:val="26"/>
        </w:numPr>
        <w:ind w:firstLineChars="0"/>
        <w:rPr>
          <w:rFonts w:eastAsia="Arial"/>
          <w:b/>
        </w:rPr>
      </w:pPr>
      <w:r>
        <w:rPr>
          <w:rFonts w:eastAsia="Arial"/>
          <w:b/>
        </w:rPr>
        <w:t xml:space="preserve">It is left to network, which case to select. </w:t>
      </w:r>
    </w:p>
    <w:p w14:paraId="5C54DD38" w14:textId="77777777" w:rsidR="007C63B1" w:rsidRPr="0046480D" w:rsidRDefault="007C63B1" w:rsidP="00912CC6">
      <w:pPr>
        <w:jc w:val="center"/>
        <w:rPr>
          <w:rFonts w:eastAsia="Arial"/>
        </w:rPr>
      </w:pPr>
    </w:p>
    <w:p w14:paraId="039D2795" w14:textId="2C2376BB" w:rsidR="007C63B1" w:rsidRDefault="007C63B1" w:rsidP="007C63B1">
      <w:pPr>
        <w:jc w:val="center"/>
        <w:rPr>
          <w:rFonts w:eastAsia="Arial"/>
        </w:rPr>
      </w:pPr>
      <w:r w:rsidRPr="00F34798">
        <w:rPr>
          <w:rFonts w:eastAsia="Arial"/>
        </w:rPr>
        <w:t>--- resource allocation and coordination ---</w:t>
      </w:r>
    </w:p>
    <w:p w14:paraId="2F0AB6F6" w14:textId="77777777" w:rsidR="00F34798" w:rsidRDefault="00F34798" w:rsidP="00F34798">
      <w:pPr>
        <w:rPr>
          <w:b/>
        </w:rPr>
      </w:pPr>
      <w:r w:rsidRPr="0034716D">
        <w:rPr>
          <w:b/>
        </w:rPr>
        <w:t>Proposal</w:t>
      </w:r>
      <w:r>
        <w:rPr>
          <w:b/>
        </w:rPr>
        <w:t xml:space="preserve"> 6.1: A semi-static resource partitioning shall be supported as a baseline approach, where a set of resources, called schedulable resources, are determined for each IAB-node to schedule its child nodes.</w:t>
      </w:r>
    </w:p>
    <w:p w14:paraId="4919BA88" w14:textId="33DD22FF" w:rsidR="00F34798" w:rsidRDefault="00F34798" w:rsidP="00F34798">
      <w:pPr>
        <w:pStyle w:val="ListParagraph"/>
        <w:numPr>
          <w:ilvl w:val="0"/>
          <w:numId w:val="26"/>
        </w:numPr>
        <w:ind w:firstLineChars="0"/>
        <w:rPr>
          <w:b/>
        </w:rPr>
      </w:pPr>
      <w:r>
        <w:rPr>
          <w:b/>
        </w:rPr>
        <w:t xml:space="preserve">To support a centralized implementation of the semi-static resource partitioning schemes. New upper-layer (F1-AP) signaling is needed to indicate the required reports for selecting schedulable </w:t>
      </w:r>
      <w:r w:rsidR="00BB6109">
        <w:rPr>
          <w:b/>
        </w:rPr>
        <w:t>resources and</w:t>
      </w:r>
      <w:r>
        <w:rPr>
          <w:b/>
        </w:rPr>
        <w:t xml:space="preserve"> provide the selected resources. </w:t>
      </w:r>
    </w:p>
    <w:p w14:paraId="7B15D1F6" w14:textId="77777777" w:rsidR="00F34798" w:rsidRDefault="00F34798" w:rsidP="00F34798">
      <w:pPr>
        <w:pStyle w:val="ListParagraph"/>
        <w:numPr>
          <w:ilvl w:val="1"/>
          <w:numId w:val="26"/>
        </w:numPr>
        <w:ind w:firstLineChars="0"/>
        <w:rPr>
          <w:b/>
        </w:rPr>
      </w:pPr>
      <w:r>
        <w:rPr>
          <w:b/>
        </w:rPr>
        <w:t xml:space="preserve">Exact signaling format is out of RAN1 scope. </w:t>
      </w:r>
    </w:p>
    <w:p w14:paraId="0F24D36A" w14:textId="77777777" w:rsidR="00F34798" w:rsidRDefault="00F34798" w:rsidP="00F34798">
      <w:pPr>
        <w:pStyle w:val="ListParagraph"/>
        <w:numPr>
          <w:ilvl w:val="0"/>
          <w:numId w:val="26"/>
        </w:numPr>
        <w:ind w:firstLineChars="0"/>
        <w:rPr>
          <w:b/>
        </w:rPr>
      </w:pPr>
      <w:r>
        <w:rPr>
          <w:b/>
        </w:rPr>
        <w:t>The granularity for schedulable resource pattern shall be configurable.</w:t>
      </w:r>
    </w:p>
    <w:p w14:paraId="12CF4587" w14:textId="77777777" w:rsidR="00F34798" w:rsidRDefault="00F34798" w:rsidP="00F34798">
      <w:pPr>
        <w:pStyle w:val="ListParagraph"/>
        <w:numPr>
          <w:ilvl w:val="0"/>
          <w:numId w:val="26"/>
        </w:numPr>
        <w:ind w:firstLineChars="0"/>
        <w:rPr>
          <w:b/>
        </w:rPr>
      </w:pPr>
      <w:r>
        <w:rPr>
          <w:b/>
        </w:rPr>
        <w:t>A schedulable resource pattern for an IAB-node can be associated with only a subset of its child links.</w:t>
      </w:r>
    </w:p>
    <w:p w14:paraId="34AB127A" w14:textId="77777777" w:rsidR="00F34798" w:rsidRPr="00525F1C" w:rsidRDefault="00F34798" w:rsidP="00F34798">
      <w:pPr>
        <w:pStyle w:val="ListParagraph"/>
        <w:numPr>
          <w:ilvl w:val="0"/>
          <w:numId w:val="26"/>
        </w:numPr>
        <w:ind w:firstLineChars="0"/>
        <w:rPr>
          <w:b/>
        </w:rPr>
      </w:pPr>
      <w:r>
        <w:rPr>
          <w:b/>
        </w:rPr>
        <w:t>Interaction between schedulable resource pattern and the resource allocation (e.g. RRC-configured resources) shall be further studied, including e.g. conflict resolution rules</w:t>
      </w:r>
      <w:r w:rsidRPr="008B07F5">
        <w:rPr>
          <w:b/>
        </w:rPr>
        <w:t>.</w:t>
      </w:r>
    </w:p>
    <w:p w14:paraId="21F0A245" w14:textId="77777777" w:rsidR="00F34798" w:rsidRDefault="00F34798" w:rsidP="00F34798">
      <w:r w:rsidRPr="00390BC2">
        <w:rPr>
          <w:b/>
          <w:lang w:val="en-GB"/>
        </w:rPr>
        <w:t>Proposal 6</w:t>
      </w:r>
      <w:r>
        <w:rPr>
          <w:b/>
          <w:lang w:val="en-GB"/>
        </w:rPr>
        <w:t>.2</w:t>
      </w:r>
      <w:r w:rsidRPr="00390BC2">
        <w:rPr>
          <w:b/>
          <w:lang w:val="en-GB"/>
        </w:rPr>
        <w:t>:</w:t>
      </w:r>
      <w:r>
        <w:rPr>
          <w:b/>
          <w:lang w:val="en-GB"/>
        </w:rPr>
        <w:t xml:space="preserve"> A dynamic coordination approach shall be supported with potentially using enhanced slot format indication framework.</w:t>
      </w:r>
    </w:p>
    <w:p w14:paraId="6E2E44AC" w14:textId="77777777" w:rsidR="007C63B1" w:rsidRPr="0046480D" w:rsidRDefault="007C63B1" w:rsidP="007C63B1">
      <w:pPr>
        <w:jc w:val="center"/>
        <w:rPr>
          <w:rFonts w:eastAsia="Arial"/>
        </w:rPr>
      </w:pPr>
    </w:p>
    <w:p w14:paraId="10FDE7EF" w14:textId="227CB848" w:rsidR="007C63B1" w:rsidRDefault="007C63B1" w:rsidP="007C63B1">
      <w:pPr>
        <w:jc w:val="center"/>
        <w:rPr>
          <w:rFonts w:eastAsia="Arial"/>
        </w:rPr>
      </w:pPr>
      <w:r w:rsidRPr="0046480D">
        <w:rPr>
          <w:rFonts w:eastAsia="Arial"/>
        </w:rPr>
        <w:t xml:space="preserve">--- </w:t>
      </w:r>
      <w:r>
        <w:rPr>
          <w:rFonts w:eastAsia="Arial"/>
        </w:rPr>
        <w:t xml:space="preserve">cross-link </w:t>
      </w:r>
      <w:r w:rsidR="00BB6109">
        <w:rPr>
          <w:rFonts w:eastAsia="Arial"/>
        </w:rPr>
        <w:t>interference</w:t>
      </w:r>
      <w:r w:rsidRPr="0046480D">
        <w:rPr>
          <w:rFonts w:eastAsia="Arial"/>
        </w:rPr>
        <w:t xml:space="preserve"> ---</w:t>
      </w:r>
    </w:p>
    <w:p w14:paraId="685758C8" w14:textId="77777777" w:rsidR="007C63B1" w:rsidRDefault="007C63B1" w:rsidP="007C63B1">
      <w:pPr>
        <w:rPr>
          <w:rFonts w:eastAsia="Arial"/>
          <w:b/>
        </w:rPr>
      </w:pPr>
      <w:r>
        <w:rPr>
          <w:rFonts w:eastAsia="Arial"/>
          <w:b/>
        </w:rPr>
        <w:t>Observation</w:t>
      </w:r>
      <w:r w:rsidRPr="00707A3D">
        <w:rPr>
          <w:rFonts w:eastAsia="Arial"/>
          <w:b/>
        </w:rPr>
        <w:t xml:space="preserve"> </w:t>
      </w:r>
      <w:r>
        <w:rPr>
          <w:rFonts w:eastAsia="Arial"/>
          <w:b/>
        </w:rPr>
        <w:t>7.1</w:t>
      </w:r>
      <w:r w:rsidRPr="00707A3D">
        <w:rPr>
          <w:rFonts w:eastAsia="Arial"/>
          <w:b/>
        </w:rPr>
        <w:t xml:space="preserve">: </w:t>
      </w:r>
      <w:r>
        <w:rPr>
          <w:rFonts w:eastAsia="Arial"/>
          <w:b/>
        </w:rPr>
        <w:t>in a homogenous IAB network, the worst-case SINR (due to BH-to-BH interference) is sufficiently high: &gt;20dB at 10% and &gt;30dB at 50%.</w:t>
      </w:r>
    </w:p>
    <w:p w14:paraId="79F5ED09" w14:textId="77777777" w:rsidR="007C63B1" w:rsidRDefault="007C63B1" w:rsidP="007C63B1">
      <w:pPr>
        <w:rPr>
          <w:rFonts w:eastAsia="Arial"/>
          <w:b/>
        </w:rPr>
      </w:pPr>
      <w:r>
        <w:rPr>
          <w:rFonts w:eastAsia="Arial"/>
          <w:b/>
        </w:rPr>
        <w:t>Observation</w:t>
      </w:r>
      <w:r w:rsidRPr="00707A3D">
        <w:rPr>
          <w:rFonts w:eastAsia="Arial"/>
          <w:b/>
        </w:rPr>
        <w:t xml:space="preserve"> </w:t>
      </w:r>
      <w:r>
        <w:rPr>
          <w:rFonts w:eastAsia="Arial"/>
          <w:b/>
        </w:rPr>
        <w:t xml:space="preserve">7.2: IAB CLI scenarios are very similar to cross-link (in flexible TDD) and inter-cell interference scenarios in the access network.  </w:t>
      </w:r>
    </w:p>
    <w:p w14:paraId="6A936030" w14:textId="77777777" w:rsidR="007C63B1" w:rsidRDefault="007C63B1" w:rsidP="007C63B1">
      <w:pPr>
        <w:rPr>
          <w:rFonts w:eastAsia="Arial"/>
          <w:b/>
        </w:rPr>
      </w:pPr>
      <w:r>
        <w:rPr>
          <w:rFonts w:eastAsia="Arial"/>
          <w:b/>
        </w:rPr>
        <w:t>Proposal 7.1: IAB CLI study should be unified with other CLI scenarios and worked out in the CLI WI.</w:t>
      </w:r>
    </w:p>
    <w:p w14:paraId="4814FDBF" w14:textId="77777777" w:rsidR="007C63B1" w:rsidRPr="0046480D" w:rsidRDefault="007C63B1" w:rsidP="007C63B1">
      <w:pPr>
        <w:jc w:val="center"/>
        <w:rPr>
          <w:rFonts w:eastAsia="Arial"/>
        </w:rPr>
      </w:pPr>
    </w:p>
    <w:p w14:paraId="50EF2A0F" w14:textId="2ECFDB60" w:rsidR="007C63B1" w:rsidRPr="0046480D" w:rsidRDefault="007C63B1" w:rsidP="007C63B1">
      <w:pPr>
        <w:jc w:val="center"/>
        <w:rPr>
          <w:rFonts w:eastAsia="Arial"/>
        </w:rPr>
      </w:pPr>
      <w:r w:rsidRPr="0046480D">
        <w:rPr>
          <w:rFonts w:eastAsia="Arial"/>
        </w:rPr>
        <w:t xml:space="preserve">--- </w:t>
      </w:r>
      <w:r>
        <w:rPr>
          <w:rFonts w:eastAsia="Arial"/>
        </w:rPr>
        <w:t>power control</w:t>
      </w:r>
      <w:r w:rsidRPr="0046480D">
        <w:rPr>
          <w:rFonts w:eastAsia="Arial"/>
        </w:rPr>
        <w:t xml:space="preserve"> ---</w:t>
      </w:r>
    </w:p>
    <w:p w14:paraId="795DC0B0" w14:textId="77777777" w:rsidR="007C63B1" w:rsidRDefault="007C63B1" w:rsidP="007C63B1">
      <w:pPr>
        <w:rPr>
          <w:rFonts w:eastAsia="Arial"/>
          <w:b/>
        </w:rPr>
      </w:pPr>
      <w:r>
        <w:rPr>
          <w:rFonts w:eastAsia="Arial"/>
          <w:b/>
        </w:rPr>
        <w:t>Proposal 8.1: the power of the concurrent access and backhaul links (multiplexed in frequency or spatial)</w:t>
      </w:r>
    </w:p>
    <w:p w14:paraId="1CB622D7" w14:textId="77777777" w:rsidR="007C63B1" w:rsidRDefault="007C63B1" w:rsidP="007C63B1">
      <w:pPr>
        <w:pStyle w:val="ListParagraph"/>
        <w:numPr>
          <w:ilvl w:val="0"/>
          <w:numId w:val="33"/>
        </w:numPr>
        <w:ind w:firstLineChars="0"/>
        <w:rPr>
          <w:rFonts w:eastAsia="Arial"/>
          <w:b/>
        </w:rPr>
      </w:pPr>
      <w:r w:rsidRPr="006755A4">
        <w:rPr>
          <w:rFonts w:eastAsia="Arial"/>
          <w:b/>
        </w:rPr>
        <w:t xml:space="preserve">should be controlled semi-statically – at least for the transmissions that cannot dynamically change the power (like </w:t>
      </w:r>
      <w:r>
        <w:rPr>
          <w:rFonts w:eastAsia="Arial"/>
          <w:b/>
        </w:rPr>
        <w:t>DL RS for RRM, periodic CSI-RS)</w:t>
      </w:r>
    </w:p>
    <w:p w14:paraId="1263522C" w14:textId="77777777" w:rsidR="007C63B1" w:rsidRPr="006755A4" w:rsidRDefault="007C63B1" w:rsidP="007C63B1">
      <w:pPr>
        <w:pStyle w:val="ListParagraph"/>
        <w:numPr>
          <w:ilvl w:val="0"/>
          <w:numId w:val="33"/>
        </w:numPr>
        <w:ind w:firstLineChars="0"/>
        <w:rPr>
          <w:rFonts w:eastAsia="Arial"/>
          <w:b/>
        </w:rPr>
      </w:pPr>
      <w:r>
        <w:rPr>
          <w:rFonts w:eastAsia="Arial"/>
          <w:b/>
        </w:rPr>
        <w:t xml:space="preserve">can be determined dynamically for the remaining transmissions. </w:t>
      </w:r>
    </w:p>
    <w:p w14:paraId="07542114" w14:textId="77777777" w:rsidR="007C63B1" w:rsidRDefault="007C63B1" w:rsidP="007C63B1">
      <w:pPr>
        <w:pStyle w:val="ListParagraph"/>
        <w:numPr>
          <w:ilvl w:val="0"/>
          <w:numId w:val="33"/>
        </w:numPr>
        <w:ind w:firstLineChars="0"/>
        <w:rPr>
          <w:rFonts w:eastAsia="Arial"/>
          <w:b/>
        </w:rPr>
      </w:pPr>
      <w:r>
        <w:rPr>
          <w:rFonts w:eastAsia="Arial"/>
          <w:b/>
        </w:rPr>
        <w:t>FFS: enhancements to allow more efficient SDM/FDM of the access and backhaul links.</w:t>
      </w:r>
    </w:p>
    <w:p w14:paraId="4A576915" w14:textId="16671DA7" w:rsidR="0046480D" w:rsidRDefault="0046480D" w:rsidP="00996E3B">
      <w:pPr>
        <w:rPr>
          <w:rFonts w:eastAsia="Arial"/>
          <w:b/>
        </w:rPr>
      </w:pPr>
    </w:p>
    <w:p w14:paraId="529B3E86" w14:textId="77777777" w:rsidR="00A314B3" w:rsidRPr="006E13D1" w:rsidRDefault="00A314B3" w:rsidP="00DE0CBB">
      <w:pPr>
        <w:pStyle w:val="Heading1"/>
      </w:pPr>
      <w:r w:rsidRPr="006E13D1">
        <w:t>References</w:t>
      </w:r>
    </w:p>
    <w:p w14:paraId="00C0E790" w14:textId="78895DAB" w:rsidR="00ED51F1" w:rsidRDefault="00ED51F1" w:rsidP="00C679A5">
      <w:pPr>
        <w:numPr>
          <w:ilvl w:val="0"/>
          <w:numId w:val="4"/>
        </w:numPr>
      </w:pPr>
      <w:r>
        <w:t>R1-1809445, “Network synchronization for multi-hop IAB”, Qualcomm.</w:t>
      </w:r>
    </w:p>
    <w:p w14:paraId="22C42459" w14:textId="072DBD39" w:rsidR="00ED51F1" w:rsidRDefault="00ED51F1" w:rsidP="00C679A5">
      <w:pPr>
        <w:numPr>
          <w:ilvl w:val="0"/>
          <w:numId w:val="4"/>
        </w:numPr>
      </w:pPr>
      <w:r>
        <w:t>R1-1809444, “IAB resource management”, Qualcomm.</w:t>
      </w:r>
    </w:p>
    <w:p w14:paraId="602971C3" w14:textId="17E2B7E6" w:rsidR="00ED51F1" w:rsidRDefault="00ED51F1" w:rsidP="00C679A5">
      <w:pPr>
        <w:numPr>
          <w:ilvl w:val="0"/>
          <w:numId w:val="4"/>
        </w:numPr>
      </w:pPr>
      <w:r>
        <w:t>R1-1809443, “Evaluation methodology for NR IAB”, Qualcomm.</w:t>
      </w:r>
    </w:p>
    <w:p w14:paraId="5A089702" w14:textId="3B2C897C" w:rsidR="00FA7AEE" w:rsidRDefault="00700732" w:rsidP="00FA7AEE">
      <w:pPr>
        <w:numPr>
          <w:ilvl w:val="0"/>
          <w:numId w:val="4"/>
        </w:numPr>
      </w:pPr>
      <w:r w:rsidRPr="003C74D4">
        <w:t>R1-1804835</w:t>
      </w:r>
      <w:r>
        <w:t>, “Enhancements to support NR backhaul links”, Qualcomm.</w:t>
      </w:r>
    </w:p>
    <w:p w14:paraId="16508C1F" w14:textId="2B1C5003" w:rsidR="00FA7AEE" w:rsidRDefault="00FA7AEE" w:rsidP="00FA7AEE"/>
    <w:p w14:paraId="580B0E78" w14:textId="62514DB4" w:rsidR="00FA7AEE" w:rsidRPr="006E13D1" w:rsidRDefault="00FA7AEE" w:rsidP="00FA7AEE">
      <w:pPr>
        <w:pStyle w:val="Heading1"/>
      </w:pPr>
      <w:r>
        <w:t>Appendix</w:t>
      </w:r>
      <w:r w:rsidR="00143E95">
        <w:t xml:space="preserve">: Simulation Assumptions </w:t>
      </w:r>
    </w:p>
    <w:p w14:paraId="747585CA" w14:textId="641EE7CD" w:rsidR="00FA7AEE" w:rsidRDefault="00FA7AEE" w:rsidP="00FA7AEE">
      <w:r>
        <w:t xml:space="preserve">Simulation assumptions are based on the </w:t>
      </w:r>
      <w:r w:rsidR="00143E95">
        <w:t>evaluation assumptions for the homogenous IAB scenario in TR 38.874 (A.1). We further assume the following:</w:t>
      </w:r>
    </w:p>
    <w:p w14:paraId="10AF9584" w14:textId="31FA1A22" w:rsidR="00143E95" w:rsidRDefault="00143E95" w:rsidP="00143E95">
      <w:pPr>
        <w:pStyle w:val="ListParagraph"/>
        <w:numPr>
          <w:ilvl w:val="0"/>
          <w:numId w:val="33"/>
        </w:numPr>
        <w:ind w:firstLineChars="0"/>
      </w:pPr>
      <w:r>
        <w:t>Carrier frequency: 30 GHz</w:t>
      </w:r>
    </w:p>
    <w:p w14:paraId="3D85400F" w14:textId="2EAEDC13" w:rsidR="00143E95" w:rsidRDefault="00BB6109" w:rsidP="00143E95">
      <w:pPr>
        <w:pStyle w:val="ListParagraph"/>
        <w:numPr>
          <w:ilvl w:val="0"/>
          <w:numId w:val="33"/>
        </w:numPr>
        <w:ind w:firstLineChars="0"/>
      </w:pPr>
      <w:r>
        <w:t>Bandwidth</w:t>
      </w:r>
      <w:r w:rsidR="00143E95">
        <w:t>: 400 MHz</w:t>
      </w:r>
    </w:p>
    <w:p w14:paraId="71E67E74" w14:textId="241A3D93" w:rsidR="00143E95" w:rsidRDefault="00143E95" w:rsidP="00143E95">
      <w:pPr>
        <w:pStyle w:val="ListParagraph"/>
        <w:numPr>
          <w:ilvl w:val="0"/>
          <w:numId w:val="33"/>
        </w:numPr>
        <w:ind w:firstLineChars="0"/>
      </w:pPr>
      <w:r>
        <w:t xml:space="preserve">Antenna </w:t>
      </w:r>
      <w:r w:rsidR="00BB6109">
        <w:t>configuration</w:t>
      </w:r>
      <w:r>
        <w:t xml:space="preserve"> of IAB-nodes: {M,N,P} = {16,8,1} with horizontal polarization.</w:t>
      </w:r>
    </w:p>
    <w:p w14:paraId="2B815BFB" w14:textId="4B677334" w:rsidR="00143E95" w:rsidRDefault="00143E95" w:rsidP="00143E95">
      <w:pPr>
        <w:pStyle w:val="ListParagraph"/>
        <w:numPr>
          <w:ilvl w:val="0"/>
          <w:numId w:val="33"/>
        </w:numPr>
        <w:ind w:firstLineChars="0"/>
      </w:pPr>
      <w:r>
        <w:t xml:space="preserve">Beamforming codebook: 33 CPO beams covering 120 </w:t>
      </w:r>
      <w:r w:rsidR="00BB6109">
        <w:t>degrees</w:t>
      </w:r>
      <w:r>
        <w:t xml:space="preserve"> in azimuth (11 beams) and 30 </w:t>
      </w:r>
      <w:r w:rsidR="00BB6109">
        <w:t>degrees</w:t>
      </w:r>
      <w:r>
        <w:t xml:space="preserve"> in elevation around the horizon (3 beams)</w:t>
      </w:r>
    </w:p>
    <w:p w14:paraId="4560DC54" w14:textId="77777777" w:rsidR="00143E95" w:rsidRPr="00653A5E" w:rsidRDefault="00143E95" w:rsidP="00FA7AEE"/>
    <w:sectPr w:rsidR="00143E95" w:rsidRPr="00653A5E"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4A1A0" w14:textId="77777777" w:rsidR="00FE63DA" w:rsidRDefault="00FE63DA">
      <w:r>
        <w:separator/>
      </w:r>
    </w:p>
  </w:endnote>
  <w:endnote w:type="continuationSeparator" w:id="0">
    <w:p w14:paraId="47702BFB" w14:textId="77777777" w:rsidR="00FE63DA" w:rsidRDefault="00FE63DA">
      <w:r>
        <w:continuationSeparator/>
      </w:r>
    </w:p>
  </w:endnote>
  <w:endnote w:type="continuationNotice" w:id="1">
    <w:p w14:paraId="778CE273" w14:textId="77777777" w:rsidR="00FE63DA" w:rsidRDefault="00FE63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6AB5F" w14:textId="77777777" w:rsidR="00FE63DA" w:rsidRDefault="00FE63DA">
      <w:r>
        <w:separator/>
      </w:r>
    </w:p>
  </w:footnote>
  <w:footnote w:type="continuationSeparator" w:id="0">
    <w:p w14:paraId="2491EDF3" w14:textId="77777777" w:rsidR="00FE63DA" w:rsidRDefault="00FE63DA">
      <w:r>
        <w:continuationSeparator/>
      </w:r>
    </w:p>
  </w:footnote>
  <w:footnote w:type="continuationNotice" w:id="1">
    <w:p w14:paraId="10F740F2" w14:textId="77777777" w:rsidR="00FE63DA" w:rsidRDefault="00FE63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A269B"/>
    <w:multiLevelType w:val="hybridMultilevel"/>
    <w:tmpl w:val="87380E7A"/>
    <w:lvl w:ilvl="0" w:tplc="BF34E038">
      <w:start w:val="1"/>
      <w:numFmt w:val="bullet"/>
      <w:lvlText w:val="•"/>
      <w:lvlJc w:val="left"/>
      <w:pPr>
        <w:tabs>
          <w:tab w:val="num" w:pos="360"/>
        </w:tabs>
        <w:ind w:left="360" w:hanging="360"/>
      </w:pPr>
      <w:rPr>
        <w:rFonts w:ascii="Arial" w:hAnsi="Arial" w:hint="default"/>
      </w:rPr>
    </w:lvl>
    <w:lvl w:ilvl="1" w:tplc="5220F8E6" w:tentative="1">
      <w:start w:val="1"/>
      <w:numFmt w:val="bullet"/>
      <w:lvlText w:val="•"/>
      <w:lvlJc w:val="left"/>
      <w:pPr>
        <w:tabs>
          <w:tab w:val="num" w:pos="1080"/>
        </w:tabs>
        <w:ind w:left="1080" w:hanging="360"/>
      </w:pPr>
      <w:rPr>
        <w:rFonts w:ascii="Arial" w:hAnsi="Arial" w:hint="default"/>
      </w:rPr>
    </w:lvl>
    <w:lvl w:ilvl="2" w:tplc="2F4615B4" w:tentative="1">
      <w:start w:val="1"/>
      <w:numFmt w:val="bullet"/>
      <w:lvlText w:val="•"/>
      <w:lvlJc w:val="left"/>
      <w:pPr>
        <w:tabs>
          <w:tab w:val="num" w:pos="1800"/>
        </w:tabs>
        <w:ind w:left="1800" w:hanging="360"/>
      </w:pPr>
      <w:rPr>
        <w:rFonts w:ascii="Arial" w:hAnsi="Arial" w:hint="default"/>
      </w:rPr>
    </w:lvl>
    <w:lvl w:ilvl="3" w:tplc="E1E21CC6" w:tentative="1">
      <w:start w:val="1"/>
      <w:numFmt w:val="bullet"/>
      <w:lvlText w:val="•"/>
      <w:lvlJc w:val="left"/>
      <w:pPr>
        <w:tabs>
          <w:tab w:val="num" w:pos="2520"/>
        </w:tabs>
        <w:ind w:left="2520" w:hanging="360"/>
      </w:pPr>
      <w:rPr>
        <w:rFonts w:ascii="Arial" w:hAnsi="Arial" w:hint="default"/>
      </w:rPr>
    </w:lvl>
    <w:lvl w:ilvl="4" w:tplc="32429072" w:tentative="1">
      <w:start w:val="1"/>
      <w:numFmt w:val="bullet"/>
      <w:lvlText w:val="•"/>
      <w:lvlJc w:val="left"/>
      <w:pPr>
        <w:tabs>
          <w:tab w:val="num" w:pos="3240"/>
        </w:tabs>
        <w:ind w:left="3240" w:hanging="360"/>
      </w:pPr>
      <w:rPr>
        <w:rFonts w:ascii="Arial" w:hAnsi="Arial" w:hint="default"/>
      </w:rPr>
    </w:lvl>
    <w:lvl w:ilvl="5" w:tplc="D190375C" w:tentative="1">
      <w:start w:val="1"/>
      <w:numFmt w:val="bullet"/>
      <w:lvlText w:val="•"/>
      <w:lvlJc w:val="left"/>
      <w:pPr>
        <w:tabs>
          <w:tab w:val="num" w:pos="3960"/>
        </w:tabs>
        <w:ind w:left="3960" w:hanging="360"/>
      </w:pPr>
      <w:rPr>
        <w:rFonts w:ascii="Arial" w:hAnsi="Arial" w:hint="default"/>
      </w:rPr>
    </w:lvl>
    <w:lvl w:ilvl="6" w:tplc="11786616" w:tentative="1">
      <w:start w:val="1"/>
      <w:numFmt w:val="bullet"/>
      <w:lvlText w:val="•"/>
      <w:lvlJc w:val="left"/>
      <w:pPr>
        <w:tabs>
          <w:tab w:val="num" w:pos="4680"/>
        </w:tabs>
        <w:ind w:left="4680" w:hanging="360"/>
      </w:pPr>
      <w:rPr>
        <w:rFonts w:ascii="Arial" w:hAnsi="Arial" w:hint="default"/>
      </w:rPr>
    </w:lvl>
    <w:lvl w:ilvl="7" w:tplc="D8D63782" w:tentative="1">
      <w:start w:val="1"/>
      <w:numFmt w:val="bullet"/>
      <w:lvlText w:val="•"/>
      <w:lvlJc w:val="left"/>
      <w:pPr>
        <w:tabs>
          <w:tab w:val="num" w:pos="5400"/>
        </w:tabs>
        <w:ind w:left="5400" w:hanging="360"/>
      </w:pPr>
      <w:rPr>
        <w:rFonts w:ascii="Arial" w:hAnsi="Arial" w:hint="default"/>
      </w:rPr>
    </w:lvl>
    <w:lvl w:ilvl="8" w:tplc="E0606BD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75A78"/>
    <w:multiLevelType w:val="hybridMultilevel"/>
    <w:tmpl w:val="D43A3B4A"/>
    <w:lvl w:ilvl="0" w:tplc="FDC64202">
      <w:start w:val="1"/>
      <w:numFmt w:val="bullet"/>
      <w:lvlText w:val="•"/>
      <w:lvlJc w:val="left"/>
      <w:pPr>
        <w:tabs>
          <w:tab w:val="num" w:pos="360"/>
        </w:tabs>
        <w:ind w:left="360" w:hanging="360"/>
      </w:pPr>
      <w:rPr>
        <w:rFonts w:ascii="Arial" w:hAnsi="Arial" w:hint="default"/>
      </w:rPr>
    </w:lvl>
    <w:lvl w:ilvl="1" w:tplc="9FB8D0A4" w:tentative="1">
      <w:start w:val="1"/>
      <w:numFmt w:val="bullet"/>
      <w:lvlText w:val="•"/>
      <w:lvlJc w:val="left"/>
      <w:pPr>
        <w:tabs>
          <w:tab w:val="num" w:pos="1080"/>
        </w:tabs>
        <w:ind w:left="1080" w:hanging="360"/>
      </w:pPr>
      <w:rPr>
        <w:rFonts w:ascii="Arial" w:hAnsi="Arial" w:hint="default"/>
      </w:rPr>
    </w:lvl>
    <w:lvl w:ilvl="2" w:tplc="CE763C26" w:tentative="1">
      <w:start w:val="1"/>
      <w:numFmt w:val="bullet"/>
      <w:lvlText w:val="•"/>
      <w:lvlJc w:val="left"/>
      <w:pPr>
        <w:tabs>
          <w:tab w:val="num" w:pos="1800"/>
        </w:tabs>
        <w:ind w:left="1800" w:hanging="360"/>
      </w:pPr>
      <w:rPr>
        <w:rFonts w:ascii="Arial" w:hAnsi="Arial" w:hint="default"/>
      </w:rPr>
    </w:lvl>
    <w:lvl w:ilvl="3" w:tplc="02D63226" w:tentative="1">
      <w:start w:val="1"/>
      <w:numFmt w:val="bullet"/>
      <w:lvlText w:val="•"/>
      <w:lvlJc w:val="left"/>
      <w:pPr>
        <w:tabs>
          <w:tab w:val="num" w:pos="2520"/>
        </w:tabs>
        <w:ind w:left="2520" w:hanging="360"/>
      </w:pPr>
      <w:rPr>
        <w:rFonts w:ascii="Arial" w:hAnsi="Arial" w:hint="default"/>
      </w:rPr>
    </w:lvl>
    <w:lvl w:ilvl="4" w:tplc="621C43D4" w:tentative="1">
      <w:start w:val="1"/>
      <w:numFmt w:val="bullet"/>
      <w:lvlText w:val="•"/>
      <w:lvlJc w:val="left"/>
      <w:pPr>
        <w:tabs>
          <w:tab w:val="num" w:pos="3240"/>
        </w:tabs>
        <w:ind w:left="3240" w:hanging="360"/>
      </w:pPr>
      <w:rPr>
        <w:rFonts w:ascii="Arial" w:hAnsi="Arial" w:hint="default"/>
      </w:rPr>
    </w:lvl>
    <w:lvl w:ilvl="5" w:tplc="A7AA982A" w:tentative="1">
      <w:start w:val="1"/>
      <w:numFmt w:val="bullet"/>
      <w:lvlText w:val="•"/>
      <w:lvlJc w:val="left"/>
      <w:pPr>
        <w:tabs>
          <w:tab w:val="num" w:pos="3960"/>
        </w:tabs>
        <w:ind w:left="3960" w:hanging="360"/>
      </w:pPr>
      <w:rPr>
        <w:rFonts w:ascii="Arial" w:hAnsi="Arial" w:hint="default"/>
      </w:rPr>
    </w:lvl>
    <w:lvl w:ilvl="6" w:tplc="249251BE" w:tentative="1">
      <w:start w:val="1"/>
      <w:numFmt w:val="bullet"/>
      <w:lvlText w:val="•"/>
      <w:lvlJc w:val="left"/>
      <w:pPr>
        <w:tabs>
          <w:tab w:val="num" w:pos="4680"/>
        </w:tabs>
        <w:ind w:left="4680" w:hanging="360"/>
      </w:pPr>
      <w:rPr>
        <w:rFonts w:ascii="Arial" w:hAnsi="Arial" w:hint="default"/>
      </w:rPr>
    </w:lvl>
    <w:lvl w:ilvl="7" w:tplc="453A0ED4" w:tentative="1">
      <w:start w:val="1"/>
      <w:numFmt w:val="bullet"/>
      <w:lvlText w:val="•"/>
      <w:lvlJc w:val="left"/>
      <w:pPr>
        <w:tabs>
          <w:tab w:val="num" w:pos="5400"/>
        </w:tabs>
        <w:ind w:left="5400" w:hanging="360"/>
      </w:pPr>
      <w:rPr>
        <w:rFonts w:ascii="Arial" w:hAnsi="Arial" w:hint="default"/>
      </w:rPr>
    </w:lvl>
    <w:lvl w:ilvl="8" w:tplc="5F1E828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6670E9"/>
    <w:multiLevelType w:val="hybridMultilevel"/>
    <w:tmpl w:val="C0F0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328A6"/>
    <w:multiLevelType w:val="hybridMultilevel"/>
    <w:tmpl w:val="E2240258"/>
    <w:lvl w:ilvl="0" w:tplc="FEEC5726">
      <w:numFmt w:val="bullet"/>
      <w:lvlText w:val="-"/>
      <w:lvlJc w:val="left"/>
      <w:pPr>
        <w:ind w:left="360" w:hanging="360"/>
      </w:pPr>
      <w:rPr>
        <w:rFonts w:ascii="Times" w:eastAsia="Batang" w:hAns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0ED7A7D"/>
    <w:multiLevelType w:val="hybridMultilevel"/>
    <w:tmpl w:val="1EF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7"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E70F85"/>
    <w:multiLevelType w:val="hybridMultilevel"/>
    <w:tmpl w:val="6F207776"/>
    <w:lvl w:ilvl="0" w:tplc="E1F88338">
      <w:start w:val="3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86E95"/>
    <w:multiLevelType w:val="hybridMultilevel"/>
    <w:tmpl w:val="1FD0C856"/>
    <w:lvl w:ilvl="0" w:tplc="477CCBE4">
      <w:start w:val="1"/>
      <w:numFmt w:val="bullet"/>
      <w:lvlText w:val="•"/>
      <w:lvlJc w:val="left"/>
      <w:pPr>
        <w:tabs>
          <w:tab w:val="num" w:pos="720"/>
        </w:tabs>
        <w:ind w:left="720" w:hanging="360"/>
      </w:pPr>
      <w:rPr>
        <w:rFonts w:ascii="Arial" w:hAnsi="Arial" w:hint="default"/>
      </w:rPr>
    </w:lvl>
    <w:lvl w:ilvl="1" w:tplc="A184E0C4" w:tentative="1">
      <w:start w:val="1"/>
      <w:numFmt w:val="bullet"/>
      <w:lvlText w:val="•"/>
      <w:lvlJc w:val="left"/>
      <w:pPr>
        <w:tabs>
          <w:tab w:val="num" w:pos="1440"/>
        </w:tabs>
        <w:ind w:left="1440" w:hanging="360"/>
      </w:pPr>
      <w:rPr>
        <w:rFonts w:ascii="Arial" w:hAnsi="Arial" w:hint="default"/>
      </w:rPr>
    </w:lvl>
    <w:lvl w:ilvl="2" w:tplc="713C6E4E" w:tentative="1">
      <w:start w:val="1"/>
      <w:numFmt w:val="bullet"/>
      <w:lvlText w:val="•"/>
      <w:lvlJc w:val="left"/>
      <w:pPr>
        <w:tabs>
          <w:tab w:val="num" w:pos="2160"/>
        </w:tabs>
        <w:ind w:left="2160" w:hanging="360"/>
      </w:pPr>
      <w:rPr>
        <w:rFonts w:ascii="Arial" w:hAnsi="Arial" w:hint="default"/>
      </w:rPr>
    </w:lvl>
    <w:lvl w:ilvl="3" w:tplc="3C9479EA" w:tentative="1">
      <w:start w:val="1"/>
      <w:numFmt w:val="bullet"/>
      <w:lvlText w:val="•"/>
      <w:lvlJc w:val="left"/>
      <w:pPr>
        <w:tabs>
          <w:tab w:val="num" w:pos="2880"/>
        </w:tabs>
        <w:ind w:left="2880" w:hanging="360"/>
      </w:pPr>
      <w:rPr>
        <w:rFonts w:ascii="Arial" w:hAnsi="Arial" w:hint="default"/>
      </w:rPr>
    </w:lvl>
    <w:lvl w:ilvl="4" w:tplc="AD2A9A7E" w:tentative="1">
      <w:start w:val="1"/>
      <w:numFmt w:val="bullet"/>
      <w:lvlText w:val="•"/>
      <w:lvlJc w:val="left"/>
      <w:pPr>
        <w:tabs>
          <w:tab w:val="num" w:pos="3600"/>
        </w:tabs>
        <w:ind w:left="3600" w:hanging="360"/>
      </w:pPr>
      <w:rPr>
        <w:rFonts w:ascii="Arial" w:hAnsi="Arial" w:hint="default"/>
      </w:rPr>
    </w:lvl>
    <w:lvl w:ilvl="5" w:tplc="3D0AF328" w:tentative="1">
      <w:start w:val="1"/>
      <w:numFmt w:val="bullet"/>
      <w:lvlText w:val="•"/>
      <w:lvlJc w:val="left"/>
      <w:pPr>
        <w:tabs>
          <w:tab w:val="num" w:pos="4320"/>
        </w:tabs>
        <w:ind w:left="4320" w:hanging="360"/>
      </w:pPr>
      <w:rPr>
        <w:rFonts w:ascii="Arial" w:hAnsi="Arial" w:hint="default"/>
      </w:rPr>
    </w:lvl>
    <w:lvl w:ilvl="6" w:tplc="00BEB814" w:tentative="1">
      <w:start w:val="1"/>
      <w:numFmt w:val="bullet"/>
      <w:lvlText w:val="•"/>
      <w:lvlJc w:val="left"/>
      <w:pPr>
        <w:tabs>
          <w:tab w:val="num" w:pos="5040"/>
        </w:tabs>
        <w:ind w:left="5040" w:hanging="360"/>
      </w:pPr>
      <w:rPr>
        <w:rFonts w:ascii="Arial" w:hAnsi="Arial" w:hint="default"/>
      </w:rPr>
    </w:lvl>
    <w:lvl w:ilvl="7" w:tplc="4910830E" w:tentative="1">
      <w:start w:val="1"/>
      <w:numFmt w:val="bullet"/>
      <w:lvlText w:val="•"/>
      <w:lvlJc w:val="left"/>
      <w:pPr>
        <w:tabs>
          <w:tab w:val="num" w:pos="5760"/>
        </w:tabs>
        <w:ind w:left="5760" w:hanging="360"/>
      </w:pPr>
      <w:rPr>
        <w:rFonts w:ascii="Arial" w:hAnsi="Arial" w:hint="default"/>
      </w:rPr>
    </w:lvl>
    <w:lvl w:ilvl="8" w:tplc="20305C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ABA52FF"/>
    <w:multiLevelType w:val="hybridMultilevel"/>
    <w:tmpl w:val="903A7EFA"/>
    <w:lvl w:ilvl="0" w:tplc="DC9E11A4">
      <w:start w:val="1"/>
      <w:numFmt w:val="bullet"/>
      <w:lvlText w:val="•"/>
      <w:lvlJc w:val="left"/>
      <w:pPr>
        <w:tabs>
          <w:tab w:val="num" w:pos="360"/>
        </w:tabs>
        <w:ind w:left="360" w:hanging="360"/>
      </w:pPr>
      <w:rPr>
        <w:rFonts w:ascii="Arial" w:hAnsi="Arial" w:hint="default"/>
      </w:rPr>
    </w:lvl>
    <w:lvl w:ilvl="1" w:tplc="441C49EA" w:tentative="1">
      <w:start w:val="1"/>
      <w:numFmt w:val="bullet"/>
      <w:lvlText w:val="•"/>
      <w:lvlJc w:val="left"/>
      <w:pPr>
        <w:tabs>
          <w:tab w:val="num" w:pos="1080"/>
        </w:tabs>
        <w:ind w:left="1080" w:hanging="360"/>
      </w:pPr>
      <w:rPr>
        <w:rFonts w:ascii="Arial" w:hAnsi="Arial" w:hint="default"/>
      </w:rPr>
    </w:lvl>
    <w:lvl w:ilvl="2" w:tplc="0562C4E0" w:tentative="1">
      <w:start w:val="1"/>
      <w:numFmt w:val="bullet"/>
      <w:lvlText w:val="•"/>
      <w:lvlJc w:val="left"/>
      <w:pPr>
        <w:tabs>
          <w:tab w:val="num" w:pos="1800"/>
        </w:tabs>
        <w:ind w:left="1800" w:hanging="360"/>
      </w:pPr>
      <w:rPr>
        <w:rFonts w:ascii="Arial" w:hAnsi="Arial" w:hint="default"/>
      </w:rPr>
    </w:lvl>
    <w:lvl w:ilvl="3" w:tplc="5D1464EA" w:tentative="1">
      <w:start w:val="1"/>
      <w:numFmt w:val="bullet"/>
      <w:lvlText w:val="•"/>
      <w:lvlJc w:val="left"/>
      <w:pPr>
        <w:tabs>
          <w:tab w:val="num" w:pos="2520"/>
        </w:tabs>
        <w:ind w:left="2520" w:hanging="360"/>
      </w:pPr>
      <w:rPr>
        <w:rFonts w:ascii="Arial" w:hAnsi="Arial" w:hint="default"/>
      </w:rPr>
    </w:lvl>
    <w:lvl w:ilvl="4" w:tplc="C440762C" w:tentative="1">
      <w:start w:val="1"/>
      <w:numFmt w:val="bullet"/>
      <w:lvlText w:val="•"/>
      <w:lvlJc w:val="left"/>
      <w:pPr>
        <w:tabs>
          <w:tab w:val="num" w:pos="3240"/>
        </w:tabs>
        <w:ind w:left="3240" w:hanging="360"/>
      </w:pPr>
      <w:rPr>
        <w:rFonts w:ascii="Arial" w:hAnsi="Arial" w:hint="default"/>
      </w:rPr>
    </w:lvl>
    <w:lvl w:ilvl="5" w:tplc="E70A122C" w:tentative="1">
      <w:start w:val="1"/>
      <w:numFmt w:val="bullet"/>
      <w:lvlText w:val="•"/>
      <w:lvlJc w:val="left"/>
      <w:pPr>
        <w:tabs>
          <w:tab w:val="num" w:pos="3960"/>
        </w:tabs>
        <w:ind w:left="3960" w:hanging="360"/>
      </w:pPr>
      <w:rPr>
        <w:rFonts w:ascii="Arial" w:hAnsi="Arial" w:hint="default"/>
      </w:rPr>
    </w:lvl>
    <w:lvl w:ilvl="6" w:tplc="710A2A48" w:tentative="1">
      <w:start w:val="1"/>
      <w:numFmt w:val="bullet"/>
      <w:lvlText w:val="•"/>
      <w:lvlJc w:val="left"/>
      <w:pPr>
        <w:tabs>
          <w:tab w:val="num" w:pos="4680"/>
        </w:tabs>
        <w:ind w:left="4680" w:hanging="360"/>
      </w:pPr>
      <w:rPr>
        <w:rFonts w:ascii="Arial" w:hAnsi="Arial" w:hint="default"/>
      </w:rPr>
    </w:lvl>
    <w:lvl w:ilvl="7" w:tplc="784C7912" w:tentative="1">
      <w:start w:val="1"/>
      <w:numFmt w:val="bullet"/>
      <w:lvlText w:val="•"/>
      <w:lvlJc w:val="left"/>
      <w:pPr>
        <w:tabs>
          <w:tab w:val="num" w:pos="5400"/>
        </w:tabs>
        <w:ind w:left="5400" w:hanging="360"/>
      </w:pPr>
      <w:rPr>
        <w:rFonts w:ascii="Arial" w:hAnsi="Arial" w:hint="default"/>
      </w:rPr>
    </w:lvl>
    <w:lvl w:ilvl="8" w:tplc="413624C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9" w15:restartNumberingAfterBreak="0">
    <w:nsid w:val="67353BD9"/>
    <w:multiLevelType w:val="hybridMultilevel"/>
    <w:tmpl w:val="855EC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F85588"/>
    <w:multiLevelType w:val="hybridMultilevel"/>
    <w:tmpl w:val="37AE6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DB3B77"/>
    <w:multiLevelType w:val="hybridMultilevel"/>
    <w:tmpl w:val="05606D74"/>
    <w:lvl w:ilvl="0" w:tplc="73728044">
      <w:start w:val="1"/>
      <w:numFmt w:val="bullet"/>
      <w:lvlText w:val="•"/>
      <w:lvlJc w:val="left"/>
      <w:pPr>
        <w:tabs>
          <w:tab w:val="num" w:pos="360"/>
        </w:tabs>
        <w:ind w:left="360" w:hanging="360"/>
      </w:pPr>
      <w:rPr>
        <w:rFonts w:ascii="Arial" w:hAnsi="Arial" w:hint="default"/>
      </w:rPr>
    </w:lvl>
    <w:lvl w:ilvl="1" w:tplc="18A25838" w:tentative="1">
      <w:start w:val="1"/>
      <w:numFmt w:val="bullet"/>
      <w:lvlText w:val="•"/>
      <w:lvlJc w:val="left"/>
      <w:pPr>
        <w:tabs>
          <w:tab w:val="num" w:pos="1080"/>
        </w:tabs>
        <w:ind w:left="1080" w:hanging="360"/>
      </w:pPr>
      <w:rPr>
        <w:rFonts w:ascii="Arial" w:hAnsi="Arial" w:hint="default"/>
      </w:rPr>
    </w:lvl>
    <w:lvl w:ilvl="2" w:tplc="CF8844EE" w:tentative="1">
      <w:start w:val="1"/>
      <w:numFmt w:val="bullet"/>
      <w:lvlText w:val="•"/>
      <w:lvlJc w:val="left"/>
      <w:pPr>
        <w:tabs>
          <w:tab w:val="num" w:pos="1800"/>
        </w:tabs>
        <w:ind w:left="1800" w:hanging="360"/>
      </w:pPr>
      <w:rPr>
        <w:rFonts w:ascii="Arial" w:hAnsi="Arial" w:hint="default"/>
      </w:rPr>
    </w:lvl>
    <w:lvl w:ilvl="3" w:tplc="B548FD1A" w:tentative="1">
      <w:start w:val="1"/>
      <w:numFmt w:val="bullet"/>
      <w:lvlText w:val="•"/>
      <w:lvlJc w:val="left"/>
      <w:pPr>
        <w:tabs>
          <w:tab w:val="num" w:pos="2520"/>
        </w:tabs>
        <w:ind w:left="2520" w:hanging="360"/>
      </w:pPr>
      <w:rPr>
        <w:rFonts w:ascii="Arial" w:hAnsi="Arial" w:hint="default"/>
      </w:rPr>
    </w:lvl>
    <w:lvl w:ilvl="4" w:tplc="84E81C80" w:tentative="1">
      <w:start w:val="1"/>
      <w:numFmt w:val="bullet"/>
      <w:lvlText w:val="•"/>
      <w:lvlJc w:val="left"/>
      <w:pPr>
        <w:tabs>
          <w:tab w:val="num" w:pos="3240"/>
        </w:tabs>
        <w:ind w:left="3240" w:hanging="360"/>
      </w:pPr>
      <w:rPr>
        <w:rFonts w:ascii="Arial" w:hAnsi="Arial" w:hint="default"/>
      </w:rPr>
    </w:lvl>
    <w:lvl w:ilvl="5" w:tplc="E4D20258" w:tentative="1">
      <w:start w:val="1"/>
      <w:numFmt w:val="bullet"/>
      <w:lvlText w:val="•"/>
      <w:lvlJc w:val="left"/>
      <w:pPr>
        <w:tabs>
          <w:tab w:val="num" w:pos="3960"/>
        </w:tabs>
        <w:ind w:left="3960" w:hanging="360"/>
      </w:pPr>
      <w:rPr>
        <w:rFonts w:ascii="Arial" w:hAnsi="Arial" w:hint="default"/>
      </w:rPr>
    </w:lvl>
    <w:lvl w:ilvl="6" w:tplc="5066AFBA" w:tentative="1">
      <w:start w:val="1"/>
      <w:numFmt w:val="bullet"/>
      <w:lvlText w:val="•"/>
      <w:lvlJc w:val="left"/>
      <w:pPr>
        <w:tabs>
          <w:tab w:val="num" w:pos="4680"/>
        </w:tabs>
        <w:ind w:left="4680" w:hanging="360"/>
      </w:pPr>
      <w:rPr>
        <w:rFonts w:ascii="Arial" w:hAnsi="Arial" w:hint="default"/>
      </w:rPr>
    </w:lvl>
    <w:lvl w:ilvl="7" w:tplc="2530034A" w:tentative="1">
      <w:start w:val="1"/>
      <w:numFmt w:val="bullet"/>
      <w:lvlText w:val="•"/>
      <w:lvlJc w:val="left"/>
      <w:pPr>
        <w:tabs>
          <w:tab w:val="num" w:pos="5400"/>
        </w:tabs>
        <w:ind w:left="5400" w:hanging="360"/>
      </w:pPr>
      <w:rPr>
        <w:rFonts w:ascii="Arial" w:hAnsi="Arial" w:hint="default"/>
      </w:rPr>
    </w:lvl>
    <w:lvl w:ilvl="8" w:tplc="8E3614F0"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6631423"/>
    <w:multiLevelType w:val="hybridMultilevel"/>
    <w:tmpl w:val="93D6F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22CBB"/>
    <w:multiLevelType w:val="hybridMultilevel"/>
    <w:tmpl w:val="870C3744"/>
    <w:lvl w:ilvl="0" w:tplc="752EFBC8">
      <w:start w:val="1"/>
      <w:numFmt w:val="bullet"/>
      <w:lvlText w:val="•"/>
      <w:lvlJc w:val="left"/>
      <w:pPr>
        <w:tabs>
          <w:tab w:val="num" w:pos="720"/>
        </w:tabs>
        <w:ind w:left="720" w:hanging="360"/>
      </w:pPr>
      <w:rPr>
        <w:rFonts w:ascii="Arial" w:hAnsi="Arial" w:hint="default"/>
      </w:rPr>
    </w:lvl>
    <w:lvl w:ilvl="1" w:tplc="A95CD0BC">
      <w:start w:val="238"/>
      <w:numFmt w:val="bullet"/>
      <w:lvlText w:val="◦"/>
      <w:lvlJc w:val="left"/>
      <w:pPr>
        <w:tabs>
          <w:tab w:val="num" w:pos="1440"/>
        </w:tabs>
        <w:ind w:left="1440" w:hanging="360"/>
      </w:pPr>
      <w:rPr>
        <w:rFonts w:ascii="Microsoft Sans Serif" w:hAnsi="Microsoft Sans Serif" w:hint="default"/>
      </w:rPr>
    </w:lvl>
    <w:lvl w:ilvl="2" w:tplc="63563B64" w:tentative="1">
      <w:start w:val="1"/>
      <w:numFmt w:val="bullet"/>
      <w:lvlText w:val="•"/>
      <w:lvlJc w:val="left"/>
      <w:pPr>
        <w:tabs>
          <w:tab w:val="num" w:pos="2160"/>
        </w:tabs>
        <w:ind w:left="2160" w:hanging="360"/>
      </w:pPr>
      <w:rPr>
        <w:rFonts w:ascii="Arial" w:hAnsi="Arial" w:hint="default"/>
      </w:rPr>
    </w:lvl>
    <w:lvl w:ilvl="3" w:tplc="CA2CA040" w:tentative="1">
      <w:start w:val="1"/>
      <w:numFmt w:val="bullet"/>
      <w:lvlText w:val="•"/>
      <w:lvlJc w:val="left"/>
      <w:pPr>
        <w:tabs>
          <w:tab w:val="num" w:pos="2880"/>
        </w:tabs>
        <w:ind w:left="2880" w:hanging="360"/>
      </w:pPr>
      <w:rPr>
        <w:rFonts w:ascii="Arial" w:hAnsi="Arial" w:hint="default"/>
      </w:rPr>
    </w:lvl>
    <w:lvl w:ilvl="4" w:tplc="1F2634B8" w:tentative="1">
      <w:start w:val="1"/>
      <w:numFmt w:val="bullet"/>
      <w:lvlText w:val="•"/>
      <w:lvlJc w:val="left"/>
      <w:pPr>
        <w:tabs>
          <w:tab w:val="num" w:pos="3600"/>
        </w:tabs>
        <w:ind w:left="3600" w:hanging="360"/>
      </w:pPr>
      <w:rPr>
        <w:rFonts w:ascii="Arial" w:hAnsi="Arial" w:hint="default"/>
      </w:rPr>
    </w:lvl>
    <w:lvl w:ilvl="5" w:tplc="C1E26DF0" w:tentative="1">
      <w:start w:val="1"/>
      <w:numFmt w:val="bullet"/>
      <w:lvlText w:val="•"/>
      <w:lvlJc w:val="left"/>
      <w:pPr>
        <w:tabs>
          <w:tab w:val="num" w:pos="4320"/>
        </w:tabs>
        <w:ind w:left="4320" w:hanging="360"/>
      </w:pPr>
      <w:rPr>
        <w:rFonts w:ascii="Arial" w:hAnsi="Arial" w:hint="default"/>
      </w:rPr>
    </w:lvl>
    <w:lvl w:ilvl="6" w:tplc="FC4CACBE" w:tentative="1">
      <w:start w:val="1"/>
      <w:numFmt w:val="bullet"/>
      <w:lvlText w:val="•"/>
      <w:lvlJc w:val="left"/>
      <w:pPr>
        <w:tabs>
          <w:tab w:val="num" w:pos="5040"/>
        </w:tabs>
        <w:ind w:left="5040" w:hanging="360"/>
      </w:pPr>
      <w:rPr>
        <w:rFonts w:ascii="Arial" w:hAnsi="Arial" w:hint="default"/>
      </w:rPr>
    </w:lvl>
    <w:lvl w:ilvl="7" w:tplc="A94AE586" w:tentative="1">
      <w:start w:val="1"/>
      <w:numFmt w:val="bullet"/>
      <w:lvlText w:val="•"/>
      <w:lvlJc w:val="left"/>
      <w:pPr>
        <w:tabs>
          <w:tab w:val="num" w:pos="5760"/>
        </w:tabs>
        <w:ind w:left="5760" w:hanging="360"/>
      </w:pPr>
      <w:rPr>
        <w:rFonts w:ascii="Arial" w:hAnsi="Arial" w:hint="default"/>
      </w:rPr>
    </w:lvl>
    <w:lvl w:ilvl="8" w:tplc="0A187BF8"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1"/>
  </w:num>
  <w:num w:numId="3">
    <w:abstractNumId w:val="25"/>
  </w:num>
  <w:num w:numId="4">
    <w:abstractNumId w:val="17"/>
  </w:num>
  <w:num w:numId="5">
    <w:abstractNumId w:val="42"/>
  </w:num>
  <w:num w:numId="6">
    <w:abstractNumId w:val="5"/>
  </w:num>
  <w:num w:numId="7">
    <w:abstractNumId w:val="2"/>
  </w:num>
  <w:num w:numId="8">
    <w:abstractNumId w:val="33"/>
  </w:num>
  <w:num w:numId="9">
    <w:abstractNumId w:val="4"/>
  </w:num>
  <w:num w:numId="10">
    <w:abstractNumId w:val="26"/>
  </w:num>
  <w:num w:numId="11">
    <w:abstractNumId w:val="6"/>
  </w:num>
  <w:num w:numId="12">
    <w:abstractNumId w:val="38"/>
  </w:num>
  <w:num w:numId="13">
    <w:abstractNumId w:val="1"/>
  </w:num>
  <w:num w:numId="14">
    <w:abstractNumId w:val="31"/>
  </w:num>
  <w:num w:numId="15">
    <w:abstractNumId w:val="14"/>
  </w:num>
  <w:num w:numId="16">
    <w:abstractNumId w:val="36"/>
  </w:num>
  <w:num w:numId="17">
    <w:abstractNumId w:val="43"/>
  </w:num>
  <w:num w:numId="18">
    <w:abstractNumId w:val="34"/>
  </w:num>
  <w:num w:numId="19">
    <w:abstractNumId w:val="22"/>
  </w:num>
  <w:num w:numId="20">
    <w:abstractNumId w:val="20"/>
  </w:num>
  <w:num w:numId="21">
    <w:abstractNumId w:val="19"/>
  </w:num>
  <w:num w:numId="22">
    <w:abstractNumId w:val="12"/>
  </w:num>
  <w:num w:numId="23">
    <w:abstractNumId w:val="3"/>
  </w:num>
  <w:num w:numId="24">
    <w:abstractNumId w:val="41"/>
  </w:num>
  <w:num w:numId="25">
    <w:abstractNumId w:val="15"/>
  </w:num>
  <w:num w:numId="26">
    <w:abstractNumId w:val="37"/>
  </w:num>
  <w:num w:numId="27">
    <w:abstractNumId w:val="40"/>
  </w:num>
  <w:num w:numId="28">
    <w:abstractNumId w:val="23"/>
  </w:num>
  <w:num w:numId="29">
    <w:abstractNumId w:val="27"/>
  </w:num>
  <w:num w:numId="30">
    <w:abstractNumId w:val="39"/>
  </w:num>
  <w:num w:numId="31">
    <w:abstractNumId w:val="18"/>
  </w:num>
  <w:num w:numId="32">
    <w:abstractNumId w:val="30"/>
  </w:num>
  <w:num w:numId="33">
    <w:abstractNumId w:val="8"/>
  </w:num>
  <w:num w:numId="34">
    <w:abstractNumId w:val="28"/>
  </w:num>
  <w:num w:numId="35">
    <w:abstractNumId w:val="10"/>
  </w:num>
  <w:num w:numId="36">
    <w:abstractNumId w:val="0"/>
  </w:num>
  <w:num w:numId="37">
    <w:abstractNumId w:val="7"/>
  </w:num>
  <w:num w:numId="38">
    <w:abstractNumId w:val="29"/>
  </w:num>
  <w:num w:numId="39">
    <w:abstractNumId w:val="13"/>
  </w:num>
  <w:num w:numId="40">
    <w:abstractNumId w:val="44"/>
  </w:num>
  <w:num w:numId="41">
    <w:abstractNumId w:val="9"/>
  </w:num>
  <w:num w:numId="42">
    <w:abstractNumId w:val="16"/>
  </w:num>
  <w:num w:numId="43">
    <w:abstractNumId w:val="35"/>
  </w:num>
  <w:num w:numId="44">
    <w:abstractNumId w:val="45"/>
  </w:num>
  <w:num w:numId="45">
    <w:abstractNumId w:val="24"/>
  </w:num>
  <w:num w:numId="46">
    <w:abstractNumId w:val="32"/>
  </w:num>
  <w:num w:numId="47">
    <w:abstractNumId w:val="47"/>
  </w:num>
  <w:num w:numId="48">
    <w:abstractNumId w:val="4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1E1C"/>
    <w:rsid w:val="0001201B"/>
    <w:rsid w:val="00012217"/>
    <w:rsid w:val="000122DC"/>
    <w:rsid w:val="0001284D"/>
    <w:rsid w:val="000136DF"/>
    <w:rsid w:val="00013738"/>
    <w:rsid w:val="00014509"/>
    <w:rsid w:val="00014963"/>
    <w:rsid w:val="00014C47"/>
    <w:rsid w:val="000168D2"/>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4E9"/>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0C24"/>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97FF0"/>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468"/>
    <w:rsid w:val="001F49B6"/>
    <w:rsid w:val="001F5512"/>
    <w:rsid w:val="001F5890"/>
    <w:rsid w:val="001F6042"/>
    <w:rsid w:val="001F626C"/>
    <w:rsid w:val="001F6B21"/>
    <w:rsid w:val="001F6F34"/>
    <w:rsid w:val="001F71E4"/>
    <w:rsid w:val="001F7A64"/>
    <w:rsid w:val="001F7C4D"/>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1251"/>
    <w:rsid w:val="0033133D"/>
    <w:rsid w:val="0033148B"/>
    <w:rsid w:val="00331B0D"/>
    <w:rsid w:val="00332816"/>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5EE0"/>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1F4"/>
    <w:rsid w:val="00361BA2"/>
    <w:rsid w:val="00363418"/>
    <w:rsid w:val="003637C4"/>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E48"/>
    <w:rsid w:val="003C5C76"/>
    <w:rsid w:val="003C6879"/>
    <w:rsid w:val="003C6E8A"/>
    <w:rsid w:val="003C7350"/>
    <w:rsid w:val="003C7437"/>
    <w:rsid w:val="003C74D4"/>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4050"/>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56F0"/>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10B6"/>
    <w:rsid w:val="00681358"/>
    <w:rsid w:val="00681635"/>
    <w:rsid w:val="00681722"/>
    <w:rsid w:val="00682042"/>
    <w:rsid w:val="00682A8F"/>
    <w:rsid w:val="00683FFC"/>
    <w:rsid w:val="00684427"/>
    <w:rsid w:val="00684908"/>
    <w:rsid w:val="00684B6C"/>
    <w:rsid w:val="00684D08"/>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258"/>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B6C"/>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B9F"/>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E7B"/>
    <w:rsid w:val="00973F19"/>
    <w:rsid w:val="00974092"/>
    <w:rsid w:val="00974E2C"/>
    <w:rsid w:val="0097525C"/>
    <w:rsid w:val="009753EC"/>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3F0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EF4"/>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2B3C"/>
    <w:rsid w:val="00A235F9"/>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5F0B"/>
    <w:rsid w:val="00A66092"/>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C63"/>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082"/>
    <w:rsid w:val="00B279BA"/>
    <w:rsid w:val="00B3056F"/>
    <w:rsid w:val="00B31897"/>
    <w:rsid w:val="00B318CF"/>
    <w:rsid w:val="00B3193F"/>
    <w:rsid w:val="00B31B41"/>
    <w:rsid w:val="00B31DA8"/>
    <w:rsid w:val="00B3264E"/>
    <w:rsid w:val="00B33D7B"/>
    <w:rsid w:val="00B33DBE"/>
    <w:rsid w:val="00B34898"/>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6356"/>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A4A"/>
    <w:rsid w:val="00C57060"/>
    <w:rsid w:val="00C57573"/>
    <w:rsid w:val="00C5758C"/>
    <w:rsid w:val="00C57786"/>
    <w:rsid w:val="00C57ADB"/>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4B3"/>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10C6"/>
    <w:rsid w:val="00D61673"/>
    <w:rsid w:val="00D628A0"/>
    <w:rsid w:val="00D63556"/>
    <w:rsid w:val="00D63913"/>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F2B"/>
    <w:rsid w:val="00EB58C7"/>
    <w:rsid w:val="00EB59A8"/>
    <w:rsid w:val="00EB621B"/>
    <w:rsid w:val="00EB643B"/>
    <w:rsid w:val="00EB6620"/>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57E"/>
    <w:rsid w:val="00FC7009"/>
    <w:rsid w:val="00FC731C"/>
    <w:rsid w:val="00FC74CE"/>
    <w:rsid w:val="00FC7650"/>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851"/>
    <w:rsid w:val="00FE3C7F"/>
    <w:rsid w:val="00FE3F17"/>
    <w:rsid w:val="00FE4A80"/>
    <w:rsid w:val="00FE5298"/>
    <w:rsid w:val="00FE557E"/>
    <w:rsid w:val="00FE5752"/>
    <w:rsid w:val="00FE63DA"/>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3F01"/>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993F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3F01"/>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basedOn w:val="DefaultParagraphFont"/>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17"/>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 w:type="paragraph" w:customStyle="1" w:styleId="maintext">
    <w:name w:val="main text"/>
    <w:basedOn w:val="Normal"/>
    <w:link w:val="maintextChar"/>
    <w:qFormat/>
    <w:rsid w:val="00CC0D94"/>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CC0D94"/>
    <w:rPr>
      <w:rFonts w:eastAsia="Malgun Gothic"/>
      <w:lang w:val="en-GB" w:eastAsia="ko-KR"/>
    </w:rPr>
  </w:style>
  <w:style w:type="table" w:styleId="GridTable5Dark">
    <w:name w:val="Grid Table 5 Dark"/>
    <w:basedOn w:val="TableNormal"/>
    <w:uiPriority w:val="50"/>
    <w:rsid w:val="00E42E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A2E7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9.emf"/><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2FHT6SDPEKRM-4-36290</_dlc_DocId>
    <EmailCc xmlns="http://schemas.microsoft.com/sharepoint/v3" xsi:nil="true"/>
    <IconOverlay xmlns="http://schemas.microsoft.com/sharepoint/v4" xsi:nil="true"/>
    <_dlc_DocIdUrl xmlns="2f0fb0e4-6f95-4f64-8efb-58e3d90405ce">
      <Url>https://projects.qualcomm.com/sites/SkyBer/_layouts/15/DocIdRedir.aspx?ID=2FHT6SDPEKRM-4-36290</Url>
      <Description>2FHT6SDPEKRM-4-36290</Description>
    </_dlc_DocIdUrl>
    <EmailSubject xmlns="http://schemas.microsoft.com/sharepoint/v3" xsi:nil="true"/>
    <EmailHeaders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2.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3.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4.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68A351-9446-4B1B-91F6-8BEB19BD8BF2}">
  <ds:schemaRefs>
    <ds:schemaRef ds:uri="office.server.policy"/>
  </ds:schemaRefs>
</ds:datastoreItem>
</file>

<file path=customXml/itemProps6.xml><?xml version="1.0" encoding="utf-8"?>
<ds:datastoreItem xmlns:ds="http://schemas.openxmlformats.org/officeDocument/2006/customXml" ds:itemID="{8AE4EBC3-6A47-4606-89D3-CF45EC41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5449</Words>
  <Characters>31060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2018-08-11T01:15:00Z</dcterms:created>
  <dcterms:modified xsi:type="dcterms:W3CDTF">2018-08-11T01:15:00Z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921647ce-e451-47e8-b22f-a52188b5be38</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