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251A3" w14:textId="0D517DF7" w:rsidR="009720CC" w:rsidRPr="00FC657E" w:rsidRDefault="009720CC" w:rsidP="009720CC">
      <w:pPr>
        <w:pStyle w:val="CRCoverPage"/>
        <w:tabs>
          <w:tab w:val="right" w:pos="9639"/>
        </w:tabs>
        <w:spacing w:after="0"/>
        <w:rPr>
          <w:rFonts w:cs="Arial"/>
          <w:b/>
          <w:i/>
          <w:noProof/>
          <w:sz w:val="24"/>
          <w:szCs w:val="24"/>
        </w:rPr>
      </w:pPr>
      <w:bookmarkStart w:id="0" w:name="_Ref399006623"/>
      <w:bookmarkStart w:id="1" w:name="_Toc92513360"/>
      <w:bookmarkStart w:id="2" w:name="_GoBack"/>
      <w:bookmarkEnd w:id="2"/>
      <w:r w:rsidRPr="00FC657E">
        <w:rPr>
          <w:b/>
          <w:sz w:val="24"/>
          <w:szCs w:val="24"/>
          <w:lang w:val="en-GB"/>
        </w:rPr>
        <w:t>3GPP TSG RAN WG1 Meeting #93</w:t>
      </w:r>
      <w:r w:rsidRPr="00FC657E">
        <w:rPr>
          <w:rFonts w:cs="Arial"/>
          <w:b/>
          <w:i/>
          <w:noProof/>
          <w:sz w:val="24"/>
          <w:szCs w:val="24"/>
        </w:rPr>
        <w:tab/>
      </w:r>
      <w:bookmarkStart w:id="3" w:name="_Hlk513535172"/>
      <w:r w:rsidRPr="009844F5">
        <w:rPr>
          <w:rFonts w:cs="Arial"/>
          <w:b/>
          <w:noProof/>
          <w:sz w:val="24"/>
          <w:szCs w:val="24"/>
          <w:lang w:eastAsia="zh-CN"/>
        </w:rPr>
        <w:t>R1-18</w:t>
      </w:r>
      <w:bookmarkEnd w:id="3"/>
      <w:r w:rsidR="009844F5">
        <w:rPr>
          <w:rFonts w:cs="Arial"/>
          <w:b/>
          <w:noProof/>
          <w:sz w:val="24"/>
          <w:szCs w:val="24"/>
          <w:lang w:eastAsia="zh-CN"/>
        </w:rPr>
        <w:t>07394</w:t>
      </w:r>
    </w:p>
    <w:p w14:paraId="4582DC37" w14:textId="77777777" w:rsidR="009720CC" w:rsidRPr="00FC657E" w:rsidRDefault="009720CC" w:rsidP="009720CC">
      <w:pPr>
        <w:widowControl w:val="0"/>
        <w:tabs>
          <w:tab w:val="left" w:pos="1701"/>
          <w:tab w:val="right" w:pos="9923"/>
        </w:tabs>
        <w:spacing w:before="120" w:after="0"/>
        <w:rPr>
          <w:rFonts w:ascii="Arial" w:eastAsia="MS Mincho" w:hAnsi="Arial"/>
          <w:b/>
          <w:sz w:val="24"/>
          <w:szCs w:val="24"/>
          <w:lang w:eastAsia="x-none"/>
        </w:rPr>
      </w:pPr>
      <w:r w:rsidRPr="00FC657E">
        <w:rPr>
          <w:rFonts w:ascii="Arial" w:eastAsia="MS Mincho" w:hAnsi="Arial"/>
          <w:b/>
          <w:sz w:val="24"/>
          <w:szCs w:val="24"/>
          <w:lang w:eastAsia="x-none"/>
        </w:rPr>
        <w:t>Busan, KOREA, 21st May – 25th May 2018</w:t>
      </w:r>
    </w:p>
    <w:p w14:paraId="741C9026" w14:textId="77777777"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14:paraId="06D2F559" w14:textId="7E9339EF"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CF147D">
        <w:rPr>
          <w:rFonts w:ascii="Arial" w:hAnsi="Arial" w:cs="Arial"/>
          <w:sz w:val="24"/>
          <w:szCs w:val="24"/>
        </w:rPr>
        <w:t>7.2</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3FC246CE"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5451E6">
        <w:rPr>
          <w:rFonts w:ascii="Arial" w:hAnsi="Arial" w:cs="Arial"/>
          <w:sz w:val="24"/>
          <w:szCs w:val="24"/>
        </w:rPr>
        <w:t>E</w:t>
      </w:r>
      <w:r w:rsidR="00CF147D">
        <w:rPr>
          <w:rFonts w:ascii="Arial" w:hAnsi="Arial" w:cs="Arial"/>
          <w:sz w:val="24"/>
          <w:szCs w:val="24"/>
        </w:rPr>
        <w:t>valuation methodology for NR-IAB</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721B96DD" w14:textId="0381941A" w:rsidR="005451E6" w:rsidRDefault="00773BD4" w:rsidP="000360A3">
      <w:r>
        <w:t xml:space="preserve">During the RAN1 #92bis meeting, some agreements about NR-IAB simulation scenarios and evaluation methodology were achieved. </w:t>
      </w:r>
      <w:r w:rsidR="005451E6">
        <w:t xml:space="preserve"> </w:t>
      </w:r>
    </w:p>
    <w:p w14:paraId="4409142C" w14:textId="17D8D62D" w:rsidR="005451E6" w:rsidRDefault="00773BD4" w:rsidP="000360A3">
      <w:r>
        <w:t>In t</w:t>
      </w:r>
      <w:r w:rsidR="00A854C2">
        <w:t>his contribution</w:t>
      </w:r>
      <w:r>
        <w:t>, we provide our view on the remaining aspects</w:t>
      </w:r>
      <w:r w:rsidR="00A854C2">
        <w:t xml:space="preserve">. </w:t>
      </w:r>
    </w:p>
    <w:p w14:paraId="3F4CAC69" w14:textId="7B7F1FB1" w:rsidR="008E0942" w:rsidRDefault="008E0942" w:rsidP="000360A3"/>
    <w:p w14:paraId="169133F2" w14:textId="2D99F7CC" w:rsidR="00AC36ED" w:rsidRDefault="00D67CEA" w:rsidP="00AC36ED">
      <w:pPr>
        <w:pStyle w:val="Heading1"/>
      </w:pPr>
      <w:r>
        <w:t>Discussion</w:t>
      </w:r>
    </w:p>
    <w:p w14:paraId="71ECC9DD" w14:textId="18A02A8F" w:rsidR="00773BD4" w:rsidRDefault="00773BD4" w:rsidP="00F47472">
      <w:pPr>
        <w:rPr>
          <w:rFonts w:eastAsia="Arial"/>
        </w:rPr>
      </w:pPr>
      <w:r>
        <w:rPr>
          <w:rFonts w:eastAsia="Arial"/>
        </w:rPr>
        <w:t>RAN1 #92bis achieved the following agreement:</w:t>
      </w:r>
    </w:p>
    <w:tbl>
      <w:tblPr>
        <w:tblStyle w:val="TableGrid"/>
        <w:tblW w:w="0" w:type="auto"/>
        <w:tblLook w:val="04A0" w:firstRow="1" w:lastRow="0" w:firstColumn="1" w:lastColumn="0" w:noHBand="0" w:noVBand="1"/>
      </w:tblPr>
      <w:tblGrid>
        <w:gridCol w:w="9631"/>
      </w:tblGrid>
      <w:tr w:rsidR="00773BD4" w14:paraId="7F6745DD" w14:textId="77777777" w:rsidTr="00773BD4">
        <w:tc>
          <w:tcPr>
            <w:tcW w:w="9631" w:type="dxa"/>
          </w:tcPr>
          <w:p w14:paraId="07923793" w14:textId="77777777" w:rsidR="00773BD4" w:rsidRDefault="00773BD4" w:rsidP="00773BD4">
            <w:pPr>
              <w:rPr>
                <w:lang w:eastAsia="x-none"/>
              </w:rPr>
            </w:pPr>
            <w:r w:rsidRPr="0010402B">
              <w:rPr>
                <w:highlight w:val="green"/>
                <w:lang w:eastAsia="x-none"/>
              </w:rPr>
              <w:t>Agreements</w:t>
            </w:r>
            <w:r>
              <w:rPr>
                <w:lang w:eastAsia="x-none"/>
              </w:rPr>
              <w:t>:</w:t>
            </w:r>
          </w:p>
          <w:p w14:paraId="0F6AA89E" w14:textId="77777777" w:rsidR="00773BD4" w:rsidRPr="0010402B" w:rsidRDefault="00773BD4" w:rsidP="00773BD4">
            <w:pPr>
              <w:pStyle w:val="maintext"/>
              <w:numPr>
                <w:ilvl w:val="0"/>
                <w:numId w:val="32"/>
              </w:numPr>
              <w:ind w:firstLineChars="0"/>
              <w:rPr>
                <w:rFonts w:ascii="Calibri" w:hAnsi="Calibri"/>
              </w:rPr>
            </w:pPr>
            <w:r w:rsidRPr="0010402B">
              <w:rPr>
                <w:rFonts w:ascii="Calibri" w:hAnsi="Calibri"/>
              </w:rPr>
              <w:t>Take large scale parameters for flexible duplex evaluations in 38.802 as the baseline for IAB evaluations.</w:t>
            </w:r>
          </w:p>
          <w:p w14:paraId="09D3814E" w14:textId="77777777" w:rsidR="00773BD4" w:rsidRPr="0010402B" w:rsidRDefault="00773BD4" w:rsidP="00773BD4">
            <w:pPr>
              <w:pStyle w:val="maintext"/>
              <w:numPr>
                <w:ilvl w:val="0"/>
                <w:numId w:val="32"/>
              </w:numPr>
              <w:ind w:firstLineChars="0"/>
              <w:rPr>
                <w:rFonts w:ascii="Calibri" w:hAnsi="Calibri"/>
              </w:rPr>
            </w:pPr>
            <w:r w:rsidRPr="0010402B">
              <w:rPr>
                <w:rFonts w:ascii="Calibri" w:hAnsi="Calibri"/>
              </w:rPr>
              <w:t>For determine the pathloss for links between the IAB node and other IAB nodes/donors, the following alternatives are considered:</w:t>
            </w:r>
          </w:p>
          <w:p w14:paraId="121440E4" w14:textId="77777777" w:rsidR="00773BD4" w:rsidRPr="0010402B" w:rsidRDefault="00773BD4" w:rsidP="00773BD4">
            <w:pPr>
              <w:pStyle w:val="maintext"/>
              <w:numPr>
                <w:ilvl w:val="1"/>
                <w:numId w:val="32"/>
              </w:numPr>
              <w:ind w:firstLineChars="0"/>
              <w:rPr>
                <w:rFonts w:ascii="Calibri" w:hAnsi="Calibri"/>
              </w:rPr>
            </w:pPr>
            <w:r w:rsidRPr="0010402B">
              <w:rPr>
                <w:rFonts w:ascii="Calibri" w:hAnsi="Calibri"/>
              </w:rPr>
              <w:t>Alt. 1: Determine the pathloss for links between the IAB node and candidate serving IAB nodes/donors based on N (value FFS but &lt;= 5) independent large-scale channel realizations (taking into account LOS/NLOS probability and shadow fading).</w:t>
            </w:r>
          </w:p>
          <w:p w14:paraId="2E0A1D1B" w14:textId="77777777" w:rsidR="00773BD4" w:rsidRPr="0010402B" w:rsidRDefault="00773BD4" w:rsidP="00773BD4">
            <w:pPr>
              <w:pStyle w:val="maintext"/>
              <w:numPr>
                <w:ilvl w:val="2"/>
                <w:numId w:val="32"/>
              </w:numPr>
              <w:ind w:firstLineChars="0"/>
              <w:rPr>
                <w:rFonts w:ascii="Calibri" w:hAnsi="Calibri"/>
              </w:rPr>
            </w:pPr>
            <w:r w:rsidRPr="0010402B">
              <w:rPr>
                <w:rFonts w:ascii="Calibri" w:hAnsi="Calibri"/>
              </w:rPr>
              <w:t>Select the realization that results in the minimum pathloss between the IAB node and the selected serving IAB node/donor.</w:t>
            </w:r>
            <w:r w:rsidRPr="0010402B">
              <w:rPr>
                <w:rFonts w:ascii="Calibri" w:hAnsi="Calibri"/>
              </w:rPr>
              <w:tab/>
            </w:r>
          </w:p>
          <w:p w14:paraId="550B6A13" w14:textId="77777777" w:rsidR="00773BD4" w:rsidRPr="0010402B" w:rsidRDefault="00773BD4" w:rsidP="00773BD4">
            <w:pPr>
              <w:pStyle w:val="maintext"/>
              <w:numPr>
                <w:ilvl w:val="1"/>
                <w:numId w:val="32"/>
              </w:numPr>
              <w:ind w:firstLineChars="0"/>
              <w:rPr>
                <w:rFonts w:ascii="Calibri" w:hAnsi="Calibri"/>
              </w:rPr>
            </w:pPr>
            <w:r w:rsidRPr="0010402B">
              <w:rPr>
                <w:rFonts w:ascii="Calibri" w:hAnsi="Calibri"/>
              </w:rPr>
              <w:t xml:space="preserve">Alt. 2: Determine the pathloss for links between the IAB node and candidate serving IAB nodes/donors based on a LoS probability of </w:t>
            </w:r>
            <w:r w:rsidRPr="0010402B">
              <w:rPr>
                <w:rFonts w:ascii="Calibri" w:hAnsi="Calibri" w:hint="eastAsia"/>
              </w:rPr>
              <w:t>1-(1-</w:t>
            </w:r>
            <w:r w:rsidRPr="0010402B">
              <w:rPr>
                <w:rFonts w:ascii="Calibri" w:hAnsi="Calibri"/>
              </w:rPr>
              <w:t xml:space="preserve"> Prob(R</w:t>
            </w:r>
            <w:r w:rsidRPr="0010402B">
              <w:rPr>
                <w:rFonts w:ascii="Calibri" w:hAnsi="Calibri" w:hint="eastAsia"/>
              </w:rPr>
              <w:t>)</w:t>
            </w:r>
            <w:r w:rsidRPr="0010402B">
              <w:rPr>
                <w:rFonts w:ascii="Calibri" w:hAnsi="Calibri"/>
              </w:rPr>
              <w:t>)^N (N&gt;1, N FFS). An additional “bonus” B (value of B is FFS) is added to the pathloss for links between the IAB node and the serving IAB nodes/donors. For the links between non-serving IAB nodes/donors the pathloss is determined based on the non-modified LoS probability and no bonus is applied.</w:t>
            </w:r>
          </w:p>
          <w:p w14:paraId="31F14FDE" w14:textId="77777777" w:rsidR="00773BD4" w:rsidRPr="0010402B" w:rsidRDefault="00773BD4" w:rsidP="00773BD4">
            <w:pPr>
              <w:pStyle w:val="maintext"/>
              <w:numPr>
                <w:ilvl w:val="0"/>
                <w:numId w:val="32"/>
              </w:numPr>
              <w:ind w:firstLineChars="0"/>
              <w:rPr>
                <w:rFonts w:ascii="Calibri" w:hAnsi="Calibri"/>
              </w:rPr>
            </w:pPr>
            <w:r w:rsidRPr="0010402B">
              <w:rPr>
                <w:rFonts w:ascii="Calibri" w:hAnsi="Calibri"/>
              </w:rPr>
              <w:t>Continue to discuss until RAN1#93 the value of B, N, and remaining details of topology selection methodology</w:t>
            </w:r>
          </w:p>
          <w:p w14:paraId="1191BFE2" w14:textId="77777777" w:rsidR="00773BD4" w:rsidRPr="0010402B" w:rsidRDefault="00773BD4" w:rsidP="00773BD4">
            <w:pPr>
              <w:pStyle w:val="maintext"/>
              <w:numPr>
                <w:ilvl w:val="0"/>
                <w:numId w:val="32"/>
              </w:numPr>
              <w:ind w:firstLineChars="0"/>
              <w:rPr>
                <w:rFonts w:ascii="Calibri" w:hAnsi="Calibri"/>
              </w:rPr>
            </w:pPr>
            <w:r w:rsidRPr="0010402B">
              <w:rPr>
                <w:rFonts w:ascii="Calibri" w:hAnsi="Calibri"/>
              </w:rPr>
              <w:t xml:space="preserve">Either Alt. 1 or Alt. 2 to be selected in RAN1#93. </w:t>
            </w:r>
          </w:p>
          <w:p w14:paraId="45A5A993" w14:textId="77777777" w:rsidR="00773BD4" w:rsidRDefault="00773BD4" w:rsidP="00F47472">
            <w:pPr>
              <w:rPr>
                <w:rFonts w:eastAsia="Arial"/>
              </w:rPr>
            </w:pPr>
          </w:p>
        </w:tc>
      </w:tr>
    </w:tbl>
    <w:p w14:paraId="538D60BA" w14:textId="038E6217" w:rsidR="00773BD4" w:rsidRDefault="00773BD4" w:rsidP="00F47472">
      <w:pPr>
        <w:rPr>
          <w:rFonts w:eastAsia="Arial"/>
        </w:rPr>
      </w:pPr>
    </w:p>
    <w:p w14:paraId="6A80DA2F" w14:textId="150350FA" w:rsidR="00A563AC" w:rsidRDefault="00A563AC" w:rsidP="00F47472">
      <w:pPr>
        <w:rPr>
          <w:rFonts w:eastAsia="Arial"/>
        </w:rPr>
      </w:pPr>
      <w:r>
        <w:rPr>
          <w:rFonts w:eastAsia="Arial"/>
        </w:rPr>
        <w:t xml:space="preserve">We notice that while giving bonus to the backhaul links, as proposed in Alt.1 and Alt.2, makes sense to model the favorable channel conditions due to “site-planning”, it implicitly assumes a topology </w:t>
      </w:r>
      <w:r w:rsidR="009747AB">
        <w:rPr>
          <w:rFonts w:eastAsia="Arial"/>
        </w:rPr>
        <w:t>creation</w:t>
      </w:r>
      <w:r>
        <w:rPr>
          <w:rFonts w:eastAsia="Arial"/>
        </w:rPr>
        <w:t xml:space="preserve"> scheme. That is, a bonus </w:t>
      </w:r>
      <w:r w:rsidR="009747AB">
        <w:rPr>
          <w:rFonts w:eastAsia="Arial"/>
        </w:rPr>
        <w:t>is</w:t>
      </w:r>
      <w:r>
        <w:rPr>
          <w:rFonts w:eastAsia="Arial"/>
        </w:rPr>
        <w:t xml:space="preserve"> given to a “selected” serving IAB-node/IAB-donor among the “candidate” </w:t>
      </w:r>
      <w:r>
        <w:rPr>
          <w:rFonts w:eastAsia="Arial"/>
        </w:rPr>
        <w:lastRenderedPageBreak/>
        <w:t>serving IAB-nodes</w:t>
      </w:r>
      <w:r w:rsidR="009747AB">
        <w:rPr>
          <w:rFonts w:eastAsia="Arial"/>
        </w:rPr>
        <w:t>/IAB-donor</w:t>
      </w:r>
      <w:r>
        <w:rPr>
          <w:rFonts w:eastAsia="Arial"/>
        </w:rPr>
        <w:t xml:space="preserve">s. </w:t>
      </w:r>
      <w:r w:rsidR="009747AB">
        <w:rPr>
          <w:rFonts w:eastAsia="Arial"/>
        </w:rPr>
        <w:t>H</w:t>
      </w:r>
      <w:r>
        <w:rPr>
          <w:rFonts w:eastAsia="Arial"/>
        </w:rPr>
        <w:t xml:space="preserve">ence, it involves deciding which BH links to select to be part of the IAB topology. </w:t>
      </w:r>
    </w:p>
    <w:p w14:paraId="466CC0EB" w14:textId="3430A7FB" w:rsidR="00A563AC" w:rsidRDefault="00A563AC" w:rsidP="00F47472">
      <w:pPr>
        <w:rPr>
          <w:rFonts w:eastAsia="Arial"/>
        </w:rPr>
      </w:pPr>
      <w:r>
        <w:rPr>
          <w:rFonts w:eastAsia="Arial"/>
        </w:rPr>
        <w:t xml:space="preserve">Such </w:t>
      </w:r>
      <w:r w:rsidR="009747AB">
        <w:rPr>
          <w:rFonts w:eastAsia="Arial"/>
        </w:rPr>
        <w:t xml:space="preserve">serving node </w:t>
      </w:r>
      <w:r>
        <w:rPr>
          <w:rFonts w:eastAsia="Arial"/>
        </w:rPr>
        <w:t>selection</w:t>
      </w:r>
      <w:r w:rsidR="009747AB">
        <w:rPr>
          <w:rFonts w:eastAsia="Arial"/>
        </w:rPr>
        <w:t>s</w:t>
      </w:r>
      <w:r>
        <w:rPr>
          <w:rFonts w:eastAsia="Arial"/>
        </w:rPr>
        <w:t xml:space="preserve"> may be based on the </w:t>
      </w:r>
      <w:r w:rsidRPr="00A563AC">
        <w:rPr>
          <w:rFonts w:eastAsia="Arial"/>
          <w:i/>
        </w:rPr>
        <w:t>lowest pathloss</w:t>
      </w:r>
      <w:r>
        <w:rPr>
          <w:rFonts w:eastAsia="Arial"/>
          <w:i/>
        </w:rPr>
        <w:t xml:space="preserve"> (PL)</w:t>
      </w:r>
      <w:r>
        <w:rPr>
          <w:rFonts w:eastAsia="Arial"/>
        </w:rPr>
        <w:t xml:space="preserve"> or the </w:t>
      </w:r>
      <w:r w:rsidRPr="00A563AC">
        <w:rPr>
          <w:rFonts w:eastAsia="Arial"/>
          <w:i/>
        </w:rPr>
        <w:t>strongest received power</w:t>
      </w:r>
      <w:r>
        <w:rPr>
          <w:rFonts w:eastAsia="Arial"/>
        </w:rPr>
        <w:t xml:space="preserve"> (i.e. considering the transmit power as well as PL). However, </w:t>
      </w:r>
      <w:r w:rsidR="00CB5A1C">
        <w:rPr>
          <w:rFonts w:eastAsia="Arial"/>
        </w:rPr>
        <w:t xml:space="preserve">PL-based (or RSRP-based) topologies may result in unnecessary long chains of relays, hence a large end-to-end latency, and </w:t>
      </w:r>
      <w:r w:rsidR="007C302F">
        <w:rPr>
          <w:rFonts w:eastAsia="Arial"/>
        </w:rPr>
        <w:t xml:space="preserve">such topologies </w:t>
      </w:r>
      <w:r w:rsidR="00CB5A1C">
        <w:rPr>
          <w:rFonts w:eastAsia="Arial"/>
        </w:rPr>
        <w:t xml:space="preserve">are agnostic to the traffic pattern in the system. Therefore, they may fail to provide a practically suitable solution. </w:t>
      </w:r>
    </w:p>
    <w:p w14:paraId="10DC67E5" w14:textId="20A58D6E" w:rsidR="00CB5A1C" w:rsidRDefault="00CB5A1C" w:rsidP="00F47472">
      <w:pPr>
        <w:rPr>
          <w:rFonts w:eastAsia="Arial"/>
        </w:rPr>
      </w:pPr>
      <w:r>
        <w:rPr>
          <w:rFonts w:eastAsia="Arial"/>
        </w:rPr>
        <w:t xml:space="preserve">Indeed “topology management” is one of the most important aspects of IAB and needs </w:t>
      </w:r>
      <w:r w:rsidR="009747AB">
        <w:rPr>
          <w:rFonts w:eastAsia="Arial"/>
        </w:rPr>
        <w:t xml:space="preserve">a </w:t>
      </w:r>
      <w:r>
        <w:rPr>
          <w:rFonts w:eastAsia="Arial"/>
        </w:rPr>
        <w:t>detailed study. And eventually how the topology is created will be an implementation</w:t>
      </w:r>
      <w:r w:rsidR="009747AB">
        <w:rPr>
          <w:rFonts w:eastAsia="Arial"/>
        </w:rPr>
        <w:t>-specific decision</w:t>
      </w:r>
      <w:r>
        <w:rPr>
          <w:rFonts w:eastAsia="Arial"/>
        </w:rPr>
        <w:t xml:space="preserve">. </w:t>
      </w:r>
    </w:p>
    <w:p w14:paraId="2A82195D" w14:textId="371C439F" w:rsidR="00CB5A1C" w:rsidRDefault="00CB5A1C" w:rsidP="00F47472">
      <w:pPr>
        <w:rPr>
          <w:rFonts w:eastAsia="Arial"/>
        </w:rPr>
      </w:pPr>
      <w:r>
        <w:rPr>
          <w:rFonts w:eastAsia="Arial"/>
        </w:rPr>
        <w:t xml:space="preserve">RAN1 can possibly agree on a </w:t>
      </w:r>
      <w:r w:rsidR="009747AB">
        <w:rPr>
          <w:rFonts w:eastAsia="Arial"/>
        </w:rPr>
        <w:t xml:space="preserve">simple </w:t>
      </w:r>
      <w:r>
        <w:rPr>
          <w:rFonts w:eastAsia="Arial"/>
        </w:rPr>
        <w:t>baseline topology creation scheme (e.g. an RSRP-based)</w:t>
      </w:r>
      <w:r w:rsidR="009747AB">
        <w:rPr>
          <w:rFonts w:eastAsia="Arial"/>
        </w:rPr>
        <w:t>,</w:t>
      </w:r>
      <w:r>
        <w:rPr>
          <w:rFonts w:eastAsia="Arial"/>
        </w:rPr>
        <w:t xml:space="preserve"> that can be used along with “giving bonus to the established BH links”</w:t>
      </w:r>
      <w:r w:rsidR="009747AB">
        <w:rPr>
          <w:rFonts w:eastAsia="Arial"/>
        </w:rPr>
        <w:t>,</w:t>
      </w:r>
      <w:r>
        <w:rPr>
          <w:rFonts w:eastAsia="Arial"/>
        </w:rPr>
        <w:t xml:space="preserve"> to have a common framework to compare simulation results. However, </w:t>
      </w:r>
      <w:r w:rsidR="009747AB">
        <w:rPr>
          <w:rFonts w:eastAsia="Arial"/>
        </w:rPr>
        <w:t xml:space="preserve">for studies involving demonstration of the IAB benefits or investigation of “topology management” schemes, companies should use their own proper methods to create the IAB topology and give bonus to the links between the IAB-nodes and their selected serving IAB-nodes/IAB-donors. </w:t>
      </w:r>
    </w:p>
    <w:p w14:paraId="795AF87E" w14:textId="5E0B5324" w:rsidR="009747AB" w:rsidRDefault="009747AB" w:rsidP="00F47472">
      <w:pPr>
        <w:rPr>
          <w:rFonts w:eastAsia="Arial"/>
          <w:b/>
        </w:rPr>
      </w:pPr>
      <w:r>
        <w:rPr>
          <w:rFonts w:eastAsia="Arial"/>
          <w:b/>
        </w:rPr>
        <w:t>Proposal</w:t>
      </w:r>
      <w:r w:rsidRPr="005454DC">
        <w:rPr>
          <w:rFonts w:eastAsia="Arial"/>
          <w:b/>
        </w:rPr>
        <w:t xml:space="preserve"> 1:</w:t>
      </w:r>
      <w:r>
        <w:rPr>
          <w:rFonts w:eastAsia="Arial"/>
          <w:b/>
        </w:rPr>
        <w:t xml:space="preserve"> </w:t>
      </w:r>
      <w:r w:rsidRPr="009747AB">
        <w:rPr>
          <w:rFonts w:eastAsia="Arial"/>
          <w:b/>
        </w:rPr>
        <w:t xml:space="preserve">RAN1 </w:t>
      </w:r>
      <w:r>
        <w:rPr>
          <w:rFonts w:eastAsia="Arial"/>
          <w:b/>
        </w:rPr>
        <w:t xml:space="preserve">should </w:t>
      </w:r>
      <w:r w:rsidRPr="009747AB">
        <w:rPr>
          <w:rFonts w:eastAsia="Arial"/>
          <w:b/>
        </w:rPr>
        <w:t>agree on a simple baseline topology creation scheme (e.g. an RSRP-based), that can be used along with “</w:t>
      </w:r>
      <w:r w:rsidR="007C302F">
        <w:rPr>
          <w:rFonts w:eastAsia="Arial"/>
          <w:b/>
        </w:rPr>
        <w:t>pathloss</w:t>
      </w:r>
      <w:r w:rsidRPr="009747AB">
        <w:rPr>
          <w:rFonts w:eastAsia="Arial"/>
          <w:b/>
        </w:rPr>
        <w:t xml:space="preserve"> bonus”, to compare simulation results.</w:t>
      </w:r>
    </w:p>
    <w:p w14:paraId="688D2BBD" w14:textId="4EDEEC3D" w:rsidR="00110FAA" w:rsidRDefault="00110FAA" w:rsidP="00F47472">
      <w:pPr>
        <w:rPr>
          <w:rFonts w:eastAsia="Arial"/>
          <w:b/>
        </w:rPr>
      </w:pPr>
      <w:r>
        <w:rPr>
          <w:rFonts w:eastAsia="Arial"/>
          <w:b/>
        </w:rPr>
        <w:t xml:space="preserve">Proposal 2: </w:t>
      </w:r>
      <w:r w:rsidRPr="00110FAA">
        <w:rPr>
          <w:rFonts w:eastAsia="Arial"/>
          <w:b/>
        </w:rPr>
        <w:t xml:space="preserve">for studies involving demonstration of the </w:t>
      </w:r>
      <w:r>
        <w:rPr>
          <w:rFonts w:eastAsia="Arial"/>
          <w:b/>
        </w:rPr>
        <w:t>“</w:t>
      </w:r>
      <w:r w:rsidRPr="00110FAA">
        <w:rPr>
          <w:rFonts w:eastAsia="Arial"/>
          <w:b/>
        </w:rPr>
        <w:t>IAB benefits</w:t>
      </w:r>
      <w:r>
        <w:rPr>
          <w:rFonts w:eastAsia="Arial"/>
          <w:b/>
        </w:rPr>
        <w:t>”</w:t>
      </w:r>
      <w:r w:rsidRPr="00110FAA">
        <w:rPr>
          <w:rFonts w:eastAsia="Arial"/>
          <w:b/>
        </w:rPr>
        <w:t xml:space="preserve"> or investigation of “topology management” schemes, companies should use their own methods to create the IAB topology</w:t>
      </w:r>
      <w:r>
        <w:rPr>
          <w:rFonts w:eastAsia="Arial"/>
          <w:b/>
        </w:rPr>
        <w:t>.</w:t>
      </w:r>
    </w:p>
    <w:p w14:paraId="4C451654" w14:textId="5919C3D0" w:rsidR="009747AB" w:rsidRPr="00110FAA" w:rsidRDefault="00110FAA" w:rsidP="00110FAA">
      <w:pPr>
        <w:pStyle w:val="ListParagraph"/>
        <w:numPr>
          <w:ilvl w:val="0"/>
          <w:numId w:val="35"/>
        </w:numPr>
        <w:ind w:firstLineChars="0"/>
        <w:rPr>
          <w:rFonts w:eastAsia="Arial"/>
        </w:rPr>
      </w:pPr>
      <w:r>
        <w:rPr>
          <w:rFonts w:eastAsia="Arial"/>
          <w:b/>
        </w:rPr>
        <w:t xml:space="preserve">Note: </w:t>
      </w:r>
      <w:r w:rsidRPr="00110FAA">
        <w:rPr>
          <w:rFonts w:eastAsia="Arial"/>
          <w:b/>
        </w:rPr>
        <w:t xml:space="preserve">bonus </w:t>
      </w:r>
      <w:r>
        <w:rPr>
          <w:rFonts w:eastAsia="Arial"/>
          <w:b/>
        </w:rPr>
        <w:t xml:space="preserve">can be given </w:t>
      </w:r>
      <w:r w:rsidRPr="00110FAA">
        <w:rPr>
          <w:rFonts w:eastAsia="Arial"/>
          <w:b/>
        </w:rPr>
        <w:t>to the links between the IAB-nodes and their selected serving IAB-nodes/IAB-donors</w:t>
      </w:r>
      <w:r>
        <w:rPr>
          <w:rFonts w:eastAsia="Arial"/>
          <w:b/>
        </w:rPr>
        <w:t xml:space="preserve">, based on the adopted IAB topology. </w:t>
      </w:r>
    </w:p>
    <w:p w14:paraId="059FD026" w14:textId="4C79F2BB" w:rsidR="00773BD4" w:rsidRDefault="00773BD4" w:rsidP="00773BD4">
      <w:pPr>
        <w:rPr>
          <w:rFonts w:eastAsia="Arial"/>
        </w:rPr>
      </w:pPr>
    </w:p>
    <w:p w14:paraId="7D61C68C" w14:textId="2DF73973" w:rsidR="00110FAA" w:rsidRDefault="00110FAA" w:rsidP="00773BD4">
      <w:pPr>
        <w:rPr>
          <w:rFonts w:eastAsia="Arial"/>
        </w:rPr>
      </w:pPr>
      <w:r>
        <w:rPr>
          <w:rFonts w:eastAsia="Arial"/>
        </w:rPr>
        <w:t xml:space="preserve">Among the two proposed alternatives, Alt. 1 seems to provide a more realistic model, while Alt. 2 is simpler and more tractable. In our view, either of them can be adopted as the baseline.  </w:t>
      </w:r>
    </w:p>
    <w:p w14:paraId="15FE0BDD" w14:textId="77777777" w:rsidR="00110FAA" w:rsidRDefault="00110FAA" w:rsidP="00110FAA">
      <w:pPr>
        <w:rPr>
          <w:rFonts w:eastAsia="Arial"/>
        </w:rPr>
      </w:pPr>
      <w:r>
        <w:rPr>
          <w:rFonts w:eastAsia="Arial"/>
        </w:rPr>
        <w:t xml:space="preserve">Moreover, bonus should be optional, to allow studying scenarios where proper site-planning is not feasible. </w:t>
      </w:r>
    </w:p>
    <w:p w14:paraId="19ED867A" w14:textId="6CA9E511" w:rsidR="00110FAA" w:rsidRDefault="00110FAA" w:rsidP="00110FAA">
      <w:pPr>
        <w:rPr>
          <w:rFonts w:eastAsia="Arial"/>
          <w:b/>
        </w:rPr>
      </w:pPr>
      <w:r>
        <w:rPr>
          <w:rFonts w:eastAsia="Arial"/>
          <w:b/>
        </w:rPr>
        <w:t>Proposal</w:t>
      </w:r>
      <w:r w:rsidRPr="005454DC">
        <w:rPr>
          <w:rFonts w:eastAsia="Arial"/>
          <w:b/>
        </w:rPr>
        <w:t xml:space="preserve"> </w:t>
      </w:r>
      <w:r>
        <w:rPr>
          <w:rFonts w:eastAsia="Arial"/>
          <w:b/>
        </w:rPr>
        <w:t>3</w:t>
      </w:r>
      <w:r w:rsidRPr="005454DC">
        <w:rPr>
          <w:rFonts w:eastAsia="Arial"/>
          <w:b/>
        </w:rPr>
        <w:t>:</w:t>
      </w:r>
      <w:r>
        <w:rPr>
          <w:rFonts w:eastAsia="Arial"/>
          <w:b/>
        </w:rPr>
        <w:t xml:space="preserve"> </w:t>
      </w:r>
      <w:r w:rsidRPr="009747AB">
        <w:rPr>
          <w:rFonts w:eastAsia="Arial"/>
          <w:b/>
        </w:rPr>
        <w:t xml:space="preserve">RAN1 </w:t>
      </w:r>
      <w:r>
        <w:rPr>
          <w:rFonts w:eastAsia="Arial"/>
          <w:b/>
        </w:rPr>
        <w:t>adopts Alt. 1 to give bonus to the pathloss of the BH links.</w:t>
      </w:r>
    </w:p>
    <w:p w14:paraId="4CC5C04D" w14:textId="714418B2" w:rsidR="00110FAA" w:rsidRDefault="00110FAA" w:rsidP="00110FAA">
      <w:pPr>
        <w:pStyle w:val="ListParagraph"/>
        <w:numPr>
          <w:ilvl w:val="0"/>
          <w:numId w:val="35"/>
        </w:numPr>
        <w:ind w:firstLineChars="0"/>
        <w:rPr>
          <w:rFonts w:eastAsia="Arial"/>
          <w:b/>
        </w:rPr>
      </w:pPr>
      <w:r>
        <w:rPr>
          <w:rFonts w:eastAsia="Arial"/>
          <w:b/>
        </w:rPr>
        <w:t>Consider N = 3, when “site-planning” is feasible</w:t>
      </w:r>
    </w:p>
    <w:p w14:paraId="5C7468D6" w14:textId="3BA8A3FC" w:rsidR="00110FAA" w:rsidRPr="00110FAA" w:rsidRDefault="00110FAA" w:rsidP="00110FAA">
      <w:pPr>
        <w:pStyle w:val="ListParagraph"/>
        <w:numPr>
          <w:ilvl w:val="0"/>
          <w:numId w:val="35"/>
        </w:numPr>
        <w:ind w:firstLineChars="0"/>
        <w:rPr>
          <w:rFonts w:eastAsia="Arial"/>
          <w:b/>
        </w:rPr>
      </w:pPr>
      <w:r>
        <w:rPr>
          <w:rFonts w:eastAsia="Arial"/>
          <w:b/>
        </w:rPr>
        <w:t>Consider N = 0, when “</w:t>
      </w:r>
      <w:r w:rsidR="007C302F">
        <w:rPr>
          <w:rFonts w:eastAsia="Arial"/>
          <w:b/>
        </w:rPr>
        <w:t>sit</w:t>
      </w:r>
      <w:r>
        <w:rPr>
          <w:rFonts w:eastAsia="Arial"/>
          <w:b/>
        </w:rPr>
        <w:t>e-planning” is not feasible (i.e. no bonus).</w:t>
      </w:r>
    </w:p>
    <w:p w14:paraId="5C2F3412" w14:textId="77777777" w:rsidR="00110FAA" w:rsidRDefault="00110FAA" w:rsidP="00773BD4">
      <w:pPr>
        <w:rPr>
          <w:rFonts w:eastAsia="Arial"/>
        </w:rPr>
      </w:pPr>
    </w:p>
    <w:p w14:paraId="59DDE267" w14:textId="16145D85" w:rsidR="003127CB" w:rsidRDefault="00110FAA" w:rsidP="00110FAA">
      <w:pPr>
        <w:pStyle w:val="Heading2"/>
        <w:spacing w:after="240"/>
      </w:pPr>
      <w:r>
        <w:t>IAB SI plan</w:t>
      </w:r>
    </w:p>
    <w:p w14:paraId="1FFAEE98" w14:textId="7AB2EC7A" w:rsidR="00B53EB6" w:rsidRDefault="00F17C9E" w:rsidP="00AC36ED">
      <w:pPr>
        <w:rPr>
          <w:rFonts w:eastAsia="Arial"/>
        </w:rPr>
      </w:pPr>
      <w:r>
        <w:rPr>
          <w:rFonts w:eastAsia="Arial"/>
        </w:rPr>
        <w:t xml:space="preserve">In our view, </w:t>
      </w:r>
      <w:r w:rsidR="005F7782">
        <w:rPr>
          <w:rFonts w:eastAsia="Arial"/>
        </w:rPr>
        <w:t>performing simulations and evaluations may seek two general purposes:</w:t>
      </w:r>
    </w:p>
    <w:p w14:paraId="2FC6D2B8" w14:textId="4A7E0025" w:rsidR="005F7782" w:rsidRDefault="005F7782" w:rsidP="005F7782">
      <w:pPr>
        <w:pStyle w:val="ListParagraph"/>
        <w:numPr>
          <w:ilvl w:val="0"/>
          <w:numId w:val="26"/>
        </w:numPr>
        <w:ind w:firstLineChars="0"/>
        <w:rPr>
          <w:rFonts w:eastAsia="Arial"/>
        </w:rPr>
      </w:pPr>
      <w:r w:rsidRPr="00FC22FE">
        <w:rPr>
          <w:rFonts w:eastAsia="Arial"/>
          <w:i/>
        </w:rPr>
        <w:t>showing the benefits of NR-IAB</w:t>
      </w:r>
      <w:r>
        <w:rPr>
          <w:rFonts w:eastAsia="Arial"/>
        </w:rPr>
        <w:t xml:space="preserve"> – e.g. in terms of coverage extension, and capacity enhancement</w:t>
      </w:r>
      <w:r w:rsidR="004B2903">
        <w:rPr>
          <w:rFonts w:eastAsia="Arial"/>
        </w:rPr>
        <w:t>, etc</w:t>
      </w:r>
      <w:r>
        <w:rPr>
          <w:rFonts w:eastAsia="Arial"/>
        </w:rPr>
        <w:t>.</w:t>
      </w:r>
    </w:p>
    <w:p w14:paraId="59AC9311" w14:textId="3502B0BC" w:rsidR="005F7782" w:rsidRDefault="005F7782" w:rsidP="005F7782">
      <w:pPr>
        <w:pStyle w:val="ListParagraph"/>
        <w:numPr>
          <w:ilvl w:val="0"/>
          <w:numId w:val="26"/>
        </w:numPr>
        <w:ind w:firstLineChars="0"/>
        <w:rPr>
          <w:rFonts w:eastAsia="Arial"/>
        </w:rPr>
      </w:pPr>
      <w:r w:rsidRPr="00FC22FE">
        <w:rPr>
          <w:rFonts w:eastAsia="Arial"/>
          <w:i/>
        </w:rPr>
        <w:t>making design decision</w:t>
      </w:r>
      <w:r w:rsidR="00FC22FE">
        <w:rPr>
          <w:rFonts w:eastAsia="Arial"/>
          <w:i/>
        </w:rPr>
        <w:t>s</w:t>
      </w:r>
      <w:r>
        <w:rPr>
          <w:rFonts w:eastAsia="Arial"/>
        </w:rPr>
        <w:t xml:space="preserve"> – e.g. by comparing the performance of competing alternative designs. </w:t>
      </w:r>
    </w:p>
    <w:p w14:paraId="24444AD0" w14:textId="577DE8E2" w:rsidR="005F7782" w:rsidRPr="005F7782" w:rsidRDefault="004B2903" w:rsidP="005F7782">
      <w:pPr>
        <w:rPr>
          <w:rFonts w:eastAsia="Arial"/>
        </w:rPr>
      </w:pPr>
      <w:r>
        <w:rPr>
          <w:rFonts w:eastAsia="Arial"/>
        </w:rPr>
        <w:t>Although</w:t>
      </w:r>
      <w:r w:rsidR="005F7782">
        <w:rPr>
          <w:rFonts w:eastAsia="Arial"/>
        </w:rPr>
        <w:t xml:space="preserve"> it is essentially important to prove the utility and benefits of NR-IAB during the study item, identifying the key design aspects that may need further evaluat</w:t>
      </w:r>
      <w:r w:rsidR="00BF207B">
        <w:rPr>
          <w:rFonts w:eastAsia="Arial"/>
        </w:rPr>
        <w:t>ions is of a greater importance</w:t>
      </w:r>
      <w:r>
        <w:rPr>
          <w:rFonts w:eastAsia="Arial"/>
        </w:rPr>
        <w:t>,</w:t>
      </w:r>
      <w:r w:rsidR="005F7782">
        <w:rPr>
          <w:rFonts w:eastAsia="Arial"/>
        </w:rPr>
        <w:t xml:space="preserve"> given the limited allocated TUs.</w:t>
      </w:r>
    </w:p>
    <w:p w14:paraId="5C39D03F" w14:textId="0FCF0226" w:rsidR="00FC22FE" w:rsidRPr="00536565" w:rsidRDefault="00FC22FE" w:rsidP="00FC22FE">
      <w:pPr>
        <w:rPr>
          <w:rFonts w:eastAsia="Arial"/>
          <w:b/>
        </w:rPr>
      </w:pPr>
      <w:r w:rsidRPr="00536565">
        <w:rPr>
          <w:rFonts w:eastAsia="Arial"/>
          <w:b/>
        </w:rPr>
        <w:lastRenderedPageBreak/>
        <w:t xml:space="preserve">Proposal </w:t>
      </w:r>
      <w:r w:rsidR="00110FAA">
        <w:rPr>
          <w:rFonts w:eastAsia="Arial"/>
          <w:b/>
        </w:rPr>
        <w:t>4</w:t>
      </w:r>
      <w:r w:rsidRPr="00536565">
        <w:rPr>
          <w:rFonts w:eastAsia="Arial"/>
          <w:b/>
        </w:rPr>
        <w:t xml:space="preserve">: </w:t>
      </w:r>
      <w:r>
        <w:rPr>
          <w:rFonts w:eastAsia="Arial"/>
          <w:b/>
        </w:rPr>
        <w:t xml:space="preserve">for NR-IAB evaluations, </w:t>
      </w:r>
      <w:r w:rsidRPr="00536565">
        <w:rPr>
          <w:rFonts w:eastAsia="Arial"/>
          <w:b/>
        </w:rPr>
        <w:t>RAN1 should</w:t>
      </w:r>
      <w:r>
        <w:rPr>
          <w:rFonts w:eastAsia="Arial"/>
          <w:b/>
        </w:rPr>
        <w:t xml:space="preserve"> identify the aspects of the design that need further study and prioritize these aspects for evaluations and discussions. </w:t>
      </w:r>
    </w:p>
    <w:p w14:paraId="51544707" w14:textId="77777777" w:rsidR="00F07748" w:rsidRPr="00F07748" w:rsidRDefault="00F07748" w:rsidP="00F07748">
      <w:pPr>
        <w:rPr>
          <w:rFonts w:eastAsia="SimSun"/>
          <w:b/>
          <w:lang w:eastAsia="zh-CN"/>
        </w:rPr>
      </w:pPr>
    </w:p>
    <w:p w14:paraId="0BED097B" w14:textId="00D83B89" w:rsidR="00877A98" w:rsidRDefault="00877A98" w:rsidP="00FA4CFC">
      <w:pPr>
        <w:pStyle w:val="Heading1"/>
        <w:rPr>
          <w:lang w:eastAsia="zh-CN"/>
        </w:rPr>
      </w:pPr>
      <w:r w:rsidRPr="00FA4CFC">
        <w:rPr>
          <w:lang w:eastAsia="zh-CN"/>
        </w:rPr>
        <w:t>Conclusion</w:t>
      </w:r>
    </w:p>
    <w:p w14:paraId="3ED11491" w14:textId="6447B859" w:rsidR="00B31DA8" w:rsidRDefault="00B31DA8" w:rsidP="00B31DA8">
      <w:pPr>
        <w:pStyle w:val="Caption"/>
        <w:rPr>
          <w:b w:val="0"/>
        </w:rPr>
      </w:pPr>
      <w:r>
        <w:rPr>
          <w:rFonts w:eastAsia="Arial"/>
          <w:b w:val="0"/>
        </w:rPr>
        <w:t>In this contribution,</w:t>
      </w:r>
      <w:r w:rsidRPr="00FE3FEA">
        <w:rPr>
          <w:rFonts w:eastAsia="Arial"/>
          <w:b w:val="0"/>
        </w:rPr>
        <w:t xml:space="preserve"> </w:t>
      </w:r>
      <w:r w:rsidR="00FE3FEA">
        <w:rPr>
          <w:rFonts w:eastAsia="Arial"/>
          <w:b w:val="0"/>
        </w:rPr>
        <w:t xml:space="preserve">we </w:t>
      </w:r>
      <w:r w:rsidR="00FE3FEA">
        <w:rPr>
          <w:b w:val="0"/>
        </w:rPr>
        <w:t>discussed</w:t>
      </w:r>
      <w:r w:rsidR="00FE3FEA" w:rsidRPr="00FE3FEA">
        <w:rPr>
          <w:b w:val="0"/>
        </w:rPr>
        <w:t xml:space="preserve"> </w:t>
      </w:r>
      <w:r w:rsidR="00110FAA">
        <w:rPr>
          <w:b w:val="0"/>
        </w:rPr>
        <w:t xml:space="preserve">backhaul channel model and more specifically how to give bonus to the pathloss in case proper “site-planning” is feasible. We made the following proposals: </w:t>
      </w:r>
    </w:p>
    <w:p w14:paraId="7B0137BD" w14:textId="77777777" w:rsidR="00110FAA" w:rsidRDefault="00110FAA" w:rsidP="00110FAA">
      <w:pPr>
        <w:rPr>
          <w:rFonts w:eastAsia="Arial"/>
          <w:b/>
        </w:rPr>
      </w:pPr>
    </w:p>
    <w:p w14:paraId="51B5656D" w14:textId="71FC66D0" w:rsidR="00110FAA" w:rsidRDefault="00110FAA" w:rsidP="00110FAA">
      <w:pPr>
        <w:rPr>
          <w:rFonts w:eastAsia="Arial"/>
          <w:b/>
        </w:rPr>
      </w:pPr>
      <w:r>
        <w:rPr>
          <w:rFonts w:eastAsia="Arial"/>
          <w:b/>
        </w:rPr>
        <w:t>Proposal</w:t>
      </w:r>
      <w:r w:rsidRPr="005454DC">
        <w:rPr>
          <w:rFonts w:eastAsia="Arial"/>
          <w:b/>
        </w:rPr>
        <w:t xml:space="preserve"> 1:</w:t>
      </w:r>
      <w:r>
        <w:rPr>
          <w:rFonts w:eastAsia="Arial"/>
          <w:b/>
        </w:rPr>
        <w:t xml:space="preserve"> </w:t>
      </w:r>
      <w:r w:rsidRPr="009747AB">
        <w:rPr>
          <w:rFonts w:eastAsia="Arial"/>
          <w:b/>
        </w:rPr>
        <w:t xml:space="preserve">RAN1 </w:t>
      </w:r>
      <w:r>
        <w:rPr>
          <w:rFonts w:eastAsia="Arial"/>
          <w:b/>
        </w:rPr>
        <w:t xml:space="preserve">should </w:t>
      </w:r>
      <w:r w:rsidRPr="009747AB">
        <w:rPr>
          <w:rFonts w:eastAsia="Arial"/>
          <w:b/>
        </w:rPr>
        <w:t>agree on a simple baseline topology creation scheme (e.g. an RSRP-based), that can be used along with “giving bonus”, to compare simulation results.</w:t>
      </w:r>
    </w:p>
    <w:p w14:paraId="3700EA07" w14:textId="77777777" w:rsidR="00110FAA" w:rsidRDefault="00110FAA" w:rsidP="00110FAA">
      <w:pPr>
        <w:rPr>
          <w:rFonts w:eastAsia="Arial"/>
          <w:b/>
        </w:rPr>
      </w:pPr>
      <w:r>
        <w:rPr>
          <w:rFonts w:eastAsia="Arial"/>
          <w:b/>
        </w:rPr>
        <w:t xml:space="preserve">Proposal 2: </w:t>
      </w:r>
      <w:r w:rsidRPr="00110FAA">
        <w:rPr>
          <w:rFonts w:eastAsia="Arial"/>
          <w:b/>
        </w:rPr>
        <w:t xml:space="preserve">for studies involving demonstration of the </w:t>
      </w:r>
      <w:r>
        <w:rPr>
          <w:rFonts w:eastAsia="Arial"/>
          <w:b/>
        </w:rPr>
        <w:t>“</w:t>
      </w:r>
      <w:r w:rsidRPr="00110FAA">
        <w:rPr>
          <w:rFonts w:eastAsia="Arial"/>
          <w:b/>
        </w:rPr>
        <w:t>IAB benefits</w:t>
      </w:r>
      <w:r>
        <w:rPr>
          <w:rFonts w:eastAsia="Arial"/>
          <w:b/>
        </w:rPr>
        <w:t>”</w:t>
      </w:r>
      <w:r w:rsidRPr="00110FAA">
        <w:rPr>
          <w:rFonts w:eastAsia="Arial"/>
          <w:b/>
        </w:rPr>
        <w:t xml:space="preserve"> or investigation of “topology management” schemes, companies should use their own methods to create the IAB topology</w:t>
      </w:r>
      <w:r>
        <w:rPr>
          <w:rFonts w:eastAsia="Arial"/>
          <w:b/>
        </w:rPr>
        <w:t>.</w:t>
      </w:r>
    </w:p>
    <w:p w14:paraId="391EE9CE" w14:textId="77777777" w:rsidR="00110FAA" w:rsidRPr="00110FAA" w:rsidRDefault="00110FAA" w:rsidP="00110FAA">
      <w:pPr>
        <w:pStyle w:val="ListParagraph"/>
        <w:numPr>
          <w:ilvl w:val="0"/>
          <w:numId w:val="35"/>
        </w:numPr>
        <w:ind w:firstLineChars="0"/>
        <w:rPr>
          <w:rFonts w:eastAsia="Arial"/>
        </w:rPr>
      </w:pPr>
      <w:r>
        <w:rPr>
          <w:rFonts w:eastAsia="Arial"/>
          <w:b/>
        </w:rPr>
        <w:t xml:space="preserve">Note: </w:t>
      </w:r>
      <w:r w:rsidRPr="00110FAA">
        <w:rPr>
          <w:rFonts w:eastAsia="Arial"/>
          <w:b/>
        </w:rPr>
        <w:t xml:space="preserve">bonus </w:t>
      </w:r>
      <w:r>
        <w:rPr>
          <w:rFonts w:eastAsia="Arial"/>
          <w:b/>
        </w:rPr>
        <w:t xml:space="preserve">can be given </w:t>
      </w:r>
      <w:r w:rsidRPr="00110FAA">
        <w:rPr>
          <w:rFonts w:eastAsia="Arial"/>
          <w:b/>
        </w:rPr>
        <w:t>to the links between the IAB-nodes and their selected serving IAB-nodes/IAB-donors</w:t>
      </w:r>
      <w:r>
        <w:rPr>
          <w:rFonts w:eastAsia="Arial"/>
          <w:b/>
        </w:rPr>
        <w:t xml:space="preserve">, based on the adopted IAB topology. </w:t>
      </w:r>
    </w:p>
    <w:p w14:paraId="4064E683" w14:textId="77777777" w:rsidR="00110FAA" w:rsidRDefault="00110FAA" w:rsidP="00110FAA">
      <w:pPr>
        <w:rPr>
          <w:rFonts w:eastAsia="Arial"/>
          <w:b/>
        </w:rPr>
      </w:pPr>
      <w:r>
        <w:rPr>
          <w:rFonts w:eastAsia="Arial"/>
          <w:b/>
        </w:rPr>
        <w:t>Proposal</w:t>
      </w:r>
      <w:r w:rsidRPr="005454DC">
        <w:rPr>
          <w:rFonts w:eastAsia="Arial"/>
          <w:b/>
        </w:rPr>
        <w:t xml:space="preserve"> </w:t>
      </w:r>
      <w:r>
        <w:rPr>
          <w:rFonts w:eastAsia="Arial"/>
          <w:b/>
        </w:rPr>
        <w:t>3</w:t>
      </w:r>
      <w:r w:rsidRPr="005454DC">
        <w:rPr>
          <w:rFonts w:eastAsia="Arial"/>
          <w:b/>
        </w:rPr>
        <w:t>:</w:t>
      </w:r>
      <w:r>
        <w:rPr>
          <w:rFonts w:eastAsia="Arial"/>
          <w:b/>
        </w:rPr>
        <w:t xml:space="preserve"> </w:t>
      </w:r>
      <w:r w:rsidRPr="009747AB">
        <w:rPr>
          <w:rFonts w:eastAsia="Arial"/>
          <w:b/>
        </w:rPr>
        <w:t xml:space="preserve">RAN1 </w:t>
      </w:r>
      <w:r>
        <w:rPr>
          <w:rFonts w:eastAsia="Arial"/>
          <w:b/>
        </w:rPr>
        <w:t>adopts Alt. 1 to give bonus to the pathloss of the BH links.</w:t>
      </w:r>
    </w:p>
    <w:p w14:paraId="79EC0B13" w14:textId="77777777" w:rsidR="00110FAA" w:rsidRDefault="00110FAA" w:rsidP="00110FAA">
      <w:pPr>
        <w:pStyle w:val="ListParagraph"/>
        <w:numPr>
          <w:ilvl w:val="0"/>
          <w:numId w:val="35"/>
        </w:numPr>
        <w:ind w:firstLineChars="0"/>
        <w:rPr>
          <w:rFonts w:eastAsia="Arial"/>
          <w:b/>
        </w:rPr>
      </w:pPr>
      <w:r>
        <w:rPr>
          <w:rFonts w:eastAsia="Arial"/>
          <w:b/>
        </w:rPr>
        <w:t>Consider N = 3, when “site-planning” is feasible</w:t>
      </w:r>
    </w:p>
    <w:p w14:paraId="6F71CFC9" w14:textId="535257D4" w:rsidR="00110FAA" w:rsidRPr="00110FAA" w:rsidRDefault="00110FAA" w:rsidP="00110FAA">
      <w:pPr>
        <w:pStyle w:val="ListParagraph"/>
        <w:numPr>
          <w:ilvl w:val="0"/>
          <w:numId w:val="35"/>
        </w:numPr>
        <w:ind w:firstLineChars="0"/>
        <w:rPr>
          <w:rFonts w:eastAsia="Arial"/>
          <w:b/>
        </w:rPr>
      </w:pPr>
      <w:r>
        <w:rPr>
          <w:rFonts w:eastAsia="Arial"/>
          <w:b/>
        </w:rPr>
        <w:t>Consider N = 0, when “</w:t>
      </w:r>
      <w:r w:rsidR="007C302F">
        <w:rPr>
          <w:rFonts w:eastAsia="Arial"/>
          <w:b/>
        </w:rPr>
        <w:t>sit</w:t>
      </w:r>
      <w:r>
        <w:rPr>
          <w:rFonts w:eastAsia="Arial"/>
          <w:b/>
        </w:rPr>
        <w:t>e-planning” is not feasible (i.e. no bonus).</w:t>
      </w:r>
    </w:p>
    <w:p w14:paraId="55603F49" w14:textId="77777777" w:rsidR="00110FAA" w:rsidRPr="00110FAA" w:rsidRDefault="00110FAA" w:rsidP="00110FAA">
      <w:pPr>
        <w:rPr>
          <w:rFonts w:eastAsia="Arial"/>
          <w:b/>
        </w:rPr>
      </w:pPr>
      <w:r w:rsidRPr="00110FAA">
        <w:rPr>
          <w:rFonts w:eastAsia="Arial"/>
          <w:b/>
        </w:rPr>
        <w:t xml:space="preserve">Proposal 4: for NR-IAB evaluations, RAN1 should identify the aspects of the design that need further study and prioritize these aspects for evaluations and discussions. </w:t>
      </w:r>
    </w:p>
    <w:sectPr w:rsidR="00110FAA" w:rsidRPr="00110FAA"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690F4" w14:textId="77777777" w:rsidR="00511FEF" w:rsidRDefault="00511FEF">
      <w:r>
        <w:separator/>
      </w:r>
    </w:p>
  </w:endnote>
  <w:endnote w:type="continuationSeparator" w:id="0">
    <w:p w14:paraId="2A4C0413" w14:textId="77777777" w:rsidR="00511FEF" w:rsidRDefault="0051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08F0D" w14:textId="77777777" w:rsidR="00511FEF" w:rsidRDefault="00511FEF">
      <w:r>
        <w:separator/>
      </w:r>
    </w:p>
  </w:footnote>
  <w:footnote w:type="continuationSeparator" w:id="0">
    <w:p w14:paraId="31FE4FC4" w14:textId="77777777" w:rsidR="00511FEF" w:rsidRDefault="00511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BE91A99"/>
    <w:multiLevelType w:val="hybridMultilevel"/>
    <w:tmpl w:val="96CA4F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60256B"/>
    <w:multiLevelType w:val="hybridMultilevel"/>
    <w:tmpl w:val="61161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E904D5"/>
    <w:multiLevelType w:val="hybridMultilevel"/>
    <w:tmpl w:val="3590423E"/>
    <w:lvl w:ilvl="0" w:tplc="49DCE0C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30A51"/>
    <w:multiLevelType w:val="hybridMultilevel"/>
    <w:tmpl w:val="0C4AE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F3E01"/>
    <w:multiLevelType w:val="hybridMultilevel"/>
    <w:tmpl w:val="3A728AB4"/>
    <w:lvl w:ilvl="0" w:tplc="1182EFC6">
      <w:numFmt w:val="bullet"/>
      <w:lvlText w:val="-"/>
      <w:lvlJc w:val="left"/>
      <w:pPr>
        <w:ind w:left="720" w:hanging="360"/>
      </w:pPr>
      <w:rPr>
        <w:rFonts w:ascii="Calibri" w:eastAsia="Arial"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E5832"/>
    <w:multiLevelType w:val="hybridMultilevel"/>
    <w:tmpl w:val="8DF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1E30"/>
    <w:multiLevelType w:val="hybridMultilevel"/>
    <w:tmpl w:val="61161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20E03"/>
    <w:multiLevelType w:val="hybridMultilevel"/>
    <w:tmpl w:val="5D90F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317CA"/>
    <w:multiLevelType w:val="hybridMultilevel"/>
    <w:tmpl w:val="C2FE3D28"/>
    <w:lvl w:ilvl="0" w:tplc="56B27FAC">
      <w:start w:val="2"/>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B6D5A"/>
    <w:multiLevelType w:val="hybridMultilevel"/>
    <w:tmpl w:val="A63CE6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1" w15:restartNumberingAfterBreak="0">
    <w:nsid w:val="66767FBD"/>
    <w:multiLevelType w:val="hybridMultilevel"/>
    <w:tmpl w:val="61161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23"/>
  </w:num>
  <w:num w:numId="4">
    <w:abstractNumId w:val="16"/>
  </w:num>
  <w:num w:numId="5">
    <w:abstractNumId w:val="33"/>
  </w:num>
  <w:num w:numId="6">
    <w:abstractNumId w:val="5"/>
  </w:num>
  <w:num w:numId="7">
    <w:abstractNumId w:val="1"/>
  </w:num>
  <w:num w:numId="8">
    <w:abstractNumId w:val="27"/>
  </w:num>
  <w:num w:numId="9">
    <w:abstractNumId w:val="3"/>
  </w:num>
  <w:num w:numId="10">
    <w:abstractNumId w:val="24"/>
  </w:num>
  <w:num w:numId="11">
    <w:abstractNumId w:val="7"/>
  </w:num>
  <w:num w:numId="12">
    <w:abstractNumId w:val="30"/>
  </w:num>
  <w:num w:numId="13">
    <w:abstractNumId w:val="0"/>
  </w:num>
  <w:num w:numId="14">
    <w:abstractNumId w:val="25"/>
  </w:num>
  <w:num w:numId="15">
    <w:abstractNumId w:val="11"/>
  </w:num>
  <w:num w:numId="16">
    <w:abstractNumId w:val="29"/>
  </w:num>
  <w:num w:numId="17">
    <w:abstractNumId w:val="34"/>
  </w:num>
  <w:num w:numId="18">
    <w:abstractNumId w:val="28"/>
  </w:num>
  <w:num w:numId="19">
    <w:abstractNumId w:val="20"/>
  </w:num>
  <w:num w:numId="20">
    <w:abstractNumId w:val="18"/>
  </w:num>
  <w:num w:numId="21">
    <w:abstractNumId w:val="17"/>
  </w:num>
  <w:num w:numId="22">
    <w:abstractNumId w:val="10"/>
  </w:num>
  <w:num w:numId="23">
    <w:abstractNumId w:val="2"/>
  </w:num>
  <w:num w:numId="24">
    <w:abstractNumId w:val="32"/>
  </w:num>
  <w:num w:numId="25">
    <w:abstractNumId w:val="15"/>
  </w:num>
  <w:num w:numId="26">
    <w:abstractNumId w:val="26"/>
  </w:num>
  <w:num w:numId="27">
    <w:abstractNumId w:val="9"/>
  </w:num>
  <w:num w:numId="28">
    <w:abstractNumId w:val="6"/>
  </w:num>
  <w:num w:numId="29">
    <w:abstractNumId w:val="21"/>
  </w:num>
  <w:num w:numId="30">
    <w:abstractNumId w:val="31"/>
  </w:num>
  <w:num w:numId="31">
    <w:abstractNumId w:val="4"/>
  </w:num>
  <w:num w:numId="32">
    <w:abstractNumId w:val="22"/>
  </w:num>
  <w:num w:numId="33">
    <w:abstractNumId w:val="12"/>
  </w:num>
  <w:num w:numId="34">
    <w:abstractNumId w:val="14"/>
  </w:num>
  <w:num w:numId="3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98"/>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0D82"/>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0FAA"/>
    <w:rsid w:val="0011134E"/>
    <w:rsid w:val="0011146F"/>
    <w:rsid w:val="001116FE"/>
    <w:rsid w:val="00111828"/>
    <w:rsid w:val="0011274D"/>
    <w:rsid w:val="0011282B"/>
    <w:rsid w:val="00112A48"/>
    <w:rsid w:val="00112B93"/>
    <w:rsid w:val="00112D66"/>
    <w:rsid w:val="00112DDC"/>
    <w:rsid w:val="00113AEB"/>
    <w:rsid w:val="00114764"/>
    <w:rsid w:val="00114F19"/>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0A8D"/>
    <w:rsid w:val="00131F11"/>
    <w:rsid w:val="00132B1C"/>
    <w:rsid w:val="0013329A"/>
    <w:rsid w:val="00133EB9"/>
    <w:rsid w:val="0013512A"/>
    <w:rsid w:val="00135141"/>
    <w:rsid w:val="00135467"/>
    <w:rsid w:val="00135536"/>
    <w:rsid w:val="00135796"/>
    <w:rsid w:val="00135898"/>
    <w:rsid w:val="00135C70"/>
    <w:rsid w:val="00136650"/>
    <w:rsid w:val="00136B9F"/>
    <w:rsid w:val="00136ECA"/>
    <w:rsid w:val="001377BD"/>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070B"/>
    <w:rsid w:val="001913A3"/>
    <w:rsid w:val="0019229B"/>
    <w:rsid w:val="00192CF8"/>
    <w:rsid w:val="00192E42"/>
    <w:rsid w:val="001930FA"/>
    <w:rsid w:val="00193115"/>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661"/>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5E3B"/>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48F9"/>
    <w:rsid w:val="00265611"/>
    <w:rsid w:val="00265651"/>
    <w:rsid w:val="002658C0"/>
    <w:rsid w:val="002659FE"/>
    <w:rsid w:val="00265EB9"/>
    <w:rsid w:val="0026615E"/>
    <w:rsid w:val="00266408"/>
    <w:rsid w:val="002668F6"/>
    <w:rsid w:val="00266CA1"/>
    <w:rsid w:val="00266D04"/>
    <w:rsid w:val="00266EF6"/>
    <w:rsid w:val="00267848"/>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12"/>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786"/>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4B5"/>
    <w:rsid w:val="003235FD"/>
    <w:rsid w:val="0032373F"/>
    <w:rsid w:val="00323B07"/>
    <w:rsid w:val="00323B73"/>
    <w:rsid w:val="0032413B"/>
    <w:rsid w:val="003247BF"/>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3817"/>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C15"/>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C37"/>
    <w:rsid w:val="00497F51"/>
    <w:rsid w:val="004A0358"/>
    <w:rsid w:val="004A0A2F"/>
    <w:rsid w:val="004A0B80"/>
    <w:rsid w:val="004A0D7F"/>
    <w:rsid w:val="004A10CD"/>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903"/>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1FEF"/>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1E6"/>
    <w:rsid w:val="00545437"/>
    <w:rsid w:val="005454DC"/>
    <w:rsid w:val="00545728"/>
    <w:rsid w:val="00545C0D"/>
    <w:rsid w:val="00545F72"/>
    <w:rsid w:val="00546437"/>
    <w:rsid w:val="005468EB"/>
    <w:rsid w:val="005470E5"/>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DF4"/>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3760"/>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BEC"/>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5F7782"/>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650"/>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AB2"/>
    <w:rsid w:val="006D1D9E"/>
    <w:rsid w:val="006D239C"/>
    <w:rsid w:val="006D25C7"/>
    <w:rsid w:val="006D31C3"/>
    <w:rsid w:val="006D35A5"/>
    <w:rsid w:val="006D36CF"/>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2FB"/>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11C"/>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7D4"/>
    <w:rsid w:val="00770991"/>
    <w:rsid w:val="00770C60"/>
    <w:rsid w:val="00770E78"/>
    <w:rsid w:val="00771D69"/>
    <w:rsid w:val="007726A7"/>
    <w:rsid w:val="007726F1"/>
    <w:rsid w:val="0077302C"/>
    <w:rsid w:val="00773B75"/>
    <w:rsid w:val="00773BD4"/>
    <w:rsid w:val="007742C2"/>
    <w:rsid w:val="007743F6"/>
    <w:rsid w:val="00775C1B"/>
    <w:rsid w:val="00776FEC"/>
    <w:rsid w:val="0077744F"/>
    <w:rsid w:val="00777A30"/>
    <w:rsid w:val="00780611"/>
    <w:rsid w:val="007810AF"/>
    <w:rsid w:val="0078268D"/>
    <w:rsid w:val="0078319E"/>
    <w:rsid w:val="007832CA"/>
    <w:rsid w:val="00783E94"/>
    <w:rsid w:val="007848B7"/>
    <w:rsid w:val="007857D8"/>
    <w:rsid w:val="00786000"/>
    <w:rsid w:val="0078603F"/>
    <w:rsid w:val="007861EE"/>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7A1"/>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1"/>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02F"/>
    <w:rsid w:val="007C3E71"/>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52"/>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4986"/>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38FA"/>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14ED"/>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065D"/>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EAD"/>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0CC"/>
    <w:rsid w:val="00972547"/>
    <w:rsid w:val="00973E7B"/>
    <w:rsid w:val="00973F19"/>
    <w:rsid w:val="00974092"/>
    <w:rsid w:val="009747AB"/>
    <w:rsid w:val="00974E2C"/>
    <w:rsid w:val="0097525C"/>
    <w:rsid w:val="009753EC"/>
    <w:rsid w:val="00976849"/>
    <w:rsid w:val="00977056"/>
    <w:rsid w:val="00977FD7"/>
    <w:rsid w:val="00980D9D"/>
    <w:rsid w:val="009816BB"/>
    <w:rsid w:val="00982190"/>
    <w:rsid w:val="009824C3"/>
    <w:rsid w:val="00982C85"/>
    <w:rsid w:val="009831C4"/>
    <w:rsid w:val="00983CB4"/>
    <w:rsid w:val="009844F5"/>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764"/>
    <w:rsid w:val="009E38D6"/>
    <w:rsid w:val="009E4103"/>
    <w:rsid w:val="009E4360"/>
    <w:rsid w:val="009E43A9"/>
    <w:rsid w:val="009E4618"/>
    <w:rsid w:val="009E4F63"/>
    <w:rsid w:val="009E6373"/>
    <w:rsid w:val="009E655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555"/>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D94"/>
    <w:rsid w:val="00A32C05"/>
    <w:rsid w:val="00A32ED9"/>
    <w:rsid w:val="00A3316F"/>
    <w:rsid w:val="00A33241"/>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3AC"/>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4C2"/>
    <w:rsid w:val="00A8586E"/>
    <w:rsid w:val="00A85AD9"/>
    <w:rsid w:val="00A85D91"/>
    <w:rsid w:val="00A860B5"/>
    <w:rsid w:val="00A8667D"/>
    <w:rsid w:val="00A86C4D"/>
    <w:rsid w:val="00A874C5"/>
    <w:rsid w:val="00A87AF0"/>
    <w:rsid w:val="00A901AF"/>
    <w:rsid w:val="00A901F9"/>
    <w:rsid w:val="00A90569"/>
    <w:rsid w:val="00A9099E"/>
    <w:rsid w:val="00A909AB"/>
    <w:rsid w:val="00A910CD"/>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C7C"/>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6FA8"/>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3FEC"/>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2007F"/>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3EB6"/>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425"/>
    <w:rsid w:val="00BA1DF5"/>
    <w:rsid w:val="00BA27FC"/>
    <w:rsid w:val="00BA3A37"/>
    <w:rsid w:val="00BA3D64"/>
    <w:rsid w:val="00BA3FDC"/>
    <w:rsid w:val="00BA4023"/>
    <w:rsid w:val="00BA4225"/>
    <w:rsid w:val="00BA55DD"/>
    <w:rsid w:val="00BA5BCD"/>
    <w:rsid w:val="00BA603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68"/>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31D"/>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07B"/>
    <w:rsid w:val="00BF21EA"/>
    <w:rsid w:val="00BF2BC8"/>
    <w:rsid w:val="00BF3052"/>
    <w:rsid w:val="00BF35FD"/>
    <w:rsid w:val="00BF3DD1"/>
    <w:rsid w:val="00BF4466"/>
    <w:rsid w:val="00BF5322"/>
    <w:rsid w:val="00BF5506"/>
    <w:rsid w:val="00BF5BCA"/>
    <w:rsid w:val="00BF6B8A"/>
    <w:rsid w:val="00BF7FE9"/>
    <w:rsid w:val="00C0008A"/>
    <w:rsid w:val="00C008F0"/>
    <w:rsid w:val="00C01113"/>
    <w:rsid w:val="00C01D45"/>
    <w:rsid w:val="00C02611"/>
    <w:rsid w:val="00C03033"/>
    <w:rsid w:val="00C03D11"/>
    <w:rsid w:val="00C04435"/>
    <w:rsid w:val="00C0443F"/>
    <w:rsid w:val="00C0449E"/>
    <w:rsid w:val="00C04B37"/>
    <w:rsid w:val="00C058F0"/>
    <w:rsid w:val="00C05B24"/>
    <w:rsid w:val="00C05F0D"/>
    <w:rsid w:val="00C065BA"/>
    <w:rsid w:val="00C06AD3"/>
    <w:rsid w:val="00C06B3D"/>
    <w:rsid w:val="00C06DF4"/>
    <w:rsid w:val="00C0734C"/>
    <w:rsid w:val="00C07694"/>
    <w:rsid w:val="00C07819"/>
    <w:rsid w:val="00C07A1B"/>
    <w:rsid w:val="00C1041A"/>
    <w:rsid w:val="00C10607"/>
    <w:rsid w:val="00C10BB2"/>
    <w:rsid w:val="00C1134B"/>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867"/>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779D"/>
    <w:rsid w:val="00C97D30"/>
    <w:rsid w:val="00CA0510"/>
    <w:rsid w:val="00CA0684"/>
    <w:rsid w:val="00CA084F"/>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5115"/>
    <w:rsid w:val="00CB5137"/>
    <w:rsid w:val="00CB57D1"/>
    <w:rsid w:val="00CB5A1C"/>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2FB8"/>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47D"/>
    <w:rsid w:val="00CF1715"/>
    <w:rsid w:val="00CF2558"/>
    <w:rsid w:val="00CF28A3"/>
    <w:rsid w:val="00CF387C"/>
    <w:rsid w:val="00CF3C17"/>
    <w:rsid w:val="00CF4E54"/>
    <w:rsid w:val="00CF4F90"/>
    <w:rsid w:val="00CF521C"/>
    <w:rsid w:val="00CF5499"/>
    <w:rsid w:val="00CF587C"/>
    <w:rsid w:val="00CF5CC0"/>
    <w:rsid w:val="00CF6143"/>
    <w:rsid w:val="00CF675E"/>
    <w:rsid w:val="00CF681C"/>
    <w:rsid w:val="00CF692C"/>
    <w:rsid w:val="00CF6C60"/>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CE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12FC"/>
    <w:rsid w:val="00D928B1"/>
    <w:rsid w:val="00D9296E"/>
    <w:rsid w:val="00D9370A"/>
    <w:rsid w:val="00D94526"/>
    <w:rsid w:val="00D94754"/>
    <w:rsid w:val="00D9496A"/>
    <w:rsid w:val="00D94A3F"/>
    <w:rsid w:val="00D94BAE"/>
    <w:rsid w:val="00D9513A"/>
    <w:rsid w:val="00D9561C"/>
    <w:rsid w:val="00D9595B"/>
    <w:rsid w:val="00D95A78"/>
    <w:rsid w:val="00D96701"/>
    <w:rsid w:val="00D9745F"/>
    <w:rsid w:val="00D979A5"/>
    <w:rsid w:val="00DA1A80"/>
    <w:rsid w:val="00DA1C91"/>
    <w:rsid w:val="00DA1D1C"/>
    <w:rsid w:val="00DA2687"/>
    <w:rsid w:val="00DA28E0"/>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5AC"/>
    <w:rsid w:val="00DC3B67"/>
    <w:rsid w:val="00DC3E10"/>
    <w:rsid w:val="00DC3E34"/>
    <w:rsid w:val="00DC4256"/>
    <w:rsid w:val="00DC4346"/>
    <w:rsid w:val="00DC55DD"/>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486"/>
    <w:rsid w:val="00DD6A80"/>
    <w:rsid w:val="00DD6ADD"/>
    <w:rsid w:val="00DD6EBE"/>
    <w:rsid w:val="00DD7C2F"/>
    <w:rsid w:val="00DD7E22"/>
    <w:rsid w:val="00DE0741"/>
    <w:rsid w:val="00DE077B"/>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1A5"/>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723"/>
    <w:rsid w:val="00ED5CC0"/>
    <w:rsid w:val="00ED6166"/>
    <w:rsid w:val="00ED61D4"/>
    <w:rsid w:val="00ED6864"/>
    <w:rsid w:val="00ED6A18"/>
    <w:rsid w:val="00ED7AC1"/>
    <w:rsid w:val="00ED7BED"/>
    <w:rsid w:val="00EE05A6"/>
    <w:rsid w:val="00EE08C0"/>
    <w:rsid w:val="00EE1269"/>
    <w:rsid w:val="00EE1D03"/>
    <w:rsid w:val="00EE2051"/>
    <w:rsid w:val="00EE3A30"/>
    <w:rsid w:val="00EE3A90"/>
    <w:rsid w:val="00EE40F7"/>
    <w:rsid w:val="00EE449C"/>
    <w:rsid w:val="00EE476F"/>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07748"/>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C9E"/>
    <w:rsid w:val="00F17D3F"/>
    <w:rsid w:val="00F2034F"/>
    <w:rsid w:val="00F20BDA"/>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472"/>
    <w:rsid w:val="00F477C8"/>
    <w:rsid w:val="00F47EA2"/>
    <w:rsid w:val="00F50AA0"/>
    <w:rsid w:val="00F51276"/>
    <w:rsid w:val="00F51CD4"/>
    <w:rsid w:val="00F51F24"/>
    <w:rsid w:val="00F52059"/>
    <w:rsid w:val="00F528C4"/>
    <w:rsid w:val="00F535A2"/>
    <w:rsid w:val="00F53BC0"/>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5B39"/>
    <w:rsid w:val="00F665AD"/>
    <w:rsid w:val="00F66992"/>
    <w:rsid w:val="00F67008"/>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332"/>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B13"/>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10EB"/>
    <w:rsid w:val="00FC147A"/>
    <w:rsid w:val="00FC174F"/>
    <w:rsid w:val="00FC1B09"/>
    <w:rsid w:val="00FC20C4"/>
    <w:rsid w:val="00FC22FE"/>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3FEA"/>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03D"/>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BA60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603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paragraph" w:customStyle="1" w:styleId="maintext">
    <w:name w:val="main text"/>
    <w:basedOn w:val="Normal"/>
    <w:link w:val="maintextChar"/>
    <w:qFormat/>
    <w:rsid w:val="009720CC"/>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9720CC"/>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2FHT6SDPEKRM-4-36121</_dlc_DocId>
    <_dlc_DocIdUrl xmlns="2f0fb0e4-6f95-4f64-8efb-58e3d90405ce">
      <Url>https://projects.qualcomm.com/sites/SkyBer/_layouts/15/DocIdRedir.aspx?ID=2FHT6SDPEKRM-4-36121</Url>
      <Description>2FHT6SDPEKRM-4-36121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3865-39EC-4105-8318-24F1DBD56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B07A1A-30A0-47D3-8955-E644D8E9B5EA}">
  <ds:schemaRefs>
    <ds:schemaRef ds:uri="office.server.policy"/>
  </ds:schemaRefs>
</ds:datastoreItem>
</file>

<file path=customXml/itemProps3.xml><?xml version="1.0" encoding="utf-8"?>
<ds:datastoreItem xmlns:ds="http://schemas.openxmlformats.org/officeDocument/2006/customXml" ds:itemID="{59715A0D-6074-4C28-A462-99D396826BA5}">
  <ds:schemaRefs>
    <ds:schemaRef ds:uri="http://schemas.microsoft.com/sharepoint/events"/>
  </ds:schemaRefs>
</ds:datastoreItem>
</file>

<file path=customXml/itemProps4.xml><?xml version="1.0" encoding="utf-8"?>
<ds:datastoreItem xmlns:ds="http://schemas.openxmlformats.org/officeDocument/2006/customXml" ds:itemID="{AD0B825B-6A33-490F-AA54-9ECB1CC348E5}">
  <ds:schemaRefs>
    <ds:schemaRef ds:uri="http://schemas.microsoft.com/sharepoint/v3/contenttype/forms"/>
  </ds:schemaRefs>
</ds:datastoreItem>
</file>

<file path=customXml/itemProps5.xml><?xml version="1.0" encoding="utf-8"?>
<ds:datastoreItem xmlns:ds="http://schemas.openxmlformats.org/officeDocument/2006/customXml" ds:itemID="{F5B368CC-7253-4A81-A8D0-B4826CC1825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FC231CF2-AFB6-4A3E-BE8C-B5C2AE01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2018-05-12T00:17:00Z</dcterms:created>
  <dcterms:modified xsi:type="dcterms:W3CDTF">2018-05-12T00:17:00Z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75f22b32-9cfe-4570-beee-82d330c9f6a1</vt:lpwstr>
  </property>
</Properties>
</file>