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4D5C80D5" w:rsidR="00584ABE" w:rsidRPr="00C536F2" w:rsidRDefault="002A45C6" w:rsidP="005923F4">
      <w:pPr>
        <w:pStyle w:val="3GPPHeader"/>
        <w:spacing w:after="60"/>
        <w:rPr>
          <w:rFonts w:ascii="Arial" w:hAnsi="Arial" w:cs="Arial"/>
        </w:rPr>
      </w:pPr>
      <w:bookmarkStart w:id="0" w:name="_Ref462817227"/>
      <w:r>
        <w:t>3GPP TSG-RAN WG1 Meeting #93</w:t>
      </w:r>
      <w:r w:rsidR="00B548DA" w:rsidRPr="00C536F2">
        <w:rPr>
          <w:rFonts w:ascii="Arial" w:hAnsi="Arial" w:cs="Arial"/>
        </w:rPr>
        <w:tab/>
      </w:r>
      <w:r w:rsidR="00783800">
        <w:rPr>
          <w:rFonts w:ascii="Arial" w:hAnsi="Arial" w:cs="Arial"/>
        </w:rPr>
        <w:t>R1</w:t>
      </w:r>
      <w:r w:rsidR="008E1D88">
        <w:rPr>
          <w:rFonts w:ascii="Arial" w:hAnsi="Arial" w:cs="Arial"/>
        </w:rPr>
        <w:t>-</w:t>
      </w:r>
      <w:r w:rsidR="00F40C33">
        <w:rPr>
          <w:rFonts w:ascii="Arial" w:hAnsi="Arial" w:cs="Arial"/>
        </w:rPr>
        <w:t>18</w:t>
      </w:r>
      <w:r>
        <w:rPr>
          <w:rFonts w:ascii="Arial" w:hAnsi="Arial" w:cs="Arial"/>
        </w:rPr>
        <w:t>0</w:t>
      </w:r>
      <w:r w:rsidR="005E45BC">
        <w:rPr>
          <w:rFonts w:ascii="Arial" w:hAnsi="Arial" w:cs="Arial"/>
        </w:rPr>
        <w:t>6390</w:t>
      </w:r>
    </w:p>
    <w:p w14:paraId="7A9879CD" w14:textId="4F016D4E" w:rsidR="00584ABE" w:rsidRPr="007A3FE1" w:rsidRDefault="002A45C6" w:rsidP="005923F4">
      <w:pPr>
        <w:pStyle w:val="3GPPHeader"/>
        <w:spacing w:after="60"/>
        <w:rPr>
          <w:rFonts w:ascii="Arial" w:hAnsi="Arial" w:cs="Arial"/>
          <w:b w:val="0"/>
          <w:noProof/>
        </w:rPr>
      </w:pPr>
      <w:r>
        <w:t>Busan</w:t>
      </w:r>
      <w:r w:rsidR="008E1D88" w:rsidRPr="0038629C">
        <w:t xml:space="preserve">, </w:t>
      </w:r>
      <w:r>
        <w:t>Korea</w:t>
      </w:r>
      <w:r w:rsidR="00C86997">
        <w:t>,</w:t>
      </w:r>
      <w:r w:rsidR="008E1D88" w:rsidRPr="0038629C">
        <w:t xml:space="preserve"> </w:t>
      </w:r>
      <w:r>
        <w:t>21</w:t>
      </w:r>
      <w:r w:rsidRPr="002A45C6">
        <w:rPr>
          <w:vertAlign w:val="superscript"/>
        </w:rPr>
        <w:t>st</w:t>
      </w:r>
      <w:r>
        <w:t xml:space="preserve"> - 25</w:t>
      </w:r>
      <w:r w:rsidRPr="002A45C6">
        <w:rPr>
          <w:vertAlign w:val="superscript"/>
        </w:rPr>
        <w:t>th</w:t>
      </w:r>
      <w:r>
        <w:t xml:space="preserve"> May,</w:t>
      </w:r>
      <w:r w:rsidR="008E1D88" w:rsidRPr="0038629C">
        <w:t xml:space="preserve"> 2018</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4701A354"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2A45C6">
        <w:rPr>
          <w:rFonts w:ascii="Arial" w:hAnsi="Arial" w:cs="Arial"/>
          <w:sz w:val="22"/>
        </w:rPr>
        <w:t>1.3.4.1</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5494765B"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2A45C6">
        <w:rPr>
          <w:rFonts w:ascii="Arial" w:hAnsi="Arial" w:cs="Arial"/>
          <w:sz w:val="22"/>
        </w:rPr>
        <w:t>QCL related issues during BWP switching</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3B13F3CF" w14:textId="16BA1F14" w:rsidR="00275CAD" w:rsidRPr="00633833" w:rsidRDefault="00EA3284" w:rsidP="001F718F">
      <w:pPr>
        <w:pStyle w:val="Proposal"/>
        <w:numPr>
          <w:ilvl w:val="0"/>
          <w:numId w:val="0"/>
        </w:numPr>
        <w:rPr>
          <w:rFonts w:ascii="Times New Roman" w:hAnsi="Times New Roman" w:cs="Times New Roman"/>
          <w:sz w:val="20"/>
          <w:szCs w:val="20"/>
          <w:lang w:eastAsia="en-US"/>
        </w:rPr>
      </w:pPr>
      <w:r>
        <w:rPr>
          <w:rFonts w:ascii="Times New Roman" w:hAnsi="Times New Roman" w:cs="Times New Roman"/>
          <w:b w:val="0"/>
          <w:bCs w:val="0"/>
          <w:sz w:val="20"/>
          <w:szCs w:val="20"/>
          <w:lang w:eastAsia="en-US"/>
        </w:rPr>
        <w:t xml:space="preserve">In current NR specs, the relationship between </w:t>
      </w:r>
      <w:r w:rsidR="003A254F">
        <w:rPr>
          <w:rFonts w:ascii="Times New Roman" w:hAnsi="Times New Roman" w:cs="Times New Roman"/>
          <w:b w:val="0"/>
          <w:bCs w:val="0"/>
          <w:sz w:val="20"/>
          <w:szCs w:val="20"/>
          <w:lang w:eastAsia="en-US"/>
        </w:rPr>
        <w:t xml:space="preserve">BWP </w:t>
      </w:r>
      <w:r>
        <w:rPr>
          <w:rFonts w:ascii="Times New Roman" w:hAnsi="Times New Roman" w:cs="Times New Roman"/>
          <w:b w:val="0"/>
          <w:bCs w:val="0"/>
          <w:sz w:val="20"/>
          <w:szCs w:val="20"/>
          <w:lang w:eastAsia="en-US"/>
        </w:rPr>
        <w:t xml:space="preserve">and </w:t>
      </w:r>
      <w:r w:rsidR="003A254F">
        <w:rPr>
          <w:rFonts w:ascii="Times New Roman" w:hAnsi="Times New Roman" w:cs="Times New Roman"/>
          <w:b w:val="0"/>
          <w:bCs w:val="0"/>
          <w:sz w:val="20"/>
          <w:szCs w:val="20"/>
          <w:lang w:eastAsia="en-US"/>
        </w:rPr>
        <w:t xml:space="preserve">QCL/beam assumption is not clearly defined. On one hand, BWP is defined purely in frequency domain as </w:t>
      </w:r>
      <w:r w:rsidR="003A254F" w:rsidRPr="003A254F">
        <w:rPr>
          <w:rFonts w:ascii="Times New Roman" w:hAnsi="Times New Roman" w:cs="Times New Roman"/>
          <w:b w:val="0"/>
          <w:bCs w:val="0"/>
          <w:sz w:val="20"/>
          <w:szCs w:val="20"/>
          <w:lang w:eastAsia="en-US"/>
        </w:rPr>
        <w:t>a group of contiguous physical resource blocks associated with a specific numerology</w:t>
      </w:r>
      <w:r w:rsidR="003A254F">
        <w:rPr>
          <w:rFonts w:ascii="Times New Roman" w:hAnsi="Times New Roman" w:cs="Times New Roman"/>
          <w:b w:val="0"/>
          <w:bCs w:val="0"/>
          <w:sz w:val="20"/>
          <w:szCs w:val="20"/>
          <w:lang w:eastAsia="en-US"/>
        </w:rPr>
        <w:t xml:space="preserve"> without any spatial property. On the other ha</w:t>
      </w:r>
      <w:r w:rsidR="00C81698">
        <w:rPr>
          <w:rFonts w:ascii="Times New Roman" w:hAnsi="Times New Roman" w:cs="Times New Roman"/>
          <w:b w:val="0"/>
          <w:bCs w:val="0"/>
          <w:sz w:val="20"/>
          <w:szCs w:val="20"/>
          <w:lang w:eastAsia="en-US"/>
        </w:rPr>
        <w:t xml:space="preserve">nd, the reference signal used for QCL/beam indication is associated with certain BWP. </w:t>
      </w:r>
      <w:r w:rsidR="001F718F">
        <w:rPr>
          <w:rFonts w:ascii="Times New Roman" w:hAnsi="Times New Roman" w:cs="Times New Roman"/>
          <w:b w:val="0"/>
          <w:bCs w:val="0"/>
          <w:sz w:val="20"/>
          <w:szCs w:val="20"/>
          <w:lang w:eastAsia="en-US"/>
        </w:rPr>
        <w:t xml:space="preserve">Therefore, </w:t>
      </w:r>
      <w:r w:rsidR="00C7229E">
        <w:rPr>
          <w:rFonts w:ascii="Times New Roman" w:hAnsi="Times New Roman" w:cs="Times New Roman"/>
          <w:b w:val="0"/>
          <w:bCs w:val="0"/>
          <w:sz w:val="20"/>
          <w:szCs w:val="20"/>
          <w:lang w:eastAsia="en-US"/>
        </w:rPr>
        <w:t xml:space="preserve">in this contribution we analyse </w:t>
      </w:r>
      <w:r w:rsidR="00FA1A08">
        <w:rPr>
          <w:rFonts w:ascii="Times New Roman" w:hAnsi="Times New Roman" w:cs="Times New Roman"/>
          <w:b w:val="0"/>
          <w:bCs w:val="0"/>
          <w:sz w:val="20"/>
          <w:szCs w:val="20"/>
          <w:lang w:eastAsia="en-US"/>
        </w:rPr>
        <w:t>the QCL/beam assumption during</w:t>
      </w:r>
      <w:r w:rsidR="001F718F">
        <w:rPr>
          <w:rFonts w:ascii="Times New Roman" w:hAnsi="Times New Roman" w:cs="Times New Roman"/>
          <w:b w:val="0"/>
          <w:bCs w:val="0"/>
          <w:sz w:val="20"/>
          <w:szCs w:val="20"/>
          <w:lang w:eastAsia="en-US"/>
        </w:rPr>
        <w:t xml:space="preserve"> the course of BWP switching.  </w:t>
      </w:r>
      <w:r w:rsidR="00C81698">
        <w:rPr>
          <w:rFonts w:ascii="Times New Roman" w:hAnsi="Times New Roman" w:cs="Times New Roman"/>
          <w:b w:val="0"/>
          <w:bCs w:val="0"/>
          <w:sz w:val="20"/>
          <w:szCs w:val="20"/>
          <w:lang w:eastAsia="en-US"/>
        </w:rPr>
        <w:t xml:space="preserve"> </w:t>
      </w:r>
      <w:bookmarkStart w:id="1" w:name="_Ref462918989"/>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4A891033" w14:textId="38CDCBF9" w:rsidR="0085247B" w:rsidRDefault="0085247B"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As discussed</w:t>
      </w:r>
      <w:r w:rsidR="001F718F">
        <w:rPr>
          <w:rFonts w:ascii="Times New Roman" w:hAnsi="Times New Roman" w:cs="Times New Roman"/>
          <w:sz w:val="20"/>
          <w:szCs w:val="20"/>
          <w:lang w:eastAsia="en-US"/>
        </w:rPr>
        <w:t xml:space="preserve"> in RAN1 before, t</w:t>
      </w:r>
      <w:r w:rsidR="001F718F" w:rsidRPr="001F718F">
        <w:rPr>
          <w:rFonts w:ascii="Times New Roman" w:hAnsi="Times New Roman" w:cs="Times New Roman"/>
          <w:sz w:val="20"/>
          <w:szCs w:val="20"/>
          <w:lang w:eastAsia="en-US"/>
        </w:rPr>
        <w:t>he usage scenarios of BWP operation include enabling reduced UE bandwidth capability within a wid</w:t>
      </w:r>
      <w:r w:rsidR="001F718F">
        <w:rPr>
          <w:rFonts w:ascii="Times New Roman" w:hAnsi="Times New Roman" w:cs="Times New Roman"/>
          <w:sz w:val="20"/>
          <w:szCs w:val="20"/>
          <w:lang w:eastAsia="en-US"/>
        </w:rPr>
        <w:t>eband carrier, enabling UE power saving</w:t>
      </w:r>
      <w:r w:rsidR="001F718F" w:rsidRPr="001F718F">
        <w:rPr>
          <w:rFonts w:ascii="Times New Roman" w:hAnsi="Times New Roman" w:cs="Times New Roman"/>
          <w:sz w:val="20"/>
          <w:szCs w:val="20"/>
          <w:lang w:eastAsia="en-US"/>
        </w:rPr>
        <w:t xml:space="preserve"> by bandwidth adaptation, and enabling UE using different numerologies in FDM within a wideband carrier</w:t>
      </w:r>
      <w:r w:rsidR="00443BE9">
        <w:rPr>
          <w:rFonts w:ascii="Times New Roman" w:hAnsi="Times New Roman" w:cs="Times New Roman"/>
          <w:sz w:val="20"/>
          <w:szCs w:val="20"/>
          <w:lang w:eastAsia="en-US"/>
        </w:rPr>
        <w:t xml:space="preserve"> [1]</w:t>
      </w:r>
      <w:r w:rsidR="00655A53">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If more than one BWP</w:t>
      </w:r>
      <w:r w:rsidR="008E05F6">
        <w:rPr>
          <w:rFonts w:ascii="Times New Roman" w:hAnsi="Times New Roman" w:cs="Times New Roman"/>
          <w:sz w:val="20"/>
          <w:szCs w:val="20"/>
          <w:lang w:eastAsia="en-US"/>
        </w:rPr>
        <w:t>s are</w:t>
      </w:r>
      <w:r>
        <w:rPr>
          <w:rFonts w:ascii="Times New Roman" w:hAnsi="Times New Roman" w:cs="Times New Roman"/>
          <w:sz w:val="20"/>
          <w:szCs w:val="20"/>
          <w:lang w:eastAsia="en-US"/>
        </w:rPr>
        <w:t xml:space="preserve"> configured to the UE, the active BWP can be switched among the configured ones using RRC, DCI, or timer. </w:t>
      </w:r>
    </w:p>
    <w:p w14:paraId="2D356A3A" w14:textId="4273A18B" w:rsidR="00547F05" w:rsidRDefault="0085247B" w:rsidP="00AF53B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When UE performing BWP switching,</w:t>
      </w:r>
      <w:r w:rsidR="00655A53">
        <w:rPr>
          <w:rFonts w:ascii="Times New Roman" w:hAnsi="Times New Roman" w:cs="Times New Roman"/>
          <w:sz w:val="20"/>
          <w:szCs w:val="20"/>
          <w:lang w:eastAsia="en-US"/>
        </w:rPr>
        <w:t xml:space="preserve"> </w:t>
      </w:r>
      <w:r w:rsidR="008E05F6">
        <w:rPr>
          <w:rFonts w:ascii="Times New Roman" w:hAnsi="Times New Roman" w:cs="Times New Roman"/>
          <w:sz w:val="20"/>
          <w:szCs w:val="20"/>
          <w:lang w:eastAsia="en-US"/>
        </w:rPr>
        <w:t xml:space="preserve">it is important for UE to be able to keep the existing beam pair between gNB and UE, since BWP switching is aimed for, e.g. power saving, other than beam failure recovery. Beam pair can be updated by beam management procedures. </w:t>
      </w:r>
      <w:r w:rsidR="00FA1A08">
        <w:rPr>
          <w:rFonts w:ascii="Times New Roman" w:hAnsi="Times New Roman" w:cs="Times New Roman"/>
          <w:sz w:val="20"/>
          <w:szCs w:val="20"/>
          <w:lang w:eastAsia="en-US"/>
        </w:rPr>
        <w:t xml:space="preserve">In the following, we discuss </w:t>
      </w:r>
      <w:r w:rsidR="00FA1A08" w:rsidRPr="00FA1A08">
        <w:rPr>
          <w:rFonts w:ascii="Times New Roman" w:hAnsi="Times New Roman" w:cs="Times New Roman"/>
          <w:sz w:val="20"/>
          <w:szCs w:val="20"/>
          <w:lang w:eastAsia="en-US"/>
        </w:rPr>
        <w:t>the QCL/beam determination in case of BWP switching</w:t>
      </w:r>
      <w:r w:rsidR="00FA1A08">
        <w:rPr>
          <w:rFonts w:ascii="Times New Roman" w:hAnsi="Times New Roman" w:cs="Times New Roman"/>
          <w:sz w:val="20"/>
          <w:szCs w:val="20"/>
          <w:lang w:eastAsia="en-US"/>
        </w:rPr>
        <w:t xml:space="preserve"> for DL.</w:t>
      </w:r>
    </w:p>
    <w:p w14:paraId="0484C391" w14:textId="74E43917" w:rsidR="00221997" w:rsidRDefault="00221997" w:rsidP="00221997">
      <w:pPr>
        <w:pStyle w:val="Heading4"/>
        <w:numPr>
          <w:ilvl w:val="0"/>
          <w:numId w:val="0"/>
        </w:numPr>
        <w:ind w:left="864" w:right="569" w:hanging="864"/>
      </w:pPr>
      <w:r>
        <w:t xml:space="preserve">2.1 </w:t>
      </w:r>
      <w:r w:rsidR="009A3421">
        <w:t>PDCCH</w:t>
      </w:r>
      <w:r>
        <w:t xml:space="preserve"> beam</w:t>
      </w:r>
      <w:r w:rsidR="007E6BD5">
        <w:t xml:space="preserve"> </w:t>
      </w:r>
      <w:r w:rsidR="00BF0B1D">
        <w:t>determination</w:t>
      </w:r>
    </w:p>
    <w:p w14:paraId="60B04E74" w14:textId="3B9775AC" w:rsidR="0086740A" w:rsidRDefault="009B19F5" w:rsidP="009B19F5">
      <w:pPr>
        <w:pStyle w:val="BodyText"/>
        <w:rPr>
          <w:rFonts w:ascii="Times New Roman" w:hAnsi="Times New Roman" w:cs="Times New Roman"/>
          <w:sz w:val="20"/>
          <w:szCs w:val="20"/>
          <w:lang w:eastAsia="en-US"/>
        </w:rPr>
      </w:pPr>
      <w:r w:rsidRPr="009B19F5">
        <w:rPr>
          <w:rFonts w:ascii="Times New Roman" w:hAnsi="Times New Roman" w:cs="Times New Roman"/>
          <w:sz w:val="20"/>
          <w:szCs w:val="20"/>
          <w:lang w:eastAsia="en-US"/>
        </w:rPr>
        <w:t>TCI states</w:t>
      </w:r>
      <w:r w:rsidR="006675F9">
        <w:rPr>
          <w:rFonts w:ascii="Times New Roman" w:hAnsi="Times New Roman" w:cs="Times New Roman"/>
          <w:sz w:val="20"/>
          <w:szCs w:val="20"/>
          <w:lang w:eastAsia="en-US"/>
        </w:rPr>
        <w:t xml:space="preserve"> </w:t>
      </w:r>
      <w:r w:rsidR="0040709E">
        <w:rPr>
          <w:rFonts w:ascii="Times New Roman" w:hAnsi="Times New Roman" w:cs="Times New Roman"/>
          <w:sz w:val="20"/>
          <w:szCs w:val="20"/>
          <w:lang w:eastAsia="en-US"/>
        </w:rPr>
        <w:t xml:space="preserve">for PDCCH monitoring </w:t>
      </w:r>
      <w:r w:rsidR="006675F9">
        <w:rPr>
          <w:rFonts w:ascii="Times New Roman" w:hAnsi="Times New Roman" w:cs="Times New Roman"/>
          <w:sz w:val="20"/>
          <w:szCs w:val="20"/>
          <w:lang w:eastAsia="en-US"/>
        </w:rPr>
        <w:t>are configured</w:t>
      </w:r>
      <w:r w:rsidRPr="009B19F5">
        <w:rPr>
          <w:rFonts w:ascii="Times New Roman" w:hAnsi="Times New Roman" w:cs="Times New Roman"/>
          <w:sz w:val="20"/>
          <w:szCs w:val="20"/>
          <w:lang w:eastAsia="en-US"/>
        </w:rPr>
        <w:t xml:space="preserve"> by RRC in </w:t>
      </w:r>
      <w:r w:rsidRPr="006675F9">
        <w:rPr>
          <w:rFonts w:ascii="Times New Roman" w:hAnsi="Times New Roman" w:cs="Times New Roman"/>
          <w:i/>
          <w:sz w:val="20"/>
          <w:szCs w:val="20"/>
          <w:lang w:eastAsia="en-US"/>
        </w:rPr>
        <w:t>TCI-StatesPDCCH</w:t>
      </w:r>
      <w:r w:rsidRPr="009B19F5">
        <w:rPr>
          <w:rFonts w:ascii="Times New Roman" w:hAnsi="Times New Roman" w:cs="Times New Roman"/>
          <w:sz w:val="20"/>
          <w:szCs w:val="20"/>
          <w:lang w:eastAsia="en-US"/>
        </w:rPr>
        <w:t xml:space="preserve"> for each CORESET, and </w:t>
      </w:r>
      <w:r w:rsidR="00305D11">
        <w:rPr>
          <w:rFonts w:ascii="Times New Roman" w:hAnsi="Times New Roman" w:cs="Times New Roman"/>
          <w:sz w:val="20"/>
          <w:szCs w:val="20"/>
          <w:lang w:eastAsia="en-US"/>
        </w:rPr>
        <w:t xml:space="preserve">if the number of TCI states is larger than 1, </w:t>
      </w:r>
      <w:r w:rsidRPr="009B19F5">
        <w:rPr>
          <w:rFonts w:ascii="Times New Roman" w:hAnsi="Times New Roman" w:cs="Times New Roman"/>
          <w:sz w:val="20"/>
          <w:szCs w:val="20"/>
          <w:lang w:eastAsia="en-US"/>
        </w:rPr>
        <w:t>subsequently activated by MAC CE to provide QCL references for PDCCH</w:t>
      </w:r>
      <w:r w:rsidR="00B940C7">
        <w:rPr>
          <w:rFonts w:ascii="Times New Roman" w:hAnsi="Times New Roman" w:cs="Times New Roman"/>
          <w:sz w:val="20"/>
          <w:szCs w:val="20"/>
          <w:lang w:eastAsia="en-US"/>
        </w:rPr>
        <w:t>.</w:t>
      </w:r>
    </w:p>
    <w:p w14:paraId="7400AB3D" w14:textId="0A27B88F" w:rsidR="009D6AE4" w:rsidRDefault="00AF0DB6"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After </w:t>
      </w:r>
      <w:r w:rsidR="009D6AE4">
        <w:rPr>
          <w:rFonts w:ascii="Times New Roman" w:hAnsi="Times New Roman" w:cs="Times New Roman"/>
          <w:sz w:val="20"/>
          <w:szCs w:val="20"/>
          <w:lang w:eastAsia="en-US"/>
        </w:rPr>
        <w:t>TCI states for CORESET monitoring is reconfigur</w:t>
      </w:r>
      <w:r>
        <w:rPr>
          <w:rFonts w:ascii="Times New Roman" w:hAnsi="Times New Roman" w:cs="Times New Roman"/>
          <w:sz w:val="20"/>
          <w:szCs w:val="20"/>
          <w:lang w:eastAsia="en-US"/>
        </w:rPr>
        <w:t>ed</w:t>
      </w:r>
      <w:r w:rsidR="009D6AE4">
        <w:rPr>
          <w:rFonts w:ascii="Times New Roman" w:hAnsi="Times New Roman" w:cs="Times New Roman"/>
          <w:sz w:val="20"/>
          <w:szCs w:val="20"/>
          <w:lang w:eastAsia="en-US"/>
        </w:rPr>
        <w:t xml:space="preserve"> by RRC</w:t>
      </w:r>
      <w:r>
        <w:rPr>
          <w:rFonts w:ascii="Times New Roman" w:hAnsi="Times New Roman" w:cs="Times New Roman"/>
          <w:sz w:val="20"/>
          <w:szCs w:val="20"/>
          <w:lang w:eastAsia="en-US"/>
        </w:rPr>
        <w:t>, t</w:t>
      </w:r>
      <w:r w:rsidR="009D6AE4">
        <w:rPr>
          <w:rFonts w:ascii="Times New Roman" w:hAnsi="Times New Roman" w:cs="Times New Roman"/>
          <w:sz w:val="20"/>
          <w:szCs w:val="20"/>
          <w:lang w:eastAsia="en-US"/>
        </w:rPr>
        <w:t xml:space="preserve">here is a delay between the RRC reconfiguration and MAC CE activation, which is the </w:t>
      </w:r>
      <w:r w:rsidR="00BF0B1D">
        <w:rPr>
          <w:rFonts w:ascii="Times New Roman" w:hAnsi="Times New Roman" w:cs="Times New Roman"/>
          <w:sz w:val="20"/>
          <w:szCs w:val="20"/>
          <w:lang w:eastAsia="en-US"/>
        </w:rPr>
        <w:t>TCI</w:t>
      </w:r>
      <w:r w:rsidR="009D6AE4">
        <w:rPr>
          <w:rFonts w:ascii="Times New Roman" w:hAnsi="Times New Roman" w:cs="Times New Roman"/>
          <w:sz w:val="20"/>
          <w:szCs w:val="20"/>
          <w:lang w:eastAsia="en-US"/>
        </w:rPr>
        <w:t xml:space="preserve"> ambiguity period. Currently, MIMO session is discussing whether it is necessary and how to define a default TCI state for PDCCH. There were at least </w:t>
      </w:r>
      <w:r w:rsidR="00666D72">
        <w:rPr>
          <w:rFonts w:ascii="Times New Roman" w:hAnsi="Times New Roman" w:cs="Times New Roman"/>
          <w:sz w:val="20"/>
          <w:szCs w:val="20"/>
          <w:lang w:eastAsia="en-US"/>
        </w:rPr>
        <w:t xml:space="preserve">broadly </w:t>
      </w:r>
      <w:r w:rsidR="009D6AE4">
        <w:rPr>
          <w:rFonts w:ascii="Times New Roman" w:hAnsi="Times New Roman" w:cs="Times New Roman"/>
          <w:sz w:val="20"/>
          <w:szCs w:val="20"/>
          <w:lang w:eastAsia="en-US"/>
        </w:rPr>
        <w:t>three alternatives being identified during the last meeting [2]</w:t>
      </w:r>
      <w:r w:rsidR="00666D72">
        <w:rPr>
          <w:rFonts w:ascii="Times New Roman" w:hAnsi="Times New Roman" w:cs="Times New Roman"/>
          <w:sz w:val="20"/>
          <w:szCs w:val="20"/>
          <w:lang w:eastAsia="en-US"/>
        </w:rPr>
        <w:t>. Note that these alternatives has some variations within and exact definition are not yet concluded</w:t>
      </w:r>
      <w:r w:rsidR="009D6AE4">
        <w:rPr>
          <w:rFonts w:ascii="Times New Roman" w:hAnsi="Times New Roman" w:cs="Times New Roman"/>
          <w:sz w:val="20"/>
          <w:szCs w:val="20"/>
          <w:lang w:eastAsia="en-US"/>
        </w:rPr>
        <w:t>:</w:t>
      </w:r>
    </w:p>
    <w:p w14:paraId="119B9DB3" w14:textId="4DF64593" w:rsidR="009D6AE4" w:rsidRDefault="009D6AE4" w:rsidP="0033621A">
      <w:pPr>
        <w:pStyle w:val="BodyText"/>
        <w:ind w:leftChars="200" w:left="440"/>
        <w:rPr>
          <w:rFonts w:ascii="Times New Roman" w:hAnsi="Times New Roman" w:cs="Times New Roman"/>
          <w:sz w:val="20"/>
          <w:szCs w:val="20"/>
          <w:lang w:eastAsia="en-US"/>
        </w:rPr>
      </w:pPr>
      <w:r w:rsidRPr="009D6AE4">
        <w:rPr>
          <w:rFonts w:ascii="Times New Roman" w:hAnsi="Times New Roman" w:cs="Times New Roman"/>
          <w:sz w:val="20"/>
          <w:szCs w:val="20"/>
          <w:lang w:eastAsia="en-US"/>
        </w:rPr>
        <w:t>Alt-1: Default TCI state for a CORESET is given by the SS/PBCH block identified during a RACH procedure or the RS for the most recently activated TCI state from the list TCI-StatesPDCCH for the CORESET</w:t>
      </w:r>
    </w:p>
    <w:p w14:paraId="386A7B27" w14:textId="075C6A6C" w:rsidR="009A3421" w:rsidRDefault="009D6AE4" w:rsidP="0033621A">
      <w:pPr>
        <w:pStyle w:val="BodyText"/>
        <w:ind w:leftChars="200" w:left="440"/>
        <w:rPr>
          <w:rFonts w:ascii="Times New Roman" w:hAnsi="Times New Roman" w:cs="Times New Roman"/>
          <w:sz w:val="20"/>
          <w:szCs w:val="20"/>
          <w:lang w:eastAsia="en-US"/>
        </w:rPr>
      </w:pPr>
      <w:r w:rsidRPr="009D6AE4">
        <w:rPr>
          <w:rFonts w:ascii="Times New Roman" w:hAnsi="Times New Roman" w:cs="Times New Roman"/>
          <w:sz w:val="20"/>
          <w:szCs w:val="20"/>
          <w:lang w:eastAsia="en-US"/>
        </w:rPr>
        <w:t>Alt-2: First element of the list of TCI states TCI-StatesPDCCH contains the default TCI state</w:t>
      </w:r>
    </w:p>
    <w:p w14:paraId="7F6B550C" w14:textId="79A3C499" w:rsidR="009D6AE4" w:rsidRDefault="009D6AE4" w:rsidP="0033621A">
      <w:pPr>
        <w:pStyle w:val="BodyText"/>
        <w:ind w:leftChars="200" w:left="440"/>
        <w:rPr>
          <w:rFonts w:ascii="Times New Roman" w:hAnsi="Times New Roman" w:cs="Times New Roman"/>
          <w:sz w:val="20"/>
          <w:szCs w:val="20"/>
          <w:lang w:val="en-US" w:eastAsia="en-US"/>
        </w:rPr>
      </w:pPr>
      <w:r w:rsidRPr="009D6AE4">
        <w:rPr>
          <w:rFonts w:ascii="Times New Roman" w:hAnsi="Times New Roman" w:cs="Times New Roman"/>
          <w:sz w:val="20"/>
          <w:szCs w:val="20"/>
          <w:lang w:val="en-US" w:eastAsia="en-US"/>
        </w:rPr>
        <w:t>Alt-3: No specification is needed for the case</w:t>
      </w:r>
    </w:p>
    <w:p w14:paraId="1ABA2276" w14:textId="4B79C5D4" w:rsidR="00BF0B1D" w:rsidRDefault="00BF0B1D" w:rsidP="009D6AE4">
      <w:pPr>
        <w:pStyle w:val="BodyText"/>
        <w:rPr>
          <w:rFonts w:ascii="Times New Roman" w:hAnsi="Times New Roman" w:cs="Times New Roman"/>
          <w:sz w:val="20"/>
          <w:szCs w:val="20"/>
          <w:lang w:val="en-US" w:eastAsia="en-US"/>
        </w:rPr>
      </w:pPr>
    </w:p>
    <w:p w14:paraId="13C5DD12" w14:textId="464A40D1" w:rsidR="00BF0B1D" w:rsidRDefault="00931661" w:rsidP="00BF0B1D">
      <w:pPr>
        <w:pStyle w:val="BodyText"/>
        <w:rPr>
          <w:rFonts w:ascii="Times New Roman" w:hAnsi="Times New Roman" w:cs="Times New Roman"/>
          <w:sz w:val="20"/>
          <w:szCs w:val="20"/>
          <w:lang w:eastAsia="en-US"/>
        </w:rPr>
      </w:pPr>
      <w:r>
        <w:rPr>
          <w:rFonts w:ascii="Times New Roman" w:hAnsi="Times New Roman" w:cs="Times New Roman"/>
          <w:sz w:val="20"/>
          <w:szCs w:val="20"/>
          <w:lang w:val="en-US" w:eastAsia="en-US"/>
        </w:rPr>
        <w:t xml:space="preserve">Another issue is </w:t>
      </w:r>
      <w:bookmarkStart w:id="3" w:name="_GoBack"/>
      <w:r>
        <w:rPr>
          <w:rFonts w:ascii="Times New Roman" w:hAnsi="Times New Roman" w:cs="Times New Roman"/>
          <w:sz w:val="20"/>
          <w:szCs w:val="20"/>
          <w:lang w:val="en-US" w:eastAsia="en-US"/>
        </w:rPr>
        <w:t>r</w:t>
      </w:r>
      <w:bookmarkEnd w:id="3"/>
      <w:r w:rsidR="00AF0DB6">
        <w:rPr>
          <w:rFonts w:ascii="Times New Roman" w:hAnsi="Times New Roman" w:cs="Times New Roman"/>
          <w:sz w:val="20"/>
          <w:szCs w:val="20"/>
          <w:lang w:val="en-US" w:eastAsia="en-US"/>
        </w:rPr>
        <w:t>elated to BWP switching</w:t>
      </w:r>
      <w:r>
        <w:rPr>
          <w:rFonts w:ascii="Times New Roman" w:hAnsi="Times New Roman" w:cs="Times New Roman"/>
          <w:sz w:val="20"/>
          <w:szCs w:val="20"/>
          <w:lang w:val="en-US" w:eastAsia="en-US"/>
        </w:rPr>
        <w:t>.</w:t>
      </w:r>
      <w:r w:rsidR="00BF0B1D">
        <w:rPr>
          <w:rFonts w:ascii="Times New Roman" w:hAnsi="Times New Roman" w:cs="Times New Roman"/>
          <w:sz w:val="20"/>
          <w:szCs w:val="20"/>
          <w:lang w:val="en-US" w:eastAsia="en-US"/>
        </w:rPr>
        <w:t xml:space="preserve"> </w:t>
      </w:r>
      <w:r>
        <w:rPr>
          <w:rFonts w:ascii="Times New Roman" w:hAnsi="Times New Roman" w:cs="Times New Roman"/>
          <w:sz w:val="20"/>
          <w:szCs w:val="20"/>
          <w:lang w:val="en-US" w:eastAsia="en-US"/>
        </w:rPr>
        <w:t>W</w:t>
      </w:r>
      <w:r w:rsidR="00AF0DB6">
        <w:rPr>
          <w:rFonts w:ascii="Times New Roman" w:hAnsi="Times New Roman" w:cs="Times New Roman"/>
          <w:sz w:val="20"/>
          <w:szCs w:val="20"/>
          <w:lang w:val="en-US" w:eastAsia="en-US"/>
        </w:rPr>
        <w:t>hen</w:t>
      </w:r>
      <w:r w:rsidR="00BF0B1D">
        <w:rPr>
          <w:rFonts w:ascii="Times New Roman" w:hAnsi="Times New Roman" w:cs="Times New Roman"/>
          <w:sz w:val="20"/>
          <w:szCs w:val="20"/>
          <w:lang w:val="en-US" w:eastAsia="en-US"/>
        </w:rPr>
        <w:t xml:space="preserve"> UE is switched from an old BWP to a new one, </w:t>
      </w:r>
      <w:r w:rsidR="00AF0DB6">
        <w:rPr>
          <w:rFonts w:ascii="Times New Roman" w:hAnsi="Times New Roman" w:cs="Times New Roman"/>
          <w:sz w:val="20"/>
          <w:szCs w:val="20"/>
          <w:lang w:val="en-US" w:eastAsia="en-US"/>
        </w:rPr>
        <w:t xml:space="preserve">it is unclear </w:t>
      </w:r>
      <w:r w:rsidR="00BF0B1D">
        <w:rPr>
          <w:rFonts w:ascii="Times New Roman" w:hAnsi="Times New Roman" w:cs="Times New Roman"/>
          <w:sz w:val="20"/>
          <w:szCs w:val="20"/>
          <w:lang w:val="en-US" w:eastAsia="en-US"/>
        </w:rPr>
        <w:t>what TCI state will UE assume to monitor PDCCH in the new CORESET of the new BWP</w:t>
      </w:r>
      <w:r w:rsidR="00AF0DB6">
        <w:rPr>
          <w:rFonts w:ascii="Times New Roman" w:hAnsi="Times New Roman" w:cs="Times New Roman"/>
          <w:sz w:val="20"/>
          <w:szCs w:val="20"/>
          <w:lang w:val="en-US" w:eastAsia="en-US"/>
        </w:rPr>
        <w:t>.</w:t>
      </w:r>
      <w:r w:rsidR="00BF0B1D">
        <w:rPr>
          <w:rFonts w:ascii="Times New Roman" w:hAnsi="Times New Roman" w:cs="Times New Roman"/>
          <w:sz w:val="20"/>
          <w:szCs w:val="20"/>
          <w:lang w:val="en-US" w:eastAsia="en-US"/>
        </w:rPr>
        <w:t xml:space="preserve"> </w:t>
      </w:r>
      <w:r w:rsidR="00BF0B1D">
        <w:rPr>
          <w:rFonts w:ascii="Times New Roman" w:hAnsi="Times New Roman" w:cs="Times New Roman"/>
          <w:sz w:val="20"/>
          <w:szCs w:val="20"/>
          <w:lang w:eastAsia="en-US"/>
        </w:rPr>
        <w:t xml:space="preserve">If the new BWP is activated for the </w:t>
      </w:r>
      <w:r w:rsidR="00BF0B1D">
        <w:rPr>
          <w:rFonts w:ascii="Times New Roman" w:hAnsi="Times New Roman" w:cs="Times New Roman"/>
          <w:sz w:val="20"/>
          <w:szCs w:val="20"/>
          <w:lang w:eastAsia="en-US"/>
        </w:rPr>
        <w:lastRenderedPageBreak/>
        <w:t xml:space="preserve">first time, there is naturally no active TCI state associated with the new CORESET. This is similar to the </w:t>
      </w:r>
      <w:r w:rsidR="00AF0DB6">
        <w:rPr>
          <w:rFonts w:ascii="Times New Roman" w:hAnsi="Times New Roman" w:cs="Times New Roman"/>
          <w:sz w:val="20"/>
          <w:szCs w:val="20"/>
          <w:lang w:eastAsia="en-US"/>
        </w:rPr>
        <w:t>above</w:t>
      </w:r>
      <w:r>
        <w:rPr>
          <w:rFonts w:ascii="Times New Roman" w:hAnsi="Times New Roman" w:cs="Times New Roman"/>
          <w:sz w:val="20"/>
          <w:szCs w:val="20"/>
          <w:lang w:eastAsia="en-US"/>
        </w:rPr>
        <w:t>-mentioned</w:t>
      </w:r>
      <w:r w:rsidR="00AF0DB6">
        <w:rPr>
          <w:rFonts w:ascii="Times New Roman" w:hAnsi="Times New Roman" w:cs="Times New Roman"/>
          <w:sz w:val="20"/>
          <w:szCs w:val="20"/>
          <w:lang w:eastAsia="en-US"/>
        </w:rPr>
        <w:t xml:space="preserve"> </w:t>
      </w:r>
      <w:r w:rsidR="00BF0B1D">
        <w:rPr>
          <w:rFonts w:ascii="Times New Roman" w:hAnsi="Times New Roman" w:cs="Times New Roman"/>
          <w:sz w:val="20"/>
          <w:szCs w:val="20"/>
          <w:lang w:eastAsia="en-US"/>
        </w:rPr>
        <w:t>TCI ambiguity period between RRC reconfiguration and MAC-CE activation. On the other hand, if this CORESET in the new</w:t>
      </w:r>
      <w:r w:rsidR="00BF0B1D" w:rsidRPr="00BF0B1D">
        <w:rPr>
          <w:rFonts w:ascii="Times New Roman" w:hAnsi="Times New Roman" w:cs="Times New Roman"/>
          <w:sz w:val="20"/>
          <w:szCs w:val="20"/>
          <w:lang w:eastAsia="en-US"/>
        </w:rPr>
        <w:t xml:space="preserve"> BWP has been activated before</w:t>
      </w:r>
      <w:r w:rsidR="00BF0B1D">
        <w:rPr>
          <w:rFonts w:ascii="Times New Roman" w:hAnsi="Times New Roman" w:cs="Times New Roman"/>
          <w:sz w:val="20"/>
          <w:szCs w:val="20"/>
          <w:lang w:eastAsia="en-US"/>
        </w:rPr>
        <w:t xml:space="preserve"> </w:t>
      </w:r>
      <w:r w:rsidR="00BF0B1D" w:rsidRPr="00BF0B1D">
        <w:rPr>
          <w:rFonts w:ascii="Times New Roman" w:hAnsi="Times New Roman" w:cs="Times New Roman"/>
          <w:sz w:val="20"/>
          <w:szCs w:val="20"/>
          <w:lang w:eastAsia="en-US"/>
        </w:rPr>
        <w:t>(</w:t>
      </w:r>
      <w:r w:rsidR="00BF0B1D">
        <w:rPr>
          <w:rFonts w:ascii="Times New Roman" w:hAnsi="Times New Roman" w:cs="Times New Roman"/>
          <w:sz w:val="20"/>
          <w:szCs w:val="20"/>
          <w:lang w:eastAsia="en-US"/>
        </w:rPr>
        <w:t>in other words, UE has been switched from e.g. BWP#2 to BWP#1 and then back to BWP#2 again</w:t>
      </w:r>
      <w:r w:rsidR="00BF0B1D" w:rsidRPr="00BF0B1D">
        <w:rPr>
          <w:rFonts w:ascii="Times New Roman" w:hAnsi="Times New Roman" w:cs="Times New Roman"/>
          <w:sz w:val="20"/>
          <w:szCs w:val="20"/>
          <w:lang w:eastAsia="en-US"/>
        </w:rPr>
        <w:t xml:space="preserve">), </w:t>
      </w:r>
      <w:r w:rsidR="00BF0B1D">
        <w:rPr>
          <w:rFonts w:ascii="Times New Roman" w:hAnsi="Times New Roman" w:cs="Times New Roman"/>
          <w:sz w:val="20"/>
          <w:szCs w:val="20"/>
          <w:lang w:eastAsia="en-US"/>
        </w:rPr>
        <w:t>there was an activated TCI state asso</w:t>
      </w:r>
      <w:r w:rsidR="00DA536E">
        <w:rPr>
          <w:rFonts w:ascii="Times New Roman" w:hAnsi="Times New Roman" w:cs="Times New Roman"/>
          <w:sz w:val="20"/>
          <w:szCs w:val="20"/>
          <w:lang w:eastAsia="en-US"/>
        </w:rPr>
        <w:t>ciated with the CORESET in new BWP, BWP#2 in the example. However, UE should not apply this historic TCI state to the PDCCH monitoring for CORESET in BWP#2 again, because during the period when UE is activated with BWP#1, the QCL assumption in BWP#2 may become outdated.</w:t>
      </w:r>
    </w:p>
    <w:p w14:paraId="5762BC32" w14:textId="6D44BA00" w:rsidR="009D7A4A" w:rsidRDefault="004C54C2" w:rsidP="009D6AE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Note that even if the new and old BWPs have identical TCI states configurations</w:t>
      </w:r>
      <w:r w:rsidR="009D7A4A">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the TCI ambiguity for PDCCH still exists when new BWP is activated </w:t>
      </w:r>
      <w:r w:rsidR="00602CC9">
        <w:rPr>
          <w:rFonts w:ascii="Times New Roman" w:hAnsi="Times New Roman" w:cs="Times New Roman"/>
          <w:sz w:val="20"/>
          <w:szCs w:val="20"/>
          <w:lang w:eastAsia="en-US"/>
        </w:rPr>
        <w:t>because the TCI states in new BWP is not determined</w:t>
      </w:r>
      <w:r>
        <w:rPr>
          <w:rFonts w:ascii="Times New Roman" w:hAnsi="Times New Roman" w:cs="Times New Roman"/>
          <w:sz w:val="20"/>
          <w:szCs w:val="20"/>
          <w:lang w:eastAsia="en-US"/>
        </w:rPr>
        <w:t>. Therefore, specification work is needed to avoid misunderstanding between gNB and UE.</w:t>
      </w:r>
    </w:p>
    <w:p w14:paraId="48BA68E0" w14:textId="27FDF6EA" w:rsidR="00435213" w:rsidRDefault="009D7A4A" w:rsidP="009D6AE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To specify the TCI state across BWP switching, alternatives that have been identified for the default TCI state between RRC reconfiguration and MAC CE activation can be considered. However, </w:t>
      </w:r>
      <w:r w:rsidR="00F73C22">
        <w:rPr>
          <w:rFonts w:ascii="Times New Roman" w:hAnsi="Times New Roman" w:cs="Times New Roman"/>
          <w:sz w:val="20"/>
          <w:szCs w:val="20"/>
          <w:lang w:eastAsia="en-US"/>
        </w:rPr>
        <w:t xml:space="preserve">the demerit is </w:t>
      </w:r>
      <w:r>
        <w:rPr>
          <w:rFonts w:ascii="Times New Roman" w:hAnsi="Times New Roman" w:cs="Times New Roman"/>
          <w:sz w:val="20"/>
          <w:szCs w:val="20"/>
          <w:lang w:eastAsia="en-US"/>
        </w:rPr>
        <w:t xml:space="preserve">BWP switching </w:t>
      </w:r>
      <w:r w:rsidR="00931661">
        <w:rPr>
          <w:rFonts w:ascii="Times New Roman" w:hAnsi="Times New Roman" w:cs="Times New Roman"/>
          <w:sz w:val="20"/>
          <w:szCs w:val="20"/>
          <w:lang w:eastAsia="en-US"/>
        </w:rPr>
        <w:t xml:space="preserve">would </w:t>
      </w:r>
      <w:r w:rsidR="00F73C22">
        <w:rPr>
          <w:rFonts w:ascii="Times New Roman" w:hAnsi="Times New Roman" w:cs="Times New Roman"/>
          <w:sz w:val="20"/>
          <w:szCs w:val="20"/>
          <w:lang w:eastAsia="en-US"/>
        </w:rPr>
        <w:t>trigger</w:t>
      </w:r>
      <w:r>
        <w:rPr>
          <w:rFonts w:ascii="Times New Roman" w:hAnsi="Times New Roman" w:cs="Times New Roman"/>
          <w:sz w:val="20"/>
          <w:szCs w:val="20"/>
          <w:lang w:eastAsia="en-US"/>
        </w:rPr>
        <w:t xml:space="preserve"> to change the working beam pair</w:t>
      </w:r>
      <w:r w:rsidR="00F73C22">
        <w:rPr>
          <w:rFonts w:ascii="Times New Roman" w:hAnsi="Times New Roman" w:cs="Times New Roman"/>
          <w:sz w:val="20"/>
          <w:szCs w:val="20"/>
          <w:lang w:eastAsia="en-US"/>
        </w:rPr>
        <w:t xml:space="preserve">, which is not </w:t>
      </w:r>
      <w:r w:rsidR="0033621A">
        <w:rPr>
          <w:rFonts w:ascii="Times New Roman" w:hAnsi="Times New Roman" w:cs="Times New Roman"/>
          <w:sz w:val="20"/>
          <w:szCs w:val="20"/>
          <w:lang w:eastAsia="en-US"/>
        </w:rPr>
        <w:t>preferable</w:t>
      </w:r>
      <w:r>
        <w:rPr>
          <w:rFonts w:ascii="Times New Roman" w:hAnsi="Times New Roman" w:cs="Times New Roman"/>
          <w:sz w:val="20"/>
          <w:szCs w:val="20"/>
          <w:lang w:eastAsia="en-US"/>
        </w:rPr>
        <w:t>. Among those three alternatives</w:t>
      </w:r>
      <w:r w:rsidR="00F73C22">
        <w:rPr>
          <w:rFonts w:ascii="Times New Roman" w:hAnsi="Times New Roman" w:cs="Times New Roman"/>
          <w:sz w:val="20"/>
          <w:szCs w:val="20"/>
          <w:lang w:eastAsia="en-US"/>
        </w:rPr>
        <w:t xml:space="preserve"> identified for RRC reconfiguration case</w:t>
      </w:r>
      <w:r>
        <w:rPr>
          <w:rFonts w:ascii="Times New Roman" w:hAnsi="Times New Roman" w:cs="Times New Roman"/>
          <w:sz w:val="20"/>
          <w:szCs w:val="20"/>
          <w:lang w:eastAsia="en-US"/>
        </w:rPr>
        <w:t xml:space="preserve">, alt-1 is best for BWP switching case. No matter the existing TCI state in the old BWP is included in the </w:t>
      </w:r>
      <w:r w:rsidRPr="00AF0DB6">
        <w:rPr>
          <w:rFonts w:ascii="Times New Roman" w:hAnsi="Times New Roman" w:cs="Times New Roman"/>
          <w:i/>
          <w:sz w:val="20"/>
          <w:szCs w:val="20"/>
          <w:lang w:eastAsia="en-US"/>
        </w:rPr>
        <w:t>TCI-StatePDCCH</w:t>
      </w:r>
      <w:r>
        <w:rPr>
          <w:rFonts w:ascii="Times New Roman" w:hAnsi="Times New Roman" w:cs="Times New Roman"/>
          <w:sz w:val="20"/>
          <w:szCs w:val="20"/>
          <w:lang w:eastAsia="en-US"/>
        </w:rPr>
        <w:t xml:space="preserve"> in new BWP or not, UE relies on the existing TCI state for PDCCH QCL assumption in the new BWP</w:t>
      </w:r>
      <w:r w:rsidR="00E81B9B">
        <w:rPr>
          <w:rFonts w:ascii="Times New Roman" w:hAnsi="Times New Roman" w:cs="Times New Roman"/>
          <w:sz w:val="20"/>
          <w:szCs w:val="20"/>
          <w:lang w:eastAsia="en-US"/>
        </w:rPr>
        <w:t xml:space="preserve">, at least for some time after switching. After UE measures new RS and send CSI report, gNB can activate new TCI-State in the new BWP by MAC CE. Although alt-2 can avoid misunderstanding between gNB and UE during BWP switching, it </w:t>
      </w:r>
      <w:r w:rsidR="00666D72">
        <w:rPr>
          <w:rFonts w:ascii="Times New Roman" w:hAnsi="Times New Roman" w:cs="Times New Roman"/>
          <w:sz w:val="20"/>
          <w:szCs w:val="20"/>
          <w:lang w:eastAsia="en-US"/>
        </w:rPr>
        <w:t>can</w:t>
      </w:r>
      <w:r w:rsidR="00E81B9B">
        <w:rPr>
          <w:rFonts w:ascii="Times New Roman" w:hAnsi="Times New Roman" w:cs="Times New Roman"/>
          <w:sz w:val="20"/>
          <w:szCs w:val="20"/>
          <w:lang w:eastAsia="en-US"/>
        </w:rPr>
        <w:t xml:space="preserve"> introduce unnecessary beam pair switching. Moreover, first element of the list of TCI states may not even give sufficient radio link quality, resulting in beam failure potentially. </w:t>
      </w:r>
      <w:r w:rsidR="00435213">
        <w:rPr>
          <w:rFonts w:ascii="Times New Roman" w:hAnsi="Times New Roman" w:cs="Times New Roman"/>
          <w:sz w:val="20"/>
          <w:szCs w:val="20"/>
          <w:lang w:eastAsia="en-US"/>
        </w:rPr>
        <w:t>As for the alt-3, it is unclear how the TCI ambiguity can be solved by implementation. Therefore, it is the least favourable solution.</w:t>
      </w:r>
    </w:p>
    <w:p w14:paraId="7198BD90" w14:textId="3D957024" w:rsidR="00666D72" w:rsidRDefault="00666D72" w:rsidP="009D6AE4">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As</w:t>
      </w:r>
      <w:r w:rsidR="005579C5">
        <w:rPr>
          <w:rFonts w:ascii="Times New Roman" w:hAnsi="Times New Roman" w:cs="Times New Roman"/>
          <w:sz w:val="20"/>
          <w:szCs w:val="20"/>
          <w:lang w:eastAsia="en-US"/>
        </w:rPr>
        <w:t xml:space="preserve"> described above, the</w:t>
      </w:r>
      <w:r w:rsidR="005579C5" w:rsidRPr="005579C5">
        <w:t xml:space="preserve"> </w:t>
      </w:r>
      <w:r w:rsidR="005579C5" w:rsidRPr="005579C5">
        <w:rPr>
          <w:rFonts w:ascii="Times New Roman" w:hAnsi="Times New Roman" w:cs="Times New Roman"/>
          <w:sz w:val="20"/>
          <w:szCs w:val="20"/>
          <w:lang w:eastAsia="en-US"/>
        </w:rPr>
        <w:t>three alternatives identif</w:t>
      </w:r>
      <w:r w:rsidR="005579C5">
        <w:rPr>
          <w:rFonts w:ascii="Times New Roman" w:hAnsi="Times New Roman" w:cs="Times New Roman"/>
          <w:sz w:val="20"/>
          <w:szCs w:val="20"/>
          <w:lang w:eastAsia="en-US"/>
        </w:rPr>
        <w:t xml:space="preserve">ied for RRC reconfiguration are not finalized. Our </w:t>
      </w:r>
      <w:r w:rsidR="008C1BD9">
        <w:rPr>
          <w:rFonts w:ascii="Times New Roman" w:hAnsi="Times New Roman" w:cs="Times New Roman"/>
          <w:sz w:val="20"/>
          <w:szCs w:val="20"/>
          <w:lang w:eastAsia="en-US"/>
        </w:rPr>
        <w:t>p</w:t>
      </w:r>
      <w:r w:rsidR="001C4A35">
        <w:rPr>
          <w:rFonts w:ascii="Times New Roman" w:hAnsi="Times New Roman" w:cs="Times New Roman"/>
          <w:sz w:val="20"/>
          <w:szCs w:val="20"/>
          <w:lang w:eastAsia="en-US"/>
        </w:rPr>
        <w:t>roposal in alt.1</w:t>
      </w:r>
      <w:r w:rsidR="00460DB9">
        <w:rPr>
          <w:rFonts w:ascii="Times New Roman" w:hAnsi="Times New Roman" w:cs="Times New Roman"/>
          <w:sz w:val="20"/>
          <w:szCs w:val="20"/>
          <w:lang w:eastAsia="en-US"/>
        </w:rPr>
        <w:t xml:space="preserve"> is</w:t>
      </w:r>
      <w:r w:rsidR="001C4A35">
        <w:rPr>
          <w:rFonts w:ascii="Times New Roman" w:hAnsi="Times New Roman" w:cs="Times New Roman"/>
          <w:sz w:val="20"/>
          <w:szCs w:val="20"/>
          <w:lang w:eastAsia="en-US"/>
        </w:rPr>
        <w:t>,</w:t>
      </w:r>
      <w:r w:rsidR="00460DB9">
        <w:rPr>
          <w:rFonts w:ascii="Times New Roman" w:hAnsi="Times New Roman" w:cs="Times New Roman"/>
          <w:sz w:val="20"/>
          <w:szCs w:val="20"/>
          <w:lang w:eastAsia="en-US"/>
        </w:rPr>
        <w:t xml:space="preserve"> </w:t>
      </w:r>
      <w:r w:rsidR="001C4A35">
        <w:rPr>
          <w:rFonts w:ascii="Times New Roman" w:hAnsi="Times New Roman" w:cs="Times New Roman"/>
          <w:sz w:val="20"/>
          <w:szCs w:val="20"/>
          <w:lang w:eastAsia="en-US"/>
        </w:rPr>
        <w:t>a</w:t>
      </w:r>
      <w:r w:rsidR="001C4A35" w:rsidRPr="001C4A35">
        <w:rPr>
          <w:rFonts w:ascii="Times New Roman" w:hAnsi="Times New Roman" w:cs="Times New Roman"/>
          <w:sz w:val="20"/>
          <w:szCs w:val="20"/>
          <w:lang w:eastAsia="en-US"/>
        </w:rPr>
        <w:t xml:space="preserve">cross DL BWP switching, UE uses the existing TCI state in the old BWP for PDCCH QCL assumption in the </w:t>
      </w:r>
      <w:r w:rsidR="001C4A35">
        <w:rPr>
          <w:rFonts w:ascii="Times New Roman" w:hAnsi="Times New Roman" w:cs="Times New Roman"/>
          <w:sz w:val="20"/>
          <w:szCs w:val="20"/>
          <w:lang w:eastAsia="en-US"/>
        </w:rPr>
        <w:t>new BWP until MAC-CE activation</w:t>
      </w:r>
      <w:r w:rsidR="008C1BD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 </w:t>
      </w:r>
    </w:p>
    <w:p w14:paraId="503CDD4C" w14:textId="3535CC73" w:rsidR="00435213" w:rsidRDefault="00C74D92" w:rsidP="0043521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Therefore, </w:t>
      </w:r>
      <w:r w:rsidR="00435213">
        <w:rPr>
          <w:rFonts w:ascii="Times New Roman" w:hAnsi="Times New Roman" w:cs="Times New Roman"/>
          <w:sz w:val="20"/>
          <w:szCs w:val="20"/>
          <w:lang w:eastAsia="en-US"/>
        </w:rPr>
        <w:t xml:space="preserve">we have the following proposal:  </w:t>
      </w:r>
    </w:p>
    <w:p w14:paraId="4A027BCF" w14:textId="6BCD82B3" w:rsidR="00435213" w:rsidRDefault="00435213" w:rsidP="00435213">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 xml:space="preserve">Proposal 1: Across DL BWP switching, UE uses the existing TCI state in the old BWP for PDCCH QCL assumption in the new BWP until MAC-CE activation. </w:t>
      </w:r>
    </w:p>
    <w:p w14:paraId="7E368822" w14:textId="77777777" w:rsidR="00A85AE7" w:rsidRDefault="00A85AE7" w:rsidP="009B19F5">
      <w:pPr>
        <w:pStyle w:val="BodyText"/>
        <w:rPr>
          <w:rFonts w:ascii="Times New Roman" w:hAnsi="Times New Roman" w:cs="Times New Roman"/>
          <w:sz w:val="20"/>
          <w:szCs w:val="20"/>
          <w:lang w:eastAsia="en-US"/>
        </w:rPr>
      </w:pPr>
    </w:p>
    <w:p w14:paraId="29D3A47C" w14:textId="77777777" w:rsidR="00A85AE7" w:rsidRDefault="00A85AE7" w:rsidP="00A85AE7">
      <w:pPr>
        <w:pStyle w:val="Heading4"/>
        <w:numPr>
          <w:ilvl w:val="0"/>
          <w:numId w:val="0"/>
        </w:numPr>
        <w:ind w:left="864" w:right="569" w:hanging="864"/>
      </w:pPr>
      <w:r>
        <w:t>2.2 PDSCH beam determination</w:t>
      </w:r>
    </w:p>
    <w:p w14:paraId="2EAFD256" w14:textId="249464BA" w:rsidR="004462C8" w:rsidRDefault="00417BAF"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for the PDSCH QCL indication, </w:t>
      </w:r>
      <w:r w:rsidR="00B66C81">
        <w:rPr>
          <w:rFonts w:ascii="Times New Roman" w:hAnsi="Times New Roman" w:cs="Times New Roman"/>
          <w:sz w:val="20"/>
          <w:szCs w:val="20"/>
          <w:lang w:eastAsia="en-US"/>
        </w:rPr>
        <w:t xml:space="preserve">a three-step procedure is involved. </w:t>
      </w:r>
      <w:r w:rsidR="00A8392D" w:rsidRPr="00A8392D">
        <w:rPr>
          <w:rFonts w:ascii="Times New Roman" w:hAnsi="Times New Roman" w:cs="Times New Roman"/>
          <w:sz w:val="20"/>
          <w:szCs w:val="20"/>
          <w:lang w:eastAsia="en-US"/>
        </w:rPr>
        <w:t>Step</w:t>
      </w:r>
      <w:r w:rsidR="00A8392D">
        <w:rPr>
          <w:rFonts w:ascii="Times New Roman" w:hAnsi="Times New Roman" w:cs="Times New Roman"/>
          <w:sz w:val="20"/>
          <w:szCs w:val="20"/>
          <w:lang w:eastAsia="en-US"/>
        </w:rPr>
        <w:t xml:space="preserve"> </w:t>
      </w:r>
      <w:r w:rsidR="00A8392D" w:rsidRPr="00A8392D">
        <w:rPr>
          <w:rFonts w:ascii="Times New Roman" w:hAnsi="Times New Roman" w:cs="Times New Roman"/>
          <w:sz w:val="20"/>
          <w:szCs w:val="20"/>
          <w:lang w:eastAsia="en-US"/>
        </w:rPr>
        <w:t>1:RRC configures a set of TCI states</w:t>
      </w:r>
      <w:r w:rsidR="00A8392D">
        <w:rPr>
          <w:rFonts w:ascii="Times New Roman" w:hAnsi="Times New Roman" w:cs="Times New Roman"/>
          <w:sz w:val="20"/>
          <w:szCs w:val="20"/>
          <w:lang w:eastAsia="en-US"/>
        </w:rPr>
        <w:t xml:space="preserve"> for PDSCH in the corresponding BWP</w:t>
      </w:r>
      <w:r w:rsidR="00A8392D" w:rsidRPr="00A8392D">
        <w:rPr>
          <w:rFonts w:ascii="Times New Roman" w:hAnsi="Times New Roman" w:cs="Times New Roman"/>
          <w:sz w:val="20"/>
          <w:szCs w:val="20"/>
          <w:lang w:eastAsia="en-US"/>
        </w:rPr>
        <w:t xml:space="preserve"> (by IE </w:t>
      </w:r>
      <w:r w:rsidR="00A8392D" w:rsidRPr="00AF0DB6">
        <w:rPr>
          <w:rFonts w:ascii="Times New Roman" w:hAnsi="Times New Roman" w:cs="Times New Roman"/>
          <w:i/>
          <w:sz w:val="20"/>
          <w:szCs w:val="20"/>
          <w:lang w:eastAsia="en-US"/>
        </w:rPr>
        <w:t>PDSCH-Config</w:t>
      </w:r>
      <w:r w:rsidR="00A8392D">
        <w:rPr>
          <w:rFonts w:ascii="Times New Roman" w:hAnsi="Times New Roman" w:cs="Times New Roman"/>
          <w:sz w:val="20"/>
          <w:szCs w:val="20"/>
          <w:lang w:eastAsia="en-US"/>
        </w:rPr>
        <w:t>);</w:t>
      </w:r>
      <w:r w:rsidR="00A8392D" w:rsidRPr="00A8392D">
        <w:rPr>
          <w:rFonts w:ascii="Times New Roman" w:hAnsi="Times New Roman" w:cs="Times New Roman"/>
          <w:sz w:val="20"/>
          <w:szCs w:val="20"/>
          <w:lang w:eastAsia="en-US"/>
        </w:rPr>
        <w:t xml:space="preserve"> Step</w:t>
      </w:r>
      <w:r w:rsidR="00A8392D">
        <w:rPr>
          <w:rFonts w:ascii="Times New Roman" w:hAnsi="Times New Roman" w:cs="Times New Roman"/>
          <w:sz w:val="20"/>
          <w:szCs w:val="20"/>
          <w:lang w:eastAsia="en-US"/>
        </w:rPr>
        <w:t xml:space="preserve"> </w:t>
      </w:r>
      <w:r w:rsidR="00A8392D" w:rsidRPr="00A8392D">
        <w:rPr>
          <w:rFonts w:ascii="Times New Roman" w:hAnsi="Times New Roman" w:cs="Times New Roman"/>
          <w:sz w:val="20"/>
          <w:szCs w:val="20"/>
          <w:lang w:eastAsia="en-US"/>
        </w:rPr>
        <w:t>2:</w:t>
      </w:r>
      <w:r w:rsidR="00A8392D">
        <w:rPr>
          <w:rFonts w:ascii="Times New Roman" w:hAnsi="Times New Roman" w:cs="Times New Roman"/>
          <w:sz w:val="20"/>
          <w:szCs w:val="20"/>
          <w:lang w:eastAsia="en-US"/>
        </w:rPr>
        <w:t xml:space="preserve"> </w:t>
      </w:r>
      <w:r w:rsidR="00A8392D" w:rsidRPr="00A8392D">
        <w:rPr>
          <w:rFonts w:ascii="Times New Roman" w:hAnsi="Times New Roman" w:cs="Times New Roman"/>
          <w:sz w:val="20"/>
          <w:szCs w:val="20"/>
          <w:lang w:eastAsia="en-US"/>
        </w:rPr>
        <w:t>MAC CE activates a subset</w:t>
      </w:r>
      <w:r w:rsidR="00A8392D">
        <w:rPr>
          <w:rFonts w:ascii="Times New Roman" w:hAnsi="Times New Roman" w:cs="Times New Roman"/>
          <w:sz w:val="20"/>
          <w:szCs w:val="20"/>
          <w:lang w:eastAsia="en-US"/>
        </w:rPr>
        <w:t xml:space="preserve"> of TCI states (up to 8 states); </w:t>
      </w:r>
      <w:r w:rsidR="00A8392D" w:rsidRPr="00A8392D">
        <w:rPr>
          <w:rFonts w:ascii="Times New Roman" w:hAnsi="Times New Roman" w:cs="Times New Roman"/>
          <w:sz w:val="20"/>
          <w:szCs w:val="20"/>
          <w:lang w:eastAsia="en-US"/>
        </w:rPr>
        <w:t>Step</w:t>
      </w:r>
      <w:r w:rsidR="00A8392D">
        <w:rPr>
          <w:rFonts w:ascii="Times New Roman" w:hAnsi="Times New Roman" w:cs="Times New Roman"/>
          <w:sz w:val="20"/>
          <w:szCs w:val="20"/>
          <w:lang w:eastAsia="en-US"/>
        </w:rPr>
        <w:t xml:space="preserve"> </w:t>
      </w:r>
      <w:r w:rsidR="00A8392D" w:rsidRPr="00A8392D">
        <w:rPr>
          <w:rFonts w:ascii="Times New Roman" w:hAnsi="Times New Roman" w:cs="Times New Roman"/>
          <w:sz w:val="20"/>
          <w:szCs w:val="20"/>
          <w:lang w:eastAsia="en-US"/>
        </w:rPr>
        <w:t>3: DCI format 1-1 dynamically indicate one of 8 states</w:t>
      </w:r>
      <w:r w:rsidR="00A8392D">
        <w:rPr>
          <w:rFonts w:ascii="Times New Roman" w:hAnsi="Times New Roman" w:cs="Times New Roman"/>
          <w:sz w:val="20"/>
          <w:szCs w:val="20"/>
          <w:lang w:eastAsia="en-US"/>
        </w:rPr>
        <w:t xml:space="preserve"> if </w:t>
      </w:r>
      <w:r w:rsidR="00A8392D" w:rsidRPr="0086740A">
        <w:rPr>
          <w:rFonts w:ascii="Times New Roman" w:hAnsi="Times New Roman" w:cs="Times New Roman"/>
          <w:i/>
          <w:sz w:val="20"/>
          <w:szCs w:val="20"/>
          <w:lang w:eastAsia="en-US"/>
        </w:rPr>
        <w:t>TCI- PresentInDCI</w:t>
      </w:r>
      <w:r w:rsidR="00A8392D">
        <w:rPr>
          <w:rFonts w:ascii="Times New Roman" w:hAnsi="Times New Roman" w:cs="Times New Roman"/>
          <w:sz w:val="20"/>
          <w:szCs w:val="20"/>
          <w:lang w:eastAsia="en-US"/>
        </w:rPr>
        <w:t xml:space="preserve"> is enabled</w:t>
      </w:r>
      <w:r w:rsidR="00A8392D" w:rsidRPr="00A8392D">
        <w:rPr>
          <w:rFonts w:ascii="Times New Roman" w:hAnsi="Times New Roman" w:cs="Times New Roman"/>
          <w:sz w:val="20"/>
          <w:szCs w:val="20"/>
          <w:lang w:eastAsia="en-US"/>
        </w:rPr>
        <w:t>.</w:t>
      </w:r>
      <w:r w:rsidR="00A8392D">
        <w:rPr>
          <w:rFonts w:ascii="Times New Roman" w:hAnsi="Times New Roman" w:cs="Times New Roman"/>
          <w:sz w:val="20"/>
          <w:szCs w:val="20"/>
          <w:lang w:eastAsia="en-US"/>
        </w:rPr>
        <w:t xml:space="preserve"> I</w:t>
      </w:r>
      <w:r w:rsidR="00417EB0">
        <w:rPr>
          <w:rFonts w:ascii="Times New Roman" w:hAnsi="Times New Roman" w:cs="Times New Roman"/>
          <w:sz w:val="20"/>
          <w:szCs w:val="20"/>
          <w:lang w:eastAsia="en-US"/>
        </w:rPr>
        <w:t xml:space="preserve">f </w:t>
      </w:r>
      <w:r w:rsidR="00417EB0" w:rsidRPr="0086740A">
        <w:rPr>
          <w:rFonts w:ascii="Times New Roman" w:hAnsi="Times New Roman" w:cs="Times New Roman"/>
          <w:i/>
          <w:sz w:val="20"/>
          <w:szCs w:val="20"/>
          <w:lang w:eastAsia="en-US"/>
        </w:rPr>
        <w:t>TCI- PresentInDCI</w:t>
      </w:r>
      <w:r w:rsidR="00417EB0">
        <w:rPr>
          <w:rFonts w:ascii="Times New Roman" w:hAnsi="Times New Roman" w:cs="Times New Roman"/>
          <w:sz w:val="20"/>
          <w:szCs w:val="20"/>
          <w:lang w:eastAsia="en-US"/>
        </w:rPr>
        <w:t xml:space="preserve"> is disabled</w:t>
      </w:r>
      <w:r w:rsidR="00A8392D">
        <w:rPr>
          <w:rFonts w:ascii="Times New Roman" w:hAnsi="Times New Roman" w:cs="Times New Roman"/>
          <w:sz w:val="20"/>
          <w:szCs w:val="20"/>
          <w:lang w:eastAsia="en-US"/>
        </w:rPr>
        <w:t xml:space="preserve"> or DCI format 1-0 is used</w:t>
      </w:r>
      <w:r w:rsidR="00417EB0">
        <w:rPr>
          <w:rFonts w:ascii="Times New Roman" w:hAnsi="Times New Roman" w:cs="Times New Roman"/>
          <w:sz w:val="20"/>
          <w:szCs w:val="20"/>
          <w:lang w:eastAsia="en-US"/>
        </w:rPr>
        <w:t>, PDSCH beam simply “follows” PDCCH beam</w:t>
      </w:r>
      <w:r w:rsidR="00A8392D">
        <w:rPr>
          <w:rFonts w:ascii="Times New Roman" w:hAnsi="Times New Roman" w:cs="Times New Roman"/>
          <w:sz w:val="20"/>
          <w:szCs w:val="20"/>
          <w:lang w:eastAsia="en-US"/>
        </w:rPr>
        <w:t>.</w:t>
      </w:r>
      <w:r w:rsidR="004462C8">
        <w:rPr>
          <w:rFonts w:ascii="Times New Roman" w:hAnsi="Times New Roman" w:cs="Times New Roman"/>
          <w:sz w:val="20"/>
          <w:szCs w:val="20"/>
          <w:lang w:eastAsia="en-US"/>
        </w:rPr>
        <w:t xml:space="preserve"> </w:t>
      </w:r>
    </w:p>
    <w:p w14:paraId="2F340737" w14:textId="6244CADD" w:rsidR="00A85AE7" w:rsidRDefault="004462C8" w:rsidP="009B19F5">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During BWP switching, PDSCH QCL assumption can be determined using the old RS, similar to PDCCH case.</w:t>
      </w:r>
      <w:r w:rsidR="005E12A6">
        <w:rPr>
          <w:rFonts w:ascii="Times New Roman" w:hAnsi="Times New Roman" w:cs="Times New Roman"/>
          <w:sz w:val="20"/>
          <w:szCs w:val="20"/>
          <w:lang w:eastAsia="en-US"/>
        </w:rPr>
        <w:t xml:space="preserve"> The only difference is how to handle the TCI field in DCI in case of </w:t>
      </w:r>
      <w:r w:rsidR="005E12A6" w:rsidRPr="0086740A">
        <w:rPr>
          <w:rFonts w:ascii="Times New Roman" w:hAnsi="Times New Roman" w:cs="Times New Roman"/>
          <w:i/>
          <w:sz w:val="20"/>
          <w:szCs w:val="20"/>
          <w:lang w:eastAsia="en-US"/>
        </w:rPr>
        <w:t>TCI- PresentInDCI</w:t>
      </w:r>
      <w:r w:rsidR="00DC2396">
        <w:rPr>
          <w:rFonts w:ascii="Times New Roman" w:hAnsi="Times New Roman" w:cs="Times New Roman"/>
          <w:sz w:val="20"/>
          <w:szCs w:val="20"/>
          <w:lang w:eastAsia="en-US"/>
        </w:rPr>
        <w:t xml:space="preserve"> enabled, since TCI indicator in DCI could be misinterpreted due to the mismatched configuration between old and new BWP.</w:t>
      </w:r>
      <w:r w:rsidR="005E12A6">
        <w:rPr>
          <w:rFonts w:ascii="Times New Roman" w:hAnsi="Times New Roman" w:cs="Times New Roman"/>
          <w:sz w:val="20"/>
          <w:szCs w:val="20"/>
          <w:lang w:eastAsia="en-US"/>
        </w:rPr>
        <w:t xml:space="preserve"> </w:t>
      </w:r>
      <w:r w:rsidR="00A8392D">
        <w:rPr>
          <w:rFonts w:ascii="Times New Roman" w:hAnsi="Times New Roman" w:cs="Times New Roman"/>
          <w:sz w:val="20"/>
          <w:szCs w:val="20"/>
          <w:lang w:eastAsia="en-US"/>
        </w:rPr>
        <w:t xml:space="preserve">If the sets of TCI states activated by MAC CE for PDSCH are the same between the old and new BWPs, there is no issue for the TCI indication field in DCI format 1-1. Otherwise, some transformation is needed for the interpretation. </w:t>
      </w:r>
      <w:r w:rsidR="006B570D">
        <w:rPr>
          <w:rFonts w:ascii="Times New Roman" w:hAnsi="Times New Roman" w:cs="Times New Roman"/>
          <w:sz w:val="20"/>
          <w:szCs w:val="20"/>
          <w:lang w:eastAsia="en-US"/>
        </w:rPr>
        <w:t xml:space="preserve">One simple way is to ignore the TCI field in the DCI (i.e. the same as </w:t>
      </w:r>
      <w:r w:rsidR="006B570D" w:rsidRPr="0086740A">
        <w:rPr>
          <w:rFonts w:ascii="Times New Roman" w:hAnsi="Times New Roman" w:cs="Times New Roman"/>
          <w:i/>
          <w:sz w:val="20"/>
          <w:szCs w:val="20"/>
          <w:lang w:eastAsia="en-US"/>
        </w:rPr>
        <w:t>TCI- PresentInDCI</w:t>
      </w:r>
      <w:r w:rsidR="006B570D">
        <w:rPr>
          <w:rFonts w:ascii="Times New Roman" w:hAnsi="Times New Roman" w:cs="Times New Roman"/>
          <w:sz w:val="20"/>
          <w:szCs w:val="20"/>
          <w:lang w:eastAsia="en-US"/>
        </w:rPr>
        <w:t xml:space="preserve"> disabled) until UE receives MAC CE to activate a new set of TCI states for the new BWP.</w:t>
      </w:r>
      <w:r w:rsidR="001B6053">
        <w:rPr>
          <w:rFonts w:ascii="Times New Roman" w:hAnsi="Times New Roman" w:cs="Times New Roman"/>
          <w:sz w:val="20"/>
          <w:szCs w:val="20"/>
          <w:lang w:eastAsia="en-US"/>
        </w:rPr>
        <w:t xml:space="preserve"> </w:t>
      </w:r>
      <w:r w:rsidR="00CC565C">
        <w:rPr>
          <w:rFonts w:ascii="Times New Roman" w:hAnsi="Times New Roman" w:cs="Times New Roman"/>
          <w:sz w:val="20"/>
          <w:szCs w:val="20"/>
          <w:lang w:eastAsia="en-US"/>
        </w:rPr>
        <w:t>It is up to gNB to</w:t>
      </w:r>
      <w:r w:rsidR="001B6053">
        <w:rPr>
          <w:rFonts w:ascii="Times New Roman" w:hAnsi="Times New Roman" w:cs="Times New Roman"/>
          <w:sz w:val="20"/>
          <w:szCs w:val="20"/>
          <w:lang w:eastAsia="en-US"/>
        </w:rPr>
        <w:t xml:space="preserve"> decide when to send MAC CE for such activation, based on the CSI report from UE in the new BWP. </w:t>
      </w:r>
      <w:r w:rsidR="0027208A">
        <w:rPr>
          <w:rFonts w:ascii="Times New Roman" w:hAnsi="Times New Roman" w:cs="Times New Roman"/>
          <w:sz w:val="20"/>
          <w:szCs w:val="20"/>
          <w:lang w:eastAsia="en-US"/>
        </w:rPr>
        <w:t>On the other hand, f</w:t>
      </w:r>
      <w:r w:rsidR="00940BAC">
        <w:rPr>
          <w:rFonts w:ascii="Times New Roman" w:hAnsi="Times New Roman" w:cs="Times New Roman"/>
          <w:sz w:val="20"/>
          <w:szCs w:val="20"/>
          <w:lang w:eastAsia="en-US"/>
        </w:rPr>
        <w:t xml:space="preserve">or Rel-15, a reasonable assumption </w:t>
      </w:r>
      <w:r w:rsidR="0027208A">
        <w:rPr>
          <w:rFonts w:ascii="Times New Roman" w:hAnsi="Times New Roman" w:cs="Times New Roman"/>
          <w:sz w:val="20"/>
          <w:szCs w:val="20"/>
          <w:lang w:eastAsia="en-US"/>
        </w:rPr>
        <w:t xml:space="preserve">could be </w:t>
      </w:r>
      <w:r w:rsidR="00940BAC">
        <w:rPr>
          <w:rFonts w:ascii="Times New Roman" w:hAnsi="Times New Roman" w:cs="Times New Roman"/>
          <w:sz w:val="20"/>
          <w:szCs w:val="20"/>
          <w:lang w:eastAsia="en-US"/>
        </w:rPr>
        <w:t xml:space="preserve">TCI states </w:t>
      </w:r>
      <w:r w:rsidR="00413EFB">
        <w:rPr>
          <w:rFonts w:ascii="Times New Roman" w:hAnsi="Times New Roman" w:cs="Times New Roman"/>
          <w:sz w:val="20"/>
          <w:szCs w:val="20"/>
          <w:lang w:eastAsia="en-US"/>
        </w:rPr>
        <w:t>configuration</w:t>
      </w:r>
      <w:r w:rsidR="00940BAC">
        <w:rPr>
          <w:rFonts w:ascii="Times New Roman" w:hAnsi="Times New Roman" w:cs="Times New Roman"/>
          <w:sz w:val="20"/>
          <w:szCs w:val="20"/>
          <w:lang w:eastAsia="en-US"/>
        </w:rPr>
        <w:t xml:space="preserve"> across different BWPs are</w:t>
      </w:r>
      <w:r w:rsidR="001E344E">
        <w:rPr>
          <w:rFonts w:ascii="Times New Roman" w:hAnsi="Times New Roman" w:cs="Times New Roman"/>
          <w:sz w:val="20"/>
          <w:szCs w:val="20"/>
          <w:lang w:eastAsia="en-US"/>
        </w:rPr>
        <w:t xml:space="preserve"> </w:t>
      </w:r>
      <w:r w:rsidR="00940BAC">
        <w:rPr>
          <w:rFonts w:ascii="Times New Roman" w:hAnsi="Times New Roman" w:cs="Times New Roman"/>
          <w:sz w:val="20"/>
          <w:szCs w:val="20"/>
          <w:lang w:eastAsia="en-US"/>
        </w:rPr>
        <w:t>same</w:t>
      </w:r>
      <w:r w:rsidR="00D501A9">
        <w:rPr>
          <w:rFonts w:ascii="Times New Roman" w:hAnsi="Times New Roman" w:cs="Times New Roman"/>
          <w:sz w:val="20"/>
          <w:szCs w:val="20"/>
          <w:lang w:eastAsia="en-US"/>
        </w:rPr>
        <w:t xml:space="preserve"> in order to allow orthogonal operation between TCI handling and BWP switching</w:t>
      </w:r>
      <w:r w:rsidR="00940BAC">
        <w:rPr>
          <w:rFonts w:ascii="Times New Roman" w:hAnsi="Times New Roman" w:cs="Times New Roman"/>
          <w:sz w:val="20"/>
          <w:szCs w:val="20"/>
          <w:lang w:eastAsia="en-US"/>
        </w:rPr>
        <w:t xml:space="preserve">. </w:t>
      </w:r>
      <w:r w:rsidR="0027208A">
        <w:rPr>
          <w:rFonts w:ascii="Times New Roman" w:hAnsi="Times New Roman" w:cs="Times New Roman"/>
          <w:sz w:val="20"/>
          <w:szCs w:val="20"/>
          <w:lang w:eastAsia="en-US"/>
        </w:rPr>
        <w:t xml:space="preserve">In this case, </w:t>
      </w:r>
      <w:r w:rsidR="00940BAC">
        <w:rPr>
          <w:rFonts w:ascii="Times New Roman" w:hAnsi="Times New Roman" w:cs="Times New Roman"/>
          <w:sz w:val="20"/>
          <w:szCs w:val="20"/>
          <w:lang w:eastAsia="en-US"/>
        </w:rPr>
        <w:t xml:space="preserve">no additional specification is needed for PDSCH case.  </w:t>
      </w:r>
    </w:p>
    <w:p w14:paraId="30ED559D" w14:textId="3D36865F" w:rsidR="00362DE3" w:rsidRDefault="00362DE3" w:rsidP="009B19F5">
      <w:pPr>
        <w:pStyle w:val="BodyText"/>
        <w:rPr>
          <w:rFonts w:ascii="Times New Roman" w:hAnsi="Times New Roman" w:cs="Times New Roman"/>
          <w:sz w:val="20"/>
          <w:szCs w:val="20"/>
          <w:lang w:eastAsia="en-US"/>
        </w:rPr>
      </w:pPr>
    </w:p>
    <w:p w14:paraId="39ADE3A2" w14:textId="21CA6845" w:rsidR="00C9474E" w:rsidRDefault="00C9474E" w:rsidP="00C9474E">
      <w:pPr>
        <w:pStyle w:val="Heading4"/>
        <w:numPr>
          <w:ilvl w:val="0"/>
          <w:numId w:val="0"/>
        </w:numPr>
        <w:ind w:left="864" w:right="569" w:hanging="864"/>
      </w:pPr>
      <w:r>
        <w:lastRenderedPageBreak/>
        <w:t>2.3 PUSCH/PUCCH beam determination</w:t>
      </w:r>
    </w:p>
    <w:p w14:paraId="7E3AD8BB" w14:textId="3C8A3F39" w:rsidR="00C9474E" w:rsidRDefault="00C9474E" w:rsidP="00FB2583">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for the </w:t>
      </w:r>
      <w:r w:rsidR="00413EFB">
        <w:rPr>
          <w:rFonts w:ascii="Times New Roman" w:hAnsi="Times New Roman" w:cs="Times New Roman"/>
          <w:sz w:val="20"/>
          <w:szCs w:val="20"/>
          <w:lang w:eastAsia="en-US"/>
        </w:rPr>
        <w:t xml:space="preserve">PUSCH/PUCCH, </w:t>
      </w:r>
      <w:r w:rsidR="001E344E">
        <w:rPr>
          <w:rFonts w:ascii="Times New Roman" w:hAnsi="Times New Roman" w:cs="Times New Roman"/>
          <w:sz w:val="20"/>
          <w:szCs w:val="20"/>
          <w:lang w:eastAsia="en-US"/>
        </w:rPr>
        <w:t>the configuration/determination procedure is quite similar to PDSCH. Similar to PDSCH, as far as TCI states configuration among different BWPs are same, no additional specification is needed.</w:t>
      </w:r>
    </w:p>
    <w:bookmarkEnd w:id="1"/>
    <w:p w14:paraId="183153B4" w14:textId="44E01457" w:rsidR="00E32C7B" w:rsidRDefault="00E32C7B" w:rsidP="001632FD">
      <w:pPr>
        <w:pStyle w:val="BodyText"/>
        <w:rPr>
          <w:rFonts w:ascii="Times New Roman" w:hAnsi="Times New Roman" w:cs="Times New Roman"/>
          <w:b/>
          <w:bCs/>
          <w:sz w:val="20"/>
          <w:szCs w:val="20"/>
          <w:lang w:eastAsia="en-US"/>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Default="004B155E" w:rsidP="004B155E">
      <w:pPr>
        <w:pStyle w:val="Proposal"/>
        <w:numPr>
          <w:ilvl w:val="0"/>
          <w:numId w:val="0"/>
        </w:numPr>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Based on the discussion, we propose following. </w:t>
      </w:r>
    </w:p>
    <w:p w14:paraId="5E2F9A27" w14:textId="0C61E89B" w:rsidR="00200F45" w:rsidRDefault="00200F45" w:rsidP="00200F45">
      <w:pPr>
        <w:pStyle w:val="Proposal"/>
        <w:numPr>
          <w:ilvl w:val="0"/>
          <w:numId w:val="0"/>
        </w:numPr>
        <w:rPr>
          <w:rFonts w:ascii="Times New Roman" w:hAnsi="Times New Roman" w:cs="Times New Roman"/>
          <w:bCs w:val="0"/>
          <w:sz w:val="20"/>
          <w:szCs w:val="20"/>
          <w:lang w:eastAsia="en-US"/>
        </w:rPr>
      </w:pPr>
      <w:r>
        <w:rPr>
          <w:rFonts w:ascii="Times New Roman" w:hAnsi="Times New Roman" w:cs="Times New Roman"/>
          <w:bCs w:val="0"/>
          <w:sz w:val="20"/>
          <w:szCs w:val="20"/>
          <w:lang w:eastAsia="en-US"/>
        </w:rPr>
        <w:t xml:space="preserve">Proposal 1: Across DL BWP switching, UE uses the existing TCI state in the old BWP for PDCCH QCL assumption in the new BWP until MAC-CE activation. </w:t>
      </w:r>
    </w:p>
    <w:p w14:paraId="45B4F497" w14:textId="77777777" w:rsidR="00200F45" w:rsidRDefault="00200F45" w:rsidP="00200F45">
      <w:pPr>
        <w:pStyle w:val="Proposal"/>
        <w:numPr>
          <w:ilvl w:val="0"/>
          <w:numId w:val="0"/>
        </w:numPr>
        <w:rPr>
          <w:rFonts w:ascii="Times New Roman" w:hAnsi="Times New Roman" w:cs="Times New Roman"/>
          <w:bCs w:val="0"/>
          <w:sz w:val="20"/>
          <w:szCs w:val="20"/>
          <w:lang w:eastAsia="en-US"/>
        </w:rPr>
      </w:pPr>
    </w:p>
    <w:p w14:paraId="42780198" w14:textId="77777777" w:rsidR="00E32C7B" w:rsidRPr="00195520" w:rsidRDefault="00E32C7B" w:rsidP="00D35234">
      <w:pPr>
        <w:pStyle w:val="BodyText"/>
        <w:rPr>
          <w:rFonts w:ascii="Times New Roman" w:hAnsi="Times New Roman" w:cs="Times New Roman"/>
          <w:b/>
          <w:bCs/>
          <w:sz w:val="20"/>
          <w:szCs w:val="20"/>
          <w:lang w:eastAsia="en-US"/>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AA6E6A4" w14:textId="1EE39FC2" w:rsidR="003A7EF3" w:rsidRDefault="00CE032F" w:rsidP="00CE032F">
      <w:pPr>
        <w:pStyle w:val="Reference"/>
        <w:rPr>
          <w:rFonts w:ascii="Times New Roman" w:hAnsi="Times New Roman" w:cs="Times New Roman"/>
          <w:sz w:val="20"/>
          <w:szCs w:val="20"/>
          <w:lang w:eastAsia="en-US"/>
        </w:rPr>
      </w:pPr>
      <w:r w:rsidRPr="00CE032F">
        <w:rPr>
          <w:rFonts w:ascii="Times New Roman" w:hAnsi="Times New Roman" w:cs="Times New Roman"/>
          <w:sz w:val="20"/>
          <w:szCs w:val="20"/>
          <w:lang w:eastAsia="en-US"/>
        </w:rPr>
        <w:t>R1-1711795, “On bandwidth parts and RF requirements”, Ericsson</w:t>
      </w:r>
    </w:p>
    <w:p w14:paraId="1D74922C" w14:textId="49386936" w:rsidR="009D6AE4" w:rsidRDefault="009D6AE4" w:rsidP="009D6AE4">
      <w:pPr>
        <w:pStyle w:val="Reference"/>
        <w:rPr>
          <w:rFonts w:ascii="Times New Roman" w:hAnsi="Times New Roman" w:cs="Times New Roman"/>
          <w:sz w:val="20"/>
          <w:szCs w:val="20"/>
          <w:lang w:eastAsia="en-US"/>
        </w:rPr>
      </w:pPr>
      <w:r w:rsidRPr="009D6AE4">
        <w:rPr>
          <w:rFonts w:ascii="Times New Roman" w:hAnsi="Times New Roman" w:cs="Times New Roman"/>
          <w:sz w:val="20"/>
          <w:szCs w:val="20"/>
          <w:lang w:eastAsia="en-US"/>
        </w:rPr>
        <w:t>R1-1805574</w:t>
      </w:r>
      <w:r w:rsidRPr="009D6AE4">
        <w:rPr>
          <w:rFonts w:ascii="Times New Roman" w:hAnsi="Times New Roman" w:cs="Times New Roman"/>
          <w:sz w:val="20"/>
          <w:szCs w:val="20"/>
          <w:lang w:eastAsia="en-US"/>
        </w:rPr>
        <w:tab/>
      </w:r>
      <w:r>
        <w:rPr>
          <w:rFonts w:ascii="Times New Roman" w:hAnsi="Times New Roman" w:cs="Times New Roman"/>
          <w:sz w:val="20"/>
          <w:szCs w:val="20"/>
          <w:lang w:eastAsia="en-US"/>
        </w:rPr>
        <w:t>“</w:t>
      </w:r>
      <w:r w:rsidRPr="009D6AE4">
        <w:rPr>
          <w:rFonts w:ascii="Times New Roman" w:hAnsi="Times New Roman" w:cs="Times New Roman"/>
          <w:sz w:val="20"/>
          <w:szCs w:val="20"/>
          <w:lang w:eastAsia="en-US"/>
        </w:rPr>
        <w:t>Feature lead summary 2 on beam measurement and reporting</w:t>
      </w:r>
      <w:r>
        <w:rPr>
          <w:rFonts w:ascii="Times New Roman" w:hAnsi="Times New Roman" w:cs="Times New Roman"/>
          <w:sz w:val="20"/>
          <w:szCs w:val="20"/>
          <w:lang w:eastAsia="en-US"/>
        </w:rPr>
        <w:t xml:space="preserve">”, </w:t>
      </w:r>
      <w:r w:rsidRPr="009D6AE4">
        <w:rPr>
          <w:rFonts w:ascii="Times New Roman" w:hAnsi="Times New Roman" w:cs="Times New Roman"/>
          <w:sz w:val="20"/>
          <w:szCs w:val="20"/>
          <w:lang w:eastAsia="en-US"/>
        </w:rPr>
        <w:t>Ericsson</w:t>
      </w:r>
    </w:p>
    <w:p w14:paraId="31B16C63" w14:textId="3BE10729" w:rsidR="001F718F" w:rsidRDefault="001F718F" w:rsidP="001F718F">
      <w:pPr>
        <w:pStyle w:val="Reference"/>
        <w:numPr>
          <w:ilvl w:val="0"/>
          <w:numId w:val="0"/>
        </w:numPr>
        <w:ind w:left="567" w:hanging="567"/>
        <w:rPr>
          <w:rFonts w:ascii="Times New Roman" w:hAnsi="Times New Roman" w:cs="Times New Roman"/>
          <w:sz w:val="20"/>
          <w:szCs w:val="20"/>
          <w:lang w:eastAsia="en-US"/>
        </w:rPr>
      </w:pPr>
    </w:p>
    <w:p w14:paraId="42DC7235" w14:textId="77777777" w:rsidR="001F718F" w:rsidRPr="00CE032F" w:rsidRDefault="001F718F" w:rsidP="001F718F">
      <w:pPr>
        <w:pStyle w:val="Reference"/>
        <w:numPr>
          <w:ilvl w:val="0"/>
          <w:numId w:val="0"/>
        </w:numPr>
        <w:ind w:left="567" w:hanging="567"/>
        <w:rPr>
          <w:rFonts w:ascii="Times New Roman" w:hAnsi="Times New Roman" w:cs="Times New Roman"/>
          <w:sz w:val="20"/>
          <w:szCs w:val="20"/>
          <w:lang w:eastAsia="en-US"/>
        </w:rPr>
      </w:pPr>
    </w:p>
    <w:sectPr w:rsidR="001F718F" w:rsidRPr="00CE032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FA135" w14:textId="77777777" w:rsidR="003B2930" w:rsidRDefault="003B2930">
      <w:r>
        <w:separator/>
      </w:r>
    </w:p>
  </w:endnote>
  <w:endnote w:type="continuationSeparator" w:id="0">
    <w:p w14:paraId="0B7DB69B" w14:textId="77777777" w:rsidR="003B2930" w:rsidRDefault="003B2930">
      <w:r>
        <w:continuationSeparator/>
      </w:r>
    </w:p>
  </w:endnote>
  <w:endnote w:type="continuationNotice" w:id="1">
    <w:p w14:paraId="6BDF6B09" w14:textId="77777777" w:rsidR="003B2930" w:rsidRDefault="003B2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C6DE00B"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072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072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27C2F" w14:textId="77777777" w:rsidR="003B2930" w:rsidRDefault="003B2930">
      <w:r>
        <w:separator/>
      </w:r>
    </w:p>
  </w:footnote>
  <w:footnote w:type="continuationSeparator" w:id="0">
    <w:p w14:paraId="658BCF51" w14:textId="77777777" w:rsidR="003B2930" w:rsidRDefault="003B2930">
      <w:r>
        <w:continuationSeparator/>
      </w:r>
    </w:p>
  </w:footnote>
  <w:footnote w:type="continuationNotice" w:id="1">
    <w:p w14:paraId="0D70E572" w14:textId="77777777" w:rsidR="003B2930" w:rsidRDefault="003B293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7"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5"/>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5"/>
  </w:num>
  <w:num w:numId="15">
    <w:abstractNumId w:val="24"/>
  </w:num>
  <w:num w:numId="16">
    <w:abstractNumId w:val="20"/>
    <w:lvlOverride w:ilvl="0">
      <w:startOverride w:val="1"/>
    </w:lvlOverride>
  </w:num>
  <w:num w:numId="17">
    <w:abstractNumId w:val="13"/>
    <w:lvlOverride w:ilvl="0">
      <w:startOverride w:val="1"/>
    </w:lvlOverride>
  </w:num>
  <w:num w:numId="18">
    <w:abstractNumId w:val="20"/>
    <w:lvlOverride w:ilvl="0">
      <w:startOverride w:val="1"/>
    </w:lvlOverride>
  </w:num>
  <w:num w:numId="19">
    <w:abstractNumId w:val="23"/>
  </w:num>
  <w:num w:numId="20">
    <w:abstractNumId w:val="20"/>
    <w:lvlOverride w:ilvl="0">
      <w:startOverride w:val="1"/>
    </w:lvlOverride>
  </w:num>
  <w:num w:numId="21">
    <w:abstractNumId w:val="13"/>
    <w:lvlOverride w:ilvl="0">
      <w:startOverride w:val="1"/>
    </w:lvlOverride>
  </w:num>
  <w:num w:numId="22">
    <w:abstractNumId w:val="26"/>
  </w:num>
  <w:num w:numId="23">
    <w:abstractNumId w:val="20"/>
    <w:lvlOverride w:ilvl="0">
      <w:startOverride w:val="1"/>
    </w:lvlOverride>
  </w:num>
  <w:num w:numId="24">
    <w:abstractNumId w:val="13"/>
    <w:lvlOverride w:ilvl="0">
      <w:startOverride w:val="1"/>
    </w:lvlOverride>
  </w:num>
  <w:num w:numId="25">
    <w:abstractNumId w:val="13"/>
  </w:num>
  <w:num w:numId="26">
    <w:abstractNumId w:val="13"/>
  </w:num>
  <w:num w:numId="27">
    <w:abstractNumId w:val="13"/>
  </w:num>
  <w:num w:numId="28">
    <w:abstractNumId w:val="13"/>
  </w:num>
  <w:num w:numId="29">
    <w:abstractNumId w:val="18"/>
  </w:num>
  <w:num w:numId="30">
    <w:abstractNumId w:val="16"/>
  </w:num>
  <w:num w:numId="31">
    <w:abstractNumId w:val="28"/>
  </w:num>
  <w:num w:numId="32">
    <w:abstractNumId w:val="6"/>
  </w:num>
  <w:num w:numId="33">
    <w:abstractNumId w:val="7"/>
  </w:num>
  <w:num w:numId="34">
    <w:abstractNumId w:val="27"/>
  </w:num>
  <w:num w:numId="35">
    <w:abstractNumId w:val="19"/>
  </w:num>
  <w:num w:numId="36">
    <w:abstractNumId w:val="21"/>
  </w:num>
  <w:num w:numId="37">
    <w:abstractNumId w:val="8"/>
  </w:num>
  <w:num w:numId="38">
    <w:abstractNumId w:val="12"/>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
  </w:num>
  <w:num w:numId="41">
    <w:abstractNumId w:val="13"/>
  </w:num>
  <w:num w:numId="42">
    <w:abstractNumId w:val="13"/>
  </w:num>
  <w:num w:numId="43">
    <w:abstractNumId w:val="13"/>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6446"/>
    <w:rsid w:val="00006896"/>
    <w:rsid w:val="00006B58"/>
    <w:rsid w:val="00007CDC"/>
    <w:rsid w:val="00011153"/>
    <w:rsid w:val="00011B28"/>
    <w:rsid w:val="0001207F"/>
    <w:rsid w:val="00012D65"/>
    <w:rsid w:val="00014E6A"/>
    <w:rsid w:val="00015D15"/>
    <w:rsid w:val="00016E88"/>
    <w:rsid w:val="000176B2"/>
    <w:rsid w:val="00020538"/>
    <w:rsid w:val="0002564D"/>
    <w:rsid w:val="00025ECA"/>
    <w:rsid w:val="0002609C"/>
    <w:rsid w:val="00027939"/>
    <w:rsid w:val="000302D0"/>
    <w:rsid w:val="000325B8"/>
    <w:rsid w:val="00033F83"/>
    <w:rsid w:val="000344F1"/>
    <w:rsid w:val="00034AE9"/>
    <w:rsid w:val="00034C15"/>
    <w:rsid w:val="000364F5"/>
    <w:rsid w:val="00036BA1"/>
    <w:rsid w:val="00042049"/>
    <w:rsid w:val="000422E2"/>
    <w:rsid w:val="00042F22"/>
    <w:rsid w:val="000444EF"/>
    <w:rsid w:val="000455B9"/>
    <w:rsid w:val="00050B9F"/>
    <w:rsid w:val="00051FE1"/>
    <w:rsid w:val="00052A07"/>
    <w:rsid w:val="000534E3"/>
    <w:rsid w:val="0005606A"/>
    <w:rsid w:val="00057117"/>
    <w:rsid w:val="00057E2C"/>
    <w:rsid w:val="00060FD1"/>
    <w:rsid w:val="000616E7"/>
    <w:rsid w:val="00063C67"/>
    <w:rsid w:val="0006487E"/>
    <w:rsid w:val="00065E1A"/>
    <w:rsid w:val="00067548"/>
    <w:rsid w:val="00072D36"/>
    <w:rsid w:val="00075168"/>
    <w:rsid w:val="00077E5F"/>
    <w:rsid w:val="0008036A"/>
    <w:rsid w:val="00081AE6"/>
    <w:rsid w:val="00082017"/>
    <w:rsid w:val="000821B8"/>
    <w:rsid w:val="000841B9"/>
    <w:rsid w:val="000841EB"/>
    <w:rsid w:val="0008434E"/>
    <w:rsid w:val="000855EB"/>
    <w:rsid w:val="00085B52"/>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8C3"/>
    <w:rsid w:val="000B61E9"/>
    <w:rsid w:val="000B7068"/>
    <w:rsid w:val="000B7CF7"/>
    <w:rsid w:val="000C0B03"/>
    <w:rsid w:val="000C165A"/>
    <w:rsid w:val="000C2E19"/>
    <w:rsid w:val="000C302A"/>
    <w:rsid w:val="000C3084"/>
    <w:rsid w:val="000C65B7"/>
    <w:rsid w:val="000D0D07"/>
    <w:rsid w:val="000D1C00"/>
    <w:rsid w:val="000D2ACE"/>
    <w:rsid w:val="000D4797"/>
    <w:rsid w:val="000D4C5E"/>
    <w:rsid w:val="000E0527"/>
    <w:rsid w:val="000E1E92"/>
    <w:rsid w:val="000E58DF"/>
    <w:rsid w:val="000E5D8D"/>
    <w:rsid w:val="000E7C6F"/>
    <w:rsid w:val="000F06D6"/>
    <w:rsid w:val="000F0EB1"/>
    <w:rsid w:val="000F1106"/>
    <w:rsid w:val="000F3AF3"/>
    <w:rsid w:val="000F3BE9"/>
    <w:rsid w:val="000F3F6C"/>
    <w:rsid w:val="000F6DF3"/>
    <w:rsid w:val="001005FF"/>
    <w:rsid w:val="001062FB"/>
    <w:rsid w:val="001063E6"/>
    <w:rsid w:val="00112BC6"/>
    <w:rsid w:val="00113CF4"/>
    <w:rsid w:val="001153EA"/>
    <w:rsid w:val="00115643"/>
    <w:rsid w:val="00116765"/>
    <w:rsid w:val="00117B7E"/>
    <w:rsid w:val="0012078D"/>
    <w:rsid w:val="0012080F"/>
    <w:rsid w:val="001219F5"/>
    <w:rsid w:val="00121A20"/>
    <w:rsid w:val="00122F2E"/>
    <w:rsid w:val="00123610"/>
    <w:rsid w:val="0012377F"/>
    <w:rsid w:val="00124314"/>
    <w:rsid w:val="001254E8"/>
    <w:rsid w:val="00126B4A"/>
    <w:rsid w:val="001272AC"/>
    <w:rsid w:val="00127B88"/>
    <w:rsid w:val="00127E49"/>
    <w:rsid w:val="00131EC3"/>
    <w:rsid w:val="00132FD0"/>
    <w:rsid w:val="00133CEB"/>
    <w:rsid w:val="001344C0"/>
    <w:rsid w:val="001346FA"/>
    <w:rsid w:val="00135252"/>
    <w:rsid w:val="00135588"/>
    <w:rsid w:val="00137AB5"/>
    <w:rsid w:val="00137ED0"/>
    <w:rsid w:val="00137F0B"/>
    <w:rsid w:val="001406B8"/>
    <w:rsid w:val="001416F8"/>
    <w:rsid w:val="00141A7D"/>
    <w:rsid w:val="00145D40"/>
    <w:rsid w:val="00146AD8"/>
    <w:rsid w:val="00151723"/>
    <w:rsid w:val="00151E23"/>
    <w:rsid w:val="001526E0"/>
    <w:rsid w:val="001550E1"/>
    <w:rsid w:val="001551B5"/>
    <w:rsid w:val="0015525E"/>
    <w:rsid w:val="0015531C"/>
    <w:rsid w:val="00155652"/>
    <w:rsid w:val="00155888"/>
    <w:rsid w:val="001608F0"/>
    <w:rsid w:val="00160DD8"/>
    <w:rsid w:val="001632FD"/>
    <w:rsid w:val="001643A8"/>
    <w:rsid w:val="0016465B"/>
    <w:rsid w:val="001659C1"/>
    <w:rsid w:val="00165A59"/>
    <w:rsid w:val="0016607D"/>
    <w:rsid w:val="00171A1F"/>
    <w:rsid w:val="00171D4D"/>
    <w:rsid w:val="00171D60"/>
    <w:rsid w:val="00173A8E"/>
    <w:rsid w:val="0017489D"/>
    <w:rsid w:val="00177795"/>
    <w:rsid w:val="00180D4C"/>
    <w:rsid w:val="0018143F"/>
    <w:rsid w:val="00181887"/>
    <w:rsid w:val="00184585"/>
    <w:rsid w:val="00190AC1"/>
    <w:rsid w:val="001928DE"/>
    <w:rsid w:val="00192C10"/>
    <w:rsid w:val="0019341A"/>
    <w:rsid w:val="00195520"/>
    <w:rsid w:val="001963B6"/>
    <w:rsid w:val="00197DF9"/>
    <w:rsid w:val="001A1987"/>
    <w:rsid w:val="001A2564"/>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7060"/>
    <w:rsid w:val="001D02D8"/>
    <w:rsid w:val="001D280D"/>
    <w:rsid w:val="001D2FFD"/>
    <w:rsid w:val="001D3AD3"/>
    <w:rsid w:val="001D4132"/>
    <w:rsid w:val="001D4ABC"/>
    <w:rsid w:val="001D51BA"/>
    <w:rsid w:val="001D6342"/>
    <w:rsid w:val="001D6D53"/>
    <w:rsid w:val="001E1D1D"/>
    <w:rsid w:val="001E344E"/>
    <w:rsid w:val="001E58E2"/>
    <w:rsid w:val="001E7AED"/>
    <w:rsid w:val="001F15FB"/>
    <w:rsid w:val="001F3916"/>
    <w:rsid w:val="001F4AB0"/>
    <w:rsid w:val="001F54C5"/>
    <w:rsid w:val="001F662C"/>
    <w:rsid w:val="001F7074"/>
    <w:rsid w:val="001F718F"/>
    <w:rsid w:val="00200490"/>
    <w:rsid w:val="00200F45"/>
    <w:rsid w:val="00201F3A"/>
    <w:rsid w:val="00203F96"/>
    <w:rsid w:val="0020419A"/>
    <w:rsid w:val="00204846"/>
    <w:rsid w:val="0020661F"/>
    <w:rsid w:val="002069B2"/>
    <w:rsid w:val="00206C08"/>
    <w:rsid w:val="00207F96"/>
    <w:rsid w:val="00207FA3"/>
    <w:rsid w:val="00214DA8"/>
    <w:rsid w:val="00215423"/>
    <w:rsid w:val="002158FA"/>
    <w:rsid w:val="00216564"/>
    <w:rsid w:val="00216EB1"/>
    <w:rsid w:val="002202E1"/>
    <w:rsid w:val="00220600"/>
    <w:rsid w:val="00221997"/>
    <w:rsid w:val="002224DB"/>
    <w:rsid w:val="00222DEF"/>
    <w:rsid w:val="00223FCB"/>
    <w:rsid w:val="002252C3"/>
    <w:rsid w:val="00225C54"/>
    <w:rsid w:val="0023019F"/>
    <w:rsid w:val="00230568"/>
    <w:rsid w:val="00230765"/>
    <w:rsid w:val="002319E4"/>
    <w:rsid w:val="00233AFC"/>
    <w:rsid w:val="00235562"/>
    <w:rsid w:val="00235632"/>
    <w:rsid w:val="00235872"/>
    <w:rsid w:val="00241559"/>
    <w:rsid w:val="00241B98"/>
    <w:rsid w:val="00242973"/>
    <w:rsid w:val="00242A0A"/>
    <w:rsid w:val="002435B3"/>
    <w:rsid w:val="00244DBD"/>
    <w:rsid w:val="0024547B"/>
    <w:rsid w:val="002454D4"/>
    <w:rsid w:val="002458EB"/>
    <w:rsid w:val="002500C8"/>
    <w:rsid w:val="00250F16"/>
    <w:rsid w:val="0025167F"/>
    <w:rsid w:val="00254378"/>
    <w:rsid w:val="00257543"/>
    <w:rsid w:val="00257F88"/>
    <w:rsid w:val="00261285"/>
    <w:rsid w:val="002617E7"/>
    <w:rsid w:val="00261FC8"/>
    <w:rsid w:val="00264109"/>
    <w:rsid w:val="00264228"/>
    <w:rsid w:val="00264334"/>
    <w:rsid w:val="0026473E"/>
    <w:rsid w:val="00266214"/>
    <w:rsid w:val="00267C58"/>
    <w:rsid w:val="00267C83"/>
    <w:rsid w:val="0027144F"/>
    <w:rsid w:val="00271F3A"/>
    <w:rsid w:val="0027208A"/>
    <w:rsid w:val="00272796"/>
    <w:rsid w:val="00273278"/>
    <w:rsid w:val="002737F4"/>
    <w:rsid w:val="0027455E"/>
    <w:rsid w:val="00275CAD"/>
    <w:rsid w:val="002803F3"/>
    <w:rsid w:val="002805F5"/>
    <w:rsid w:val="00280751"/>
    <w:rsid w:val="0028280A"/>
    <w:rsid w:val="00286ACD"/>
    <w:rsid w:val="00287838"/>
    <w:rsid w:val="00287895"/>
    <w:rsid w:val="002907B5"/>
    <w:rsid w:val="00292E71"/>
    <w:rsid w:val="00292EB7"/>
    <w:rsid w:val="00293B29"/>
    <w:rsid w:val="00293F02"/>
    <w:rsid w:val="00296227"/>
    <w:rsid w:val="00296F44"/>
    <w:rsid w:val="0029774E"/>
    <w:rsid w:val="0029777D"/>
    <w:rsid w:val="002A036D"/>
    <w:rsid w:val="002A055E"/>
    <w:rsid w:val="002A1D4E"/>
    <w:rsid w:val="002A2117"/>
    <w:rsid w:val="002A2869"/>
    <w:rsid w:val="002A45C6"/>
    <w:rsid w:val="002A50D7"/>
    <w:rsid w:val="002A5160"/>
    <w:rsid w:val="002A75FE"/>
    <w:rsid w:val="002B06F0"/>
    <w:rsid w:val="002B0B1F"/>
    <w:rsid w:val="002B24D6"/>
    <w:rsid w:val="002B2CC5"/>
    <w:rsid w:val="002B467E"/>
    <w:rsid w:val="002B47B7"/>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7637"/>
    <w:rsid w:val="002E14D6"/>
    <w:rsid w:val="002E17F2"/>
    <w:rsid w:val="002E3CAE"/>
    <w:rsid w:val="002E3DED"/>
    <w:rsid w:val="002E64DB"/>
    <w:rsid w:val="002E7CAE"/>
    <w:rsid w:val="002F246A"/>
    <w:rsid w:val="002F2771"/>
    <w:rsid w:val="002F3420"/>
    <w:rsid w:val="002F37A9"/>
    <w:rsid w:val="002F421A"/>
    <w:rsid w:val="002F4796"/>
    <w:rsid w:val="00300010"/>
    <w:rsid w:val="00301CE6"/>
    <w:rsid w:val="0030256B"/>
    <w:rsid w:val="00303FC5"/>
    <w:rsid w:val="0030501F"/>
    <w:rsid w:val="00305A9E"/>
    <w:rsid w:val="00305D11"/>
    <w:rsid w:val="00307047"/>
    <w:rsid w:val="00307BA1"/>
    <w:rsid w:val="00311702"/>
    <w:rsid w:val="00311E82"/>
    <w:rsid w:val="00313FD6"/>
    <w:rsid w:val="003143BD"/>
    <w:rsid w:val="003177E4"/>
    <w:rsid w:val="00317B01"/>
    <w:rsid w:val="003203ED"/>
    <w:rsid w:val="003207D7"/>
    <w:rsid w:val="00322C9F"/>
    <w:rsid w:val="00322CD7"/>
    <w:rsid w:val="003248B5"/>
    <w:rsid w:val="00324D23"/>
    <w:rsid w:val="003261A9"/>
    <w:rsid w:val="00331751"/>
    <w:rsid w:val="00334579"/>
    <w:rsid w:val="00335858"/>
    <w:rsid w:val="00335A88"/>
    <w:rsid w:val="0033621A"/>
    <w:rsid w:val="00336BDA"/>
    <w:rsid w:val="0034033C"/>
    <w:rsid w:val="00342BD7"/>
    <w:rsid w:val="00342D3F"/>
    <w:rsid w:val="00343A07"/>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1478"/>
    <w:rsid w:val="0036161E"/>
    <w:rsid w:val="00362DE3"/>
    <w:rsid w:val="00365A6D"/>
    <w:rsid w:val="00366717"/>
    <w:rsid w:val="00366D3B"/>
    <w:rsid w:val="003670B6"/>
    <w:rsid w:val="00370E47"/>
    <w:rsid w:val="003714E8"/>
    <w:rsid w:val="003735E5"/>
    <w:rsid w:val="003742AC"/>
    <w:rsid w:val="00374C70"/>
    <w:rsid w:val="00375204"/>
    <w:rsid w:val="003768C5"/>
    <w:rsid w:val="00377CE1"/>
    <w:rsid w:val="00385BF0"/>
    <w:rsid w:val="0038629C"/>
    <w:rsid w:val="00387618"/>
    <w:rsid w:val="00387BA7"/>
    <w:rsid w:val="00390264"/>
    <w:rsid w:val="0039320D"/>
    <w:rsid w:val="003939FF"/>
    <w:rsid w:val="00396A2D"/>
    <w:rsid w:val="00397681"/>
    <w:rsid w:val="003A127C"/>
    <w:rsid w:val="003A2223"/>
    <w:rsid w:val="003A23C7"/>
    <w:rsid w:val="003A254F"/>
    <w:rsid w:val="003A2A0F"/>
    <w:rsid w:val="003A369D"/>
    <w:rsid w:val="003A45A1"/>
    <w:rsid w:val="003A5B0A"/>
    <w:rsid w:val="003A6BAC"/>
    <w:rsid w:val="003A7EF3"/>
    <w:rsid w:val="003B159C"/>
    <w:rsid w:val="003B2930"/>
    <w:rsid w:val="003B2D90"/>
    <w:rsid w:val="003B369F"/>
    <w:rsid w:val="003B36A3"/>
    <w:rsid w:val="003B4D22"/>
    <w:rsid w:val="003B4F17"/>
    <w:rsid w:val="003B608D"/>
    <w:rsid w:val="003B72A4"/>
    <w:rsid w:val="003B7FE5"/>
    <w:rsid w:val="003C10D1"/>
    <w:rsid w:val="003C11C8"/>
    <w:rsid w:val="003C1869"/>
    <w:rsid w:val="003C2702"/>
    <w:rsid w:val="003C2F3A"/>
    <w:rsid w:val="003C383A"/>
    <w:rsid w:val="003C4788"/>
    <w:rsid w:val="003C7806"/>
    <w:rsid w:val="003D03A4"/>
    <w:rsid w:val="003D109F"/>
    <w:rsid w:val="003D1E65"/>
    <w:rsid w:val="003D2478"/>
    <w:rsid w:val="003D2D9C"/>
    <w:rsid w:val="003D2FC4"/>
    <w:rsid w:val="003D387A"/>
    <w:rsid w:val="003D3C45"/>
    <w:rsid w:val="003D4532"/>
    <w:rsid w:val="003D5B1F"/>
    <w:rsid w:val="003D5E2C"/>
    <w:rsid w:val="003E10E7"/>
    <w:rsid w:val="003E15FA"/>
    <w:rsid w:val="003E3CA5"/>
    <w:rsid w:val="003E45F5"/>
    <w:rsid w:val="003E4EAD"/>
    <w:rsid w:val="003E55E4"/>
    <w:rsid w:val="003E5613"/>
    <w:rsid w:val="003E6588"/>
    <w:rsid w:val="003E74E3"/>
    <w:rsid w:val="003E75BA"/>
    <w:rsid w:val="003F05C7"/>
    <w:rsid w:val="003F1D11"/>
    <w:rsid w:val="003F1D35"/>
    <w:rsid w:val="003F2CD4"/>
    <w:rsid w:val="003F38B8"/>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263E"/>
    <w:rsid w:val="00413AAC"/>
    <w:rsid w:val="00413EFB"/>
    <w:rsid w:val="00415A4C"/>
    <w:rsid w:val="00416B1B"/>
    <w:rsid w:val="00417BAF"/>
    <w:rsid w:val="00417EB0"/>
    <w:rsid w:val="00420DC3"/>
    <w:rsid w:val="00421105"/>
    <w:rsid w:val="00421755"/>
    <w:rsid w:val="004234D8"/>
    <w:rsid w:val="00423C9D"/>
    <w:rsid w:val="004242F4"/>
    <w:rsid w:val="00427248"/>
    <w:rsid w:val="00427C68"/>
    <w:rsid w:val="0043123D"/>
    <w:rsid w:val="004332BB"/>
    <w:rsid w:val="00433B47"/>
    <w:rsid w:val="004351A3"/>
    <w:rsid w:val="00435213"/>
    <w:rsid w:val="00435CD3"/>
    <w:rsid w:val="00435ECC"/>
    <w:rsid w:val="00437447"/>
    <w:rsid w:val="004374BA"/>
    <w:rsid w:val="00440548"/>
    <w:rsid w:val="00440B16"/>
    <w:rsid w:val="00441A92"/>
    <w:rsid w:val="00443BE9"/>
    <w:rsid w:val="00444AAD"/>
    <w:rsid w:val="00444C54"/>
    <w:rsid w:val="00444C6F"/>
    <w:rsid w:val="00444F56"/>
    <w:rsid w:val="004462C8"/>
    <w:rsid w:val="00446488"/>
    <w:rsid w:val="004517AA"/>
    <w:rsid w:val="00451811"/>
    <w:rsid w:val="004521EC"/>
    <w:rsid w:val="00452CAC"/>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34D0"/>
    <w:rsid w:val="00474804"/>
    <w:rsid w:val="0047556B"/>
    <w:rsid w:val="004759D0"/>
    <w:rsid w:val="004769FA"/>
    <w:rsid w:val="00476B40"/>
    <w:rsid w:val="00477768"/>
    <w:rsid w:val="004835D6"/>
    <w:rsid w:val="004846D1"/>
    <w:rsid w:val="00485BC6"/>
    <w:rsid w:val="00492BC5"/>
    <w:rsid w:val="00493F23"/>
    <w:rsid w:val="00494430"/>
    <w:rsid w:val="004961CE"/>
    <w:rsid w:val="004963BF"/>
    <w:rsid w:val="004964F1"/>
    <w:rsid w:val="004970B3"/>
    <w:rsid w:val="004A16BC"/>
    <w:rsid w:val="004A2B94"/>
    <w:rsid w:val="004A7E7F"/>
    <w:rsid w:val="004B155E"/>
    <w:rsid w:val="004B2FD1"/>
    <w:rsid w:val="004B3ACB"/>
    <w:rsid w:val="004B7C0C"/>
    <w:rsid w:val="004C01C8"/>
    <w:rsid w:val="004C2328"/>
    <w:rsid w:val="004C3898"/>
    <w:rsid w:val="004C54C2"/>
    <w:rsid w:val="004C6EDD"/>
    <w:rsid w:val="004D2237"/>
    <w:rsid w:val="004D36B1"/>
    <w:rsid w:val="004D7EBD"/>
    <w:rsid w:val="004E0BD6"/>
    <w:rsid w:val="004E1A9A"/>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7740"/>
    <w:rsid w:val="0050054E"/>
    <w:rsid w:val="00500754"/>
    <w:rsid w:val="00502773"/>
    <w:rsid w:val="0050361D"/>
    <w:rsid w:val="0050462F"/>
    <w:rsid w:val="00504651"/>
    <w:rsid w:val="005054B0"/>
    <w:rsid w:val="00506557"/>
    <w:rsid w:val="0050677A"/>
    <w:rsid w:val="00507454"/>
    <w:rsid w:val="005079A0"/>
    <w:rsid w:val="005108D8"/>
    <w:rsid w:val="005111A1"/>
    <w:rsid w:val="005116F9"/>
    <w:rsid w:val="005153A7"/>
    <w:rsid w:val="005154C5"/>
    <w:rsid w:val="00517303"/>
    <w:rsid w:val="005219CF"/>
    <w:rsid w:val="00522D07"/>
    <w:rsid w:val="00525F75"/>
    <w:rsid w:val="005267A6"/>
    <w:rsid w:val="00526C0D"/>
    <w:rsid w:val="00531534"/>
    <w:rsid w:val="00531CAC"/>
    <w:rsid w:val="00531F1D"/>
    <w:rsid w:val="005336B9"/>
    <w:rsid w:val="005338D0"/>
    <w:rsid w:val="005343FA"/>
    <w:rsid w:val="00534B59"/>
    <w:rsid w:val="00536759"/>
    <w:rsid w:val="005369A8"/>
    <w:rsid w:val="00537C62"/>
    <w:rsid w:val="00543336"/>
    <w:rsid w:val="00546970"/>
    <w:rsid w:val="00547A14"/>
    <w:rsid w:val="00547F05"/>
    <w:rsid w:val="0055001B"/>
    <w:rsid w:val="00553715"/>
    <w:rsid w:val="00554E19"/>
    <w:rsid w:val="00555D73"/>
    <w:rsid w:val="005564FC"/>
    <w:rsid w:val="005579C5"/>
    <w:rsid w:val="00561182"/>
    <w:rsid w:val="0056121F"/>
    <w:rsid w:val="00561320"/>
    <w:rsid w:val="00562064"/>
    <w:rsid w:val="005636E8"/>
    <w:rsid w:val="00572505"/>
    <w:rsid w:val="00580202"/>
    <w:rsid w:val="00582746"/>
    <w:rsid w:val="00582809"/>
    <w:rsid w:val="00582A4A"/>
    <w:rsid w:val="00584ABE"/>
    <w:rsid w:val="0058563E"/>
    <w:rsid w:val="005874C6"/>
    <w:rsid w:val="0058798C"/>
    <w:rsid w:val="005900FA"/>
    <w:rsid w:val="005923F4"/>
    <w:rsid w:val="005935A4"/>
    <w:rsid w:val="005948C2"/>
    <w:rsid w:val="00595DCA"/>
    <w:rsid w:val="0059779B"/>
    <w:rsid w:val="005A0D5F"/>
    <w:rsid w:val="005A209A"/>
    <w:rsid w:val="005A2A38"/>
    <w:rsid w:val="005A3ADD"/>
    <w:rsid w:val="005A4518"/>
    <w:rsid w:val="005A5323"/>
    <w:rsid w:val="005A662D"/>
    <w:rsid w:val="005B35D7"/>
    <w:rsid w:val="005B392A"/>
    <w:rsid w:val="005B3AA3"/>
    <w:rsid w:val="005B41BD"/>
    <w:rsid w:val="005B4E16"/>
    <w:rsid w:val="005B6F83"/>
    <w:rsid w:val="005C25FC"/>
    <w:rsid w:val="005C2995"/>
    <w:rsid w:val="005C32E7"/>
    <w:rsid w:val="005C470A"/>
    <w:rsid w:val="005C493C"/>
    <w:rsid w:val="005C74FB"/>
    <w:rsid w:val="005D1498"/>
    <w:rsid w:val="005D1602"/>
    <w:rsid w:val="005D1A70"/>
    <w:rsid w:val="005D65DE"/>
    <w:rsid w:val="005D6B0B"/>
    <w:rsid w:val="005D7BBD"/>
    <w:rsid w:val="005E12A6"/>
    <w:rsid w:val="005E30FD"/>
    <w:rsid w:val="005E385F"/>
    <w:rsid w:val="005E3915"/>
    <w:rsid w:val="005E45BC"/>
    <w:rsid w:val="005E5B81"/>
    <w:rsid w:val="005E5D85"/>
    <w:rsid w:val="005F06E0"/>
    <w:rsid w:val="005F168C"/>
    <w:rsid w:val="005F2CB1"/>
    <w:rsid w:val="005F3025"/>
    <w:rsid w:val="005F3AC1"/>
    <w:rsid w:val="005F4D03"/>
    <w:rsid w:val="005F50BF"/>
    <w:rsid w:val="005F528E"/>
    <w:rsid w:val="005F5AF7"/>
    <w:rsid w:val="005F618C"/>
    <w:rsid w:val="005F70BD"/>
    <w:rsid w:val="00601ACA"/>
    <w:rsid w:val="0060283C"/>
    <w:rsid w:val="00602CC9"/>
    <w:rsid w:val="00604F14"/>
    <w:rsid w:val="00605F62"/>
    <w:rsid w:val="00610371"/>
    <w:rsid w:val="00611B83"/>
    <w:rsid w:val="00611BEC"/>
    <w:rsid w:val="00613257"/>
    <w:rsid w:val="00620A71"/>
    <w:rsid w:val="00620D80"/>
    <w:rsid w:val="006234A6"/>
    <w:rsid w:val="00624D23"/>
    <w:rsid w:val="00624F8F"/>
    <w:rsid w:val="00625051"/>
    <w:rsid w:val="006276C5"/>
    <w:rsid w:val="00630001"/>
    <w:rsid w:val="006311B3"/>
    <w:rsid w:val="0063284C"/>
    <w:rsid w:val="00633833"/>
    <w:rsid w:val="0063397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28F9"/>
    <w:rsid w:val="00652DCB"/>
    <w:rsid w:val="00654D99"/>
    <w:rsid w:val="00655733"/>
    <w:rsid w:val="00655A53"/>
    <w:rsid w:val="00655ACD"/>
    <w:rsid w:val="00656A92"/>
    <w:rsid w:val="00656DDE"/>
    <w:rsid w:val="0066011D"/>
    <w:rsid w:val="006607C0"/>
    <w:rsid w:val="006613A6"/>
    <w:rsid w:val="006627A2"/>
    <w:rsid w:val="006634E6"/>
    <w:rsid w:val="00663BE6"/>
    <w:rsid w:val="0066547A"/>
    <w:rsid w:val="006655EE"/>
    <w:rsid w:val="00666D72"/>
    <w:rsid w:val="006675F9"/>
    <w:rsid w:val="00667EE7"/>
    <w:rsid w:val="00670051"/>
    <w:rsid w:val="00670922"/>
    <w:rsid w:val="00670BE1"/>
    <w:rsid w:val="00670E0F"/>
    <w:rsid w:val="0067218F"/>
    <w:rsid w:val="00673C16"/>
    <w:rsid w:val="00673DBC"/>
    <w:rsid w:val="006741F2"/>
    <w:rsid w:val="00674CC3"/>
    <w:rsid w:val="00675C72"/>
    <w:rsid w:val="00676012"/>
    <w:rsid w:val="00676AF2"/>
    <w:rsid w:val="006771F9"/>
    <w:rsid w:val="006776D7"/>
    <w:rsid w:val="00681003"/>
    <w:rsid w:val="006817C9"/>
    <w:rsid w:val="00681D82"/>
    <w:rsid w:val="00682BA6"/>
    <w:rsid w:val="00683ECE"/>
    <w:rsid w:val="00690B70"/>
    <w:rsid w:val="006913A9"/>
    <w:rsid w:val="00691F27"/>
    <w:rsid w:val="00692B16"/>
    <w:rsid w:val="00695FC2"/>
    <w:rsid w:val="00696949"/>
    <w:rsid w:val="00697052"/>
    <w:rsid w:val="00697220"/>
    <w:rsid w:val="006A30AF"/>
    <w:rsid w:val="006A46FB"/>
    <w:rsid w:val="006A5E28"/>
    <w:rsid w:val="006A6086"/>
    <w:rsid w:val="006A697B"/>
    <w:rsid w:val="006A7988"/>
    <w:rsid w:val="006A7AFF"/>
    <w:rsid w:val="006B1816"/>
    <w:rsid w:val="006B2099"/>
    <w:rsid w:val="006B2FD3"/>
    <w:rsid w:val="006B50CF"/>
    <w:rsid w:val="006B570D"/>
    <w:rsid w:val="006B5C2B"/>
    <w:rsid w:val="006B5EE4"/>
    <w:rsid w:val="006B67CF"/>
    <w:rsid w:val="006B6BC3"/>
    <w:rsid w:val="006C03B8"/>
    <w:rsid w:val="006C44C2"/>
    <w:rsid w:val="006C5EC9"/>
    <w:rsid w:val="006C6059"/>
    <w:rsid w:val="006C6BE1"/>
    <w:rsid w:val="006C7522"/>
    <w:rsid w:val="006D0580"/>
    <w:rsid w:val="006D2A46"/>
    <w:rsid w:val="006D56C8"/>
    <w:rsid w:val="006D571C"/>
    <w:rsid w:val="006D5D00"/>
    <w:rsid w:val="006D666D"/>
    <w:rsid w:val="006D6F08"/>
    <w:rsid w:val="006D7811"/>
    <w:rsid w:val="006E062C"/>
    <w:rsid w:val="006E28B7"/>
    <w:rsid w:val="006E3310"/>
    <w:rsid w:val="006E4E39"/>
    <w:rsid w:val="006E565E"/>
    <w:rsid w:val="006E64B5"/>
    <w:rsid w:val="006E673D"/>
    <w:rsid w:val="006E7D3B"/>
    <w:rsid w:val="006F0B65"/>
    <w:rsid w:val="006F0CAD"/>
    <w:rsid w:val="006F1B70"/>
    <w:rsid w:val="006F341D"/>
    <w:rsid w:val="006F3CDE"/>
    <w:rsid w:val="006F58D4"/>
    <w:rsid w:val="006F6D56"/>
    <w:rsid w:val="006F7626"/>
    <w:rsid w:val="0070346E"/>
    <w:rsid w:val="00704406"/>
    <w:rsid w:val="00704EDB"/>
    <w:rsid w:val="0070537F"/>
    <w:rsid w:val="00706028"/>
    <w:rsid w:val="00706101"/>
    <w:rsid w:val="00707072"/>
    <w:rsid w:val="00707706"/>
    <w:rsid w:val="00707D61"/>
    <w:rsid w:val="00712287"/>
    <w:rsid w:val="007123B6"/>
    <w:rsid w:val="00712772"/>
    <w:rsid w:val="007146AF"/>
    <w:rsid w:val="007148D3"/>
    <w:rsid w:val="00715B9A"/>
    <w:rsid w:val="0071798B"/>
    <w:rsid w:val="00720376"/>
    <w:rsid w:val="007205B8"/>
    <w:rsid w:val="00721205"/>
    <w:rsid w:val="00721593"/>
    <w:rsid w:val="00726EA6"/>
    <w:rsid w:val="00726ED5"/>
    <w:rsid w:val="00727208"/>
    <w:rsid w:val="00727680"/>
    <w:rsid w:val="007348B1"/>
    <w:rsid w:val="00734B23"/>
    <w:rsid w:val="007362A6"/>
    <w:rsid w:val="00736D7D"/>
    <w:rsid w:val="00740344"/>
    <w:rsid w:val="00740E58"/>
    <w:rsid w:val="00742612"/>
    <w:rsid w:val="00742E3D"/>
    <w:rsid w:val="0074405B"/>
    <w:rsid w:val="00744142"/>
    <w:rsid w:val="007445A0"/>
    <w:rsid w:val="00744ECC"/>
    <w:rsid w:val="0074524B"/>
    <w:rsid w:val="007460A0"/>
    <w:rsid w:val="00747D8B"/>
    <w:rsid w:val="00751228"/>
    <w:rsid w:val="007535D6"/>
    <w:rsid w:val="00753CAE"/>
    <w:rsid w:val="007571E1"/>
    <w:rsid w:val="007604B2"/>
    <w:rsid w:val="00763989"/>
    <w:rsid w:val="00764B17"/>
    <w:rsid w:val="00765281"/>
    <w:rsid w:val="00765787"/>
    <w:rsid w:val="00766BAD"/>
    <w:rsid w:val="00767A0C"/>
    <w:rsid w:val="007716C3"/>
    <w:rsid w:val="007730BD"/>
    <w:rsid w:val="007755F2"/>
    <w:rsid w:val="00775BC4"/>
    <w:rsid w:val="00775C76"/>
    <w:rsid w:val="00776971"/>
    <w:rsid w:val="00777025"/>
    <w:rsid w:val="007804ED"/>
    <w:rsid w:val="0078177E"/>
    <w:rsid w:val="0078242F"/>
    <w:rsid w:val="0078304C"/>
    <w:rsid w:val="00783673"/>
    <w:rsid w:val="00783800"/>
    <w:rsid w:val="00783E9E"/>
    <w:rsid w:val="00785490"/>
    <w:rsid w:val="00790829"/>
    <w:rsid w:val="007913AC"/>
    <w:rsid w:val="007925EA"/>
    <w:rsid w:val="00793CD8"/>
    <w:rsid w:val="00793EEA"/>
    <w:rsid w:val="00795C92"/>
    <w:rsid w:val="00796231"/>
    <w:rsid w:val="007A000A"/>
    <w:rsid w:val="007A18AB"/>
    <w:rsid w:val="007A1CB3"/>
    <w:rsid w:val="007A306F"/>
    <w:rsid w:val="007A3A3A"/>
    <w:rsid w:val="007A3FE1"/>
    <w:rsid w:val="007A43A6"/>
    <w:rsid w:val="007A554B"/>
    <w:rsid w:val="007A58A6"/>
    <w:rsid w:val="007B3D2D"/>
    <w:rsid w:val="007B50AE"/>
    <w:rsid w:val="007B51DF"/>
    <w:rsid w:val="007B5ACB"/>
    <w:rsid w:val="007C05DD"/>
    <w:rsid w:val="007C0A75"/>
    <w:rsid w:val="007C2F4B"/>
    <w:rsid w:val="007C342A"/>
    <w:rsid w:val="007C3D18"/>
    <w:rsid w:val="007C40D0"/>
    <w:rsid w:val="007C528D"/>
    <w:rsid w:val="007C60BF"/>
    <w:rsid w:val="007C6A07"/>
    <w:rsid w:val="007C75A1"/>
    <w:rsid w:val="007C77A5"/>
    <w:rsid w:val="007D04E5"/>
    <w:rsid w:val="007D3941"/>
    <w:rsid w:val="007D3FDF"/>
    <w:rsid w:val="007D5901"/>
    <w:rsid w:val="007D65C4"/>
    <w:rsid w:val="007D7526"/>
    <w:rsid w:val="007E050B"/>
    <w:rsid w:val="007E1DCF"/>
    <w:rsid w:val="007E28CE"/>
    <w:rsid w:val="007E324C"/>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80049D"/>
    <w:rsid w:val="00802DCA"/>
    <w:rsid w:val="008036DF"/>
    <w:rsid w:val="00803B8A"/>
    <w:rsid w:val="00803FAE"/>
    <w:rsid w:val="0080605F"/>
    <w:rsid w:val="00807786"/>
    <w:rsid w:val="0081055B"/>
    <w:rsid w:val="00811505"/>
    <w:rsid w:val="00811FCB"/>
    <w:rsid w:val="008144B9"/>
    <w:rsid w:val="008158D6"/>
    <w:rsid w:val="0081606D"/>
    <w:rsid w:val="00817196"/>
    <w:rsid w:val="00817EDE"/>
    <w:rsid w:val="00821D89"/>
    <w:rsid w:val="00823081"/>
    <w:rsid w:val="008235DB"/>
    <w:rsid w:val="00824AB4"/>
    <w:rsid w:val="00824B72"/>
    <w:rsid w:val="00825C42"/>
    <w:rsid w:val="00825D25"/>
    <w:rsid w:val="00827D6F"/>
    <w:rsid w:val="00827E1A"/>
    <w:rsid w:val="008311F3"/>
    <w:rsid w:val="00831210"/>
    <w:rsid w:val="0083765F"/>
    <w:rsid w:val="008376AC"/>
    <w:rsid w:val="0084116C"/>
    <w:rsid w:val="00841CB3"/>
    <w:rsid w:val="008444E8"/>
    <w:rsid w:val="00844E80"/>
    <w:rsid w:val="00846834"/>
    <w:rsid w:val="00846FE7"/>
    <w:rsid w:val="00847403"/>
    <w:rsid w:val="00847FC4"/>
    <w:rsid w:val="008504A2"/>
    <w:rsid w:val="00850CEC"/>
    <w:rsid w:val="00850E9E"/>
    <w:rsid w:val="0085247B"/>
    <w:rsid w:val="00854B3A"/>
    <w:rsid w:val="00856911"/>
    <w:rsid w:val="00860458"/>
    <w:rsid w:val="008628C0"/>
    <w:rsid w:val="00865044"/>
    <w:rsid w:val="00865151"/>
    <w:rsid w:val="00865698"/>
    <w:rsid w:val="0086740A"/>
    <w:rsid w:val="0086758D"/>
    <w:rsid w:val="008677FD"/>
    <w:rsid w:val="008706D4"/>
    <w:rsid w:val="00870F8A"/>
    <w:rsid w:val="008719A4"/>
    <w:rsid w:val="00871D23"/>
    <w:rsid w:val="00874312"/>
    <w:rsid w:val="0087437C"/>
    <w:rsid w:val="00875CD7"/>
    <w:rsid w:val="0087646B"/>
    <w:rsid w:val="00876B4D"/>
    <w:rsid w:val="00877F18"/>
    <w:rsid w:val="0088016B"/>
    <w:rsid w:val="008803CA"/>
    <w:rsid w:val="00884366"/>
    <w:rsid w:val="008864B9"/>
    <w:rsid w:val="0089173C"/>
    <w:rsid w:val="00893C6A"/>
    <w:rsid w:val="00894A88"/>
    <w:rsid w:val="00895386"/>
    <w:rsid w:val="00895660"/>
    <w:rsid w:val="00897036"/>
    <w:rsid w:val="008A0628"/>
    <w:rsid w:val="008A21FF"/>
    <w:rsid w:val="008A2CE2"/>
    <w:rsid w:val="008A30AC"/>
    <w:rsid w:val="008A44B8"/>
    <w:rsid w:val="008A4CCF"/>
    <w:rsid w:val="008A4CE0"/>
    <w:rsid w:val="008A51A8"/>
    <w:rsid w:val="008A54C7"/>
    <w:rsid w:val="008A77D8"/>
    <w:rsid w:val="008A7858"/>
    <w:rsid w:val="008B0483"/>
    <w:rsid w:val="008B120C"/>
    <w:rsid w:val="008B40D0"/>
    <w:rsid w:val="008B51A0"/>
    <w:rsid w:val="008B592A"/>
    <w:rsid w:val="008B63B8"/>
    <w:rsid w:val="008B7B5C"/>
    <w:rsid w:val="008C0C99"/>
    <w:rsid w:val="008C1BD9"/>
    <w:rsid w:val="008C2017"/>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5F6"/>
    <w:rsid w:val="008E065E"/>
    <w:rsid w:val="008E0927"/>
    <w:rsid w:val="008E1909"/>
    <w:rsid w:val="008E1B93"/>
    <w:rsid w:val="008E1D88"/>
    <w:rsid w:val="008E3445"/>
    <w:rsid w:val="008E6DB3"/>
    <w:rsid w:val="008E76FD"/>
    <w:rsid w:val="008F0B25"/>
    <w:rsid w:val="008F109D"/>
    <w:rsid w:val="008F1EAB"/>
    <w:rsid w:val="008F33DC"/>
    <w:rsid w:val="008F477F"/>
    <w:rsid w:val="008F55FE"/>
    <w:rsid w:val="008F6C3F"/>
    <w:rsid w:val="00901380"/>
    <w:rsid w:val="00902350"/>
    <w:rsid w:val="0090336B"/>
    <w:rsid w:val="009053AA"/>
    <w:rsid w:val="00906939"/>
    <w:rsid w:val="00910B7D"/>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A69"/>
    <w:rsid w:val="009270E9"/>
    <w:rsid w:val="00927F40"/>
    <w:rsid w:val="0093103F"/>
    <w:rsid w:val="00931661"/>
    <w:rsid w:val="00931BD9"/>
    <w:rsid w:val="00931F69"/>
    <w:rsid w:val="00934DF8"/>
    <w:rsid w:val="0093601A"/>
    <w:rsid w:val="00936851"/>
    <w:rsid w:val="009368F3"/>
    <w:rsid w:val="00940BAC"/>
    <w:rsid w:val="009414FD"/>
    <w:rsid w:val="00941636"/>
    <w:rsid w:val="0094346C"/>
    <w:rsid w:val="00943742"/>
    <w:rsid w:val="00945C05"/>
    <w:rsid w:val="00946945"/>
    <w:rsid w:val="00947179"/>
    <w:rsid w:val="00947713"/>
    <w:rsid w:val="00947B01"/>
    <w:rsid w:val="009506F9"/>
    <w:rsid w:val="00950DE7"/>
    <w:rsid w:val="00950FBF"/>
    <w:rsid w:val="00951BFD"/>
    <w:rsid w:val="00953920"/>
    <w:rsid w:val="00953D47"/>
    <w:rsid w:val="00956711"/>
    <w:rsid w:val="0095681E"/>
    <w:rsid w:val="009572D4"/>
    <w:rsid w:val="00957337"/>
    <w:rsid w:val="009579C0"/>
    <w:rsid w:val="00960FEA"/>
    <w:rsid w:val="00961921"/>
    <w:rsid w:val="00961DF7"/>
    <w:rsid w:val="0096430A"/>
    <w:rsid w:val="009646C1"/>
    <w:rsid w:val="00964C30"/>
    <w:rsid w:val="0096554B"/>
    <w:rsid w:val="0096584A"/>
    <w:rsid w:val="00965C53"/>
    <w:rsid w:val="00967A33"/>
    <w:rsid w:val="00970523"/>
    <w:rsid w:val="00971F08"/>
    <w:rsid w:val="009739E6"/>
    <w:rsid w:val="00975997"/>
    <w:rsid w:val="0097603D"/>
    <w:rsid w:val="00976949"/>
    <w:rsid w:val="00980477"/>
    <w:rsid w:val="009827EF"/>
    <w:rsid w:val="00984217"/>
    <w:rsid w:val="00985253"/>
    <w:rsid w:val="009853B3"/>
    <w:rsid w:val="00985CBE"/>
    <w:rsid w:val="0099063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5CBA"/>
    <w:rsid w:val="009A72AE"/>
    <w:rsid w:val="009B19F5"/>
    <w:rsid w:val="009B1F30"/>
    <w:rsid w:val="009B3AC2"/>
    <w:rsid w:val="009B4B77"/>
    <w:rsid w:val="009B4DF4"/>
    <w:rsid w:val="009B564E"/>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14E0"/>
    <w:rsid w:val="009E35DB"/>
    <w:rsid w:val="009E47A3"/>
    <w:rsid w:val="009E537B"/>
    <w:rsid w:val="009E5902"/>
    <w:rsid w:val="009E6AA6"/>
    <w:rsid w:val="009E6AC2"/>
    <w:rsid w:val="009E6F0C"/>
    <w:rsid w:val="009F08F3"/>
    <w:rsid w:val="009F1ECE"/>
    <w:rsid w:val="009F344F"/>
    <w:rsid w:val="009F3D98"/>
    <w:rsid w:val="009F4360"/>
    <w:rsid w:val="009F47FE"/>
    <w:rsid w:val="00A00F1F"/>
    <w:rsid w:val="00A048A8"/>
    <w:rsid w:val="00A04F49"/>
    <w:rsid w:val="00A0651F"/>
    <w:rsid w:val="00A07855"/>
    <w:rsid w:val="00A10C8A"/>
    <w:rsid w:val="00A11AB7"/>
    <w:rsid w:val="00A1305E"/>
    <w:rsid w:val="00A1364F"/>
    <w:rsid w:val="00A13991"/>
    <w:rsid w:val="00A13E54"/>
    <w:rsid w:val="00A1595C"/>
    <w:rsid w:val="00A17F63"/>
    <w:rsid w:val="00A2193B"/>
    <w:rsid w:val="00A2351A"/>
    <w:rsid w:val="00A23945"/>
    <w:rsid w:val="00A24365"/>
    <w:rsid w:val="00A249D6"/>
    <w:rsid w:val="00A264A9"/>
    <w:rsid w:val="00A27785"/>
    <w:rsid w:val="00A30187"/>
    <w:rsid w:val="00A31044"/>
    <w:rsid w:val="00A3448A"/>
    <w:rsid w:val="00A35099"/>
    <w:rsid w:val="00A354DD"/>
    <w:rsid w:val="00A36297"/>
    <w:rsid w:val="00A3751A"/>
    <w:rsid w:val="00A4191F"/>
    <w:rsid w:val="00A41E2B"/>
    <w:rsid w:val="00A44B11"/>
    <w:rsid w:val="00A45B74"/>
    <w:rsid w:val="00A50F35"/>
    <w:rsid w:val="00A50FA9"/>
    <w:rsid w:val="00A521B4"/>
    <w:rsid w:val="00A52E1D"/>
    <w:rsid w:val="00A55F73"/>
    <w:rsid w:val="00A56D3F"/>
    <w:rsid w:val="00A571A6"/>
    <w:rsid w:val="00A60917"/>
    <w:rsid w:val="00A61499"/>
    <w:rsid w:val="00A622C6"/>
    <w:rsid w:val="00A62A77"/>
    <w:rsid w:val="00A631EF"/>
    <w:rsid w:val="00A63483"/>
    <w:rsid w:val="00A654B7"/>
    <w:rsid w:val="00A657D7"/>
    <w:rsid w:val="00A65935"/>
    <w:rsid w:val="00A660AC"/>
    <w:rsid w:val="00A670A6"/>
    <w:rsid w:val="00A67E6C"/>
    <w:rsid w:val="00A71B99"/>
    <w:rsid w:val="00A739D0"/>
    <w:rsid w:val="00A74E64"/>
    <w:rsid w:val="00A758C5"/>
    <w:rsid w:val="00A761D4"/>
    <w:rsid w:val="00A77EC4"/>
    <w:rsid w:val="00A80BAB"/>
    <w:rsid w:val="00A8392D"/>
    <w:rsid w:val="00A85AE7"/>
    <w:rsid w:val="00A9043E"/>
    <w:rsid w:val="00A908BD"/>
    <w:rsid w:val="00A92879"/>
    <w:rsid w:val="00A93F17"/>
    <w:rsid w:val="00A9442A"/>
    <w:rsid w:val="00A96CC6"/>
    <w:rsid w:val="00AA016F"/>
    <w:rsid w:val="00AA18D0"/>
    <w:rsid w:val="00AA1ED6"/>
    <w:rsid w:val="00AA2677"/>
    <w:rsid w:val="00AA51D6"/>
    <w:rsid w:val="00AA56AA"/>
    <w:rsid w:val="00AB0BC8"/>
    <w:rsid w:val="00AB11CA"/>
    <w:rsid w:val="00AB14D9"/>
    <w:rsid w:val="00AB1EAE"/>
    <w:rsid w:val="00AB2AA4"/>
    <w:rsid w:val="00AB3A11"/>
    <w:rsid w:val="00AB4AB8"/>
    <w:rsid w:val="00AB655E"/>
    <w:rsid w:val="00AB7AE6"/>
    <w:rsid w:val="00AC007F"/>
    <w:rsid w:val="00AC294B"/>
    <w:rsid w:val="00AC297D"/>
    <w:rsid w:val="00AC2ECD"/>
    <w:rsid w:val="00AC3119"/>
    <w:rsid w:val="00AC468A"/>
    <w:rsid w:val="00AC49FB"/>
    <w:rsid w:val="00AC5A10"/>
    <w:rsid w:val="00AC6D53"/>
    <w:rsid w:val="00AD0348"/>
    <w:rsid w:val="00AD0AA3"/>
    <w:rsid w:val="00AD3168"/>
    <w:rsid w:val="00AD3F94"/>
    <w:rsid w:val="00AD4A5A"/>
    <w:rsid w:val="00AD7F95"/>
    <w:rsid w:val="00AE0905"/>
    <w:rsid w:val="00AE27AC"/>
    <w:rsid w:val="00AE40E0"/>
    <w:rsid w:val="00AE4DBA"/>
    <w:rsid w:val="00AE4F07"/>
    <w:rsid w:val="00AE62E2"/>
    <w:rsid w:val="00AE7446"/>
    <w:rsid w:val="00AF0DB6"/>
    <w:rsid w:val="00AF1C5D"/>
    <w:rsid w:val="00AF2026"/>
    <w:rsid w:val="00AF42D7"/>
    <w:rsid w:val="00AF43AB"/>
    <w:rsid w:val="00AF53B6"/>
    <w:rsid w:val="00B0035B"/>
    <w:rsid w:val="00B006FE"/>
    <w:rsid w:val="00B007CB"/>
    <w:rsid w:val="00B010BF"/>
    <w:rsid w:val="00B02AA9"/>
    <w:rsid w:val="00B02FA3"/>
    <w:rsid w:val="00B03C4C"/>
    <w:rsid w:val="00B05084"/>
    <w:rsid w:val="00B05BA5"/>
    <w:rsid w:val="00B0611B"/>
    <w:rsid w:val="00B10B32"/>
    <w:rsid w:val="00B136CA"/>
    <w:rsid w:val="00B157F9"/>
    <w:rsid w:val="00B167F1"/>
    <w:rsid w:val="00B20256"/>
    <w:rsid w:val="00B20D09"/>
    <w:rsid w:val="00B211B2"/>
    <w:rsid w:val="00B21BE8"/>
    <w:rsid w:val="00B2763F"/>
    <w:rsid w:val="00B27AAC"/>
    <w:rsid w:val="00B30929"/>
    <w:rsid w:val="00B31239"/>
    <w:rsid w:val="00B34AC3"/>
    <w:rsid w:val="00B372AA"/>
    <w:rsid w:val="00B40445"/>
    <w:rsid w:val="00B40ECB"/>
    <w:rsid w:val="00B413D6"/>
    <w:rsid w:val="00B41888"/>
    <w:rsid w:val="00B41DF0"/>
    <w:rsid w:val="00B425F8"/>
    <w:rsid w:val="00B42BDB"/>
    <w:rsid w:val="00B43407"/>
    <w:rsid w:val="00B45A52"/>
    <w:rsid w:val="00B46175"/>
    <w:rsid w:val="00B474B4"/>
    <w:rsid w:val="00B51BFF"/>
    <w:rsid w:val="00B51F19"/>
    <w:rsid w:val="00B548DA"/>
    <w:rsid w:val="00B5748F"/>
    <w:rsid w:val="00B6145A"/>
    <w:rsid w:val="00B61615"/>
    <w:rsid w:val="00B61BB1"/>
    <w:rsid w:val="00B61E56"/>
    <w:rsid w:val="00B62AAA"/>
    <w:rsid w:val="00B650C1"/>
    <w:rsid w:val="00B664C7"/>
    <w:rsid w:val="00B666BC"/>
    <w:rsid w:val="00B669AD"/>
    <w:rsid w:val="00B66C81"/>
    <w:rsid w:val="00B67691"/>
    <w:rsid w:val="00B706A1"/>
    <w:rsid w:val="00B70D90"/>
    <w:rsid w:val="00B739F6"/>
    <w:rsid w:val="00B74B6C"/>
    <w:rsid w:val="00B81A6C"/>
    <w:rsid w:val="00B81FDF"/>
    <w:rsid w:val="00B837ED"/>
    <w:rsid w:val="00B85DE5"/>
    <w:rsid w:val="00B90580"/>
    <w:rsid w:val="00B907EA"/>
    <w:rsid w:val="00B90F73"/>
    <w:rsid w:val="00B93188"/>
    <w:rsid w:val="00B93B59"/>
    <w:rsid w:val="00B9406A"/>
    <w:rsid w:val="00B940C7"/>
    <w:rsid w:val="00B959EC"/>
    <w:rsid w:val="00B97D9D"/>
    <w:rsid w:val="00BA04E2"/>
    <w:rsid w:val="00BA1FE5"/>
    <w:rsid w:val="00BA2280"/>
    <w:rsid w:val="00BA2A08"/>
    <w:rsid w:val="00BA5641"/>
    <w:rsid w:val="00BA56D2"/>
    <w:rsid w:val="00BA76E0"/>
    <w:rsid w:val="00BB2A25"/>
    <w:rsid w:val="00BB346D"/>
    <w:rsid w:val="00BB40A1"/>
    <w:rsid w:val="00BB51BB"/>
    <w:rsid w:val="00BB51E9"/>
    <w:rsid w:val="00BC0C69"/>
    <w:rsid w:val="00BC0E6A"/>
    <w:rsid w:val="00BC0FDC"/>
    <w:rsid w:val="00BC1DEE"/>
    <w:rsid w:val="00BC29AB"/>
    <w:rsid w:val="00BC3053"/>
    <w:rsid w:val="00BC4D2E"/>
    <w:rsid w:val="00BC6412"/>
    <w:rsid w:val="00BC762C"/>
    <w:rsid w:val="00BD48AC"/>
    <w:rsid w:val="00BD5F1A"/>
    <w:rsid w:val="00BE00AA"/>
    <w:rsid w:val="00BE0792"/>
    <w:rsid w:val="00BE1234"/>
    <w:rsid w:val="00BE2FA6"/>
    <w:rsid w:val="00BE32F5"/>
    <w:rsid w:val="00BE333F"/>
    <w:rsid w:val="00BE7406"/>
    <w:rsid w:val="00BE7603"/>
    <w:rsid w:val="00BF058E"/>
    <w:rsid w:val="00BF0B1D"/>
    <w:rsid w:val="00BF16CF"/>
    <w:rsid w:val="00BF20C7"/>
    <w:rsid w:val="00BF3279"/>
    <w:rsid w:val="00BF74C7"/>
    <w:rsid w:val="00C00DEB"/>
    <w:rsid w:val="00C015F1"/>
    <w:rsid w:val="00C0173E"/>
    <w:rsid w:val="00C01973"/>
    <w:rsid w:val="00C01F33"/>
    <w:rsid w:val="00C02CC6"/>
    <w:rsid w:val="00C040F7"/>
    <w:rsid w:val="00C041B0"/>
    <w:rsid w:val="00C044AB"/>
    <w:rsid w:val="00C055AB"/>
    <w:rsid w:val="00C05706"/>
    <w:rsid w:val="00C07377"/>
    <w:rsid w:val="00C10478"/>
    <w:rsid w:val="00C11122"/>
    <w:rsid w:val="00C1189B"/>
    <w:rsid w:val="00C11B5A"/>
    <w:rsid w:val="00C12107"/>
    <w:rsid w:val="00C12C66"/>
    <w:rsid w:val="00C145B6"/>
    <w:rsid w:val="00C14D4B"/>
    <w:rsid w:val="00C154BB"/>
    <w:rsid w:val="00C20190"/>
    <w:rsid w:val="00C223E6"/>
    <w:rsid w:val="00C23971"/>
    <w:rsid w:val="00C24DFB"/>
    <w:rsid w:val="00C26FAA"/>
    <w:rsid w:val="00C279B5"/>
    <w:rsid w:val="00C27C45"/>
    <w:rsid w:val="00C27E0C"/>
    <w:rsid w:val="00C30437"/>
    <w:rsid w:val="00C34167"/>
    <w:rsid w:val="00C3719D"/>
    <w:rsid w:val="00C372D0"/>
    <w:rsid w:val="00C41A9D"/>
    <w:rsid w:val="00C44AE7"/>
    <w:rsid w:val="00C4791A"/>
    <w:rsid w:val="00C47A84"/>
    <w:rsid w:val="00C50C02"/>
    <w:rsid w:val="00C536F2"/>
    <w:rsid w:val="00C5386C"/>
    <w:rsid w:val="00C54995"/>
    <w:rsid w:val="00C54D41"/>
    <w:rsid w:val="00C5639D"/>
    <w:rsid w:val="00C56496"/>
    <w:rsid w:val="00C60783"/>
    <w:rsid w:val="00C60E2B"/>
    <w:rsid w:val="00C644F7"/>
    <w:rsid w:val="00C64672"/>
    <w:rsid w:val="00C70697"/>
    <w:rsid w:val="00C7229E"/>
    <w:rsid w:val="00C72EF4"/>
    <w:rsid w:val="00C73B76"/>
    <w:rsid w:val="00C74D92"/>
    <w:rsid w:val="00C75608"/>
    <w:rsid w:val="00C759CB"/>
    <w:rsid w:val="00C75D2F"/>
    <w:rsid w:val="00C767BE"/>
    <w:rsid w:val="00C76963"/>
    <w:rsid w:val="00C76E3C"/>
    <w:rsid w:val="00C76E76"/>
    <w:rsid w:val="00C81568"/>
    <w:rsid w:val="00C81698"/>
    <w:rsid w:val="00C82B92"/>
    <w:rsid w:val="00C856D5"/>
    <w:rsid w:val="00C86997"/>
    <w:rsid w:val="00C87CDD"/>
    <w:rsid w:val="00C9027A"/>
    <w:rsid w:val="00C905DF"/>
    <w:rsid w:val="00C9068E"/>
    <w:rsid w:val="00C9363F"/>
    <w:rsid w:val="00C93C4B"/>
    <w:rsid w:val="00C94175"/>
    <w:rsid w:val="00C944AB"/>
    <w:rsid w:val="00C9451D"/>
    <w:rsid w:val="00C9474E"/>
    <w:rsid w:val="00C95B40"/>
    <w:rsid w:val="00C968EC"/>
    <w:rsid w:val="00C9793A"/>
    <w:rsid w:val="00C97B29"/>
    <w:rsid w:val="00CA0805"/>
    <w:rsid w:val="00CA0A10"/>
    <w:rsid w:val="00CA1ED8"/>
    <w:rsid w:val="00CA61FB"/>
    <w:rsid w:val="00CA6CFD"/>
    <w:rsid w:val="00CB0DE9"/>
    <w:rsid w:val="00CB1F63"/>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E032F"/>
    <w:rsid w:val="00CE0424"/>
    <w:rsid w:val="00CE077B"/>
    <w:rsid w:val="00CE2300"/>
    <w:rsid w:val="00CE3DF2"/>
    <w:rsid w:val="00CE5905"/>
    <w:rsid w:val="00CE7561"/>
    <w:rsid w:val="00CF1354"/>
    <w:rsid w:val="00CF3332"/>
    <w:rsid w:val="00CF3B1F"/>
    <w:rsid w:val="00CF3BF6"/>
    <w:rsid w:val="00CF46BC"/>
    <w:rsid w:val="00CF4E02"/>
    <w:rsid w:val="00CF4E77"/>
    <w:rsid w:val="00CF50AB"/>
    <w:rsid w:val="00CF625B"/>
    <w:rsid w:val="00CF687E"/>
    <w:rsid w:val="00CF7216"/>
    <w:rsid w:val="00CF7673"/>
    <w:rsid w:val="00D00339"/>
    <w:rsid w:val="00D0194F"/>
    <w:rsid w:val="00D0252F"/>
    <w:rsid w:val="00D0339E"/>
    <w:rsid w:val="00D0349B"/>
    <w:rsid w:val="00D03CBF"/>
    <w:rsid w:val="00D04434"/>
    <w:rsid w:val="00D1001F"/>
    <w:rsid w:val="00D10249"/>
    <w:rsid w:val="00D115C3"/>
    <w:rsid w:val="00D11897"/>
    <w:rsid w:val="00D13135"/>
    <w:rsid w:val="00D13ABF"/>
    <w:rsid w:val="00D13E4E"/>
    <w:rsid w:val="00D15089"/>
    <w:rsid w:val="00D1723B"/>
    <w:rsid w:val="00D22874"/>
    <w:rsid w:val="00D239A7"/>
    <w:rsid w:val="00D23F47"/>
    <w:rsid w:val="00D2503E"/>
    <w:rsid w:val="00D25B3F"/>
    <w:rsid w:val="00D3005B"/>
    <w:rsid w:val="00D3101D"/>
    <w:rsid w:val="00D32166"/>
    <w:rsid w:val="00D35234"/>
    <w:rsid w:val="00D36E71"/>
    <w:rsid w:val="00D37D87"/>
    <w:rsid w:val="00D40B33"/>
    <w:rsid w:val="00D426CB"/>
    <w:rsid w:val="00D4318F"/>
    <w:rsid w:val="00D438BF"/>
    <w:rsid w:val="00D440F8"/>
    <w:rsid w:val="00D45637"/>
    <w:rsid w:val="00D46FA5"/>
    <w:rsid w:val="00D501A9"/>
    <w:rsid w:val="00D51446"/>
    <w:rsid w:val="00D537D6"/>
    <w:rsid w:val="00D546FF"/>
    <w:rsid w:val="00D55AD5"/>
    <w:rsid w:val="00D55B51"/>
    <w:rsid w:val="00D55C96"/>
    <w:rsid w:val="00D576CA"/>
    <w:rsid w:val="00D601A6"/>
    <w:rsid w:val="00D60E13"/>
    <w:rsid w:val="00D61AF5"/>
    <w:rsid w:val="00D62CD5"/>
    <w:rsid w:val="00D63268"/>
    <w:rsid w:val="00D63C72"/>
    <w:rsid w:val="00D6435F"/>
    <w:rsid w:val="00D64A1D"/>
    <w:rsid w:val="00D652B5"/>
    <w:rsid w:val="00D66147"/>
    <w:rsid w:val="00D66155"/>
    <w:rsid w:val="00D708B0"/>
    <w:rsid w:val="00D70E73"/>
    <w:rsid w:val="00D71BB9"/>
    <w:rsid w:val="00D75A8B"/>
    <w:rsid w:val="00D76F86"/>
    <w:rsid w:val="00D77B1D"/>
    <w:rsid w:val="00D8021F"/>
    <w:rsid w:val="00D80383"/>
    <w:rsid w:val="00D815D6"/>
    <w:rsid w:val="00D8203B"/>
    <w:rsid w:val="00D823C6"/>
    <w:rsid w:val="00D85EF7"/>
    <w:rsid w:val="00D86CA3"/>
    <w:rsid w:val="00D871CE"/>
    <w:rsid w:val="00D9196D"/>
    <w:rsid w:val="00D920A7"/>
    <w:rsid w:val="00D92982"/>
    <w:rsid w:val="00D95A22"/>
    <w:rsid w:val="00D965C0"/>
    <w:rsid w:val="00DA0701"/>
    <w:rsid w:val="00DA305E"/>
    <w:rsid w:val="00DA5007"/>
    <w:rsid w:val="00DA536E"/>
    <w:rsid w:val="00DA5417"/>
    <w:rsid w:val="00DA56E8"/>
    <w:rsid w:val="00DA67A6"/>
    <w:rsid w:val="00DB06D8"/>
    <w:rsid w:val="00DB0A9F"/>
    <w:rsid w:val="00DB377D"/>
    <w:rsid w:val="00DB7182"/>
    <w:rsid w:val="00DC21E1"/>
    <w:rsid w:val="00DC2396"/>
    <w:rsid w:val="00DC2D36"/>
    <w:rsid w:val="00DC33E4"/>
    <w:rsid w:val="00DC3DD8"/>
    <w:rsid w:val="00DC53EF"/>
    <w:rsid w:val="00DC6D71"/>
    <w:rsid w:val="00DC7FEA"/>
    <w:rsid w:val="00DD1F9F"/>
    <w:rsid w:val="00DD7867"/>
    <w:rsid w:val="00DE3A33"/>
    <w:rsid w:val="00DE5608"/>
    <w:rsid w:val="00DE58D0"/>
    <w:rsid w:val="00DE654F"/>
    <w:rsid w:val="00DF0B6E"/>
    <w:rsid w:val="00DF15E0"/>
    <w:rsid w:val="00DF20A7"/>
    <w:rsid w:val="00DF37A0"/>
    <w:rsid w:val="00DF5C56"/>
    <w:rsid w:val="00E008FB"/>
    <w:rsid w:val="00E02CFE"/>
    <w:rsid w:val="00E05B34"/>
    <w:rsid w:val="00E110E7"/>
    <w:rsid w:val="00E11B20"/>
    <w:rsid w:val="00E156FA"/>
    <w:rsid w:val="00E174CA"/>
    <w:rsid w:val="00E17970"/>
    <w:rsid w:val="00E17B45"/>
    <w:rsid w:val="00E17FA2"/>
    <w:rsid w:val="00E22330"/>
    <w:rsid w:val="00E25B80"/>
    <w:rsid w:val="00E30B5A"/>
    <w:rsid w:val="00E3123D"/>
    <w:rsid w:val="00E31461"/>
    <w:rsid w:val="00E31C0F"/>
    <w:rsid w:val="00E31D43"/>
    <w:rsid w:val="00E32608"/>
    <w:rsid w:val="00E32C7B"/>
    <w:rsid w:val="00E33E4A"/>
    <w:rsid w:val="00E34188"/>
    <w:rsid w:val="00E345CD"/>
    <w:rsid w:val="00E34B6E"/>
    <w:rsid w:val="00E35559"/>
    <w:rsid w:val="00E36156"/>
    <w:rsid w:val="00E371BC"/>
    <w:rsid w:val="00E3723A"/>
    <w:rsid w:val="00E37860"/>
    <w:rsid w:val="00E446F1"/>
    <w:rsid w:val="00E44B94"/>
    <w:rsid w:val="00E46886"/>
    <w:rsid w:val="00E47AEF"/>
    <w:rsid w:val="00E52397"/>
    <w:rsid w:val="00E53B29"/>
    <w:rsid w:val="00E53B75"/>
    <w:rsid w:val="00E54E3B"/>
    <w:rsid w:val="00E557CC"/>
    <w:rsid w:val="00E57565"/>
    <w:rsid w:val="00E57A1C"/>
    <w:rsid w:val="00E604AE"/>
    <w:rsid w:val="00E62B73"/>
    <w:rsid w:val="00E63838"/>
    <w:rsid w:val="00E64434"/>
    <w:rsid w:val="00E67C51"/>
    <w:rsid w:val="00E70D86"/>
    <w:rsid w:val="00E72EFC"/>
    <w:rsid w:val="00E758EC"/>
    <w:rsid w:val="00E81B9B"/>
    <w:rsid w:val="00E8234C"/>
    <w:rsid w:val="00E83AA9"/>
    <w:rsid w:val="00E85928"/>
    <w:rsid w:val="00E87822"/>
    <w:rsid w:val="00E90395"/>
    <w:rsid w:val="00E90E49"/>
    <w:rsid w:val="00E91756"/>
    <w:rsid w:val="00E917F9"/>
    <w:rsid w:val="00E91E36"/>
    <w:rsid w:val="00E9291C"/>
    <w:rsid w:val="00E93FFE"/>
    <w:rsid w:val="00E94B98"/>
    <w:rsid w:val="00E94F8A"/>
    <w:rsid w:val="00E9719C"/>
    <w:rsid w:val="00EA3284"/>
    <w:rsid w:val="00EA5B73"/>
    <w:rsid w:val="00EA6E0E"/>
    <w:rsid w:val="00EA7A41"/>
    <w:rsid w:val="00EB077B"/>
    <w:rsid w:val="00EB3697"/>
    <w:rsid w:val="00EB45F9"/>
    <w:rsid w:val="00EB4EA2"/>
    <w:rsid w:val="00EB62EC"/>
    <w:rsid w:val="00EB6361"/>
    <w:rsid w:val="00EC27C6"/>
    <w:rsid w:val="00EC38A0"/>
    <w:rsid w:val="00EC4207"/>
    <w:rsid w:val="00EC4A0B"/>
    <w:rsid w:val="00EC4A1E"/>
    <w:rsid w:val="00EC4C96"/>
    <w:rsid w:val="00EC5653"/>
    <w:rsid w:val="00EC60B5"/>
    <w:rsid w:val="00EC66B4"/>
    <w:rsid w:val="00EC71CE"/>
    <w:rsid w:val="00EC7304"/>
    <w:rsid w:val="00EC7CBE"/>
    <w:rsid w:val="00ED1006"/>
    <w:rsid w:val="00ED5DF4"/>
    <w:rsid w:val="00ED6E06"/>
    <w:rsid w:val="00EE0956"/>
    <w:rsid w:val="00EE1975"/>
    <w:rsid w:val="00EE25E7"/>
    <w:rsid w:val="00EE57B6"/>
    <w:rsid w:val="00EE6379"/>
    <w:rsid w:val="00EE6561"/>
    <w:rsid w:val="00EF0038"/>
    <w:rsid w:val="00EF10BC"/>
    <w:rsid w:val="00EF18FE"/>
    <w:rsid w:val="00EF2E6C"/>
    <w:rsid w:val="00EF2EE3"/>
    <w:rsid w:val="00EF5787"/>
    <w:rsid w:val="00EF60D0"/>
    <w:rsid w:val="00EF669D"/>
    <w:rsid w:val="00EF7136"/>
    <w:rsid w:val="00F0201B"/>
    <w:rsid w:val="00F03E8C"/>
    <w:rsid w:val="00F0528D"/>
    <w:rsid w:val="00F06C67"/>
    <w:rsid w:val="00F06DFD"/>
    <w:rsid w:val="00F071D1"/>
    <w:rsid w:val="00F07533"/>
    <w:rsid w:val="00F100FF"/>
    <w:rsid w:val="00F10629"/>
    <w:rsid w:val="00F15FA5"/>
    <w:rsid w:val="00F1625B"/>
    <w:rsid w:val="00F20729"/>
    <w:rsid w:val="00F209B7"/>
    <w:rsid w:val="00F21C47"/>
    <w:rsid w:val="00F2376F"/>
    <w:rsid w:val="00F243D8"/>
    <w:rsid w:val="00F24E55"/>
    <w:rsid w:val="00F30828"/>
    <w:rsid w:val="00F30E66"/>
    <w:rsid w:val="00F313D6"/>
    <w:rsid w:val="00F31E10"/>
    <w:rsid w:val="00F33DF2"/>
    <w:rsid w:val="00F34D6D"/>
    <w:rsid w:val="00F40806"/>
    <w:rsid w:val="00F40C33"/>
    <w:rsid w:val="00F40F0C"/>
    <w:rsid w:val="00F4350D"/>
    <w:rsid w:val="00F4352A"/>
    <w:rsid w:val="00F4766C"/>
    <w:rsid w:val="00F47D9C"/>
    <w:rsid w:val="00F507D1"/>
    <w:rsid w:val="00F519CE"/>
    <w:rsid w:val="00F51ADA"/>
    <w:rsid w:val="00F51CB3"/>
    <w:rsid w:val="00F539FE"/>
    <w:rsid w:val="00F54C67"/>
    <w:rsid w:val="00F56734"/>
    <w:rsid w:val="00F56AB5"/>
    <w:rsid w:val="00F607C5"/>
    <w:rsid w:val="00F60931"/>
    <w:rsid w:val="00F60DEA"/>
    <w:rsid w:val="00F61E9C"/>
    <w:rsid w:val="00F62119"/>
    <w:rsid w:val="00F6302A"/>
    <w:rsid w:val="00F64295"/>
    <w:rsid w:val="00F64C2B"/>
    <w:rsid w:val="00F651BE"/>
    <w:rsid w:val="00F65DAC"/>
    <w:rsid w:val="00F668D2"/>
    <w:rsid w:val="00F67F53"/>
    <w:rsid w:val="00F703BE"/>
    <w:rsid w:val="00F71F69"/>
    <w:rsid w:val="00F72052"/>
    <w:rsid w:val="00F72A1E"/>
    <w:rsid w:val="00F72A83"/>
    <w:rsid w:val="00F72B72"/>
    <w:rsid w:val="00F73C22"/>
    <w:rsid w:val="00F74BB9"/>
    <w:rsid w:val="00F75582"/>
    <w:rsid w:val="00F75A7F"/>
    <w:rsid w:val="00F76EFA"/>
    <w:rsid w:val="00F804BE"/>
    <w:rsid w:val="00F817CE"/>
    <w:rsid w:val="00F8456C"/>
    <w:rsid w:val="00F859D8"/>
    <w:rsid w:val="00F868F5"/>
    <w:rsid w:val="00F9056A"/>
    <w:rsid w:val="00F9083B"/>
    <w:rsid w:val="00F90F8D"/>
    <w:rsid w:val="00F92782"/>
    <w:rsid w:val="00F93AA9"/>
    <w:rsid w:val="00F96985"/>
    <w:rsid w:val="00F96EAE"/>
    <w:rsid w:val="00F96EFF"/>
    <w:rsid w:val="00F97838"/>
    <w:rsid w:val="00F97BE1"/>
    <w:rsid w:val="00FA05D5"/>
    <w:rsid w:val="00FA0C03"/>
    <w:rsid w:val="00FA1A08"/>
    <w:rsid w:val="00FA2BB3"/>
    <w:rsid w:val="00FA5D49"/>
    <w:rsid w:val="00FA7B90"/>
    <w:rsid w:val="00FB2583"/>
    <w:rsid w:val="00FB3D52"/>
    <w:rsid w:val="00FB46E6"/>
    <w:rsid w:val="00FB4C80"/>
    <w:rsid w:val="00FB6A6A"/>
    <w:rsid w:val="00FB6ACF"/>
    <w:rsid w:val="00FC0206"/>
    <w:rsid w:val="00FC076D"/>
    <w:rsid w:val="00FC4767"/>
    <w:rsid w:val="00FC4AD0"/>
    <w:rsid w:val="00FC7429"/>
    <w:rsid w:val="00FD07F6"/>
    <w:rsid w:val="00FD14F7"/>
    <w:rsid w:val="00FD1D12"/>
    <w:rsid w:val="00FD1EC8"/>
    <w:rsid w:val="00FD20E5"/>
    <w:rsid w:val="00FD21A9"/>
    <w:rsid w:val="00FD3FB3"/>
    <w:rsid w:val="00FD434C"/>
    <w:rsid w:val="00FD47ED"/>
    <w:rsid w:val="00FD74DB"/>
    <w:rsid w:val="00FD7660"/>
    <w:rsid w:val="00FE0655"/>
    <w:rsid w:val="00FE20DB"/>
    <w:rsid w:val="00FE2365"/>
    <w:rsid w:val="00FE2722"/>
    <w:rsid w:val="00FE2927"/>
    <w:rsid w:val="00FE4C7B"/>
    <w:rsid w:val="00FE7336"/>
    <w:rsid w:val="00FE787C"/>
    <w:rsid w:val="00FF05B7"/>
    <w:rsid w:val="00FF1440"/>
    <w:rsid w:val="00FF1E31"/>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D1D"/>
    <w:pPr>
      <w:spacing w:after="200" w:line="276" w:lineRule="auto"/>
    </w:pPr>
    <w:rPr>
      <w:rFonts w:asciiTheme="minorHAnsi" w:eastAsiaTheme="minorEastAsia" w:hAnsiTheme="minorHAnsi" w:cstheme="minorBidi"/>
      <w:sz w:val="22"/>
      <w:szCs w:val="22"/>
      <w:lang w:val="en-GB"/>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E1D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1D1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4"/>
      </w:numPr>
      <w:spacing w:after="0"/>
    </w:pPr>
    <w:rPr>
      <w:szCs w:val="24"/>
    </w:rPr>
  </w:style>
  <w:style w:type="paragraph" w:customStyle="1" w:styleId="bullet2">
    <w:name w:val="bullet2"/>
    <w:basedOn w:val="text"/>
    <w:link w:val="bullet2Char"/>
    <w:qFormat/>
    <w:rsid w:val="00305D11"/>
    <w:pPr>
      <w:numPr>
        <w:ilvl w:val="1"/>
        <w:numId w:val="44"/>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44"/>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44"/>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789c8df-cd92-43c1-8a83-195dbc0f0a0a"/>
    <ds:schemaRef ds:uri="08b2df90-05d3-4030-90d4-c9feeb4a1cd9"/>
    <ds:schemaRef ds:uri="http://www.w3.org/XML/1998/namespace"/>
    <ds:schemaRef ds:uri="http://purl.org/dc/dcmitype/"/>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01C91CDB-7AC6-4BF7-9F69-7734CE4F0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Quan Kuang</cp:lastModifiedBy>
  <cp:revision>3</cp:revision>
  <cp:lastPrinted>2008-01-31T06:09:00Z</cp:lastPrinted>
  <dcterms:created xsi:type="dcterms:W3CDTF">2018-05-09T09:46:00Z</dcterms:created>
  <dcterms:modified xsi:type="dcterms:W3CDTF">2018-05-09T09:46:00Z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