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58743" w14:textId="61C16678" w:rsidR="00DB5016" w:rsidRPr="009D28E4" w:rsidRDefault="00DB5016" w:rsidP="00DB5016">
      <w:pPr>
        <w:pStyle w:val="3GPPHeader"/>
        <w:rPr>
          <w:highlight w:val="yellow"/>
          <w:lang w:val="en-AU"/>
        </w:rPr>
      </w:pPr>
      <w:bookmarkStart w:id="0" w:name="_Hlk489988649"/>
      <w:bookmarkStart w:id="1" w:name="_GoBack"/>
      <w:bookmarkEnd w:id="0"/>
      <w:bookmarkEnd w:id="1"/>
      <w:r w:rsidRPr="009D28E4">
        <w:t>3GPP TSG RAN WG1 Meeting 90bis</w:t>
      </w:r>
      <w:r w:rsidRPr="009D28E4">
        <w:tab/>
      </w:r>
      <w:r w:rsidR="009D28E4" w:rsidRPr="009D28E4">
        <w:rPr>
          <w:rFonts w:cs="Arial"/>
          <w:color w:val="000000"/>
          <w:lang w:val="en-AU"/>
        </w:rPr>
        <w:t>R1-1718653</w:t>
      </w:r>
    </w:p>
    <w:p w14:paraId="6802C5BE" w14:textId="77777777" w:rsidR="00DB5016" w:rsidRPr="000E7DDF" w:rsidRDefault="00DB5016" w:rsidP="00DB5016">
      <w:pPr>
        <w:pStyle w:val="3GPPHeader"/>
        <w:rPr>
          <w:bCs/>
          <w:lang w:val="en-AU"/>
        </w:rPr>
      </w:pPr>
      <w:r w:rsidRPr="000E7DDF">
        <w:rPr>
          <w:bCs/>
          <w:lang w:val="en-AU"/>
        </w:rPr>
        <w:t>Prague, CZ, 9</w:t>
      </w:r>
      <w:r w:rsidRPr="000E7DDF">
        <w:rPr>
          <w:bCs/>
          <w:vertAlign w:val="superscript"/>
          <w:lang w:val="en-AU"/>
        </w:rPr>
        <w:t>th</w:t>
      </w:r>
      <w:r w:rsidRPr="000E7DDF">
        <w:rPr>
          <w:bCs/>
          <w:lang w:val="en-AU"/>
        </w:rPr>
        <w:t xml:space="preserve"> – 13</w:t>
      </w:r>
      <w:r w:rsidRPr="000E7DDF">
        <w:rPr>
          <w:bCs/>
          <w:vertAlign w:val="superscript"/>
          <w:lang w:val="en-AU"/>
        </w:rPr>
        <w:t>th</w:t>
      </w:r>
      <w:r w:rsidRPr="000E7DDF">
        <w:rPr>
          <w:rFonts w:hint="eastAsia"/>
          <w:bCs/>
          <w:lang w:val="en-AU"/>
        </w:rPr>
        <w:t xml:space="preserve">, </w:t>
      </w:r>
      <w:r w:rsidRPr="000E7DDF">
        <w:rPr>
          <w:bCs/>
          <w:lang w:val="en-AU"/>
        </w:rPr>
        <w:t>October 201</w:t>
      </w:r>
      <w:r w:rsidRPr="000E7DDF">
        <w:rPr>
          <w:rFonts w:hint="eastAsia"/>
          <w:bCs/>
          <w:lang w:val="en-AU"/>
        </w:rPr>
        <w:t>7</w:t>
      </w:r>
    </w:p>
    <w:p w14:paraId="4D68F0E6" w14:textId="77777777" w:rsidR="00DB5016" w:rsidRPr="000E7DDF" w:rsidRDefault="00DB5016" w:rsidP="00DB5016">
      <w:pPr>
        <w:pStyle w:val="3GPPHeader"/>
        <w:rPr>
          <w:lang w:val="en-AU"/>
        </w:rPr>
      </w:pPr>
    </w:p>
    <w:p w14:paraId="4DEE9074" w14:textId="77777777" w:rsidR="00DB5016" w:rsidRPr="000E7DDF" w:rsidRDefault="00DB5016" w:rsidP="00DB5016">
      <w:pPr>
        <w:pStyle w:val="3GPPHeader"/>
        <w:rPr>
          <w:lang w:val="en-AU"/>
        </w:rPr>
      </w:pPr>
      <w:r w:rsidRPr="000E7DDF">
        <w:rPr>
          <w:lang w:val="en-AU"/>
        </w:rPr>
        <w:t>Source:</w:t>
      </w:r>
      <w:r w:rsidRPr="000E7DDF">
        <w:rPr>
          <w:lang w:val="en-AU"/>
        </w:rPr>
        <w:tab/>
        <w:t>Ericsson</w:t>
      </w:r>
    </w:p>
    <w:p w14:paraId="5428975E" w14:textId="0D03651C" w:rsidR="00DB5016" w:rsidRPr="009D28E4" w:rsidRDefault="00DB5016" w:rsidP="00DB5016">
      <w:pPr>
        <w:pStyle w:val="3GPPHeader"/>
        <w:rPr>
          <w:lang w:val="en-AU"/>
        </w:rPr>
      </w:pPr>
      <w:r w:rsidRPr="000E7DDF">
        <w:rPr>
          <w:lang w:val="en-AU"/>
        </w:rPr>
        <w:t>Title:</w:t>
      </w:r>
      <w:r w:rsidRPr="000E7DDF">
        <w:rPr>
          <w:lang w:val="en-AU"/>
        </w:rPr>
        <w:tab/>
      </w:r>
      <w:r w:rsidR="009D28E4" w:rsidRPr="009D28E4">
        <w:rPr>
          <w:lang w:val="en-AU"/>
        </w:rPr>
        <w:t>Further details on beam specific power control</w:t>
      </w:r>
    </w:p>
    <w:p w14:paraId="3443DA33" w14:textId="04F4E0AB" w:rsidR="00DB5016" w:rsidRPr="000E7DDF" w:rsidRDefault="00DB5016" w:rsidP="00DB5016">
      <w:pPr>
        <w:pStyle w:val="3GPPHeader"/>
        <w:rPr>
          <w:lang w:val="en-AU"/>
        </w:rPr>
      </w:pPr>
      <w:r w:rsidRPr="000E7DDF">
        <w:rPr>
          <w:lang w:val="en-AU"/>
        </w:rPr>
        <w:t>Agenda Item:</w:t>
      </w:r>
      <w:r w:rsidRPr="000E7DDF">
        <w:rPr>
          <w:lang w:val="en-AU"/>
        </w:rPr>
        <w:tab/>
      </w:r>
      <w:r w:rsidR="009D28E4">
        <w:rPr>
          <w:lang w:val="en-AU"/>
        </w:rPr>
        <w:t>7.6.2</w:t>
      </w:r>
    </w:p>
    <w:p w14:paraId="2A16A355" w14:textId="77777777" w:rsidR="00DB5016" w:rsidRPr="00BE0203" w:rsidRDefault="00DB5016" w:rsidP="00DB5016">
      <w:pPr>
        <w:pStyle w:val="3GPPHeader"/>
        <w:rPr>
          <w:lang w:val="en-AU"/>
        </w:rPr>
      </w:pPr>
      <w:r w:rsidRPr="00BE0203">
        <w:rPr>
          <w:lang w:val="en-AU"/>
        </w:rPr>
        <w:t>Document for:</w:t>
      </w:r>
      <w:r w:rsidRPr="00BE0203">
        <w:rPr>
          <w:lang w:val="en-AU"/>
        </w:rPr>
        <w:tab/>
        <w:t>Discussion and Decision</w:t>
      </w:r>
    </w:p>
    <w:p w14:paraId="72B2365A" w14:textId="1D26F567" w:rsidR="00E90E49" w:rsidRDefault="007F75D5" w:rsidP="009F56BD">
      <w:pPr>
        <w:pStyle w:val="Heading1"/>
      </w:pPr>
      <w:r>
        <w:t>Introduction</w:t>
      </w:r>
    </w:p>
    <w:p w14:paraId="2B63C870" w14:textId="77777777" w:rsidR="009F56BD" w:rsidRPr="007314DB" w:rsidRDefault="009F56BD" w:rsidP="009F56BD">
      <w:pPr>
        <w:pStyle w:val="BodyText"/>
        <w:rPr>
          <w:lang w:val="en-AU"/>
        </w:rPr>
      </w:pPr>
      <w:r w:rsidRPr="007314DB">
        <w:rPr>
          <w:lang w:val="en-AU"/>
        </w:rPr>
        <w:t>In RAN1#90AH, the following agreements were made:</w:t>
      </w:r>
    </w:p>
    <w:p w14:paraId="2E0D4A9A" w14:textId="77777777" w:rsidR="009F56BD" w:rsidRDefault="009F56BD" w:rsidP="009F56BD">
      <w:pPr>
        <w:rPr>
          <w:rFonts w:ascii="Times" w:eastAsia="Batang" w:hAnsi="Times" w:cs="Times New Roman"/>
          <w:b/>
          <w:sz w:val="20"/>
          <w:szCs w:val="24"/>
          <w:lang w:eastAsia="ko-KR"/>
        </w:rPr>
      </w:pPr>
      <w:r>
        <w:rPr>
          <w:b/>
          <w:highlight w:val="green"/>
          <w:lang w:eastAsia="ko-KR"/>
        </w:rPr>
        <w:t>Agreement:</w:t>
      </w:r>
    </w:p>
    <w:p w14:paraId="4EF3CE96" w14:textId="77777777" w:rsidR="009F56BD" w:rsidRDefault="003854EC" w:rsidP="009F56BD">
      <w:pPr>
        <w:rPr>
          <w:lang w:eastAsia="ko-KR"/>
        </w:rPr>
      </w:pPr>
      <w:r>
        <w:rPr>
          <w:lang w:val="sv-FI"/>
        </w:rPr>
        <w:object w:dxaOrig="1440" w:dyaOrig="1440" w14:anchorId="57C46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4.1pt;margin-top:0;width:393.9pt;height:39.9pt;z-index:251658240">
            <v:imagedata r:id="rId8" o:title=""/>
            <w10:wrap type="square" side="left"/>
          </v:shape>
          <o:OLEObject Type="Embed" ProgID="Equation.3" ShapeID="_x0000_s1026" DrawAspect="Content" ObjectID="_1568491024" r:id="rId9"/>
        </w:object>
      </w:r>
    </w:p>
    <w:p w14:paraId="7A4925C2" w14:textId="49875DF0" w:rsidR="009F56BD" w:rsidRDefault="009F56BD" w:rsidP="00CF71AA">
      <w:pPr>
        <w:numPr>
          <w:ilvl w:val="1"/>
          <w:numId w:val="13"/>
        </w:numPr>
        <w:tabs>
          <w:tab w:val="left" w:pos="1440"/>
        </w:tabs>
        <w:spacing w:after="0" w:line="240" w:lineRule="auto"/>
        <w:rPr>
          <w:lang w:eastAsia="ko-KR"/>
        </w:rPr>
      </w:pPr>
      <w:r>
        <w:rPr>
          <w:lang w:eastAsia="ko-KR"/>
        </w:rPr>
        <w:t xml:space="preserve">Support at least  </w:t>
      </w:r>
      <w:proofErr w:type="spellStart"/>
      <w:r>
        <w:rPr>
          <w:i/>
          <w:iCs/>
          <w:lang w:eastAsia="ko-KR"/>
        </w:rPr>
        <w:t>P</w:t>
      </w:r>
      <w:r>
        <w:rPr>
          <w:vertAlign w:val="subscript"/>
          <w:lang w:eastAsia="ko-KR"/>
        </w:rPr>
        <w:t>cmax,</w:t>
      </w:r>
      <w:r>
        <w:rPr>
          <w:i/>
          <w:iCs/>
          <w:vertAlign w:val="subscript"/>
          <w:lang w:eastAsia="ko-KR"/>
        </w:rPr>
        <w:t>c</w:t>
      </w:r>
      <w:proofErr w:type="spellEnd"/>
      <w:r>
        <w:rPr>
          <w:lang w:eastAsia="ko-KR"/>
        </w:rPr>
        <w:t>(</w:t>
      </w:r>
      <w:proofErr w:type="spellStart"/>
      <w:r>
        <w:rPr>
          <w:i/>
          <w:iCs/>
          <w:lang w:eastAsia="ko-KR"/>
        </w:rPr>
        <w:t>i</w:t>
      </w:r>
      <w:proofErr w:type="spellEnd"/>
      <w:r>
        <w:rPr>
          <w:lang w:eastAsia="ko-KR"/>
        </w:rPr>
        <w:t xml:space="preserve">), </w:t>
      </w:r>
      <w:proofErr w:type="spellStart"/>
      <w:r>
        <w:rPr>
          <w:i/>
          <w:iCs/>
          <w:lang w:eastAsia="ko-KR"/>
        </w:rPr>
        <w:t>M</w:t>
      </w:r>
      <w:r>
        <w:rPr>
          <w:vertAlign w:val="subscript"/>
          <w:lang w:eastAsia="ko-KR"/>
        </w:rPr>
        <w:t>PUSCH,</w:t>
      </w:r>
      <w:r>
        <w:rPr>
          <w:i/>
          <w:iCs/>
          <w:vertAlign w:val="subscript"/>
          <w:lang w:eastAsia="ko-KR"/>
        </w:rPr>
        <w:t>c</w:t>
      </w:r>
      <w:proofErr w:type="spellEnd"/>
      <w:r>
        <w:rPr>
          <w:lang w:eastAsia="ko-KR"/>
        </w:rPr>
        <w:t>(</w:t>
      </w:r>
      <w:proofErr w:type="spellStart"/>
      <w:r>
        <w:rPr>
          <w:i/>
          <w:iCs/>
          <w:lang w:eastAsia="ko-KR"/>
        </w:rPr>
        <w:t>i</w:t>
      </w:r>
      <w:proofErr w:type="spellEnd"/>
      <w:r>
        <w:rPr>
          <w:lang w:eastAsia="ko-KR"/>
        </w:rPr>
        <w:t xml:space="preserve">), </w:t>
      </w:r>
      <w:r>
        <w:rPr>
          <w:i/>
          <w:iCs/>
          <w:lang w:eastAsia="ko-KR"/>
        </w:rPr>
        <w:t>P</w:t>
      </w:r>
      <w:r>
        <w:rPr>
          <w:vertAlign w:val="subscript"/>
          <w:lang w:eastAsia="ko-KR"/>
        </w:rPr>
        <w:t>0,</w:t>
      </w:r>
      <w:r>
        <w:rPr>
          <w:i/>
          <w:iCs/>
          <w:vertAlign w:val="subscript"/>
          <w:lang w:eastAsia="ko-KR"/>
        </w:rPr>
        <w:t>c</w:t>
      </w:r>
      <w:r>
        <w:rPr>
          <w:lang w:eastAsia="ko-KR"/>
        </w:rPr>
        <w:t>(</w:t>
      </w:r>
      <w:r>
        <w:rPr>
          <w:i/>
          <w:iCs/>
          <w:lang w:eastAsia="ko-KR"/>
        </w:rPr>
        <w:t>j</w:t>
      </w:r>
      <w:r>
        <w:rPr>
          <w:lang w:eastAsia="ko-KR"/>
        </w:rPr>
        <w:t xml:space="preserve">), </w:t>
      </w:r>
      <w:r>
        <w:rPr>
          <w:i/>
          <w:iCs/>
          <w:lang w:eastAsia="ko-KR"/>
        </w:rPr>
        <w:t>α</w:t>
      </w:r>
      <w:r>
        <w:rPr>
          <w:i/>
          <w:iCs/>
          <w:vertAlign w:val="subscript"/>
          <w:lang w:eastAsia="ko-KR"/>
        </w:rPr>
        <w:t>c</w:t>
      </w:r>
      <w:r>
        <w:rPr>
          <w:lang w:eastAsia="ko-KR"/>
        </w:rPr>
        <w:t>(</w:t>
      </w:r>
      <w:r>
        <w:rPr>
          <w:i/>
          <w:iCs/>
          <w:lang w:eastAsia="ko-KR"/>
        </w:rPr>
        <w:t>j</w:t>
      </w:r>
      <w:r>
        <w:rPr>
          <w:lang w:eastAsia="ko-KR"/>
        </w:rPr>
        <w:t xml:space="preserve">), </w:t>
      </w:r>
      <w:proofErr w:type="spellStart"/>
      <w:r>
        <w:rPr>
          <w:i/>
          <w:iCs/>
          <w:lang w:eastAsia="ko-KR"/>
        </w:rPr>
        <w:t>PL</w:t>
      </w:r>
      <w:r>
        <w:rPr>
          <w:i/>
          <w:iCs/>
          <w:vertAlign w:val="subscript"/>
          <w:lang w:eastAsia="ko-KR"/>
        </w:rPr>
        <w:t>c</w:t>
      </w:r>
      <w:proofErr w:type="spellEnd"/>
      <w:r>
        <w:rPr>
          <w:lang w:eastAsia="ko-KR"/>
        </w:rPr>
        <w:t>(</w:t>
      </w:r>
      <w:r>
        <w:rPr>
          <w:i/>
          <w:iCs/>
          <w:lang w:eastAsia="ko-KR"/>
        </w:rPr>
        <w:t>k</w:t>
      </w:r>
      <w:r>
        <w:rPr>
          <w:lang w:eastAsia="ko-KR"/>
        </w:rPr>
        <w:t xml:space="preserve">), </w:t>
      </w:r>
      <w:r>
        <w:rPr>
          <w:i/>
          <w:iCs/>
          <w:lang w:val="el-GR" w:eastAsia="ko-KR"/>
        </w:rPr>
        <w:t>Δ</w:t>
      </w:r>
      <w:proofErr w:type="spellStart"/>
      <w:r>
        <w:rPr>
          <w:lang w:eastAsia="ko-KR"/>
        </w:rPr>
        <w:t>TF,</w:t>
      </w:r>
      <w:r>
        <w:rPr>
          <w:i/>
          <w:iCs/>
          <w:lang w:eastAsia="ko-KR"/>
        </w:rPr>
        <w:t>c</w:t>
      </w:r>
      <w:proofErr w:type="spellEnd"/>
      <w:r>
        <w:rPr>
          <w:lang w:eastAsia="ko-KR"/>
        </w:rPr>
        <w:t>(</w:t>
      </w:r>
      <w:proofErr w:type="spellStart"/>
      <w:r>
        <w:rPr>
          <w:i/>
          <w:iCs/>
          <w:lang w:eastAsia="ko-KR"/>
        </w:rPr>
        <w:t>i</w:t>
      </w:r>
      <w:proofErr w:type="spellEnd"/>
      <w:r>
        <w:rPr>
          <w:lang w:eastAsia="ko-KR"/>
        </w:rPr>
        <w:t xml:space="preserve">) for NR PUSCH power control for serving cell </w:t>
      </w:r>
      <w:r>
        <w:rPr>
          <w:i/>
          <w:iCs/>
          <w:lang w:eastAsia="ko-KR"/>
        </w:rPr>
        <w:t>c</w:t>
      </w:r>
    </w:p>
    <w:p w14:paraId="633A7870" w14:textId="77777777" w:rsidR="009F56BD" w:rsidRDefault="009F56BD" w:rsidP="00CF71AA">
      <w:pPr>
        <w:numPr>
          <w:ilvl w:val="2"/>
          <w:numId w:val="13"/>
        </w:numPr>
        <w:tabs>
          <w:tab w:val="left" w:pos="1440"/>
        </w:tabs>
        <w:spacing w:after="0" w:line="240" w:lineRule="auto"/>
        <w:rPr>
          <w:lang w:eastAsia="ko-KR"/>
        </w:rPr>
      </w:pPr>
      <w:proofErr w:type="spellStart"/>
      <w:r>
        <w:rPr>
          <w:i/>
          <w:iCs/>
          <w:lang w:eastAsia="ko-KR"/>
        </w:rPr>
        <w:t>i</w:t>
      </w:r>
      <w:proofErr w:type="spellEnd"/>
      <w:r>
        <w:rPr>
          <w:lang w:eastAsia="ko-KR"/>
        </w:rPr>
        <w:t xml:space="preserve"> is slot number</w:t>
      </w:r>
    </w:p>
    <w:p w14:paraId="552B4F5B" w14:textId="77777777" w:rsidR="009F56BD" w:rsidRDefault="009F56BD" w:rsidP="00CF71AA">
      <w:pPr>
        <w:numPr>
          <w:ilvl w:val="2"/>
          <w:numId w:val="13"/>
        </w:numPr>
        <w:tabs>
          <w:tab w:val="left" w:pos="1440"/>
        </w:tabs>
        <w:spacing w:after="0" w:line="240" w:lineRule="auto"/>
        <w:rPr>
          <w:lang w:eastAsia="ko-KR"/>
        </w:rPr>
      </w:pPr>
      <w:r>
        <w:rPr>
          <w:i/>
          <w:iCs/>
          <w:lang w:eastAsia="ko-KR"/>
        </w:rPr>
        <w:t>j</w:t>
      </w:r>
      <w:r>
        <w:rPr>
          <w:lang w:eastAsia="ko-KR"/>
        </w:rPr>
        <w:t xml:space="preserve">  is the index of open-loop parameter</w:t>
      </w:r>
    </w:p>
    <w:p w14:paraId="79903AC2" w14:textId="77777777" w:rsidR="009F56BD" w:rsidRDefault="009F56BD" w:rsidP="00CF71AA">
      <w:pPr>
        <w:numPr>
          <w:ilvl w:val="2"/>
          <w:numId w:val="13"/>
        </w:numPr>
        <w:tabs>
          <w:tab w:val="left" w:pos="1440"/>
        </w:tabs>
        <w:spacing w:after="0" w:line="240" w:lineRule="auto"/>
        <w:rPr>
          <w:lang w:eastAsia="ko-KR"/>
        </w:rPr>
      </w:pPr>
      <w:r>
        <w:rPr>
          <w:i/>
          <w:iCs/>
          <w:lang w:eastAsia="ko-KR"/>
        </w:rPr>
        <w:t>K</w:t>
      </w:r>
      <w:r>
        <w:rPr>
          <w:lang w:eastAsia="ko-KR"/>
        </w:rPr>
        <w:t xml:space="preserve"> is the index of RS resource(s) for </w:t>
      </w:r>
      <w:proofErr w:type="spellStart"/>
      <w:r>
        <w:rPr>
          <w:lang w:eastAsia="ko-KR"/>
        </w:rPr>
        <w:t>pathloss</w:t>
      </w:r>
      <w:proofErr w:type="spellEnd"/>
      <w:r>
        <w:rPr>
          <w:lang w:eastAsia="ko-KR"/>
        </w:rPr>
        <w:t xml:space="preserve"> measurement</w:t>
      </w:r>
    </w:p>
    <w:p w14:paraId="2D2B297A" w14:textId="77777777" w:rsidR="009F56BD" w:rsidRDefault="009F56BD" w:rsidP="00CF71AA">
      <w:pPr>
        <w:numPr>
          <w:ilvl w:val="2"/>
          <w:numId w:val="13"/>
        </w:numPr>
        <w:tabs>
          <w:tab w:val="left" w:pos="1440"/>
        </w:tabs>
        <w:spacing w:after="0" w:line="240" w:lineRule="auto"/>
        <w:rPr>
          <w:lang w:eastAsia="ko-KR"/>
        </w:rPr>
      </w:pPr>
      <w:r>
        <w:rPr>
          <w:lang w:eastAsia="ko-KR"/>
        </w:rPr>
        <w:t xml:space="preserve">FFS: exact </w:t>
      </w:r>
      <w:proofErr w:type="spellStart"/>
      <w:r>
        <w:rPr>
          <w:i/>
          <w:iCs/>
          <w:lang w:eastAsia="ko-KR"/>
        </w:rPr>
        <w:t>P</w:t>
      </w:r>
      <w:r>
        <w:rPr>
          <w:lang w:eastAsia="ko-KR"/>
        </w:rPr>
        <w:t>cmax,</w:t>
      </w:r>
      <w:r>
        <w:rPr>
          <w:i/>
          <w:iCs/>
          <w:lang w:eastAsia="ko-KR"/>
        </w:rPr>
        <w:t>c</w:t>
      </w:r>
      <w:proofErr w:type="spellEnd"/>
      <w:r>
        <w:rPr>
          <w:lang w:eastAsia="ko-KR"/>
        </w:rPr>
        <w:t>(</w:t>
      </w:r>
      <w:proofErr w:type="spellStart"/>
      <w:r>
        <w:rPr>
          <w:i/>
          <w:iCs/>
          <w:lang w:eastAsia="ko-KR"/>
        </w:rPr>
        <w:t>i</w:t>
      </w:r>
      <w:proofErr w:type="spellEnd"/>
      <w:r>
        <w:rPr>
          <w:lang w:eastAsia="ko-KR"/>
        </w:rPr>
        <w:t>) definition and notation for above 6 GHz</w:t>
      </w:r>
    </w:p>
    <w:p w14:paraId="6BE2F0AE" w14:textId="77777777" w:rsidR="009F56BD" w:rsidRDefault="009F56BD" w:rsidP="00CF71AA">
      <w:pPr>
        <w:numPr>
          <w:ilvl w:val="2"/>
          <w:numId w:val="13"/>
        </w:numPr>
        <w:tabs>
          <w:tab w:val="left" w:pos="1440"/>
        </w:tabs>
        <w:spacing w:after="0" w:line="240" w:lineRule="auto"/>
        <w:rPr>
          <w:lang w:eastAsia="ko-KR"/>
        </w:rPr>
      </w:pPr>
      <w:proofErr w:type="spellStart"/>
      <w:r>
        <w:rPr>
          <w:i/>
          <w:iCs/>
          <w:lang w:eastAsia="ko-KR"/>
        </w:rPr>
        <w:t>M</w:t>
      </w:r>
      <w:r>
        <w:rPr>
          <w:lang w:eastAsia="ko-KR"/>
        </w:rPr>
        <w:t>PUSCH,</w:t>
      </w:r>
      <w:r>
        <w:rPr>
          <w:i/>
          <w:iCs/>
          <w:lang w:eastAsia="ko-KR"/>
        </w:rPr>
        <w:t>c</w:t>
      </w:r>
      <w:proofErr w:type="spellEnd"/>
      <w:r>
        <w:rPr>
          <w:lang w:eastAsia="ko-KR"/>
        </w:rPr>
        <w:t xml:space="preserve"> is related to the scheduled BW, FFS on the details</w:t>
      </w:r>
    </w:p>
    <w:p w14:paraId="7C38285C" w14:textId="77777777" w:rsidR="009F56BD" w:rsidRDefault="009F56BD" w:rsidP="00CF71AA">
      <w:pPr>
        <w:numPr>
          <w:ilvl w:val="2"/>
          <w:numId w:val="13"/>
        </w:numPr>
        <w:tabs>
          <w:tab w:val="left" w:pos="1440"/>
        </w:tabs>
        <w:spacing w:after="0" w:line="240" w:lineRule="auto"/>
        <w:rPr>
          <w:lang w:eastAsia="ko-KR"/>
        </w:rPr>
      </w:pPr>
      <w:r>
        <w:rPr>
          <w:lang w:val="el-GR" w:eastAsia="ko-KR"/>
        </w:rPr>
        <w:t>Δ</w:t>
      </w:r>
      <w:proofErr w:type="spellStart"/>
      <w:r>
        <w:rPr>
          <w:lang w:eastAsia="ko-KR"/>
        </w:rPr>
        <w:t>TF,</w:t>
      </w:r>
      <w:r>
        <w:rPr>
          <w:i/>
          <w:iCs/>
          <w:lang w:eastAsia="ko-KR"/>
        </w:rPr>
        <w:t>c</w:t>
      </w:r>
      <w:proofErr w:type="spellEnd"/>
      <w:r>
        <w:rPr>
          <w:lang w:eastAsia="ko-KR"/>
        </w:rPr>
        <w:t xml:space="preserve"> is for single layer transmissions</w:t>
      </w:r>
    </w:p>
    <w:p w14:paraId="11715A05" w14:textId="77777777" w:rsidR="009F56BD" w:rsidRPr="009F56BD" w:rsidRDefault="009F56BD" w:rsidP="00CF71AA">
      <w:pPr>
        <w:numPr>
          <w:ilvl w:val="1"/>
          <w:numId w:val="13"/>
        </w:numPr>
        <w:tabs>
          <w:tab w:val="left" w:pos="1440"/>
        </w:tabs>
        <w:spacing w:after="0" w:line="240" w:lineRule="auto"/>
        <w:rPr>
          <w:lang w:eastAsia="ko-KR"/>
        </w:rPr>
      </w:pPr>
      <w:r w:rsidRPr="009F56BD">
        <w:rPr>
          <w:lang w:eastAsia="ko-KR"/>
        </w:rPr>
        <w:t xml:space="preserve">Support up to </w:t>
      </w:r>
      <w:r w:rsidRPr="009F56BD">
        <w:rPr>
          <w:i/>
          <w:lang w:eastAsia="ko-KR"/>
        </w:rPr>
        <w:t>N</w:t>
      </w:r>
      <w:r w:rsidRPr="009F56BD">
        <w:rPr>
          <w:lang w:eastAsia="ko-KR"/>
        </w:rPr>
        <w:t xml:space="preserve"> closed-loop power control processes, i.e.,  </w:t>
      </w:r>
      <w:r w:rsidRPr="009F56BD">
        <w:rPr>
          <w:i/>
          <w:iCs/>
          <w:lang w:eastAsia="ko-KR"/>
        </w:rPr>
        <w:t>fc</w:t>
      </w:r>
      <w:r w:rsidRPr="009F56BD">
        <w:rPr>
          <w:lang w:eastAsia="ko-KR"/>
        </w:rPr>
        <w:t>(</w:t>
      </w:r>
      <w:proofErr w:type="spellStart"/>
      <w:r w:rsidRPr="009F56BD">
        <w:rPr>
          <w:i/>
          <w:iCs/>
          <w:lang w:eastAsia="ko-KR"/>
        </w:rPr>
        <w:t>i</w:t>
      </w:r>
      <w:r w:rsidRPr="009F56BD">
        <w:rPr>
          <w:lang w:eastAsia="ko-KR"/>
        </w:rPr>
        <w:t>,</w:t>
      </w:r>
      <w:r w:rsidRPr="009F56BD">
        <w:rPr>
          <w:i/>
          <w:iCs/>
          <w:lang w:eastAsia="ko-KR"/>
        </w:rPr>
        <w:t>l</w:t>
      </w:r>
      <w:proofErr w:type="spellEnd"/>
      <w:r w:rsidRPr="009F56BD">
        <w:rPr>
          <w:lang w:eastAsia="ko-KR"/>
        </w:rPr>
        <w:t xml:space="preserve">), for NR PUSCH power control for serving cell </w:t>
      </w:r>
      <w:r w:rsidRPr="009F56BD">
        <w:rPr>
          <w:i/>
          <w:iCs/>
          <w:lang w:eastAsia="ko-KR"/>
        </w:rPr>
        <w:t>c</w:t>
      </w:r>
      <w:r w:rsidRPr="009F56BD">
        <w:rPr>
          <w:lang w:eastAsia="ko-KR"/>
        </w:rPr>
        <w:t xml:space="preserve"> </w:t>
      </w:r>
    </w:p>
    <w:p w14:paraId="44972A63" w14:textId="77777777" w:rsidR="009F56BD" w:rsidRPr="009F56BD" w:rsidRDefault="009F56BD" w:rsidP="00CF71AA">
      <w:pPr>
        <w:numPr>
          <w:ilvl w:val="2"/>
          <w:numId w:val="13"/>
        </w:numPr>
        <w:tabs>
          <w:tab w:val="left" w:pos="1440"/>
        </w:tabs>
        <w:spacing w:after="0" w:line="240" w:lineRule="auto"/>
        <w:rPr>
          <w:lang w:eastAsia="ko-KR"/>
        </w:rPr>
      </w:pPr>
      <w:r w:rsidRPr="009F56BD">
        <w:rPr>
          <w:i/>
          <w:lang w:eastAsia="ko-KR"/>
        </w:rPr>
        <w:t>N</w:t>
      </w:r>
      <w:r w:rsidRPr="009F56BD">
        <w:rPr>
          <w:lang w:eastAsia="ko-KR"/>
        </w:rPr>
        <w:t>=2 is working assumption</w:t>
      </w:r>
    </w:p>
    <w:p w14:paraId="7641F71F" w14:textId="77777777" w:rsidR="009F56BD" w:rsidRPr="009F56BD" w:rsidRDefault="009F56BD" w:rsidP="00CF71AA">
      <w:pPr>
        <w:numPr>
          <w:ilvl w:val="2"/>
          <w:numId w:val="13"/>
        </w:numPr>
        <w:tabs>
          <w:tab w:val="left" w:pos="1440"/>
        </w:tabs>
        <w:spacing w:after="0" w:line="240" w:lineRule="auto"/>
        <w:rPr>
          <w:lang w:eastAsia="ko-KR"/>
        </w:rPr>
      </w:pPr>
      <w:r w:rsidRPr="009F56BD">
        <w:rPr>
          <w:i/>
          <w:iCs/>
          <w:lang w:eastAsia="ko-KR"/>
        </w:rPr>
        <w:t>l</w:t>
      </w:r>
      <w:r w:rsidRPr="009F56BD">
        <w:rPr>
          <w:lang w:eastAsia="ko-KR"/>
        </w:rPr>
        <w:t xml:space="preserve"> is the index of closed-loop power control process</w:t>
      </w:r>
    </w:p>
    <w:p w14:paraId="5BB25453" w14:textId="77777777" w:rsidR="009F56BD" w:rsidRPr="009F56BD" w:rsidRDefault="009F56BD" w:rsidP="00CF71AA">
      <w:pPr>
        <w:numPr>
          <w:ilvl w:val="2"/>
          <w:numId w:val="13"/>
        </w:numPr>
        <w:tabs>
          <w:tab w:val="left" w:pos="1440"/>
        </w:tabs>
        <w:spacing w:after="0" w:line="240" w:lineRule="auto"/>
        <w:rPr>
          <w:lang w:eastAsia="ko-KR"/>
        </w:rPr>
      </w:pPr>
      <w:r w:rsidRPr="009F56BD">
        <w:rPr>
          <w:lang w:eastAsia="ko-KR"/>
        </w:rPr>
        <w:t>FFS: reset trigger, e.g., parameter set reconfiguration and/or explicit signaling</w:t>
      </w:r>
    </w:p>
    <w:p w14:paraId="6359DBED" w14:textId="77777777" w:rsidR="009F56BD" w:rsidRPr="009F56BD" w:rsidRDefault="009F56BD" w:rsidP="00CF71AA">
      <w:pPr>
        <w:numPr>
          <w:ilvl w:val="1"/>
          <w:numId w:val="13"/>
        </w:numPr>
        <w:tabs>
          <w:tab w:val="left" w:pos="1440"/>
        </w:tabs>
        <w:spacing w:after="0" w:line="240" w:lineRule="auto"/>
        <w:rPr>
          <w:highlight w:val="yellow"/>
          <w:lang w:eastAsia="ko-KR"/>
        </w:rPr>
      </w:pPr>
      <w:r w:rsidRPr="009F56BD">
        <w:rPr>
          <w:highlight w:val="yellow"/>
          <w:lang w:eastAsia="ko-KR"/>
        </w:rPr>
        <w:t>FFS: linkage and indication of {</w:t>
      </w:r>
      <w:r w:rsidRPr="009F56BD">
        <w:rPr>
          <w:i/>
          <w:iCs/>
          <w:highlight w:val="yellow"/>
          <w:lang w:eastAsia="ko-KR"/>
        </w:rPr>
        <w:t>j</w:t>
      </w:r>
      <w:r w:rsidRPr="009F56BD">
        <w:rPr>
          <w:highlight w:val="yellow"/>
          <w:lang w:eastAsia="ko-KR"/>
        </w:rPr>
        <w:t xml:space="preserve">, </w:t>
      </w:r>
      <w:r w:rsidRPr="009F56BD">
        <w:rPr>
          <w:i/>
          <w:iCs/>
          <w:highlight w:val="yellow"/>
          <w:lang w:eastAsia="ko-KR"/>
        </w:rPr>
        <w:t>k, l</w:t>
      </w:r>
      <w:r w:rsidRPr="009F56BD">
        <w:rPr>
          <w:highlight w:val="yellow"/>
          <w:lang w:eastAsia="ko-KR"/>
        </w:rPr>
        <w:t xml:space="preserve">}, explicit/implicit </w:t>
      </w:r>
      <w:proofErr w:type="spellStart"/>
      <w:r w:rsidRPr="009F56BD">
        <w:rPr>
          <w:highlight w:val="yellow"/>
          <w:lang w:eastAsia="ko-KR"/>
        </w:rPr>
        <w:t>signalling</w:t>
      </w:r>
      <w:proofErr w:type="spellEnd"/>
    </w:p>
    <w:p w14:paraId="3EBD91F7" w14:textId="7998CBFC" w:rsidR="009F56BD" w:rsidRPr="009F56BD" w:rsidRDefault="009F56BD" w:rsidP="00CF71AA">
      <w:pPr>
        <w:numPr>
          <w:ilvl w:val="1"/>
          <w:numId w:val="13"/>
        </w:numPr>
        <w:tabs>
          <w:tab w:val="left" w:pos="1440"/>
        </w:tabs>
        <w:spacing w:after="0" w:line="240" w:lineRule="auto"/>
        <w:rPr>
          <w:lang w:eastAsia="ko-KR"/>
        </w:rPr>
      </w:pPr>
      <w:r>
        <w:rPr>
          <w:lang w:eastAsia="ko-KR"/>
        </w:rPr>
        <w:t>Note: Exact way to capture the details of the above proposal depends on the uplink beam management and the editor</w:t>
      </w:r>
    </w:p>
    <w:p w14:paraId="7AA140F6" w14:textId="152038B4" w:rsidR="009F56BD" w:rsidRPr="009F56BD" w:rsidRDefault="009F56BD" w:rsidP="009F56BD">
      <w:pPr>
        <w:pStyle w:val="BodyText"/>
        <w:rPr>
          <w:lang w:val="en-AU"/>
        </w:rPr>
      </w:pPr>
      <w:r w:rsidRPr="007314DB">
        <w:rPr>
          <w:lang w:val="en-AU"/>
        </w:rPr>
        <w:t xml:space="preserve">In this </w:t>
      </w:r>
      <w:r>
        <w:rPr>
          <w:lang w:val="en-AU"/>
        </w:rPr>
        <w:t xml:space="preserve">contribution, we will present </w:t>
      </w:r>
      <w:r w:rsidRPr="007314DB">
        <w:rPr>
          <w:lang w:val="en-AU"/>
        </w:rPr>
        <w:t xml:space="preserve">our </w:t>
      </w:r>
      <w:r>
        <w:rPr>
          <w:lang w:val="en-AU"/>
        </w:rPr>
        <w:t>view</w:t>
      </w:r>
      <w:r w:rsidRPr="007314DB">
        <w:rPr>
          <w:lang w:val="en-AU"/>
        </w:rPr>
        <w:t xml:space="preserve"> on </w:t>
      </w:r>
      <w:r>
        <w:rPr>
          <w:lang w:val="en-AU"/>
        </w:rPr>
        <w:t>beam specific PC for PUSCH</w:t>
      </w:r>
      <w:r w:rsidRPr="007314DB">
        <w:rPr>
          <w:lang w:val="en-AU"/>
        </w:rPr>
        <w:t xml:space="preserve"> in NR</w:t>
      </w:r>
      <w:r>
        <w:rPr>
          <w:lang w:val="en-AU"/>
        </w:rPr>
        <w:t xml:space="preserve"> in terms of how to </w:t>
      </w:r>
      <w:r w:rsidR="008767A9">
        <w:rPr>
          <w:lang w:val="en-AU"/>
        </w:rPr>
        <w:t>indicate</w:t>
      </w:r>
      <w:r>
        <w:rPr>
          <w:lang w:val="en-AU"/>
        </w:rPr>
        <w:t xml:space="preserve"> a PUSCH transmission </w:t>
      </w:r>
      <w:r w:rsidR="008767A9">
        <w:rPr>
          <w:lang w:val="en-AU"/>
        </w:rPr>
        <w:t xml:space="preserve">linked </w:t>
      </w:r>
      <w:r>
        <w:rPr>
          <w:lang w:val="en-AU"/>
        </w:rPr>
        <w:t xml:space="preserve">to a certain </w:t>
      </w:r>
      <w:r w:rsidRPr="009F56BD">
        <w:rPr>
          <w:lang w:eastAsia="ko-KR"/>
        </w:rPr>
        <w:t>{</w:t>
      </w:r>
      <w:r w:rsidRPr="009F56BD">
        <w:rPr>
          <w:i/>
          <w:iCs/>
          <w:lang w:eastAsia="ko-KR"/>
        </w:rPr>
        <w:t>j</w:t>
      </w:r>
      <w:r w:rsidRPr="009F56BD">
        <w:rPr>
          <w:lang w:eastAsia="ko-KR"/>
        </w:rPr>
        <w:t xml:space="preserve">, </w:t>
      </w:r>
      <w:r w:rsidRPr="009F56BD">
        <w:rPr>
          <w:i/>
          <w:iCs/>
          <w:lang w:eastAsia="ko-KR"/>
        </w:rPr>
        <w:t>k, l</w:t>
      </w:r>
      <w:r w:rsidRPr="009F56BD">
        <w:rPr>
          <w:lang w:eastAsia="ko-KR"/>
        </w:rPr>
        <w:t>}</w:t>
      </w:r>
      <w:r w:rsidRPr="007314DB">
        <w:rPr>
          <w:lang w:val="en-AU"/>
        </w:rPr>
        <w:t xml:space="preserve">. </w:t>
      </w:r>
      <w:r w:rsidR="00FB17C8">
        <w:rPr>
          <w:lang w:val="en-AU"/>
        </w:rPr>
        <w:t>We will furthermore also discuss PC for PUCCH</w:t>
      </w:r>
      <w:r w:rsidR="00813CF7">
        <w:rPr>
          <w:lang w:val="en-AU"/>
        </w:rPr>
        <w:t xml:space="preserve"> and SRS</w:t>
      </w:r>
      <w:r w:rsidR="00FB17C8">
        <w:rPr>
          <w:lang w:val="en-AU"/>
        </w:rPr>
        <w:t xml:space="preserve">. </w:t>
      </w:r>
    </w:p>
    <w:p w14:paraId="09A70FDE" w14:textId="7BA6C032" w:rsidR="00511CF4" w:rsidRPr="00AD333E" w:rsidRDefault="009A6CE4" w:rsidP="00511CF4">
      <w:pPr>
        <w:pStyle w:val="Heading1"/>
      </w:pPr>
      <w:r>
        <w:t>PUSCH PC</w:t>
      </w:r>
    </w:p>
    <w:p w14:paraId="46380668" w14:textId="524E9677" w:rsidR="008D3E5D" w:rsidRPr="009F56BD" w:rsidRDefault="006C7633" w:rsidP="007025A0">
      <w:pPr>
        <w:rPr>
          <w:lang w:val="en-AU"/>
        </w:rPr>
      </w:pPr>
      <w:r w:rsidRPr="004768B3">
        <w:rPr>
          <w:lang w:val="en-AU"/>
        </w:rPr>
        <w:t xml:space="preserve">It has been agreed that NR supports beam specific power control. </w:t>
      </w:r>
      <w:r w:rsidR="008D3E5D" w:rsidRPr="009F56BD">
        <w:rPr>
          <w:lang w:val="en-AU"/>
        </w:rPr>
        <w:t>The formula for beam specific PC</w:t>
      </w:r>
      <w:r w:rsidR="00D424E6">
        <w:rPr>
          <w:lang w:val="en-AU"/>
        </w:rPr>
        <w:t xml:space="preserve"> can according to the recent agreement be written </w:t>
      </w:r>
      <w:r w:rsidR="008D3E5D" w:rsidRPr="009F56BD">
        <w:rPr>
          <w:lang w:val="en-AU"/>
        </w:rPr>
        <w:t xml:space="preserve">as  </w:t>
      </w:r>
    </w:p>
    <w:p w14:paraId="6E5AAE1A" w14:textId="1A3D1F28" w:rsidR="008D3E5D" w:rsidRPr="009F56BD" w:rsidRDefault="003854EC" w:rsidP="008D3E5D">
      <w:pPr>
        <w:pStyle w:val="BodyText"/>
        <w:rPr>
          <w:rFonts w:cs="Arial"/>
          <w:lang w:val="en-AU"/>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m:t>
              </m:r>
              <m:r>
                <w:rPr>
                  <w:rFonts w:ascii="Cambria Math" w:hAnsi="Cambria Math" w:cs="Arial"/>
                  <w:lang w:val="en-AU"/>
                </w:rPr>
                <m:t>,</m:t>
              </m:r>
              <m:r>
                <w:rPr>
                  <w:rFonts w:ascii="Cambria Math" w:hAnsi="Cambria Math" w:cs="Arial"/>
                </w:rPr>
                <m:t>c</m:t>
              </m:r>
            </m:sub>
            <m:sup>
              <m:r>
                <w:rPr>
                  <w:rFonts w:ascii="Cambria Math" w:hAnsi="Cambria Math" w:cs="Arial"/>
                </w:rPr>
                <m:t>{j,k,l}</m:t>
              </m:r>
            </m:sup>
          </m:sSubSup>
          <m:r>
            <w:rPr>
              <w:rFonts w:ascii="Cambria Math" w:hAnsi="Cambria Math" w:cs="Arial"/>
              <w:lang w:val="en-AU"/>
            </w:rPr>
            <m:t>=</m:t>
          </m:r>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m:t>
                      </m:r>
                      <m:r>
                        <w:rPr>
                          <w:rFonts w:ascii="Cambria Math" w:hAnsi="Cambria Math" w:cs="Arial"/>
                          <w:lang w:val="en-AU"/>
                        </w:rPr>
                        <m:t>,</m:t>
                      </m:r>
                      <m:r>
                        <w:rPr>
                          <w:rFonts w:ascii="Cambria Math" w:hAnsi="Cambria Math" w:cs="Arial"/>
                        </w:rPr>
                        <m:t>c</m:t>
                      </m:r>
                    </m:sub>
                    <m:sup/>
                  </m:sSubSup>
                  <m:r>
                    <w:rPr>
                      <w:rFonts w:ascii="Cambria Math" w:hAnsi="Cambria Math" w:cs="Arial"/>
                      <w:lang w:val="en-AU"/>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lang w:val="en-AU"/>
                        </w:rPr>
                        <m:t>0,</m:t>
                      </m:r>
                      <m:r>
                        <w:rPr>
                          <w:rFonts w:ascii="Cambria Math" w:hAnsi="Cambria Math" w:cs="Arial"/>
                        </w:rPr>
                        <m:t>PUSCH</m:t>
                      </m:r>
                    </m:sub>
                    <m:sup>
                      <m:r>
                        <w:rPr>
                          <w:rFonts w:ascii="Cambria Math" w:hAnsi="Cambria Math" w:cs="Arial"/>
                        </w:rPr>
                        <m:t>j</m:t>
                      </m:r>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α</m:t>
                      </m:r>
                    </m:e>
                    <m:sub>
                      <m:r>
                        <w:rPr>
                          <w:rFonts w:ascii="Cambria Math" w:hAnsi="Cambria Math" w:cs="Arial"/>
                        </w:rPr>
                        <m:t>j</m:t>
                      </m:r>
                    </m:sub>
                  </m:sSub>
                  <m:r>
                    <w:rPr>
                      <w:rFonts w:ascii="Cambria Math" w:hAnsi="Cambria Math" w:cs="Arial"/>
                    </w:rPr>
                    <m:t>PL</m:t>
                  </m:r>
                </m:e>
                <m:sub>
                  <m:r>
                    <w:rPr>
                      <w:rFonts w:ascii="Cambria Math" w:hAnsi="Cambria Math" w:cs="Arial"/>
                    </w:rPr>
                    <m:t>c</m:t>
                  </m:r>
                </m:sub>
                <m:sup>
                  <m:r>
                    <w:rPr>
                      <w:rFonts w:ascii="Cambria Math" w:hAnsi="Cambria Math" w:cs="Arial"/>
                    </w:rPr>
                    <m:t>k</m:t>
                  </m:r>
                </m:sup>
              </m:sSubSup>
              <m:r>
                <w:rPr>
                  <w:rFonts w:ascii="Cambria Math" w:hAnsi="Cambria Math" w:cs="Arial"/>
                  <w:lang w:val="en-AU"/>
                </w:rPr>
                <m:t>+</m:t>
              </m:r>
              <m:sSubSup>
                <m:sSubSupPr>
                  <m:ctrlPr>
                    <w:rPr>
                      <w:rFonts w:ascii="Cambria Math" w:hAnsi="Cambria Math" w:cs="Arial"/>
                      <w:i/>
                    </w:rPr>
                  </m:ctrlPr>
                </m:sSubSupPr>
                <m:e>
                  <m:r>
                    <m:rPr>
                      <m:sty m:val="p"/>
                    </m:rPr>
                    <w:rPr>
                      <w:rFonts w:ascii="Cambria Math" w:hAnsi="Cambria Math" w:cs="Arial"/>
                      <w:lang w:val="en-AU"/>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lang w:val="en-AU"/>
                        </w:rPr>
                        <m:t>10</m:t>
                      </m:r>
                    </m:sub>
                    <m:sup/>
                  </m:sSubSup>
                  <m:sSub>
                    <m:sSubPr>
                      <m:ctrlPr>
                        <w:rPr>
                          <w:rFonts w:ascii="Cambria Math" w:hAnsi="Cambria Math" w:cs="Arial"/>
                        </w:rPr>
                      </m:ctrlPr>
                    </m:sSubPr>
                    <m:e>
                      <m:r>
                        <w:rPr>
                          <w:rFonts w:ascii="Cambria Math" w:hAnsi="Cambria Math" w:cs="Arial"/>
                        </w:rPr>
                        <m:t>M</m:t>
                      </m:r>
                    </m:e>
                    <m:sub/>
                  </m:sSub>
                  <m:r>
                    <m:rPr>
                      <m:sty m:val="p"/>
                    </m:rPr>
                    <w:rPr>
                      <w:rFonts w:ascii="Cambria Math" w:hAnsi="Cambria Math" w:cs="Arial"/>
                      <w:lang w:val="en-AU"/>
                    </w:rPr>
                    <m:t>+∇</m:t>
                  </m:r>
                </m:e>
                <m:sub>
                  <m:r>
                    <w:rPr>
                      <w:rFonts w:ascii="Cambria Math" w:hAnsi="Cambria Math" w:cs="Arial"/>
                    </w:rPr>
                    <m:t>MCS</m:t>
                  </m:r>
                </m:sub>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f</m:t>
                  </m:r>
                </m:e>
                <m:sub>
                  <m:r>
                    <w:rPr>
                      <w:rFonts w:ascii="Cambria Math" w:hAnsi="Cambria Math" w:cs="Arial"/>
                    </w:rPr>
                    <m:t>c</m:t>
                  </m:r>
                </m:sub>
              </m:sSub>
              <m:r>
                <w:rPr>
                  <w:rFonts w:ascii="Cambria Math" w:hAnsi="Cambria Math" w:cs="Arial"/>
                </w:rPr>
                <m:t>(l)</m:t>
              </m:r>
            </m:e>
          </m:d>
        </m:oMath>
      </m:oMathPara>
    </w:p>
    <w:p w14:paraId="102EB7C4" w14:textId="7AB7ACE3" w:rsidR="00EF12DF" w:rsidRDefault="00D424E6" w:rsidP="002A4BDC">
      <w:pPr>
        <w:pStyle w:val="BodyText"/>
        <w:rPr>
          <w:rFonts w:cs="Arial"/>
          <w:lang w:val="en-AU"/>
        </w:rPr>
      </w:pPr>
      <w:r>
        <w:rPr>
          <w:rFonts w:cs="Arial"/>
          <w:lang w:val="en-AU"/>
        </w:rPr>
        <w:t xml:space="preserve">where the index </w:t>
      </w:r>
      <w:proofErr w:type="spellStart"/>
      <w:r w:rsidRPr="00D424E6">
        <w:rPr>
          <w:rFonts w:cs="Arial"/>
          <w:i/>
          <w:lang w:val="en-AU"/>
        </w:rPr>
        <w:t>i</w:t>
      </w:r>
      <w:proofErr w:type="spellEnd"/>
      <w:r>
        <w:rPr>
          <w:rFonts w:cs="Arial"/>
          <w:lang w:val="en-AU"/>
        </w:rPr>
        <w:t xml:space="preserve"> is omitted. Hence, there will exist a number of PC </w:t>
      </w:r>
      <w:r w:rsidR="002A4BDC">
        <w:rPr>
          <w:rFonts w:cs="Arial"/>
          <w:lang w:val="en-AU"/>
        </w:rPr>
        <w:t>parameter</w:t>
      </w:r>
      <w:r>
        <w:rPr>
          <w:rFonts w:cs="Arial"/>
          <w:lang w:val="en-AU"/>
        </w:rPr>
        <w:t xml:space="preserve"> sets of </w:t>
      </w:r>
      <w:r w:rsidRPr="00D424E6">
        <w:rPr>
          <w:rFonts w:cs="Arial"/>
          <w:i/>
          <w:lang w:val="en-AU"/>
        </w:rPr>
        <w:t>{</w:t>
      </w:r>
      <w:proofErr w:type="spellStart"/>
      <w:r w:rsidRPr="00D424E6">
        <w:rPr>
          <w:rFonts w:cs="Arial"/>
          <w:i/>
          <w:lang w:val="en-AU"/>
        </w:rPr>
        <w:t>j,k</w:t>
      </w:r>
      <w:proofErr w:type="spellEnd"/>
      <w:r w:rsidRPr="00D424E6">
        <w:rPr>
          <w:rFonts w:cs="Arial"/>
          <w:i/>
          <w:lang w:val="en-AU"/>
        </w:rPr>
        <w:t>}</w:t>
      </w:r>
      <w:r>
        <w:rPr>
          <w:rFonts w:cs="Arial"/>
          <w:lang w:val="en-AU"/>
        </w:rPr>
        <w:t xml:space="preserve"> and these </w:t>
      </w:r>
      <w:r w:rsidR="002A4BDC">
        <w:rPr>
          <w:rFonts w:cs="Arial"/>
          <w:lang w:val="en-AU"/>
        </w:rPr>
        <w:t>sets</w:t>
      </w:r>
      <w:r>
        <w:rPr>
          <w:rFonts w:cs="Arial"/>
          <w:lang w:val="en-AU"/>
        </w:rPr>
        <w:t xml:space="preserve"> will in turn be </w:t>
      </w:r>
      <w:r w:rsidR="008767A9">
        <w:rPr>
          <w:rFonts w:cs="Arial"/>
          <w:lang w:val="en-AU"/>
        </w:rPr>
        <w:t>linked</w:t>
      </w:r>
      <w:r>
        <w:rPr>
          <w:rFonts w:cs="Arial"/>
          <w:lang w:val="en-AU"/>
        </w:rPr>
        <w:t xml:space="preserve"> to a set of beams which then enables beam speci</w:t>
      </w:r>
      <w:r w:rsidRPr="00863836">
        <w:rPr>
          <w:rFonts w:cs="Arial"/>
          <w:lang w:val="en-AU"/>
        </w:rPr>
        <w:t>fic PC. An example of this is illustrated in</w:t>
      </w:r>
      <w:r w:rsidR="00863836" w:rsidRPr="00863836">
        <w:rPr>
          <w:rFonts w:cs="Arial"/>
          <w:lang w:val="en-AU"/>
        </w:rPr>
        <w:t xml:space="preserve"> </w:t>
      </w:r>
      <w:r w:rsidR="00863836" w:rsidRPr="008767A9">
        <w:rPr>
          <w:rFonts w:cs="Arial"/>
          <w:lang w:val="en-AU"/>
        </w:rPr>
        <w:fldChar w:fldCharType="begin"/>
      </w:r>
      <w:r w:rsidR="00863836" w:rsidRPr="008767A9">
        <w:rPr>
          <w:rFonts w:cs="Arial"/>
          <w:lang w:val="en-AU"/>
        </w:rPr>
        <w:instrText xml:space="preserve"> REF _Ref494451697 \h  \* MERGEFORMAT </w:instrText>
      </w:r>
      <w:r w:rsidR="00863836" w:rsidRPr="008767A9">
        <w:rPr>
          <w:rFonts w:cs="Arial"/>
          <w:lang w:val="en-AU"/>
        </w:rPr>
      </w:r>
      <w:r w:rsidR="00863836" w:rsidRPr="008767A9">
        <w:rPr>
          <w:rFonts w:cs="Arial"/>
          <w:lang w:val="en-AU"/>
        </w:rPr>
        <w:fldChar w:fldCharType="separate"/>
      </w:r>
      <w:r w:rsidR="009120C5" w:rsidRPr="008767A9">
        <w:rPr>
          <w:lang w:val="en-AU"/>
        </w:rPr>
        <w:t xml:space="preserve">Table </w:t>
      </w:r>
      <w:r w:rsidR="009120C5" w:rsidRPr="008767A9">
        <w:rPr>
          <w:noProof/>
          <w:lang w:val="en-AU"/>
        </w:rPr>
        <w:t>1</w:t>
      </w:r>
      <w:r w:rsidR="00863836" w:rsidRPr="008767A9">
        <w:rPr>
          <w:rFonts w:cs="Arial"/>
          <w:lang w:val="en-AU"/>
        </w:rPr>
        <w:fldChar w:fldCharType="end"/>
      </w:r>
      <w:r w:rsidR="00863836" w:rsidRPr="008767A9">
        <w:rPr>
          <w:rFonts w:cs="Arial"/>
          <w:lang w:val="en-AU"/>
        </w:rPr>
        <w:t>-</w:t>
      </w:r>
      <w:r w:rsidR="008767A9" w:rsidRPr="008767A9">
        <w:rPr>
          <w:rFonts w:cs="Arial"/>
          <w:lang w:val="en-AU"/>
        </w:rPr>
        <w:fldChar w:fldCharType="begin"/>
      </w:r>
      <w:r w:rsidR="008767A9" w:rsidRPr="008767A9">
        <w:rPr>
          <w:rFonts w:cs="Arial"/>
          <w:lang w:val="en-AU"/>
        </w:rPr>
        <w:instrText xml:space="preserve"> REF _Ref494465599 \h  \* MERGEFORMAT </w:instrText>
      </w:r>
      <w:r w:rsidR="008767A9" w:rsidRPr="008767A9">
        <w:rPr>
          <w:rFonts w:cs="Arial"/>
          <w:lang w:val="en-AU"/>
        </w:rPr>
      </w:r>
      <w:r w:rsidR="008767A9" w:rsidRPr="008767A9">
        <w:rPr>
          <w:rFonts w:cs="Arial"/>
          <w:lang w:val="en-AU"/>
        </w:rPr>
        <w:fldChar w:fldCharType="separate"/>
      </w:r>
      <w:r w:rsidR="008767A9" w:rsidRPr="008767A9">
        <w:rPr>
          <w:lang w:val="en-AU"/>
        </w:rPr>
        <w:t xml:space="preserve">Table </w:t>
      </w:r>
      <w:r w:rsidR="008767A9" w:rsidRPr="008767A9">
        <w:rPr>
          <w:noProof/>
          <w:lang w:val="en-AU"/>
        </w:rPr>
        <w:t>3</w:t>
      </w:r>
      <w:r w:rsidR="008767A9" w:rsidRPr="008767A9">
        <w:rPr>
          <w:rFonts w:cs="Arial"/>
          <w:lang w:val="en-AU"/>
        </w:rPr>
        <w:fldChar w:fldCharType="end"/>
      </w:r>
      <w:r w:rsidR="007025A0" w:rsidRPr="008767A9">
        <w:rPr>
          <w:rFonts w:cs="Arial"/>
          <w:lang w:val="en-AU"/>
        </w:rPr>
        <w:t xml:space="preserve"> b</w:t>
      </w:r>
      <w:r w:rsidR="007025A0">
        <w:rPr>
          <w:rFonts w:cs="Arial"/>
          <w:lang w:val="en-AU"/>
        </w:rPr>
        <w:t>elow</w:t>
      </w:r>
      <w:r w:rsidR="00863836">
        <w:rPr>
          <w:rFonts w:cs="Arial"/>
          <w:lang w:val="en-AU"/>
        </w:rPr>
        <w:t xml:space="preserve">. </w:t>
      </w:r>
    </w:p>
    <w:p w14:paraId="271DCFA2" w14:textId="6803DAE7" w:rsidR="00D424E6" w:rsidRDefault="00D424E6" w:rsidP="002A4BDC">
      <w:pPr>
        <w:pStyle w:val="BodyText"/>
        <w:rPr>
          <w:rFonts w:cs="Arial"/>
          <w:lang w:val="en-AU"/>
        </w:rPr>
      </w:pPr>
    </w:p>
    <w:p w14:paraId="0AA19DE7" w14:textId="76B7FFB5" w:rsidR="008D3E5D" w:rsidRPr="009F56BD" w:rsidRDefault="008D3E5D" w:rsidP="008D3E5D">
      <w:pPr>
        <w:pStyle w:val="BodyText"/>
        <w:rPr>
          <w:lang w:val="en-AU"/>
        </w:rPr>
      </w:pPr>
      <w:r w:rsidRPr="009F56BD">
        <w:rPr>
          <w:lang w:val="en-AU"/>
        </w:rPr>
        <w:t xml:space="preserve">Based on this we identify a </w:t>
      </w:r>
      <w:r w:rsidR="0066174F">
        <w:rPr>
          <w:lang w:val="en-AU"/>
        </w:rPr>
        <w:t xml:space="preserve">number of </w:t>
      </w:r>
      <w:r w:rsidR="000A5F6A">
        <w:rPr>
          <w:lang w:val="en-AU"/>
        </w:rPr>
        <w:t>questions that needs to be addressed by RAN1</w:t>
      </w:r>
      <w:r w:rsidRPr="009F56BD">
        <w:rPr>
          <w:lang w:val="en-AU"/>
        </w:rPr>
        <w:t xml:space="preserve"> in order to </w:t>
      </w:r>
      <w:r w:rsidR="000A5F6A">
        <w:rPr>
          <w:lang w:val="en-AU"/>
        </w:rPr>
        <w:t>finalize this framework</w:t>
      </w:r>
      <w:r w:rsidRPr="009F56BD">
        <w:rPr>
          <w:lang w:val="en-AU"/>
        </w:rPr>
        <w:t xml:space="preserve">: </w:t>
      </w:r>
    </w:p>
    <w:p w14:paraId="37CD40F7" w14:textId="6117FB20" w:rsidR="007025A0" w:rsidRDefault="007025A0" w:rsidP="00CF71AA">
      <w:pPr>
        <w:pStyle w:val="BodyText"/>
        <w:numPr>
          <w:ilvl w:val="0"/>
          <w:numId w:val="12"/>
        </w:numPr>
        <w:rPr>
          <w:lang w:val="en-AU"/>
        </w:rPr>
      </w:pPr>
      <w:r>
        <w:rPr>
          <w:lang w:val="en-AU"/>
        </w:rPr>
        <w:t xml:space="preserve">How will the </w:t>
      </w:r>
      <w:proofErr w:type="spellStart"/>
      <w:r>
        <w:rPr>
          <w:lang w:val="en-AU"/>
        </w:rPr>
        <w:t>gNB</w:t>
      </w:r>
      <w:proofErr w:type="spellEnd"/>
      <w:r>
        <w:rPr>
          <w:lang w:val="en-AU"/>
        </w:rPr>
        <w:t xml:space="preserve"> and UE</w:t>
      </w:r>
      <w:r w:rsidR="000A5F6A">
        <w:rPr>
          <w:lang w:val="en-AU"/>
        </w:rPr>
        <w:t xml:space="preserve"> </w:t>
      </w:r>
      <w:r>
        <w:rPr>
          <w:lang w:val="en-AU"/>
        </w:rPr>
        <w:t xml:space="preserve">link a </w:t>
      </w:r>
      <w:r w:rsidR="000A5F6A" w:rsidRPr="009F56BD">
        <w:rPr>
          <w:lang w:val="en-AU"/>
        </w:rPr>
        <w:t xml:space="preserve">PC-parameter-set </w:t>
      </w:r>
      <w:r w:rsidR="000A5F6A">
        <w:rPr>
          <w:i/>
          <w:u w:val="single"/>
          <w:lang w:val="en-AU"/>
        </w:rPr>
        <w:t>{</w:t>
      </w:r>
      <w:proofErr w:type="spellStart"/>
      <w:r w:rsidR="000A5F6A">
        <w:rPr>
          <w:i/>
          <w:u w:val="single"/>
          <w:lang w:val="en-AU"/>
        </w:rPr>
        <w:t>I,k</w:t>
      </w:r>
      <w:proofErr w:type="spellEnd"/>
      <w:r w:rsidR="000A5F6A">
        <w:rPr>
          <w:i/>
          <w:u w:val="single"/>
          <w:lang w:val="en-AU"/>
        </w:rPr>
        <w:t>}</w:t>
      </w:r>
      <w:r w:rsidR="000A5F6A" w:rsidRPr="009F56BD">
        <w:rPr>
          <w:lang w:val="en-AU"/>
        </w:rPr>
        <w:t xml:space="preserve"> to </w:t>
      </w:r>
      <w:r>
        <w:rPr>
          <w:lang w:val="en-AU"/>
        </w:rPr>
        <w:t>a certain beam?</w:t>
      </w:r>
    </w:p>
    <w:p w14:paraId="40E08A38" w14:textId="7009DF1A" w:rsidR="008D3E5D" w:rsidRPr="007025A0" w:rsidRDefault="007025A0" w:rsidP="00CF71AA">
      <w:pPr>
        <w:pStyle w:val="BodyText"/>
        <w:numPr>
          <w:ilvl w:val="0"/>
          <w:numId w:val="12"/>
        </w:numPr>
        <w:rPr>
          <w:lang w:val="en-AU"/>
        </w:rPr>
      </w:pPr>
      <w:r>
        <w:rPr>
          <w:lang w:val="en-AU"/>
        </w:rPr>
        <w:t xml:space="preserve">How will the UE know which beam to use, and hence which </w:t>
      </w:r>
      <w:r>
        <w:rPr>
          <w:i/>
          <w:u w:val="single"/>
          <w:lang w:val="en-AU"/>
        </w:rPr>
        <w:t>{</w:t>
      </w:r>
      <w:proofErr w:type="spellStart"/>
      <w:r>
        <w:rPr>
          <w:i/>
          <w:u w:val="single"/>
          <w:lang w:val="en-AU"/>
        </w:rPr>
        <w:t>I,k</w:t>
      </w:r>
      <w:proofErr w:type="spellEnd"/>
      <w:r>
        <w:rPr>
          <w:i/>
          <w:u w:val="single"/>
          <w:lang w:val="en-AU"/>
        </w:rPr>
        <w:t>},</w:t>
      </w:r>
      <w:r>
        <w:rPr>
          <w:lang w:val="en-AU"/>
        </w:rPr>
        <w:t xml:space="preserve"> when </w:t>
      </w:r>
      <w:r w:rsidRPr="009F56BD">
        <w:rPr>
          <w:lang w:val="en-AU"/>
        </w:rPr>
        <w:t>setting the output power</w:t>
      </w:r>
      <w:r>
        <w:rPr>
          <w:lang w:val="en-AU"/>
        </w:rPr>
        <w:t xml:space="preserve"> for a certain beam for PUSCH transmission?</w:t>
      </w:r>
    </w:p>
    <w:p w14:paraId="69A0A41E" w14:textId="2C6E1B40" w:rsidR="008D3E5D" w:rsidRDefault="008D3E5D" w:rsidP="008D3E5D">
      <w:pPr>
        <w:pStyle w:val="BodyText"/>
        <w:rPr>
          <w:lang w:val="en-AU"/>
        </w:rPr>
      </w:pPr>
      <w:r w:rsidRPr="009F56BD">
        <w:rPr>
          <w:lang w:val="en-AU"/>
        </w:rPr>
        <w:t>We will give ou</w:t>
      </w:r>
      <w:r w:rsidR="00A97502" w:rsidRPr="009F56BD">
        <w:rPr>
          <w:lang w:val="en-AU"/>
        </w:rPr>
        <w:t>r</w:t>
      </w:r>
      <w:r w:rsidR="00511CF4">
        <w:rPr>
          <w:lang w:val="en-AU"/>
        </w:rPr>
        <w:t xml:space="preserve"> view of these questions in </w:t>
      </w:r>
      <w:r w:rsidR="007465C6">
        <w:rPr>
          <w:lang w:val="en-AU"/>
        </w:rPr>
        <w:t>below</w:t>
      </w:r>
      <w:r w:rsidRPr="009F56BD">
        <w:rPr>
          <w:lang w:val="en-AU"/>
        </w:rPr>
        <w:t xml:space="preserve">. </w:t>
      </w:r>
    </w:p>
    <w:p w14:paraId="40241008" w14:textId="2A391D5F" w:rsidR="0043084A" w:rsidRDefault="008A59D9" w:rsidP="0043084A">
      <w:pPr>
        <w:rPr>
          <w:lang w:val="en-AU"/>
        </w:rPr>
      </w:pPr>
      <w:r>
        <w:rPr>
          <w:lang w:val="en-AU"/>
        </w:rPr>
        <w:t xml:space="preserve">Since the topic on beam specific PC is tightly connected to beam management it is essential to design the PC framework with the beam management framework in mind. </w:t>
      </w:r>
      <w:r w:rsidR="0043084A" w:rsidRPr="009F56BD">
        <w:rPr>
          <w:lang w:val="en-AU"/>
        </w:rPr>
        <w:t>In RAN1#90 (Prague)</w:t>
      </w:r>
      <w:r w:rsidR="0066174F">
        <w:rPr>
          <w:lang w:val="en-AU"/>
        </w:rPr>
        <w:t xml:space="preserve"> and RAN1 NR AdHoc#3</w:t>
      </w:r>
      <w:r w:rsidR="0043084A" w:rsidRPr="009F56BD">
        <w:rPr>
          <w:lang w:val="en-AU"/>
        </w:rPr>
        <w:t>, the following agreement was made related to DL beam indication</w:t>
      </w:r>
      <w:r w:rsidR="0066174F">
        <w:rPr>
          <w:lang w:val="en-AU"/>
        </w:rPr>
        <w:t xml:space="preserve">. </w:t>
      </w:r>
    </w:p>
    <w:p w14:paraId="10EECBFF" w14:textId="77777777" w:rsidR="005638C6" w:rsidRPr="00826179" w:rsidRDefault="005638C6" w:rsidP="005638C6">
      <w:pPr>
        <w:spacing w:after="0"/>
        <w:rPr>
          <w:rFonts w:eastAsia="MS Mincho"/>
          <w:b/>
          <w:lang w:eastAsia="ja-JP"/>
        </w:rPr>
      </w:pPr>
      <w:r>
        <w:rPr>
          <w:rFonts w:eastAsia="MS Mincho" w:hint="eastAsia"/>
          <w:b/>
          <w:highlight w:val="green"/>
          <w:u w:val="single"/>
          <w:lang w:eastAsia="ja-JP"/>
        </w:rPr>
        <w:t>Agreement #</w:t>
      </w:r>
      <w:r>
        <w:rPr>
          <w:rFonts w:eastAsia="MS Mincho"/>
          <w:b/>
          <w:highlight w:val="green"/>
          <w:u w:val="single"/>
          <w:lang w:eastAsia="ja-JP"/>
        </w:rPr>
        <w:t>1</w:t>
      </w:r>
      <w:r w:rsidRPr="00080193">
        <w:rPr>
          <w:rFonts w:eastAsia="MS Mincho" w:hint="eastAsia"/>
          <w:b/>
          <w:highlight w:val="green"/>
          <w:u w:val="single"/>
          <w:lang w:eastAsia="ja-JP"/>
        </w:rPr>
        <w:t>:</w:t>
      </w:r>
      <w:r>
        <w:rPr>
          <w:rFonts w:eastAsia="MS Mincho"/>
          <w:b/>
          <w:lang w:eastAsia="ja-JP"/>
        </w:rPr>
        <w:t xml:space="preserve"> (</w:t>
      </w:r>
      <w:r w:rsidRPr="009F56BD">
        <w:rPr>
          <w:lang w:val="en-AU"/>
        </w:rPr>
        <w:t>RAN1#90</w:t>
      </w:r>
      <w:r>
        <w:rPr>
          <w:lang w:val="en-AU"/>
        </w:rPr>
        <w:t>)</w:t>
      </w:r>
    </w:p>
    <w:p w14:paraId="3414B660" w14:textId="77777777" w:rsidR="005638C6" w:rsidRPr="009F56BD" w:rsidRDefault="005638C6" w:rsidP="00CF71AA">
      <w:pPr>
        <w:numPr>
          <w:ilvl w:val="0"/>
          <w:numId w:val="11"/>
        </w:numPr>
        <w:spacing w:after="0"/>
        <w:rPr>
          <w:lang w:val="en-AU"/>
        </w:rPr>
      </w:pPr>
      <w:r w:rsidRPr="009F56BD">
        <w:rPr>
          <w:lang w:val="en-AU"/>
        </w:rPr>
        <w:t xml:space="preserve">For the purposes of beam indication for at least NR unicast PDSCH, support an </w:t>
      </w:r>
      <w:r w:rsidRPr="009F56BD">
        <w:rPr>
          <w:highlight w:val="yellow"/>
          <w:lang w:val="en-AU"/>
        </w:rPr>
        <w:t>N-bit indicator field in DCI</w:t>
      </w:r>
      <w:r w:rsidRPr="009F56BD">
        <w:rPr>
          <w:lang w:val="en-AU"/>
        </w:rPr>
        <w:t xml:space="preserve"> which provides a reference to a DL RS which is spatially </w:t>
      </w:r>
      <w:proofErr w:type="spellStart"/>
      <w:r w:rsidRPr="009F56BD">
        <w:rPr>
          <w:lang w:val="en-AU"/>
        </w:rPr>
        <w:t>QCL’d</w:t>
      </w:r>
      <w:proofErr w:type="spellEnd"/>
      <w:r w:rsidRPr="009F56BD">
        <w:rPr>
          <w:lang w:val="en-AU"/>
        </w:rPr>
        <w:t xml:space="preserve"> with at least one PDSCH DMRS port group</w:t>
      </w:r>
    </w:p>
    <w:p w14:paraId="19A55852" w14:textId="77777777" w:rsidR="005638C6" w:rsidRPr="009F56BD" w:rsidRDefault="005638C6" w:rsidP="00CF71AA">
      <w:pPr>
        <w:numPr>
          <w:ilvl w:val="1"/>
          <w:numId w:val="11"/>
        </w:numPr>
        <w:spacing w:after="0"/>
        <w:rPr>
          <w:lang w:val="en-AU"/>
        </w:rPr>
      </w:pPr>
      <w:r w:rsidRPr="009F56BD">
        <w:rPr>
          <w:lang w:val="en-AU"/>
        </w:rPr>
        <w:t xml:space="preserve">An indicator state is associated with at least one index of a DL RS (e.g., CRI, SSB Index) where each index of downlink RS can be associated with a given DL RS type,  e.g., aperiodic CSI-RS, periodic CSI-RS, semi-persistent CSI-RS, or SSB, </w:t>
      </w:r>
    </w:p>
    <w:p w14:paraId="7739F44A" w14:textId="77777777" w:rsidR="005638C6" w:rsidRPr="009F56BD" w:rsidRDefault="005638C6" w:rsidP="00CF71AA">
      <w:pPr>
        <w:numPr>
          <w:ilvl w:val="2"/>
          <w:numId w:val="11"/>
        </w:numPr>
        <w:spacing w:after="0"/>
        <w:rPr>
          <w:lang w:val="en-AU"/>
        </w:rPr>
      </w:pPr>
      <w:r w:rsidRPr="009F56BD">
        <w:rPr>
          <w:lang w:val="en-AU"/>
        </w:rPr>
        <w:t>Note: L1-RSRP reporting on SSB is not yet agreed</w:t>
      </w:r>
    </w:p>
    <w:p w14:paraId="055DA50F" w14:textId="77777777" w:rsidR="005638C6" w:rsidRPr="009F56BD" w:rsidRDefault="005638C6" w:rsidP="00CF71AA">
      <w:pPr>
        <w:numPr>
          <w:ilvl w:val="2"/>
          <w:numId w:val="11"/>
        </w:numPr>
        <w:spacing w:after="0"/>
        <w:rPr>
          <w:lang w:val="en-AU"/>
        </w:rPr>
      </w:pPr>
      <w:r w:rsidRPr="009F56BD">
        <w:rPr>
          <w:lang w:val="en-AU"/>
        </w:rPr>
        <w:t>Note: One possibility to determine DL CSI-RS type is through the resource setting ID, other options are not precluded</w:t>
      </w:r>
    </w:p>
    <w:p w14:paraId="7491F2C2" w14:textId="77777777" w:rsidR="005638C6" w:rsidRPr="0066174F" w:rsidRDefault="005638C6" w:rsidP="00CF71AA">
      <w:pPr>
        <w:numPr>
          <w:ilvl w:val="1"/>
          <w:numId w:val="11"/>
        </w:numPr>
        <w:spacing w:after="0"/>
        <w:rPr>
          <w:highlight w:val="yellow"/>
          <w:lang w:val="en-AU"/>
        </w:rPr>
      </w:pPr>
      <w:r w:rsidRPr="0066174F">
        <w:rPr>
          <w:highlight w:val="yellow"/>
          <w:lang w:val="en-AU"/>
        </w:rPr>
        <w:t>The value of N is FFS, but is at most [3] bits</w:t>
      </w:r>
      <w:r w:rsidRPr="0066174F">
        <w:rPr>
          <w:lang w:val="en-AU"/>
        </w:rPr>
        <w:t xml:space="preserve"> </w:t>
      </w:r>
    </w:p>
    <w:p w14:paraId="1E1AF32A" w14:textId="77777777" w:rsidR="005638C6" w:rsidRDefault="005638C6" w:rsidP="005638C6">
      <w:pPr>
        <w:spacing w:after="0"/>
        <w:rPr>
          <w:lang w:val="en-AU"/>
        </w:rPr>
      </w:pPr>
      <w:r w:rsidRPr="0066174F">
        <w:rPr>
          <w:lang w:val="en-AU"/>
        </w:rPr>
        <w:t>…</w:t>
      </w:r>
    </w:p>
    <w:p w14:paraId="0AEF6150" w14:textId="77777777" w:rsidR="005638C6" w:rsidRDefault="005638C6" w:rsidP="005638C6">
      <w:pPr>
        <w:spacing w:after="0"/>
        <w:rPr>
          <w:lang w:val="en-AU"/>
        </w:rPr>
      </w:pPr>
    </w:p>
    <w:p w14:paraId="1C74DF61" w14:textId="77777777" w:rsidR="005638C6" w:rsidRPr="00826179" w:rsidRDefault="005638C6" w:rsidP="005638C6">
      <w:pPr>
        <w:rPr>
          <w:b/>
          <w:lang w:val="en-AU"/>
        </w:rPr>
      </w:pPr>
      <w:r w:rsidRPr="00826179">
        <w:rPr>
          <w:b/>
          <w:highlight w:val="green"/>
          <w:lang w:val="en-AU"/>
        </w:rPr>
        <w:t>Agreement</w:t>
      </w:r>
      <w:r>
        <w:rPr>
          <w:b/>
          <w:highlight w:val="green"/>
          <w:lang w:val="en-AU"/>
        </w:rPr>
        <w:t xml:space="preserve"> #2</w:t>
      </w:r>
      <w:r w:rsidRPr="00826179">
        <w:rPr>
          <w:b/>
          <w:highlight w:val="green"/>
          <w:lang w:val="en-AU"/>
        </w:rPr>
        <w:t>:</w:t>
      </w:r>
      <w:r>
        <w:rPr>
          <w:b/>
          <w:lang w:val="en-AU"/>
        </w:rPr>
        <w:t xml:space="preserve"> (</w:t>
      </w:r>
      <w:r>
        <w:rPr>
          <w:lang w:val="en-AU"/>
        </w:rPr>
        <w:t>RAN1 NR AdHoc#3)</w:t>
      </w:r>
    </w:p>
    <w:p w14:paraId="4AAA513F" w14:textId="77777777" w:rsidR="005638C6" w:rsidRPr="00826179" w:rsidRDefault="005638C6" w:rsidP="005638C6">
      <w:pPr>
        <w:rPr>
          <w:szCs w:val="20"/>
          <w:highlight w:val="yellow"/>
          <w:lang w:val="en-AU"/>
        </w:rPr>
      </w:pPr>
      <w:r w:rsidRPr="00826179">
        <w:rPr>
          <w:szCs w:val="20"/>
          <w:highlight w:val="yellow"/>
          <w:lang w:val="en-AU"/>
        </w:rPr>
        <w:t>A UE is RRC configured with a list of up to M candidate Transmission Configuration Indication (TCI) states at least for the purposes of QCL indication</w:t>
      </w:r>
    </w:p>
    <w:p w14:paraId="02FBC2E5" w14:textId="77777777" w:rsidR="005638C6" w:rsidRPr="00826179" w:rsidRDefault="005638C6" w:rsidP="00CF71AA">
      <w:pPr>
        <w:numPr>
          <w:ilvl w:val="0"/>
          <w:numId w:val="14"/>
        </w:numPr>
        <w:spacing w:after="0" w:line="240" w:lineRule="auto"/>
        <w:rPr>
          <w:szCs w:val="20"/>
          <w:highlight w:val="yellow"/>
          <w:lang w:eastAsia="x-none"/>
        </w:rPr>
      </w:pPr>
      <w:r w:rsidRPr="00826179">
        <w:rPr>
          <w:szCs w:val="20"/>
          <w:highlight w:val="yellow"/>
          <w:lang w:eastAsia="x-none"/>
        </w:rPr>
        <w:t>Whether M equal to or larger than 2</w:t>
      </w:r>
      <w:r w:rsidRPr="00826179">
        <w:rPr>
          <w:szCs w:val="20"/>
          <w:highlight w:val="yellow"/>
          <w:vertAlign w:val="superscript"/>
          <w:lang w:eastAsia="x-none"/>
        </w:rPr>
        <w:t>N</w:t>
      </w:r>
      <w:r w:rsidRPr="00826179">
        <w:rPr>
          <w:szCs w:val="20"/>
          <w:highlight w:val="yellow"/>
          <w:lang w:eastAsia="x-none"/>
        </w:rPr>
        <w:t xml:space="preserve"> is for further study, where N is the size of the DCI field for PDSCH</w:t>
      </w:r>
    </w:p>
    <w:p w14:paraId="0F7078FA" w14:textId="77777777" w:rsidR="005638C6" w:rsidRDefault="005638C6" w:rsidP="005638C6">
      <w:pPr>
        <w:spacing w:after="0"/>
      </w:pPr>
      <w:r>
        <w:t>…</w:t>
      </w:r>
    </w:p>
    <w:p w14:paraId="68DDC19F" w14:textId="77777777" w:rsidR="005638C6" w:rsidRDefault="005638C6" w:rsidP="005638C6">
      <w:pPr>
        <w:spacing w:after="0"/>
      </w:pPr>
    </w:p>
    <w:p w14:paraId="1E59E773" w14:textId="77777777" w:rsidR="005638C6" w:rsidRPr="00826179" w:rsidRDefault="005638C6" w:rsidP="005638C6">
      <w:pPr>
        <w:rPr>
          <w:b/>
          <w:szCs w:val="20"/>
          <w:lang w:val="en-AU"/>
        </w:rPr>
      </w:pPr>
      <w:r w:rsidRPr="00826179">
        <w:rPr>
          <w:b/>
          <w:szCs w:val="20"/>
          <w:highlight w:val="green"/>
          <w:lang w:val="en-AU"/>
        </w:rPr>
        <w:t>Agreement</w:t>
      </w:r>
      <w:r>
        <w:rPr>
          <w:b/>
          <w:szCs w:val="20"/>
          <w:highlight w:val="green"/>
          <w:lang w:val="en-AU"/>
        </w:rPr>
        <w:t xml:space="preserve"> #3</w:t>
      </w:r>
      <w:r w:rsidRPr="00826179">
        <w:rPr>
          <w:b/>
          <w:szCs w:val="20"/>
          <w:highlight w:val="green"/>
          <w:lang w:val="en-AU"/>
        </w:rPr>
        <w:t>:</w:t>
      </w:r>
      <w:r w:rsidRPr="00826179">
        <w:rPr>
          <w:b/>
          <w:lang w:val="en-AU"/>
        </w:rPr>
        <w:t xml:space="preserve"> </w:t>
      </w:r>
      <w:r>
        <w:rPr>
          <w:b/>
          <w:lang w:val="en-AU"/>
        </w:rPr>
        <w:t>(</w:t>
      </w:r>
      <w:r>
        <w:rPr>
          <w:lang w:val="en-AU"/>
        </w:rPr>
        <w:t>RAN1 NR AdHoc#3)</w:t>
      </w:r>
    </w:p>
    <w:p w14:paraId="7A10F5D3" w14:textId="77777777" w:rsidR="005638C6" w:rsidRPr="00826179" w:rsidRDefault="005638C6" w:rsidP="005638C6">
      <w:pPr>
        <w:rPr>
          <w:szCs w:val="20"/>
          <w:lang w:val="en-AU"/>
        </w:rPr>
      </w:pPr>
      <w:r w:rsidRPr="00826179">
        <w:rPr>
          <w:szCs w:val="20"/>
          <w:highlight w:val="yellow"/>
          <w:lang w:val="en-AU"/>
        </w:rPr>
        <w:t>The QCL configuration for PDCCH contains the information which provides a reference to a TCI state</w:t>
      </w:r>
    </w:p>
    <w:p w14:paraId="77B391B1" w14:textId="77777777" w:rsidR="005638C6" w:rsidRDefault="005638C6" w:rsidP="00CF71AA">
      <w:pPr>
        <w:numPr>
          <w:ilvl w:val="0"/>
          <w:numId w:val="14"/>
        </w:numPr>
        <w:spacing w:after="0" w:line="240" w:lineRule="auto"/>
        <w:rPr>
          <w:szCs w:val="20"/>
          <w:lang w:eastAsia="x-none"/>
        </w:rPr>
      </w:pPr>
      <w:r w:rsidRPr="00BD2B69">
        <w:rPr>
          <w:szCs w:val="20"/>
          <w:lang w:eastAsia="x-none"/>
        </w:rPr>
        <w:t>Alt 1: The QCL configuration/indication is on a per CORESET basis</w:t>
      </w:r>
    </w:p>
    <w:p w14:paraId="3EE91ED3" w14:textId="77777777" w:rsidR="005638C6" w:rsidRPr="00BD2B69" w:rsidRDefault="005638C6" w:rsidP="00CF71AA">
      <w:pPr>
        <w:numPr>
          <w:ilvl w:val="1"/>
          <w:numId w:val="14"/>
        </w:numPr>
        <w:spacing w:after="0" w:line="240" w:lineRule="auto"/>
        <w:rPr>
          <w:szCs w:val="20"/>
          <w:lang w:eastAsia="x-none"/>
        </w:rPr>
      </w:pPr>
      <w:r w:rsidRPr="00535A25">
        <w:rPr>
          <w:szCs w:val="20"/>
          <w:lang w:eastAsia="x-none"/>
        </w:rPr>
        <w:t>The UE applies the QCL assumption on the associated CORESET monitoring occasions. All search space(s) within the CORESET utilize the same QCL.</w:t>
      </w:r>
    </w:p>
    <w:p w14:paraId="1050514F" w14:textId="77777777" w:rsidR="005638C6" w:rsidRDefault="005638C6" w:rsidP="00CF71AA">
      <w:pPr>
        <w:numPr>
          <w:ilvl w:val="0"/>
          <w:numId w:val="14"/>
        </w:numPr>
        <w:spacing w:after="0" w:line="240" w:lineRule="auto"/>
        <w:rPr>
          <w:szCs w:val="20"/>
          <w:lang w:eastAsia="x-none"/>
        </w:rPr>
      </w:pPr>
      <w:r w:rsidRPr="00BD2B69">
        <w:rPr>
          <w:szCs w:val="20"/>
          <w:lang w:eastAsia="x-none"/>
        </w:rPr>
        <w:t>Alt 2: The QCL configuration/indication is on a per search space basis</w:t>
      </w:r>
    </w:p>
    <w:p w14:paraId="744BF034" w14:textId="77777777" w:rsidR="005638C6" w:rsidRPr="00BD2B69" w:rsidRDefault="005638C6" w:rsidP="00CF71AA">
      <w:pPr>
        <w:numPr>
          <w:ilvl w:val="1"/>
          <w:numId w:val="14"/>
        </w:numPr>
        <w:spacing w:after="0" w:line="240" w:lineRule="auto"/>
        <w:rPr>
          <w:szCs w:val="20"/>
          <w:lang w:eastAsia="x-none"/>
        </w:rPr>
      </w:pPr>
      <w:r w:rsidRPr="00535A25">
        <w:rPr>
          <w:szCs w:val="20"/>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204AF70D" w14:textId="77777777" w:rsidR="005638C6" w:rsidRPr="00BD2B69" w:rsidRDefault="005638C6" w:rsidP="00CF71AA">
      <w:pPr>
        <w:numPr>
          <w:ilvl w:val="0"/>
          <w:numId w:val="14"/>
        </w:numPr>
        <w:spacing w:after="0" w:line="240" w:lineRule="auto"/>
        <w:rPr>
          <w:szCs w:val="20"/>
          <w:lang w:eastAsia="x-none"/>
        </w:rPr>
      </w:pPr>
      <w:r w:rsidRPr="00BD2B69">
        <w:rPr>
          <w:szCs w:val="20"/>
          <w:lang w:eastAsia="x-none"/>
        </w:rPr>
        <w:lastRenderedPageBreak/>
        <w:t>Note: The indication of QCL configuration is done by RRC or RRC + MAC CE (FFS: by DCI)</w:t>
      </w:r>
    </w:p>
    <w:p w14:paraId="05F1F21D" w14:textId="0558DC44" w:rsidR="00813CF7" w:rsidRPr="00813CF7" w:rsidRDefault="005638C6" w:rsidP="005638C6">
      <w:pPr>
        <w:rPr>
          <w:szCs w:val="20"/>
          <w:lang w:val="en-AU"/>
        </w:rPr>
      </w:pPr>
      <w:r w:rsidRPr="00826179">
        <w:rPr>
          <w:szCs w:val="20"/>
          <w:lang w:val="en-AU"/>
        </w:rPr>
        <w:t>Note: The above options are provided as input to the control channel agenda item discussion</w:t>
      </w:r>
    </w:p>
    <w:p w14:paraId="1824F47F" w14:textId="3CB8506B" w:rsidR="005638C6" w:rsidRPr="00FA3C94" w:rsidRDefault="005638C6" w:rsidP="005638C6">
      <w:pPr>
        <w:rPr>
          <w:b/>
          <w:szCs w:val="20"/>
          <w:highlight w:val="green"/>
          <w:u w:val="single"/>
        </w:rPr>
      </w:pPr>
      <w:r w:rsidRPr="00FA3C94">
        <w:rPr>
          <w:b/>
          <w:szCs w:val="20"/>
          <w:highlight w:val="green"/>
          <w:u w:val="single"/>
        </w:rPr>
        <w:t>Agreement</w:t>
      </w:r>
      <w:r>
        <w:rPr>
          <w:b/>
          <w:szCs w:val="20"/>
          <w:highlight w:val="green"/>
          <w:u w:val="single"/>
        </w:rPr>
        <w:t xml:space="preserve"> #4</w:t>
      </w:r>
      <w:r w:rsidRPr="00FA3C94">
        <w:rPr>
          <w:b/>
          <w:szCs w:val="20"/>
          <w:highlight w:val="green"/>
          <w:u w:val="single"/>
        </w:rPr>
        <w:t>:</w:t>
      </w:r>
      <w:r>
        <w:rPr>
          <w:b/>
          <w:szCs w:val="20"/>
          <w:highlight w:val="green"/>
          <w:u w:val="single"/>
        </w:rPr>
        <w:t xml:space="preserve"> </w:t>
      </w:r>
      <w:r>
        <w:rPr>
          <w:b/>
          <w:lang w:val="en-AU"/>
        </w:rPr>
        <w:t>(</w:t>
      </w:r>
      <w:r>
        <w:rPr>
          <w:lang w:val="en-AU"/>
        </w:rPr>
        <w:t>RAN1 NR AdHoc#3)</w:t>
      </w:r>
    </w:p>
    <w:p w14:paraId="5CC46202" w14:textId="77777777" w:rsidR="005638C6" w:rsidRPr="00826179" w:rsidRDefault="005638C6" w:rsidP="00CF71AA">
      <w:pPr>
        <w:numPr>
          <w:ilvl w:val="0"/>
          <w:numId w:val="15"/>
        </w:numPr>
        <w:spacing w:after="0" w:line="240" w:lineRule="auto"/>
        <w:rPr>
          <w:szCs w:val="20"/>
          <w:highlight w:val="yellow"/>
          <w:lang w:val="en-AU"/>
        </w:rPr>
      </w:pPr>
      <w:r w:rsidRPr="00826179">
        <w:rPr>
          <w:bCs/>
          <w:szCs w:val="20"/>
          <w:highlight w:val="yellow"/>
          <w:lang w:val="en-AU"/>
        </w:rPr>
        <w:t>For QCL indication for PDSCH</w:t>
      </w:r>
      <w:r w:rsidRPr="00826179">
        <w:rPr>
          <w:szCs w:val="20"/>
          <w:highlight w:val="yellow"/>
          <w:lang w:val="en-AU"/>
        </w:rPr>
        <w:t>:</w:t>
      </w:r>
    </w:p>
    <w:p w14:paraId="74F0D791" w14:textId="77777777" w:rsidR="005638C6" w:rsidRPr="00826179" w:rsidRDefault="005638C6" w:rsidP="00CF71AA">
      <w:pPr>
        <w:numPr>
          <w:ilvl w:val="1"/>
          <w:numId w:val="15"/>
        </w:numPr>
        <w:spacing w:after="0" w:line="240" w:lineRule="auto"/>
        <w:rPr>
          <w:szCs w:val="20"/>
          <w:lang w:val="en-AU"/>
        </w:rPr>
      </w:pPr>
      <w:r w:rsidRPr="00826179">
        <w:rPr>
          <w:szCs w:val="20"/>
          <w:highlight w:val="yellow"/>
          <w:lang w:val="en-AU"/>
        </w:rPr>
        <w:t>When TCI states are used for QCL indication, the UE receives an N-bit TCI field in DCI</w:t>
      </w:r>
    </w:p>
    <w:p w14:paraId="568AC4A5" w14:textId="77777777" w:rsidR="005638C6" w:rsidRPr="00826179" w:rsidRDefault="005638C6" w:rsidP="00CF71AA">
      <w:pPr>
        <w:numPr>
          <w:ilvl w:val="2"/>
          <w:numId w:val="15"/>
        </w:numPr>
        <w:spacing w:after="0" w:line="240" w:lineRule="auto"/>
        <w:rPr>
          <w:szCs w:val="20"/>
          <w:lang w:val="en-AU"/>
        </w:rPr>
      </w:pPr>
      <w:r w:rsidRPr="00826179">
        <w:rPr>
          <w:szCs w:val="20"/>
          <w:lang w:val="en-AU"/>
        </w:rPr>
        <w:t xml:space="preserve">The UE assumes that the PDSCH DMRS is QCL with the DL RS(s) in the RS Set corresponding to the </w:t>
      </w:r>
      <w:proofErr w:type="spellStart"/>
      <w:r w:rsidRPr="00826179">
        <w:rPr>
          <w:szCs w:val="20"/>
          <w:lang w:val="en-AU"/>
        </w:rPr>
        <w:t>signaled</w:t>
      </w:r>
      <w:proofErr w:type="spellEnd"/>
      <w:r w:rsidRPr="00826179">
        <w:rPr>
          <w:szCs w:val="20"/>
          <w:lang w:val="en-AU"/>
        </w:rPr>
        <w:t xml:space="preserve"> TCI state</w:t>
      </w:r>
    </w:p>
    <w:p w14:paraId="24A6C83B" w14:textId="77777777" w:rsidR="005638C6" w:rsidRPr="00826179" w:rsidRDefault="005638C6" w:rsidP="00CF71AA">
      <w:pPr>
        <w:numPr>
          <w:ilvl w:val="3"/>
          <w:numId w:val="15"/>
        </w:numPr>
        <w:spacing w:after="0" w:line="240" w:lineRule="auto"/>
        <w:rPr>
          <w:szCs w:val="20"/>
          <w:lang w:val="en-AU"/>
        </w:rPr>
      </w:pPr>
      <w:r w:rsidRPr="00826179">
        <w:rPr>
          <w:szCs w:val="20"/>
          <w:lang w:val="en-AU"/>
        </w:rPr>
        <w:t>FFS: whether or not a QCL type is configured, configuration details are for further study</w:t>
      </w:r>
    </w:p>
    <w:p w14:paraId="2D5C548E" w14:textId="77777777" w:rsidR="005638C6" w:rsidRPr="00826179" w:rsidRDefault="005638C6" w:rsidP="00CF71AA">
      <w:pPr>
        <w:numPr>
          <w:ilvl w:val="1"/>
          <w:numId w:val="15"/>
        </w:numPr>
        <w:spacing w:after="0" w:line="240" w:lineRule="auto"/>
        <w:rPr>
          <w:szCs w:val="20"/>
          <w:lang w:val="en-AU"/>
        </w:rPr>
      </w:pPr>
      <w:r w:rsidRPr="00826179">
        <w:rPr>
          <w:szCs w:val="20"/>
          <w:lang w:val="en-AU"/>
        </w:rPr>
        <w:t xml:space="preserve"> Whether or not the TCI field is always present in a given DL-related DCI is FFS</w:t>
      </w:r>
    </w:p>
    <w:p w14:paraId="4A248C40" w14:textId="77777777" w:rsidR="005638C6" w:rsidRPr="00826179" w:rsidRDefault="005638C6" w:rsidP="00CF71AA">
      <w:pPr>
        <w:numPr>
          <w:ilvl w:val="1"/>
          <w:numId w:val="15"/>
        </w:numPr>
        <w:spacing w:after="0" w:line="240" w:lineRule="auto"/>
        <w:rPr>
          <w:szCs w:val="20"/>
          <w:lang w:val="en-AU"/>
        </w:rPr>
      </w:pPr>
      <w:r w:rsidRPr="00826179">
        <w:rPr>
          <w:szCs w:val="20"/>
          <w:lang w:val="en-AU"/>
        </w:rPr>
        <w:t>FFS: Whether or not the TCI field is in the same DCI as that containing the PDSCH scheduling assignment</w:t>
      </w:r>
    </w:p>
    <w:p w14:paraId="772543B8" w14:textId="77777777" w:rsidR="005638C6" w:rsidRPr="00A826CC" w:rsidRDefault="005638C6" w:rsidP="00CF71AA">
      <w:pPr>
        <w:numPr>
          <w:ilvl w:val="0"/>
          <w:numId w:val="15"/>
        </w:numPr>
        <w:spacing w:after="0" w:line="240" w:lineRule="auto"/>
        <w:rPr>
          <w:szCs w:val="20"/>
          <w:lang w:val="en-AU"/>
        </w:rPr>
      </w:pPr>
      <w:r w:rsidRPr="00826179">
        <w:rPr>
          <w:szCs w:val="20"/>
          <w:lang w:val="en-AU"/>
        </w:rPr>
        <w:t>FFS: Timing between when the UE receives a QCL configuration/indication and the first time that the QCL assumption may be applied for demodulation of PDSCH or PDCCH</w:t>
      </w:r>
    </w:p>
    <w:p w14:paraId="4E8D1BA2" w14:textId="178A50A8" w:rsidR="00813CF7" w:rsidRDefault="00813CF7" w:rsidP="0043084A"/>
    <w:p w14:paraId="467FCF9C" w14:textId="0D33598C" w:rsidR="0043084A" w:rsidRDefault="00A826CC" w:rsidP="00EB1564">
      <w:pPr>
        <w:rPr>
          <w:lang w:val="en-AU"/>
        </w:rPr>
      </w:pPr>
      <w:r>
        <w:rPr>
          <w:lang w:val="en-AU"/>
        </w:rPr>
        <w:t xml:space="preserve">As can be seen </w:t>
      </w:r>
      <w:r w:rsidR="0043084A" w:rsidRPr="009F56BD">
        <w:rPr>
          <w:lang w:val="en-AU"/>
        </w:rPr>
        <w:t xml:space="preserve">agreement </w:t>
      </w:r>
      <w:r w:rsidR="009120C5">
        <w:rPr>
          <w:lang w:val="en-AU"/>
        </w:rPr>
        <w:t xml:space="preserve">#1 </w:t>
      </w:r>
      <w:r w:rsidR="0043084A" w:rsidRPr="009F56BD">
        <w:rPr>
          <w:lang w:val="en-AU"/>
        </w:rPr>
        <w:t xml:space="preserve">establishes that an N-bit indicator field in DCI provides at least a spatial QCL reference to a DL RS (either CSI-RS or SSB) to aid in the demodulation of PDSCH. A given value of the indicator is referred to as an indicator state, and it is associated with an index of the DL RS (CRI or SSB Index). </w:t>
      </w:r>
      <w:r w:rsidR="00EB1564" w:rsidRPr="009F56BD">
        <w:rPr>
          <w:lang w:val="en-AU"/>
        </w:rPr>
        <w:t>Clearly, th</w:t>
      </w:r>
      <w:r w:rsidR="009120C5">
        <w:rPr>
          <w:lang w:val="en-AU"/>
        </w:rPr>
        <w:t>e functionality supported by this</w:t>
      </w:r>
      <w:r w:rsidR="00EB1564" w:rsidRPr="009F56BD">
        <w:rPr>
          <w:lang w:val="en-AU"/>
        </w:rPr>
        <w:t xml:space="preserve"> N-bit indicator is analogous to PQI in LTE which is used for the purposes of QCL and PDSCH rate matching indication in DCI format 2D supporting </w:t>
      </w:r>
      <w:proofErr w:type="spellStart"/>
      <w:r w:rsidR="00EB1564" w:rsidRPr="009F56BD">
        <w:rPr>
          <w:lang w:val="en-AU"/>
        </w:rPr>
        <w:t>CoMP</w:t>
      </w:r>
      <w:proofErr w:type="spellEnd"/>
      <w:r w:rsidR="00EB1564" w:rsidRPr="009F56BD">
        <w:rPr>
          <w:lang w:val="en-AU"/>
        </w:rPr>
        <w:t xml:space="preserve"> operation. </w:t>
      </w:r>
    </w:p>
    <w:p w14:paraId="05FF0FA1" w14:textId="77172696" w:rsidR="009120C5" w:rsidRDefault="009120C5" w:rsidP="00EB1564">
      <w:pPr>
        <w:rPr>
          <w:lang w:val="en-AU"/>
        </w:rPr>
      </w:pPr>
      <w:r>
        <w:rPr>
          <w:lang w:val="en-AU"/>
        </w:rPr>
        <w:t xml:space="preserve">In agreement #2 the N-bit indicator is </w:t>
      </w:r>
      <w:r w:rsidR="008767A9">
        <w:rPr>
          <w:lang w:val="en-AU"/>
        </w:rPr>
        <w:t>potentially</w:t>
      </w:r>
      <w:r>
        <w:rPr>
          <w:lang w:val="en-AU"/>
        </w:rPr>
        <w:t xml:space="preserve"> generalized</w:t>
      </w:r>
      <w:r w:rsidR="008767A9">
        <w:rPr>
          <w:lang w:val="en-AU"/>
        </w:rPr>
        <w:t>, depending on future agreements,</w:t>
      </w:r>
      <w:r>
        <w:rPr>
          <w:lang w:val="en-AU"/>
        </w:rPr>
        <w:t xml:space="preserve"> into an index denoted </w:t>
      </w:r>
      <w:r w:rsidRPr="009120C5">
        <w:rPr>
          <w:szCs w:val="20"/>
          <w:lang w:val="en-AU"/>
        </w:rPr>
        <w:t>Transmission Configuration Indication (</w:t>
      </w:r>
      <w:r w:rsidRPr="009120C5">
        <w:rPr>
          <w:lang w:val="en-AU"/>
        </w:rPr>
        <w:t>TCI)</w:t>
      </w:r>
      <w:r>
        <w:rPr>
          <w:lang w:val="en-AU"/>
        </w:rPr>
        <w:t>. The exact relationship between TCI and the N-bit indicator remains to be specified.</w:t>
      </w:r>
      <w:r w:rsidR="00866BA1">
        <w:rPr>
          <w:lang w:val="en-AU"/>
        </w:rPr>
        <w:t xml:space="preserve"> </w:t>
      </w:r>
      <w:r>
        <w:rPr>
          <w:lang w:val="en-AU"/>
        </w:rPr>
        <w:t>In agreement #3 it is agreed that PDCCH will be configured using the TCI or to put it differently, TCI will be used to indicate which PDCCH beam that should be used out of the available 2</w:t>
      </w:r>
      <w:r w:rsidRPr="009120C5">
        <w:rPr>
          <w:vertAlign w:val="superscript"/>
          <w:lang w:val="en-AU"/>
        </w:rPr>
        <w:t>N</w:t>
      </w:r>
      <w:r>
        <w:rPr>
          <w:lang w:val="en-AU"/>
        </w:rPr>
        <w:t xml:space="preserve"> beams.</w:t>
      </w:r>
      <w:r w:rsidR="00866BA1">
        <w:rPr>
          <w:lang w:val="en-AU"/>
        </w:rPr>
        <w:t xml:space="preserve"> A similar agreement is done in agreement #4 where it is stated that which PDSCH beam to use </w:t>
      </w:r>
      <w:r w:rsidR="008767A9">
        <w:rPr>
          <w:lang w:val="en-AU"/>
        </w:rPr>
        <w:t>can</w:t>
      </w:r>
      <w:r w:rsidR="00866BA1">
        <w:rPr>
          <w:lang w:val="en-AU"/>
        </w:rPr>
        <w:t xml:space="preserve"> be indicated using the N-bit indicator in DCI. </w:t>
      </w:r>
    </w:p>
    <w:p w14:paraId="455BF0D0" w14:textId="4B642413" w:rsidR="00F94661" w:rsidRDefault="00866BA1" w:rsidP="00823BA0">
      <w:pPr>
        <w:rPr>
          <w:lang w:val="en-AU"/>
        </w:rPr>
      </w:pPr>
      <w:r>
        <w:rPr>
          <w:lang w:val="en-AU"/>
        </w:rPr>
        <w:t>To summarize this, a framework has be</w:t>
      </w:r>
      <w:r w:rsidR="00E30358">
        <w:rPr>
          <w:lang w:val="en-AU"/>
        </w:rPr>
        <w:t>en</w:t>
      </w:r>
      <w:r>
        <w:rPr>
          <w:lang w:val="en-AU"/>
        </w:rPr>
        <w:t xml:space="preserve"> developed for beam management purposes in order to define which beam, out of a number of candidate beams, that should be used for DL transmission. From a PC </w:t>
      </w:r>
      <w:r w:rsidR="00251D8C">
        <w:rPr>
          <w:lang w:val="en-AU"/>
        </w:rPr>
        <w:t>perspective</w:t>
      </w:r>
      <w:r w:rsidR="00EB1564" w:rsidRPr="009F56BD">
        <w:rPr>
          <w:lang w:val="en-AU"/>
        </w:rPr>
        <w:t xml:space="preserve"> we </w:t>
      </w:r>
      <w:r w:rsidR="00251D8C">
        <w:rPr>
          <w:lang w:val="en-AU"/>
        </w:rPr>
        <w:t xml:space="preserve">then </w:t>
      </w:r>
      <w:r w:rsidR="00EB1564" w:rsidRPr="009F56BD">
        <w:rPr>
          <w:lang w:val="en-AU"/>
        </w:rPr>
        <w:t xml:space="preserve">note that there will exist </w:t>
      </w:r>
      <w:r w:rsidR="007627E0" w:rsidRPr="009F56BD">
        <w:rPr>
          <w:lang w:val="en-AU"/>
        </w:rPr>
        <w:t>a</w:t>
      </w:r>
      <w:r w:rsidR="00EB1564" w:rsidRPr="009F56BD">
        <w:rPr>
          <w:lang w:val="en-AU"/>
        </w:rPr>
        <w:t xml:space="preserve"> framework for </w:t>
      </w:r>
      <w:r w:rsidR="00251D8C">
        <w:rPr>
          <w:lang w:val="en-AU"/>
        </w:rPr>
        <w:t>linking</w:t>
      </w:r>
      <w:r w:rsidR="00EB1564" w:rsidRPr="009F56BD">
        <w:rPr>
          <w:lang w:val="en-AU"/>
        </w:rPr>
        <w:t xml:space="preserve"> a </w:t>
      </w:r>
      <w:r w:rsidR="007627E0">
        <w:rPr>
          <w:lang w:val="en-AU"/>
        </w:rPr>
        <w:t xml:space="preserve">beam </w:t>
      </w:r>
      <w:r w:rsidR="00823BA0">
        <w:rPr>
          <w:lang w:val="en-AU"/>
        </w:rPr>
        <w:t>to</w:t>
      </w:r>
      <w:r>
        <w:rPr>
          <w:lang w:val="en-AU"/>
        </w:rPr>
        <w:t xml:space="preserve"> </w:t>
      </w:r>
      <w:r w:rsidR="00823BA0">
        <w:rPr>
          <w:lang w:val="en-AU"/>
        </w:rPr>
        <w:t xml:space="preserve">an </w:t>
      </w:r>
      <w:r>
        <w:rPr>
          <w:lang w:val="en-AU"/>
        </w:rPr>
        <w:t xml:space="preserve">indicator state </w:t>
      </w:r>
      <w:r w:rsidR="00EB1564" w:rsidRPr="009F56BD">
        <w:rPr>
          <w:lang w:val="en-AU"/>
        </w:rPr>
        <w:t xml:space="preserve">as well as a way to communicate this indicator state to </w:t>
      </w:r>
      <w:r w:rsidR="007627E0" w:rsidRPr="009F56BD">
        <w:rPr>
          <w:lang w:val="en-AU"/>
        </w:rPr>
        <w:t xml:space="preserve">the </w:t>
      </w:r>
      <w:r w:rsidR="00EB1564" w:rsidRPr="009F56BD">
        <w:rPr>
          <w:lang w:val="en-AU"/>
        </w:rPr>
        <w:t xml:space="preserve">UE from the </w:t>
      </w:r>
      <w:proofErr w:type="spellStart"/>
      <w:r w:rsidR="00EB1564" w:rsidRPr="009F56BD">
        <w:rPr>
          <w:lang w:val="en-AU"/>
        </w:rPr>
        <w:t>gNB</w:t>
      </w:r>
      <w:proofErr w:type="spellEnd"/>
      <w:r w:rsidR="00EB1564" w:rsidRPr="009F56BD">
        <w:rPr>
          <w:lang w:val="en-AU"/>
        </w:rPr>
        <w:t>. Hence, these two abilities</w:t>
      </w:r>
      <w:r w:rsidR="007627E0" w:rsidRPr="009F56BD">
        <w:rPr>
          <w:lang w:val="en-AU"/>
        </w:rPr>
        <w:t>,</w:t>
      </w:r>
      <w:r w:rsidR="005B0E1C" w:rsidRPr="009F56BD">
        <w:rPr>
          <w:lang w:val="en-AU"/>
        </w:rPr>
        <w:t xml:space="preserve"> introduced </w:t>
      </w:r>
      <w:r w:rsidR="00823BA0">
        <w:rPr>
          <w:lang w:val="en-AU"/>
        </w:rPr>
        <w:t>with</w:t>
      </w:r>
      <w:r w:rsidR="005B0E1C" w:rsidRPr="009F56BD">
        <w:rPr>
          <w:lang w:val="en-AU"/>
        </w:rPr>
        <w:t>in</w:t>
      </w:r>
      <w:r w:rsidR="00EB1564" w:rsidRPr="009F56BD">
        <w:rPr>
          <w:lang w:val="en-AU"/>
        </w:rPr>
        <w:t xml:space="preserve"> </w:t>
      </w:r>
      <w:r w:rsidR="00823BA0">
        <w:rPr>
          <w:lang w:val="en-AU"/>
        </w:rPr>
        <w:t xml:space="preserve">the </w:t>
      </w:r>
      <w:r w:rsidR="00EB1564" w:rsidRPr="009F56BD">
        <w:rPr>
          <w:lang w:val="en-AU"/>
        </w:rPr>
        <w:t>beam management</w:t>
      </w:r>
      <w:r w:rsidR="00823BA0">
        <w:rPr>
          <w:lang w:val="en-AU"/>
        </w:rPr>
        <w:t xml:space="preserve"> are</w:t>
      </w:r>
      <w:r w:rsidR="007627E0" w:rsidRPr="009F56BD">
        <w:rPr>
          <w:lang w:val="en-AU"/>
        </w:rPr>
        <w:t>,</w:t>
      </w:r>
      <w:r w:rsidR="00EB1564" w:rsidRPr="009F56BD">
        <w:rPr>
          <w:lang w:val="en-AU"/>
        </w:rPr>
        <w:t xml:space="preserve"> does indeed relate to </w:t>
      </w:r>
      <w:r w:rsidR="007627E0" w:rsidRPr="009F56BD">
        <w:rPr>
          <w:lang w:val="en-AU"/>
        </w:rPr>
        <w:t xml:space="preserve">questions discussed in </w:t>
      </w:r>
      <w:r w:rsidR="00EB1564" w:rsidRPr="009F56BD">
        <w:rPr>
          <w:lang w:val="en-AU"/>
        </w:rPr>
        <w:t>the area of PC.</w:t>
      </w:r>
      <w:r w:rsidR="00D84AC9" w:rsidRPr="009F56BD">
        <w:rPr>
          <w:lang w:val="en-AU"/>
        </w:rPr>
        <w:t xml:space="preserve"> </w:t>
      </w:r>
    </w:p>
    <w:p w14:paraId="45701EF1" w14:textId="12D6ADFB" w:rsidR="002A4BDC" w:rsidRDefault="0043084A" w:rsidP="002A4BDC">
      <w:pPr>
        <w:pStyle w:val="BodyText"/>
        <w:rPr>
          <w:rFonts w:cs="Arial"/>
          <w:lang w:val="en-AU"/>
        </w:rPr>
      </w:pPr>
      <w:r w:rsidRPr="009F56BD">
        <w:rPr>
          <w:lang w:val="en-AU"/>
        </w:rPr>
        <w:t xml:space="preserve">For </w:t>
      </w:r>
      <w:r w:rsidR="00D84AC9" w:rsidRPr="009F56BD">
        <w:rPr>
          <w:lang w:val="en-AU"/>
        </w:rPr>
        <w:t xml:space="preserve">instance, in the case of </w:t>
      </w:r>
      <w:r w:rsidRPr="009F56BD">
        <w:rPr>
          <w:lang w:val="en-AU"/>
        </w:rPr>
        <w:t xml:space="preserve">UEs with </w:t>
      </w:r>
      <w:r w:rsidR="007627E0" w:rsidRPr="009F56BD">
        <w:rPr>
          <w:lang w:val="en-AU"/>
        </w:rPr>
        <w:t xml:space="preserve">beam </w:t>
      </w:r>
      <w:r w:rsidRPr="009F56BD">
        <w:rPr>
          <w:lang w:val="en-AU"/>
        </w:rPr>
        <w:t xml:space="preserve">correspondence, </w:t>
      </w:r>
      <w:r w:rsidR="00823BA0">
        <w:rPr>
          <w:lang w:val="en-AU"/>
        </w:rPr>
        <w:t xml:space="preserve">we would like the </w:t>
      </w:r>
      <w:r w:rsidR="00823BA0" w:rsidRPr="009F56BD">
        <w:rPr>
          <w:lang w:val="en-AU"/>
        </w:rPr>
        <w:t xml:space="preserve">UE </w:t>
      </w:r>
      <w:r w:rsidR="00823BA0">
        <w:rPr>
          <w:lang w:val="en-AU"/>
        </w:rPr>
        <w:t xml:space="preserve">to </w:t>
      </w:r>
      <w:r w:rsidR="00823BA0" w:rsidRPr="009F56BD">
        <w:rPr>
          <w:lang w:val="en-AU"/>
        </w:rPr>
        <w:t xml:space="preserve">transmit </w:t>
      </w:r>
      <w:r w:rsidR="00823BA0">
        <w:rPr>
          <w:lang w:val="en-AU"/>
        </w:rPr>
        <w:t xml:space="preserve">PUSCH </w:t>
      </w:r>
      <w:r w:rsidR="00823BA0" w:rsidRPr="009F56BD">
        <w:rPr>
          <w:lang w:val="en-AU"/>
        </w:rPr>
        <w:t xml:space="preserve">in a reciprocal direction to </w:t>
      </w:r>
      <w:r w:rsidR="00823BA0">
        <w:rPr>
          <w:lang w:val="en-AU"/>
        </w:rPr>
        <w:t xml:space="preserve">the beams defined </w:t>
      </w:r>
      <w:r w:rsidR="006E3D9D">
        <w:rPr>
          <w:lang w:val="en-AU"/>
        </w:rPr>
        <w:t xml:space="preserve">for DL RS </w:t>
      </w:r>
      <w:r w:rsidR="006E3D9D">
        <w:t xml:space="preserve">(CSI-RS or SSB) contained in the RS </w:t>
      </w:r>
      <w:r w:rsidR="00266A5F">
        <w:t>s</w:t>
      </w:r>
      <w:r w:rsidR="006E3D9D">
        <w:t xml:space="preserve">et of a </w:t>
      </w:r>
      <w:r w:rsidR="00117673">
        <w:t>signaled</w:t>
      </w:r>
      <w:r w:rsidR="006E3D9D">
        <w:t xml:space="preserve"> TCI</w:t>
      </w:r>
      <w:r w:rsidR="00117673">
        <w:t xml:space="preserve"> (as discussed in [1])</w:t>
      </w:r>
      <w:r w:rsidR="00823BA0">
        <w:rPr>
          <w:lang w:val="en-AU"/>
        </w:rPr>
        <w:t xml:space="preserve">. From a beam specific PC </w:t>
      </w:r>
      <w:r w:rsidR="00534908">
        <w:rPr>
          <w:lang w:val="en-AU"/>
        </w:rPr>
        <w:t>perspective,</w:t>
      </w:r>
      <w:r w:rsidR="00823BA0">
        <w:rPr>
          <w:lang w:val="en-AU"/>
        </w:rPr>
        <w:t xml:space="preserve"> it therefore becomes natural to also </w:t>
      </w:r>
      <w:r w:rsidR="00117673">
        <w:rPr>
          <w:lang w:val="en-AU"/>
        </w:rPr>
        <w:t xml:space="preserve">link the PC parameter set with the state indicated by the TCI field included in the UL grant. </w:t>
      </w:r>
      <w:r w:rsidR="00F94661" w:rsidRPr="009F56BD">
        <w:rPr>
          <w:lang w:val="en-AU"/>
        </w:rPr>
        <w:t>Thereby</w:t>
      </w:r>
      <w:r w:rsidR="00F94661">
        <w:rPr>
          <w:lang w:val="en-AU"/>
        </w:rPr>
        <w:t xml:space="preserve"> we would reuse the beam management framework for beam indication </w:t>
      </w:r>
      <w:r w:rsidR="00117673">
        <w:rPr>
          <w:lang w:val="en-AU"/>
        </w:rPr>
        <w:t xml:space="preserve">and also power control </w:t>
      </w:r>
      <w:r w:rsidR="00F94661">
        <w:rPr>
          <w:lang w:val="en-AU"/>
        </w:rPr>
        <w:t xml:space="preserve">which </w:t>
      </w:r>
      <w:r w:rsidR="00F94661" w:rsidRPr="009F56BD">
        <w:rPr>
          <w:lang w:val="en-AU"/>
        </w:rPr>
        <w:t xml:space="preserve">would avoid </w:t>
      </w:r>
      <w:r w:rsidR="00117673">
        <w:rPr>
          <w:lang w:val="en-AU"/>
        </w:rPr>
        <w:t>duplication</w:t>
      </w:r>
      <w:r w:rsidR="00F94661">
        <w:rPr>
          <w:lang w:val="en-AU"/>
        </w:rPr>
        <w:t xml:space="preserve"> </w:t>
      </w:r>
      <w:r w:rsidR="00117673">
        <w:rPr>
          <w:lang w:val="en-AU"/>
        </w:rPr>
        <w:t xml:space="preserve">of signalling </w:t>
      </w:r>
      <w:r w:rsidR="00F94661">
        <w:rPr>
          <w:lang w:val="en-AU"/>
        </w:rPr>
        <w:t xml:space="preserve"> </w:t>
      </w:r>
    </w:p>
    <w:p w14:paraId="5C8A96C0" w14:textId="0BC4F1E0" w:rsidR="00FF6062" w:rsidRPr="009120C5" w:rsidRDefault="00813CF7" w:rsidP="00D84AC9">
      <w:pPr>
        <w:rPr>
          <w:lang w:val="en-AU"/>
        </w:rPr>
      </w:pPr>
      <w:r>
        <w:rPr>
          <w:lang w:val="en-AU"/>
        </w:rPr>
        <w:t>Based on this</w:t>
      </w:r>
      <w:r w:rsidR="00FF6062" w:rsidRPr="009120C5">
        <w:rPr>
          <w:lang w:val="en-AU"/>
        </w:rPr>
        <w:t xml:space="preserve"> we propose</w:t>
      </w:r>
    </w:p>
    <w:p w14:paraId="19D69F30" w14:textId="3B1E5ED9" w:rsidR="00AD333E" w:rsidRDefault="00FF6062" w:rsidP="00AD333E">
      <w:pPr>
        <w:pStyle w:val="Proposal"/>
        <w:rPr>
          <w:lang w:val="en-AU"/>
        </w:rPr>
      </w:pPr>
      <w:bookmarkStart w:id="2" w:name="_Hlk492901698"/>
      <w:bookmarkStart w:id="3" w:name="_Toc492915007"/>
      <w:bookmarkStart w:id="4" w:name="_Toc492919827"/>
      <w:bookmarkStart w:id="5" w:name="_Toc492919915"/>
      <w:bookmarkStart w:id="6" w:name="_Toc494464150"/>
      <w:bookmarkStart w:id="7" w:name="_Toc494466319"/>
      <w:bookmarkStart w:id="8" w:name="_Toc494740413"/>
      <w:bookmarkStart w:id="9" w:name="_Toc494741896"/>
      <w:bookmarkStart w:id="10" w:name="_Hlk494748757"/>
      <w:r w:rsidRPr="009F56BD">
        <w:rPr>
          <w:lang w:val="en-AU"/>
        </w:rPr>
        <w:lastRenderedPageBreak/>
        <w:t xml:space="preserve">Reuse </w:t>
      </w:r>
      <w:r w:rsidR="0032071F" w:rsidRPr="009F56BD">
        <w:rPr>
          <w:lang w:val="en-AU"/>
        </w:rPr>
        <w:t xml:space="preserve">the </w:t>
      </w:r>
      <w:r w:rsidR="00AD76D7" w:rsidRPr="009F56BD">
        <w:rPr>
          <w:lang w:val="en-AU"/>
        </w:rPr>
        <w:t xml:space="preserve">implicit/explicit </w:t>
      </w:r>
      <w:r w:rsidR="002E2E91" w:rsidRPr="009F56BD">
        <w:rPr>
          <w:lang w:val="en-AU"/>
        </w:rPr>
        <w:t>beam</w:t>
      </w:r>
      <w:r w:rsidR="00AD76D7" w:rsidRPr="009F56BD">
        <w:rPr>
          <w:lang w:val="en-AU"/>
        </w:rPr>
        <w:t xml:space="preserve"> indication mechanisms </w:t>
      </w:r>
      <w:r w:rsidR="0032071F" w:rsidRPr="009F56BD">
        <w:rPr>
          <w:lang w:val="en-AU"/>
        </w:rPr>
        <w:t xml:space="preserve">defined for beam management purposes for </w:t>
      </w:r>
      <w:r w:rsidR="00FB17C8">
        <w:rPr>
          <w:lang w:val="en-AU"/>
        </w:rPr>
        <w:t xml:space="preserve">UL </w:t>
      </w:r>
      <w:r w:rsidR="0032071F" w:rsidRPr="009F56BD">
        <w:rPr>
          <w:lang w:val="en-AU"/>
        </w:rPr>
        <w:t xml:space="preserve">PC purposes as much as possible to avoid specifying redundant </w:t>
      </w:r>
      <w:r w:rsidR="005B0E1C" w:rsidRPr="009F56BD">
        <w:rPr>
          <w:lang w:val="en-AU"/>
        </w:rPr>
        <w:t>signalling</w:t>
      </w:r>
      <w:r w:rsidR="0032071F" w:rsidRPr="009F56BD">
        <w:rPr>
          <w:lang w:val="en-AU"/>
        </w:rPr>
        <w:t>.</w:t>
      </w:r>
      <w:bookmarkEnd w:id="3"/>
      <w:bookmarkEnd w:id="4"/>
      <w:bookmarkEnd w:id="5"/>
      <w:bookmarkEnd w:id="6"/>
      <w:bookmarkEnd w:id="7"/>
      <w:bookmarkEnd w:id="8"/>
      <w:bookmarkEnd w:id="9"/>
      <w:r w:rsidR="0032071F" w:rsidRPr="009F56BD">
        <w:rPr>
          <w:lang w:val="en-AU"/>
        </w:rPr>
        <w:t xml:space="preserve"> </w:t>
      </w:r>
    </w:p>
    <w:p w14:paraId="172971CB" w14:textId="406F5E77" w:rsidR="0076094E" w:rsidRPr="0076094E" w:rsidRDefault="0076094E" w:rsidP="0076094E">
      <w:pPr>
        <w:pStyle w:val="Proposal"/>
        <w:rPr>
          <w:lang w:val="en-AU"/>
        </w:rPr>
      </w:pPr>
      <w:r w:rsidRPr="009F56BD">
        <w:rPr>
          <w:lang w:val="en-AU"/>
        </w:rPr>
        <w:t>For a PUSCH transmission</w:t>
      </w:r>
      <w:r>
        <w:rPr>
          <w:lang w:val="en-AU"/>
        </w:rPr>
        <w:t xml:space="preserve">, </w:t>
      </w:r>
      <w:r w:rsidRPr="009F56BD">
        <w:rPr>
          <w:lang w:val="en-AU"/>
        </w:rPr>
        <w:t xml:space="preserve">the </w:t>
      </w:r>
      <w:r>
        <w:rPr>
          <w:lang w:val="en-AU"/>
        </w:rPr>
        <w:t>set of PC parameters {</w:t>
      </w:r>
      <w:proofErr w:type="spellStart"/>
      <w:r>
        <w:rPr>
          <w:lang w:val="en-AU"/>
        </w:rPr>
        <w:t>j,k</w:t>
      </w:r>
      <w:proofErr w:type="spellEnd"/>
      <w:r>
        <w:rPr>
          <w:lang w:val="en-AU"/>
        </w:rPr>
        <w:t xml:space="preserve">} the UE uses to set its </w:t>
      </w:r>
      <w:r w:rsidRPr="009F56BD">
        <w:rPr>
          <w:lang w:val="en-AU"/>
        </w:rPr>
        <w:t>transmit power</w:t>
      </w:r>
      <w:r>
        <w:rPr>
          <w:lang w:val="en-AU"/>
        </w:rPr>
        <w:t xml:space="preserve"> i</w:t>
      </w:r>
      <w:r w:rsidRPr="009F56BD">
        <w:rPr>
          <w:lang w:val="en-AU"/>
        </w:rPr>
        <w:t>s determined from</w:t>
      </w:r>
      <w:r w:rsidRPr="00FB17C8">
        <w:rPr>
          <w:lang w:val="en-AU"/>
        </w:rPr>
        <w:t xml:space="preserve"> </w:t>
      </w:r>
      <w:r>
        <w:rPr>
          <w:lang w:val="en-AU"/>
        </w:rPr>
        <w:t xml:space="preserve">the </w:t>
      </w:r>
      <w:r w:rsidRPr="00FB17C8">
        <w:rPr>
          <w:lang w:val="en-AU"/>
        </w:rPr>
        <w:t xml:space="preserve">N-bit indicator which is </w:t>
      </w:r>
      <w:r w:rsidRPr="009F56BD">
        <w:rPr>
          <w:lang w:val="en-AU"/>
        </w:rPr>
        <w:t>implicit</w:t>
      </w:r>
      <w:r>
        <w:rPr>
          <w:lang w:val="en-AU"/>
        </w:rPr>
        <w:t xml:space="preserve">ly or explicitly signalled to the UE </w:t>
      </w:r>
      <w:r w:rsidRPr="009F56BD">
        <w:rPr>
          <w:lang w:val="en-AU"/>
        </w:rPr>
        <w:t>for that transmission</w:t>
      </w:r>
      <w:r>
        <w:rPr>
          <w:lang w:val="en-AU"/>
        </w:rPr>
        <w:t xml:space="preserve">. </w:t>
      </w:r>
    </w:p>
    <w:bookmarkEnd w:id="10"/>
    <w:p w14:paraId="597BA759" w14:textId="706085D6" w:rsidR="00B93F2D" w:rsidRDefault="00B93F2D" w:rsidP="00B93F2D">
      <w:pPr>
        <w:pStyle w:val="Heading1"/>
      </w:pPr>
      <w:r>
        <w:t xml:space="preserve">PUCCH PC </w:t>
      </w:r>
    </w:p>
    <w:p w14:paraId="41FB547C" w14:textId="47C3EE91" w:rsidR="00B93F2D" w:rsidRDefault="003D2F39" w:rsidP="00B93F2D">
      <w:pPr>
        <w:rPr>
          <w:lang w:val="en-GB" w:eastAsia="zh-CN"/>
        </w:rPr>
      </w:pPr>
      <w:r>
        <w:rPr>
          <w:lang w:val="en-GB" w:eastAsia="zh-CN"/>
        </w:rPr>
        <w:t xml:space="preserve">It has been agreed to support beam specific PC for NR and given the recent agreement on PUSCH it may be argued that this is now fulfilled. However, since both PUSCH and PUCCH may operate based on beam management procedures it would be natural to support beam specific PC for both PUSCH and PUCCH. </w:t>
      </w:r>
      <w:r w:rsidR="00813CF7">
        <w:rPr>
          <w:lang w:val="en-GB" w:eastAsia="zh-CN"/>
        </w:rPr>
        <w:t>We furthermore think</w:t>
      </w:r>
      <w:r>
        <w:rPr>
          <w:lang w:val="en-GB" w:eastAsia="zh-CN"/>
        </w:rPr>
        <w:t xml:space="preserve"> that the frameworks for these two cases should be as similar as possible. Therefore, we propose</w:t>
      </w:r>
    </w:p>
    <w:p w14:paraId="079E8487" w14:textId="68409CC7" w:rsidR="003D2F39" w:rsidRDefault="003D2F39" w:rsidP="003D2F39">
      <w:pPr>
        <w:pStyle w:val="Proposal"/>
        <w:rPr>
          <w:lang w:val="en-AU"/>
        </w:rPr>
      </w:pPr>
      <w:bookmarkStart w:id="11" w:name="_Toc494464151"/>
      <w:bookmarkStart w:id="12" w:name="_Toc494466320"/>
      <w:bookmarkStart w:id="13" w:name="_Toc494740414"/>
      <w:bookmarkStart w:id="14" w:name="_Toc494741897"/>
      <w:r>
        <w:rPr>
          <w:lang w:val="en-AU"/>
        </w:rPr>
        <w:t>Define beam specific PUCCH PC from {</w:t>
      </w:r>
      <w:proofErr w:type="spellStart"/>
      <w:r>
        <w:rPr>
          <w:lang w:val="en-AU"/>
        </w:rPr>
        <w:t>j,k</w:t>
      </w:r>
      <w:proofErr w:type="spellEnd"/>
      <w:r>
        <w:rPr>
          <w:lang w:val="en-AU"/>
        </w:rPr>
        <w:t>} in a similar way as PUSCH PC.</w:t>
      </w:r>
      <w:bookmarkEnd w:id="11"/>
      <w:bookmarkEnd w:id="12"/>
      <w:bookmarkEnd w:id="13"/>
      <w:bookmarkEnd w:id="14"/>
    </w:p>
    <w:p w14:paraId="15B075D6" w14:textId="314960E1" w:rsidR="003D2F39" w:rsidRPr="003D2F39" w:rsidRDefault="003D2F39" w:rsidP="003D2F39">
      <w:pPr>
        <w:pStyle w:val="Proposal"/>
        <w:rPr>
          <w:lang w:val="en-AU"/>
        </w:rPr>
      </w:pPr>
      <w:bookmarkStart w:id="15" w:name="_Toc494464152"/>
      <w:bookmarkStart w:id="16" w:name="_Toc494466321"/>
      <w:bookmarkStart w:id="17" w:name="_Toc494740415"/>
      <w:bookmarkStart w:id="18" w:name="_Toc494741898"/>
      <w:r w:rsidRPr="009F56BD">
        <w:rPr>
          <w:lang w:val="en-AU"/>
        </w:rPr>
        <w:t>For PU</w:t>
      </w:r>
      <w:r>
        <w:rPr>
          <w:lang w:val="en-AU"/>
        </w:rPr>
        <w:t>C</w:t>
      </w:r>
      <w:r w:rsidRPr="009F56BD">
        <w:rPr>
          <w:lang w:val="en-AU"/>
        </w:rPr>
        <w:t>CH PC</w:t>
      </w:r>
      <w:r>
        <w:rPr>
          <w:lang w:val="en-AU"/>
        </w:rPr>
        <w:t>, in case of beam correspondence</w:t>
      </w:r>
      <w:r w:rsidRPr="009F56BD">
        <w:rPr>
          <w:lang w:val="en-AU"/>
        </w:rPr>
        <w:t xml:space="preserve">, utilize the N-bit indicator field which provides a reference to a DL RS which is spatially </w:t>
      </w:r>
      <w:proofErr w:type="spellStart"/>
      <w:r w:rsidRPr="009F56BD">
        <w:rPr>
          <w:lang w:val="en-AU"/>
        </w:rPr>
        <w:t>QCL’d</w:t>
      </w:r>
      <w:proofErr w:type="spellEnd"/>
      <w:r w:rsidRPr="009F56BD">
        <w:rPr>
          <w:lang w:val="en-AU"/>
        </w:rPr>
        <w:t xml:space="preserve"> with at least one PD</w:t>
      </w:r>
      <w:r w:rsidR="00D84CDB">
        <w:rPr>
          <w:lang w:val="en-AU"/>
        </w:rPr>
        <w:t>C</w:t>
      </w:r>
      <w:r w:rsidRPr="009F56BD">
        <w:rPr>
          <w:lang w:val="en-AU"/>
        </w:rPr>
        <w:t xml:space="preserve">CH DMRS port group in order to define a corresponding beam specific </w:t>
      </w:r>
      <w:r>
        <w:rPr>
          <w:lang w:val="en-AU"/>
        </w:rPr>
        <w:t xml:space="preserve">PC </w:t>
      </w:r>
      <w:r w:rsidR="007465C6">
        <w:rPr>
          <w:lang w:val="en-AU"/>
        </w:rPr>
        <w:t xml:space="preserve">set </w:t>
      </w:r>
      <w:r>
        <w:rPr>
          <w:lang w:val="en-AU"/>
        </w:rPr>
        <w:t>{</w:t>
      </w:r>
      <w:proofErr w:type="spellStart"/>
      <w:r>
        <w:rPr>
          <w:lang w:val="en-AU"/>
        </w:rPr>
        <w:t>j,k</w:t>
      </w:r>
      <w:proofErr w:type="spellEnd"/>
      <w:r>
        <w:rPr>
          <w:lang w:val="en-AU"/>
        </w:rPr>
        <w:t>}.</w:t>
      </w:r>
      <w:bookmarkEnd w:id="15"/>
      <w:bookmarkEnd w:id="16"/>
      <w:bookmarkEnd w:id="17"/>
      <w:bookmarkEnd w:id="18"/>
      <w:r>
        <w:rPr>
          <w:lang w:val="en-AU"/>
        </w:rPr>
        <w:t xml:space="preserve"> </w:t>
      </w:r>
      <w:r w:rsidRPr="009F56BD">
        <w:rPr>
          <w:lang w:val="en-AU"/>
        </w:rPr>
        <w:t xml:space="preserve"> </w:t>
      </w:r>
    </w:p>
    <w:p w14:paraId="2DA54612" w14:textId="671664D6" w:rsidR="003D2F39" w:rsidRDefault="003D2F39" w:rsidP="003D2F39">
      <w:pPr>
        <w:pStyle w:val="Proposal"/>
        <w:rPr>
          <w:lang w:val="en-AU"/>
        </w:rPr>
      </w:pPr>
      <w:bookmarkStart w:id="19" w:name="_Toc494464153"/>
      <w:bookmarkStart w:id="20" w:name="_Toc494466322"/>
      <w:bookmarkStart w:id="21" w:name="_Toc494740416"/>
      <w:bookmarkStart w:id="22" w:name="_Toc494741899"/>
      <w:r w:rsidRPr="009F56BD">
        <w:rPr>
          <w:lang w:val="en-AU"/>
        </w:rPr>
        <w:t>For a PU</w:t>
      </w:r>
      <w:r>
        <w:rPr>
          <w:lang w:val="en-AU"/>
        </w:rPr>
        <w:t>C</w:t>
      </w:r>
      <w:r w:rsidRPr="009F56BD">
        <w:rPr>
          <w:lang w:val="en-AU"/>
        </w:rPr>
        <w:t>CH transmission</w:t>
      </w:r>
      <w:r>
        <w:rPr>
          <w:lang w:val="en-AU"/>
        </w:rPr>
        <w:t>, in case of beam correspondence,</w:t>
      </w:r>
      <w:r w:rsidRPr="009F56BD">
        <w:rPr>
          <w:lang w:val="en-AU"/>
        </w:rPr>
        <w:t xml:space="preserve"> the </w:t>
      </w:r>
      <w:r>
        <w:rPr>
          <w:lang w:val="en-AU"/>
        </w:rPr>
        <w:t>set of PC parameters {</w:t>
      </w:r>
      <w:proofErr w:type="spellStart"/>
      <w:r>
        <w:rPr>
          <w:lang w:val="en-AU"/>
        </w:rPr>
        <w:t>j,k</w:t>
      </w:r>
      <w:proofErr w:type="spellEnd"/>
      <w:r>
        <w:rPr>
          <w:lang w:val="en-AU"/>
        </w:rPr>
        <w:t xml:space="preserve">} the UE uses to set its </w:t>
      </w:r>
      <w:r w:rsidRPr="009F56BD">
        <w:rPr>
          <w:lang w:val="en-AU"/>
        </w:rPr>
        <w:t>transmit power</w:t>
      </w:r>
      <w:r>
        <w:rPr>
          <w:lang w:val="en-AU"/>
        </w:rPr>
        <w:t xml:space="preserve"> i</w:t>
      </w:r>
      <w:r w:rsidRPr="009F56BD">
        <w:rPr>
          <w:lang w:val="en-AU"/>
        </w:rPr>
        <w:t>s determined from</w:t>
      </w:r>
      <w:r w:rsidRPr="00FB17C8">
        <w:rPr>
          <w:lang w:val="en-AU"/>
        </w:rPr>
        <w:t xml:space="preserve"> N-bit indicator which is </w:t>
      </w:r>
      <w:r w:rsidRPr="009F56BD">
        <w:rPr>
          <w:lang w:val="en-AU"/>
        </w:rPr>
        <w:t>implicit</w:t>
      </w:r>
      <w:r>
        <w:rPr>
          <w:lang w:val="en-AU"/>
        </w:rPr>
        <w:t xml:space="preserve">ly or explicitly signalled to the UE </w:t>
      </w:r>
      <w:r w:rsidRPr="009F56BD">
        <w:rPr>
          <w:lang w:val="en-AU"/>
        </w:rPr>
        <w:t>for that transmission</w:t>
      </w:r>
      <w:r>
        <w:rPr>
          <w:lang w:val="en-AU"/>
        </w:rPr>
        <w:t>.</w:t>
      </w:r>
      <w:bookmarkEnd w:id="19"/>
      <w:bookmarkEnd w:id="20"/>
      <w:bookmarkEnd w:id="21"/>
      <w:bookmarkEnd w:id="22"/>
      <w:r>
        <w:rPr>
          <w:lang w:val="en-AU"/>
        </w:rPr>
        <w:t xml:space="preserve"> </w:t>
      </w:r>
    </w:p>
    <w:p w14:paraId="1BFCC0BC" w14:textId="68B884A6" w:rsidR="009A6CE4" w:rsidRDefault="009A6CE4" w:rsidP="009A6CE4">
      <w:pPr>
        <w:pStyle w:val="Heading1"/>
      </w:pPr>
      <w:r>
        <w:t>SRS PC</w:t>
      </w:r>
    </w:p>
    <w:p w14:paraId="4E58E53D" w14:textId="77777777" w:rsidR="009A6CE4" w:rsidRDefault="009A6CE4" w:rsidP="009A6CE4">
      <w:pPr>
        <w:spacing w:after="0" w:line="240" w:lineRule="auto"/>
        <w:rPr>
          <w:lang w:val="en-AU"/>
        </w:rPr>
      </w:pPr>
      <w:r w:rsidRPr="007E47A8">
        <w:rPr>
          <w:lang w:val="en-AU"/>
        </w:rPr>
        <w:t>For NR the following agreements have be</w:t>
      </w:r>
      <w:r>
        <w:rPr>
          <w:lang w:val="en-AU"/>
        </w:rPr>
        <w:t>e</w:t>
      </w:r>
      <w:r w:rsidRPr="007E47A8">
        <w:rPr>
          <w:lang w:val="en-AU"/>
        </w:rPr>
        <w:t>n made</w:t>
      </w:r>
      <w:r>
        <w:rPr>
          <w:lang w:val="en-AU"/>
        </w:rPr>
        <w:t xml:space="preserve"> related to SRS</w:t>
      </w:r>
      <w:r w:rsidRPr="007E47A8">
        <w:rPr>
          <w:lang w:val="en-AU"/>
        </w:rPr>
        <w:t xml:space="preserve">. </w:t>
      </w:r>
    </w:p>
    <w:p w14:paraId="435F4255" w14:textId="77777777" w:rsidR="009A6CE4" w:rsidRDefault="009A6CE4" w:rsidP="009A6CE4">
      <w:pPr>
        <w:spacing w:after="0" w:line="240" w:lineRule="auto"/>
        <w:ind w:left="540"/>
        <w:rPr>
          <w:lang w:val="en-AU"/>
        </w:rPr>
      </w:pPr>
    </w:p>
    <w:p w14:paraId="3880834E" w14:textId="098FD09D" w:rsidR="009A6CE4" w:rsidRPr="007E47A8" w:rsidRDefault="009A6CE4" w:rsidP="009A6CE4">
      <w:pPr>
        <w:spacing w:after="0" w:line="240" w:lineRule="auto"/>
        <w:rPr>
          <w:rFonts w:ascii="Arial" w:eastAsia="Times New Roman" w:hAnsi="Arial" w:cs="Arial"/>
          <w:sz w:val="20"/>
          <w:szCs w:val="20"/>
          <w:lang w:val="en-GB" w:eastAsia="sv-FI"/>
        </w:rPr>
      </w:pPr>
      <w:r w:rsidRPr="007E47A8">
        <w:rPr>
          <w:rFonts w:ascii="Arial" w:eastAsia="Times New Roman" w:hAnsi="Arial" w:cs="Arial"/>
          <w:sz w:val="20"/>
          <w:szCs w:val="20"/>
          <w:highlight w:val="green"/>
          <w:lang w:val="en-GB" w:eastAsia="sv-FI"/>
        </w:rPr>
        <w:t>Agreements</w:t>
      </w:r>
      <w:r w:rsidRPr="007E47A8">
        <w:rPr>
          <w:rFonts w:ascii="Arial" w:eastAsia="Times New Roman" w:hAnsi="Arial" w:cs="Arial"/>
          <w:sz w:val="20"/>
          <w:szCs w:val="20"/>
          <w:lang w:val="en-GB" w:eastAsia="sv-FI"/>
        </w:rPr>
        <w:t>:</w:t>
      </w:r>
      <w:r w:rsidRPr="009037FF">
        <w:rPr>
          <w:rFonts w:ascii="Arial" w:eastAsia="Times New Roman" w:hAnsi="Arial" w:cs="Arial"/>
          <w:b/>
          <w:bCs/>
          <w:sz w:val="20"/>
          <w:szCs w:val="20"/>
          <w:lang w:eastAsia="sv-FI"/>
        </w:rPr>
        <w:t xml:space="preserve"> #</w:t>
      </w:r>
      <w:r w:rsidR="00813CF7">
        <w:rPr>
          <w:rFonts w:ascii="Arial" w:eastAsia="Times New Roman" w:hAnsi="Arial" w:cs="Arial"/>
          <w:b/>
          <w:bCs/>
          <w:sz w:val="20"/>
          <w:szCs w:val="20"/>
          <w:lang w:eastAsia="sv-FI"/>
        </w:rPr>
        <w:t>S</w:t>
      </w:r>
      <w:r w:rsidRPr="009037FF">
        <w:rPr>
          <w:rFonts w:ascii="Arial" w:eastAsia="Times New Roman" w:hAnsi="Arial" w:cs="Arial"/>
          <w:b/>
          <w:bCs/>
          <w:sz w:val="20"/>
          <w:szCs w:val="20"/>
          <w:lang w:eastAsia="sv-FI"/>
        </w:rPr>
        <w:t>1</w:t>
      </w:r>
    </w:p>
    <w:p w14:paraId="353A2BAA" w14:textId="77777777" w:rsidR="009A6CE4" w:rsidRPr="007E47A8" w:rsidRDefault="009A6CE4" w:rsidP="00CF71AA">
      <w:pPr>
        <w:numPr>
          <w:ilvl w:val="0"/>
          <w:numId w:val="18"/>
        </w:numPr>
        <w:spacing w:after="0" w:line="240" w:lineRule="auto"/>
        <w:ind w:left="54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 xml:space="preserve">Support </w:t>
      </w:r>
      <w:proofErr w:type="spellStart"/>
      <w:r w:rsidRPr="007E47A8">
        <w:rPr>
          <w:rFonts w:ascii="Arial" w:eastAsia="Times New Roman" w:hAnsi="Arial" w:cs="Arial"/>
          <w:sz w:val="20"/>
          <w:szCs w:val="20"/>
          <w:lang w:eastAsia="sv-FI"/>
        </w:rPr>
        <w:t>gNB</w:t>
      </w:r>
      <w:proofErr w:type="spellEnd"/>
      <w:r w:rsidRPr="007E47A8">
        <w:rPr>
          <w:rFonts w:ascii="Arial" w:eastAsia="Times New Roman" w:hAnsi="Arial" w:cs="Arial"/>
          <w:sz w:val="20"/>
          <w:szCs w:val="20"/>
          <w:lang w:eastAsia="sv-FI"/>
        </w:rPr>
        <w:t xml:space="preserve"> to configure one or more groups where each group contains one or more SRS resource(s) to UE</w:t>
      </w:r>
    </w:p>
    <w:p w14:paraId="13A9FAEB" w14:textId="77777777" w:rsidR="009A6CE4" w:rsidRPr="007E47A8" w:rsidRDefault="009A6CE4" w:rsidP="00CF71AA">
      <w:pPr>
        <w:numPr>
          <w:ilvl w:val="1"/>
          <w:numId w:val="18"/>
        </w:numPr>
        <w:spacing w:after="0" w:line="240" w:lineRule="auto"/>
        <w:ind w:left="108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 xml:space="preserve">Note: </w:t>
      </w:r>
      <w:r w:rsidRPr="007E47A8">
        <w:rPr>
          <w:rFonts w:ascii="Arial" w:eastAsia="Times New Roman" w:hAnsi="Arial" w:cs="Arial"/>
          <w:sz w:val="20"/>
          <w:szCs w:val="20"/>
          <w:highlight w:val="yellow"/>
          <w:lang w:eastAsia="sv-FI"/>
        </w:rPr>
        <w:t>different groups may be for different purposes</w:t>
      </w:r>
      <w:r w:rsidRPr="007E47A8">
        <w:rPr>
          <w:rFonts w:ascii="Arial" w:eastAsia="Times New Roman" w:hAnsi="Arial" w:cs="Arial"/>
          <w:sz w:val="20"/>
          <w:szCs w:val="20"/>
          <w:lang w:eastAsia="sv-FI"/>
        </w:rPr>
        <w:t>, e.g., one or more groups for beam management, one for DL CSI acquisition, one for UL CSI acquisition, etc.</w:t>
      </w:r>
    </w:p>
    <w:p w14:paraId="7B0BBAE5" w14:textId="77777777" w:rsidR="009A6CE4" w:rsidRDefault="009A6CE4" w:rsidP="009A6CE4">
      <w:pPr>
        <w:spacing w:after="0" w:line="240" w:lineRule="auto"/>
        <w:rPr>
          <w:rFonts w:ascii="Arial" w:eastAsia="Times New Roman" w:hAnsi="Arial" w:cs="Arial"/>
          <w:bCs/>
          <w:sz w:val="20"/>
          <w:szCs w:val="20"/>
          <w:highlight w:val="green"/>
          <w:lang w:eastAsia="sv-FI"/>
        </w:rPr>
      </w:pPr>
    </w:p>
    <w:p w14:paraId="0C0DE5DF" w14:textId="6E293ACB" w:rsidR="009A6CE4" w:rsidRPr="007E47A8" w:rsidRDefault="009A6CE4" w:rsidP="009A6CE4">
      <w:pPr>
        <w:spacing w:after="0" w:line="240" w:lineRule="auto"/>
        <w:rPr>
          <w:rFonts w:ascii="Arial" w:eastAsia="Times New Roman" w:hAnsi="Arial" w:cs="Arial"/>
          <w:sz w:val="20"/>
          <w:szCs w:val="20"/>
          <w:lang w:eastAsia="sv-FI"/>
        </w:rPr>
      </w:pPr>
      <w:r w:rsidRPr="007E47A8">
        <w:rPr>
          <w:rFonts w:ascii="Arial" w:eastAsia="Times New Roman" w:hAnsi="Arial" w:cs="Arial"/>
          <w:bCs/>
          <w:sz w:val="20"/>
          <w:szCs w:val="20"/>
          <w:highlight w:val="green"/>
          <w:lang w:eastAsia="sv-FI"/>
        </w:rPr>
        <w:t>Agreements:</w:t>
      </w:r>
      <w:r w:rsidRPr="009037FF">
        <w:rPr>
          <w:rFonts w:ascii="Arial" w:eastAsia="Times New Roman" w:hAnsi="Arial" w:cs="Arial"/>
          <w:bCs/>
          <w:sz w:val="20"/>
          <w:szCs w:val="20"/>
          <w:lang w:eastAsia="sv-FI"/>
        </w:rPr>
        <w:t xml:space="preserve"> </w:t>
      </w:r>
      <w:r w:rsidRPr="009037FF">
        <w:rPr>
          <w:rFonts w:ascii="Arial" w:eastAsia="Times New Roman" w:hAnsi="Arial" w:cs="Arial"/>
          <w:b/>
          <w:bCs/>
          <w:sz w:val="20"/>
          <w:szCs w:val="20"/>
          <w:lang w:eastAsia="sv-FI"/>
        </w:rPr>
        <w:t>#</w:t>
      </w:r>
      <w:r w:rsidR="00813CF7">
        <w:rPr>
          <w:rFonts w:ascii="Arial" w:eastAsia="Times New Roman" w:hAnsi="Arial" w:cs="Arial"/>
          <w:b/>
          <w:bCs/>
          <w:sz w:val="20"/>
          <w:szCs w:val="20"/>
          <w:lang w:eastAsia="sv-FI"/>
        </w:rPr>
        <w:t>S</w:t>
      </w:r>
      <w:r w:rsidRPr="009037FF">
        <w:rPr>
          <w:rFonts w:ascii="Arial" w:eastAsia="Times New Roman" w:hAnsi="Arial" w:cs="Arial"/>
          <w:b/>
          <w:bCs/>
          <w:sz w:val="20"/>
          <w:szCs w:val="20"/>
          <w:lang w:eastAsia="sv-FI"/>
        </w:rPr>
        <w:t>2</w:t>
      </w:r>
    </w:p>
    <w:p w14:paraId="0C384719" w14:textId="77777777" w:rsidR="009A6CE4" w:rsidRPr="007E47A8" w:rsidRDefault="009A6CE4" w:rsidP="00CF71AA">
      <w:pPr>
        <w:numPr>
          <w:ilvl w:val="0"/>
          <w:numId w:val="17"/>
        </w:numPr>
        <w:spacing w:after="0" w:line="240" w:lineRule="auto"/>
        <w:ind w:left="54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When UE beam correspondence holds,</w:t>
      </w:r>
    </w:p>
    <w:p w14:paraId="660C4E91" w14:textId="77777777" w:rsidR="009A6CE4" w:rsidRPr="007E47A8" w:rsidRDefault="009A6CE4" w:rsidP="00CF71AA">
      <w:pPr>
        <w:numPr>
          <w:ilvl w:val="1"/>
          <w:numId w:val="17"/>
        </w:numPr>
        <w:spacing w:after="0" w:line="240" w:lineRule="auto"/>
        <w:ind w:left="1080"/>
        <w:textAlignment w:val="center"/>
        <w:rPr>
          <w:rFonts w:ascii="Arial" w:eastAsia="Times New Roman" w:hAnsi="Arial" w:cs="Arial"/>
          <w:sz w:val="20"/>
          <w:szCs w:val="20"/>
          <w:highlight w:val="yellow"/>
          <w:lang w:eastAsia="sv-FI"/>
        </w:rPr>
      </w:pPr>
      <w:r w:rsidRPr="007E47A8">
        <w:rPr>
          <w:rFonts w:ascii="Arial" w:eastAsia="Times New Roman" w:hAnsi="Arial" w:cs="Arial"/>
          <w:sz w:val="20"/>
          <w:szCs w:val="20"/>
          <w:highlight w:val="yellow"/>
          <w:lang w:eastAsia="sv-FI"/>
        </w:rPr>
        <w:t>NR supports the indication for a configured SRS resource, where the transmission of the SRS resource is performed with the same spatial filtering as the one used for the reception of the indicated DL RS</w:t>
      </w:r>
    </w:p>
    <w:p w14:paraId="012EEB45" w14:textId="77777777" w:rsidR="009A6CE4" w:rsidRPr="007E47A8" w:rsidRDefault="009A6CE4" w:rsidP="00CF71AA">
      <w:pPr>
        <w:numPr>
          <w:ilvl w:val="2"/>
          <w:numId w:val="17"/>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 xml:space="preserve">The indication can be based on CSI-RS resource, </w:t>
      </w:r>
    </w:p>
    <w:p w14:paraId="00045A56" w14:textId="77777777" w:rsidR="009A6CE4" w:rsidRPr="007E47A8" w:rsidRDefault="009A6CE4" w:rsidP="00CF71AA">
      <w:pPr>
        <w:numPr>
          <w:ilvl w:val="3"/>
          <w:numId w:val="17"/>
        </w:numPr>
        <w:spacing w:after="0" w:line="240" w:lineRule="auto"/>
        <w:ind w:left="216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FFS: signaling details (e.g., a low overhead mechanism, reciprocal QCL (if supported))</w:t>
      </w:r>
    </w:p>
    <w:p w14:paraId="420A456C" w14:textId="77777777" w:rsidR="009A6CE4" w:rsidRPr="007E47A8" w:rsidRDefault="009A6CE4" w:rsidP="00CF71AA">
      <w:pPr>
        <w:numPr>
          <w:ilvl w:val="2"/>
          <w:numId w:val="17"/>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FFS: The indication via MAC CE and/or DCI</w:t>
      </w:r>
    </w:p>
    <w:p w14:paraId="1F161DB5" w14:textId="77777777" w:rsidR="009A6CE4" w:rsidRPr="007E47A8" w:rsidRDefault="009A6CE4" w:rsidP="00CF71AA">
      <w:pPr>
        <w:numPr>
          <w:ilvl w:val="1"/>
          <w:numId w:val="17"/>
        </w:numPr>
        <w:spacing w:after="0" w:line="240" w:lineRule="auto"/>
        <w:ind w:left="108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NR supports a UL RS indication for a configured SRS resource, where UE transmits the SRS using the beam used for transmitting the indicated UL RS</w:t>
      </w:r>
    </w:p>
    <w:p w14:paraId="2E7E71A9" w14:textId="77777777" w:rsidR="009A6CE4" w:rsidRPr="007E47A8" w:rsidRDefault="009A6CE4" w:rsidP="00CF71AA">
      <w:pPr>
        <w:numPr>
          <w:ilvl w:val="2"/>
          <w:numId w:val="17"/>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The UL RS indication can be SRI (SRS resource indicator), at least</w:t>
      </w:r>
    </w:p>
    <w:p w14:paraId="43DB301E" w14:textId="77777777" w:rsidR="009A6CE4" w:rsidRPr="007E47A8" w:rsidRDefault="009A6CE4" w:rsidP="00CF71AA">
      <w:pPr>
        <w:numPr>
          <w:ilvl w:val="2"/>
          <w:numId w:val="17"/>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FFS: The indication via MAC CE and/or DCI</w:t>
      </w:r>
    </w:p>
    <w:p w14:paraId="4AD1D2ED" w14:textId="77777777" w:rsidR="009A6CE4" w:rsidRDefault="009A6CE4" w:rsidP="009A6CE4">
      <w:pPr>
        <w:spacing w:after="0" w:line="240" w:lineRule="auto"/>
        <w:rPr>
          <w:rFonts w:ascii="Arial" w:hAnsi="Arial" w:cs="Arial"/>
          <w:sz w:val="20"/>
          <w:szCs w:val="20"/>
          <w:lang w:val="en-AU"/>
        </w:rPr>
      </w:pPr>
    </w:p>
    <w:p w14:paraId="6E95BABE" w14:textId="6E4A1139" w:rsidR="009A6CE4" w:rsidRPr="007E47A8" w:rsidRDefault="009A6CE4" w:rsidP="009A6CE4">
      <w:pPr>
        <w:spacing w:after="0" w:line="240" w:lineRule="auto"/>
        <w:rPr>
          <w:rFonts w:ascii="Arial" w:eastAsia="Times New Roman" w:hAnsi="Arial" w:cs="Arial"/>
          <w:sz w:val="20"/>
          <w:szCs w:val="20"/>
          <w:lang w:eastAsia="sv-FI"/>
        </w:rPr>
      </w:pPr>
      <w:r w:rsidRPr="007E47A8">
        <w:rPr>
          <w:rFonts w:ascii="Arial" w:eastAsia="Times New Roman" w:hAnsi="Arial" w:cs="Arial"/>
          <w:b/>
          <w:bCs/>
          <w:sz w:val="20"/>
          <w:szCs w:val="20"/>
          <w:highlight w:val="green"/>
          <w:u w:val="single"/>
          <w:lang w:eastAsia="sv-FI"/>
        </w:rPr>
        <w:t>Agreements:</w:t>
      </w:r>
      <w:r w:rsidRPr="009037FF">
        <w:rPr>
          <w:rFonts w:ascii="Arial" w:eastAsia="Times New Roman" w:hAnsi="Arial" w:cs="Arial"/>
          <w:b/>
          <w:bCs/>
          <w:sz w:val="20"/>
          <w:szCs w:val="20"/>
          <w:u w:val="single"/>
          <w:lang w:eastAsia="sv-FI"/>
        </w:rPr>
        <w:t xml:space="preserve"> #</w:t>
      </w:r>
      <w:r w:rsidR="00813CF7">
        <w:rPr>
          <w:rFonts w:ascii="Arial" w:eastAsia="Times New Roman" w:hAnsi="Arial" w:cs="Arial"/>
          <w:b/>
          <w:bCs/>
          <w:sz w:val="20"/>
          <w:szCs w:val="20"/>
          <w:u w:val="single"/>
          <w:lang w:eastAsia="sv-FI"/>
        </w:rPr>
        <w:t>S</w:t>
      </w:r>
      <w:r w:rsidRPr="009037FF">
        <w:rPr>
          <w:rFonts w:ascii="Arial" w:eastAsia="Times New Roman" w:hAnsi="Arial" w:cs="Arial"/>
          <w:b/>
          <w:bCs/>
          <w:sz w:val="20"/>
          <w:szCs w:val="20"/>
          <w:u w:val="single"/>
          <w:lang w:eastAsia="sv-FI"/>
        </w:rPr>
        <w:t>3</w:t>
      </w:r>
    </w:p>
    <w:p w14:paraId="0129F367" w14:textId="77777777" w:rsidR="009A6CE4" w:rsidRPr="007E47A8" w:rsidRDefault="009A6CE4" w:rsidP="00CF71AA">
      <w:pPr>
        <w:numPr>
          <w:ilvl w:val="0"/>
          <w:numId w:val="16"/>
        </w:numPr>
        <w:spacing w:after="0" w:line="240" w:lineRule="auto"/>
        <w:ind w:left="54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 xml:space="preserve">When UE beam correspondence is not hold, </w:t>
      </w:r>
    </w:p>
    <w:p w14:paraId="416B6AF1" w14:textId="77777777" w:rsidR="009A6CE4" w:rsidRPr="007E47A8" w:rsidRDefault="009A6CE4" w:rsidP="00CF71AA">
      <w:pPr>
        <w:numPr>
          <w:ilvl w:val="1"/>
          <w:numId w:val="16"/>
        </w:numPr>
        <w:spacing w:after="0" w:line="240" w:lineRule="auto"/>
        <w:ind w:left="1080"/>
        <w:textAlignment w:val="center"/>
        <w:rPr>
          <w:rFonts w:ascii="Arial" w:eastAsia="Times New Roman" w:hAnsi="Arial" w:cs="Arial"/>
          <w:sz w:val="20"/>
          <w:szCs w:val="20"/>
          <w:highlight w:val="yellow"/>
          <w:lang w:eastAsia="sv-FI"/>
        </w:rPr>
      </w:pPr>
      <w:r w:rsidRPr="007E47A8">
        <w:rPr>
          <w:rFonts w:ascii="Arial" w:eastAsia="Times New Roman" w:hAnsi="Arial" w:cs="Arial"/>
          <w:sz w:val="20"/>
          <w:szCs w:val="20"/>
          <w:highlight w:val="yellow"/>
          <w:lang w:eastAsia="sv-FI"/>
        </w:rPr>
        <w:t>NR supports a UL RS indication for a configured SRS resource, where UE transmits the SRS using the beam used for transmitting the indicated UL RS</w:t>
      </w:r>
    </w:p>
    <w:p w14:paraId="50F2860E" w14:textId="77777777" w:rsidR="009A6CE4" w:rsidRPr="007E47A8" w:rsidRDefault="009A6CE4" w:rsidP="00CF71AA">
      <w:pPr>
        <w:numPr>
          <w:ilvl w:val="2"/>
          <w:numId w:val="16"/>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highlight w:val="yellow"/>
          <w:lang w:eastAsia="sv-FI"/>
        </w:rPr>
        <w:t>The UL RS indication can be SRI (SRS resource indicator), at least</w:t>
      </w:r>
    </w:p>
    <w:p w14:paraId="030D989D" w14:textId="77777777" w:rsidR="009A6CE4" w:rsidRPr="007E47A8" w:rsidRDefault="009A6CE4" w:rsidP="00CF71AA">
      <w:pPr>
        <w:numPr>
          <w:ilvl w:val="2"/>
          <w:numId w:val="16"/>
        </w:numPr>
        <w:spacing w:after="0" w:line="240" w:lineRule="auto"/>
        <w:ind w:left="1620"/>
        <w:textAlignment w:val="center"/>
        <w:rPr>
          <w:rFonts w:ascii="Arial" w:eastAsia="Times New Roman" w:hAnsi="Arial" w:cs="Arial"/>
          <w:sz w:val="20"/>
          <w:szCs w:val="20"/>
          <w:lang w:eastAsia="sv-FI"/>
        </w:rPr>
      </w:pPr>
      <w:r w:rsidRPr="007E47A8">
        <w:rPr>
          <w:rFonts w:ascii="Arial" w:eastAsia="Times New Roman" w:hAnsi="Arial" w:cs="Arial"/>
          <w:sz w:val="20"/>
          <w:szCs w:val="20"/>
          <w:lang w:eastAsia="sv-FI"/>
        </w:rPr>
        <w:t>FFS: The indication via MAC CE and/or DCI</w:t>
      </w:r>
    </w:p>
    <w:p w14:paraId="3BA46420" w14:textId="77777777" w:rsidR="009A6CE4" w:rsidRDefault="009A6CE4" w:rsidP="009A6CE4">
      <w:pPr>
        <w:rPr>
          <w:rFonts w:ascii="Arial" w:eastAsia="MS Mincho" w:hAnsi="Arial" w:cs="Arial"/>
          <w:b/>
          <w:sz w:val="20"/>
          <w:szCs w:val="20"/>
          <w:highlight w:val="green"/>
          <w:u w:val="single"/>
          <w:lang w:eastAsia="ja-JP"/>
        </w:rPr>
      </w:pPr>
    </w:p>
    <w:p w14:paraId="2CA1F619" w14:textId="5BF9D6E0" w:rsidR="009A6CE4" w:rsidRPr="009037FF" w:rsidRDefault="009A6CE4" w:rsidP="009A6CE4">
      <w:pPr>
        <w:rPr>
          <w:rFonts w:ascii="Arial" w:eastAsia="MS Mincho" w:hAnsi="Arial" w:cs="Arial"/>
          <w:b/>
          <w:sz w:val="20"/>
          <w:szCs w:val="20"/>
          <w:highlight w:val="yellow"/>
          <w:u w:val="single"/>
          <w:lang w:eastAsia="ja-JP"/>
        </w:rPr>
      </w:pPr>
      <w:r>
        <w:rPr>
          <w:rFonts w:ascii="Arial" w:eastAsia="MS Mincho" w:hAnsi="Arial" w:cs="Arial"/>
          <w:b/>
          <w:sz w:val="20"/>
          <w:szCs w:val="20"/>
          <w:highlight w:val="green"/>
          <w:u w:val="single"/>
          <w:lang w:eastAsia="ja-JP"/>
        </w:rPr>
        <w:t xml:space="preserve">Agreements: </w:t>
      </w:r>
      <w:r w:rsidRPr="009037FF">
        <w:rPr>
          <w:rFonts w:ascii="Arial" w:eastAsia="MS Mincho" w:hAnsi="Arial" w:cs="Arial"/>
          <w:b/>
          <w:sz w:val="20"/>
          <w:szCs w:val="20"/>
          <w:highlight w:val="green"/>
          <w:u w:val="single"/>
          <w:lang w:eastAsia="ja-JP"/>
        </w:rPr>
        <w:t xml:space="preserve"> </w:t>
      </w:r>
      <w:r w:rsidRPr="009037FF">
        <w:rPr>
          <w:rFonts w:ascii="Arial" w:eastAsia="Times New Roman" w:hAnsi="Arial" w:cs="Arial"/>
          <w:b/>
          <w:bCs/>
          <w:sz w:val="20"/>
          <w:szCs w:val="20"/>
          <w:u w:val="single"/>
          <w:lang w:eastAsia="sv-FI"/>
        </w:rPr>
        <w:t>#</w:t>
      </w:r>
      <w:r w:rsidR="00813CF7">
        <w:rPr>
          <w:rFonts w:ascii="Arial" w:eastAsia="Times New Roman" w:hAnsi="Arial" w:cs="Arial"/>
          <w:b/>
          <w:bCs/>
          <w:sz w:val="20"/>
          <w:szCs w:val="20"/>
          <w:u w:val="single"/>
          <w:lang w:eastAsia="sv-FI"/>
        </w:rPr>
        <w:t>S</w:t>
      </w:r>
      <w:r w:rsidRPr="009037FF">
        <w:rPr>
          <w:rFonts w:ascii="Arial" w:eastAsia="Times New Roman" w:hAnsi="Arial" w:cs="Arial"/>
          <w:b/>
          <w:bCs/>
          <w:sz w:val="20"/>
          <w:szCs w:val="20"/>
          <w:u w:val="single"/>
          <w:lang w:eastAsia="sv-FI"/>
        </w:rPr>
        <w:t>4</w:t>
      </w:r>
    </w:p>
    <w:p w14:paraId="5C6AD8B9" w14:textId="77777777" w:rsidR="009A6CE4" w:rsidRPr="009037FF" w:rsidRDefault="009A6CE4" w:rsidP="00CF71AA">
      <w:pPr>
        <w:numPr>
          <w:ilvl w:val="0"/>
          <w:numId w:val="20"/>
        </w:numPr>
        <w:spacing w:after="0" w:line="240" w:lineRule="auto"/>
        <w:rPr>
          <w:rFonts w:ascii="Arial" w:eastAsia="MS Mincho" w:hAnsi="Arial" w:cs="Arial"/>
          <w:sz w:val="20"/>
          <w:szCs w:val="20"/>
          <w:lang w:eastAsia="ja-JP"/>
        </w:rPr>
      </w:pPr>
      <w:r w:rsidRPr="009037FF">
        <w:rPr>
          <w:rFonts w:ascii="Arial" w:eastAsia="MS Mincho" w:hAnsi="Arial" w:cs="Arial"/>
          <w:sz w:val="20"/>
          <w:szCs w:val="20"/>
          <w:lang w:eastAsia="ja-JP"/>
        </w:rPr>
        <w:t>NR supports both Alt. 1 and Alt. 2 as TX beamformer determination for SRS from previous agreement.</w:t>
      </w:r>
    </w:p>
    <w:p w14:paraId="0A092187" w14:textId="77777777" w:rsidR="009A6CE4" w:rsidRPr="009037FF" w:rsidRDefault="009A6CE4" w:rsidP="00CF71AA">
      <w:pPr>
        <w:numPr>
          <w:ilvl w:val="1"/>
          <w:numId w:val="20"/>
        </w:numPr>
        <w:spacing w:after="0" w:line="240" w:lineRule="auto"/>
        <w:rPr>
          <w:rFonts w:ascii="Arial" w:eastAsia="MS Mincho" w:hAnsi="Arial" w:cs="Arial"/>
          <w:sz w:val="20"/>
          <w:szCs w:val="20"/>
          <w:lang w:eastAsia="ja-JP"/>
        </w:rPr>
      </w:pPr>
      <w:r w:rsidRPr="009037FF">
        <w:rPr>
          <w:rFonts w:ascii="Arial" w:eastAsia="MS Mincho" w:hAnsi="Arial" w:cs="Arial"/>
          <w:sz w:val="20"/>
          <w:szCs w:val="20"/>
          <w:lang w:eastAsia="ja-JP"/>
        </w:rPr>
        <w:t xml:space="preserve">Alt.1: </w:t>
      </w:r>
      <w:r w:rsidRPr="009037FF">
        <w:rPr>
          <w:rFonts w:ascii="Arial" w:eastAsia="MS Mincho" w:hAnsi="Arial" w:cs="Arial"/>
          <w:sz w:val="20"/>
          <w:szCs w:val="20"/>
          <w:highlight w:val="yellow"/>
          <w:lang w:eastAsia="ja-JP"/>
        </w:rPr>
        <w:t xml:space="preserve">UE applies </w:t>
      </w:r>
      <w:proofErr w:type="spellStart"/>
      <w:r w:rsidRPr="009037FF">
        <w:rPr>
          <w:rFonts w:ascii="Arial" w:eastAsia="MS Mincho" w:hAnsi="Arial" w:cs="Arial"/>
          <w:sz w:val="20"/>
          <w:szCs w:val="20"/>
          <w:highlight w:val="yellow"/>
          <w:lang w:eastAsia="ja-JP"/>
        </w:rPr>
        <w:t>gNB</w:t>
      </w:r>
      <w:proofErr w:type="spellEnd"/>
      <w:r w:rsidRPr="009037FF">
        <w:rPr>
          <w:rFonts w:ascii="Arial" w:eastAsia="MS Mincho" w:hAnsi="Arial" w:cs="Arial"/>
          <w:sz w:val="20"/>
          <w:szCs w:val="20"/>
          <w:highlight w:val="yellow"/>
          <w:lang w:eastAsia="ja-JP"/>
        </w:rPr>
        <w:t xml:space="preserve">-transparent </w:t>
      </w:r>
      <w:proofErr w:type="spellStart"/>
      <w:r w:rsidRPr="009037FF">
        <w:rPr>
          <w:rFonts w:ascii="Arial" w:eastAsia="MS Mincho" w:hAnsi="Arial" w:cs="Arial"/>
          <w:sz w:val="20"/>
          <w:szCs w:val="20"/>
          <w:highlight w:val="yellow"/>
          <w:lang w:eastAsia="ja-JP"/>
        </w:rPr>
        <w:t>Tx</w:t>
      </w:r>
      <w:proofErr w:type="spellEnd"/>
      <w:r w:rsidRPr="009037FF">
        <w:rPr>
          <w:rFonts w:ascii="Arial" w:eastAsia="MS Mincho" w:hAnsi="Arial" w:cs="Arial"/>
          <w:sz w:val="20"/>
          <w:szCs w:val="20"/>
          <w:highlight w:val="yellow"/>
          <w:lang w:eastAsia="ja-JP"/>
        </w:rPr>
        <w:t xml:space="preserve"> beamformer to SRS</w:t>
      </w:r>
      <w:r w:rsidRPr="009037FF">
        <w:rPr>
          <w:rFonts w:ascii="Arial" w:eastAsia="MS Mincho" w:hAnsi="Arial" w:cs="Arial"/>
          <w:sz w:val="20"/>
          <w:szCs w:val="20"/>
          <w:lang w:eastAsia="ja-JP"/>
        </w:rPr>
        <w:t xml:space="preserve"> (e.g., UE determines </w:t>
      </w:r>
      <w:proofErr w:type="spellStart"/>
      <w:r w:rsidRPr="009037FF">
        <w:rPr>
          <w:rFonts w:ascii="Arial" w:eastAsia="MS Mincho" w:hAnsi="Arial" w:cs="Arial"/>
          <w:sz w:val="20"/>
          <w:szCs w:val="20"/>
          <w:lang w:eastAsia="ja-JP"/>
        </w:rPr>
        <w:t>Tx</w:t>
      </w:r>
      <w:proofErr w:type="spellEnd"/>
      <w:r w:rsidRPr="009037FF">
        <w:rPr>
          <w:rFonts w:ascii="Arial" w:eastAsia="MS Mincho" w:hAnsi="Arial" w:cs="Arial"/>
          <w:sz w:val="20"/>
          <w:szCs w:val="20"/>
          <w:lang w:eastAsia="ja-JP"/>
        </w:rPr>
        <w:t xml:space="preserve"> beam for each SRS port/resource)</w:t>
      </w:r>
    </w:p>
    <w:p w14:paraId="1B57F63C" w14:textId="77777777" w:rsidR="009A6CE4" w:rsidRPr="009037FF" w:rsidRDefault="009A6CE4" w:rsidP="00CF71AA">
      <w:pPr>
        <w:numPr>
          <w:ilvl w:val="1"/>
          <w:numId w:val="20"/>
        </w:numPr>
        <w:spacing w:after="0" w:line="240" w:lineRule="auto"/>
        <w:rPr>
          <w:rFonts w:ascii="Arial" w:eastAsia="MS Mincho" w:hAnsi="Arial" w:cs="Arial"/>
          <w:sz w:val="20"/>
          <w:szCs w:val="20"/>
          <w:lang w:eastAsia="ja-JP"/>
        </w:rPr>
      </w:pPr>
      <w:r w:rsidRPr="009037FF">
        <w:rPr>
          <w:rFonts w:ascii="Arial" w:eastAsia="MS Mincho" w:hAnsi="Arial" w:cs="Arial"/>
          <w:sz w:val="20"/>
          <w:szCs w:val="20"/>
          <w:lang w:eastAsia="ja-JP"/>
        </w:rPr>
        <w:t xml:space="preserve">Alt.2: based on </w:t>
      </w:r>
      <w:proofErr w:type="spellStart"/>
      <w:r w:rsidRPr="009037FF">
        <w:rPr>
          <w:rFonts w:ascii="Arial" w:eastAsia="MS Mincho" w:hAnsi="Arial" w:cs="Arial"/>
          <w:sz w:val="20"/>
          <w:szCs w:val="20"/>
          <w:lang w:eastAsia="ja-JP"/>
        </w:rPr>
        <w:t>gNB</w:t>
      </w:r>
      <w:proofErr w:type="spellEnd"/>
      <w:r w:rsidRPr="009037FF">
        <w:rPr>
          <w:rFonts w:ascii="Arial" w:eastAsia="MS Mincho" w:hAnsi="Arial" w:cs="Arial"/>
          <w:sz w:val="20"/>
          <w:szCs w:val="20"/>
          <w:lang w:eastAsia="ja-JP"/>
        </w:rPr>
        <w:t xml:space="preserve"> indication, e.g. via SRI</w:t>
      </w:r>
    </w:p>
    <w:p w14:paraId="188E2C7F" w14:textId="77777777" w:rsidR="009A6CE4" w:rsidRDefault="009A6CE4" w:rsidP="009A6CE4"/>
    <w:p w14:paraId="214DCFAB" w14:textId="111EA41C" w:rsidR="009A6CE4" w:rsidRDefault="009A6CE4" w:rsidP="009A6CE4">
      <w:r>
        <w:t>As stated in agreement #</w:t>
      </w:r>
      <w:r w:rsidR="00813CF7">
        <w:t>S</w:t>
      </w:r>
      <w:r>
        <w:t xml:space="preserve">1 there is not only one use case for SRS transmission and the NR PC framework would need to take this into consideration. We identify some different use cases for SRS transmission below: </w:t>
      </w:r>
    </w:p>
    <w:p w14:paraId="41248A32" w14:textId="37913F88" w:rsidR="009A6CE4" w:rsidRPr="009B765C" w:rsidRDefault="009A6CE4" w:rsidP="00CF71AA">
      <w:pPr>
        <w:numPr>
          <w:ilvl w:val="0"/>
          <w:numId w:val="19"/>
        </w:numPr>
        <w:spacing w:after="0" w:line="240" w:lineRule="auto"/>
        <w:rPr>
          <w:rFonts w:ascii="Calibri" w:eastAsia="Times New Roman" w:hAnsi="Calibri" w:cs="Calibri"/>
          <w:lang w:val="en-AU"/>
        </w:rPr>
      </w:pPr>
      <w:r>
        <w:rPr>
          <w:rFonts w:eastAsia="Times New Roman"/>
          <w:lang w:val="en-AU"/>
        </w:rPr>
        <w:t>Transmit SRS related to beams defined from DL RS transmissions, for instance while operating with beam management operation. As can be seen this kind of operation has been agreed from the agreement #</w:t>
      </w:r>
      <w:r w:rsidR="00813CF7">
        <w:rPr>
          <w:rFonts w:eastAsia="Times New Roman"/>
          <w:lang w:val="en-AU"/>
        </w:rPr>
        <w:t>S</w:t>
      </w:r>
      <w:r>
        <w:rPr>
          <w:rFonts w:eastAsia="Times New Roman"/>
          <w:lang w:val="en-AU"/>
        </w:rPr>
        <w:t xml:space="preserve">2. </w:t>
      </w:r>
    </w:p>
    <w:p w14:paraId="31D6670C" w14:textId="79AF9E1D" w:rsidR="009A6CE4" w:rsidRDefault="009A6CE4" w:rsidP="00CF71AA">
      <w:pPr>
        <w:numPr>
          <w:ilvl w:val="0"/>
          <w:numId w:val="19"/>
        </w:numPr>
        <w:spacing w:after="0" w:line="240" w:lineRule="auto"/>
        <w:rPr>
          <w:rFonts w:ascii="Calibri" w:eastAsia="Times New Roman" w:hAnsi="Calibri" w:cs="Calibri"/>
          <w:lang w:val="en-AU"/>
        </w:rPr>
      </w:pPr>
      <w:r w:rsidRPr="009B765C">
        <w:t xml:space="preserve">Transmit SRS </w:t>
      </w:r>
      <w:r>
        <w:t>related</w:t>
      </w:r>
      <w:r w:rsidRPr="009B765C">
        <w:t xml:space="preserve"> </w:t>
      </w:r>
      <w:r>
        <w:t xml:space="preserve">to </w:t>
      </w:r>
      <w:r w:rsidRPr="009B765C">
        <w:t>beams defined for UL RS transmission which would be a kind of UL beam management use case. This h</w:t>
      </w:r>
      <w:r w:rsidR="00813CF7">
        <w:t>as been agreed with agreement #S</w:t>
      </w:r>
      <w:r>
        <w:t>3</w:t>
      </w:r>
      <w:r w:rsidRPr="009B765C">
        <w:t xml:space="preserve">. </w:t>
      </w:r>
    </w:p>
    <w:p w14:paraId="093C0AC2" w14:textId="5EBF42CB" w:rsidR="009A6CE4" w:rsidRPr="009B765C" w:rsidRDefault="009A6CE4" w:rsidP="00CF71AA">
      <w:pPr>
        <w:numPr>
          <w:ilvl w:val="0"/>
          <w:numId w:val="19"/>
        </w:numPr>
        <w:spacing w:after="0" w:line="240" w:lineRule="auto"/>
        <w:rPr>
          <w:rFonts w:ascii="Calibri" w:eastAsia="Times New Roman" w:hAnsi="Calibri" w:cs="Calibri"/>
          <w:lang w:val="en-AU"/>
        </w:rPr>
      </w:pPr>
      <w:r w:rsidRPr="009B765C">
        <w:t>Transmit SRS</w:t>
      </w:r>
      <w:r>
        <w:t xml:space="preserve"> not related to DL/UL RSs as agreed from agreement #</w:t>
      </w:r>
      <w:r w:rsidR="00813CF7">
        <w:t>S</w:t>
      </w:r>
      <w:r>
        <w:t xml:space="preserve">4. This would for instance be the case of an UE operating in low band with a number, X, of </w:t>
      </w:r>
      <w:proofErr w:type="spellStart"/>
      <w:r>
        <w:t>unprecoded</w:t>
      </w:r>
      <w:proofErr w:type="spellEnd"/>
      <w:r>
        <w:t xml:space="preserve"> SRS ports, here a  X-port SRS transmission would then be carried out. </w:t>
      </w:r>
    </w:p>
    <w:p w14:paraId="5F756E52" w14:textId="77777777" w:rsidR="009A6CE4" w:rsidRPr="006711B9" w:rsidRDefault="009A6CE4" w:rsidP="009A6CE4">
      <w:pPr>
        <w:rPr>
          <w:lang w:val="en-AU"/>
        </w:rPr>
      </w:pPr>
      <w:r>
        <w:rPr>
          <w:lang w:val="en-AU"/>
        </w:rPr>
        <w:t xml:space="preserve">We will discuss these use cases from the perspective of power control in the following sections. </w:t>
      </w:r>
    </w:p>
    <w:p w14:paraId="6374AB9D" w14:textId="77777777" w:rsidR="009A6CE4" w:rsidRPr="00AD333E" w:rsidRDefault="009A6CE4" w:rsidP="009A6CE4">
      <w:pPr>
        <w:pStyle w:val="Heading2"/>
      </w:pPr>
      <w:r>
        <w:t>Beam specific SRS PC</w:t>
      </w:r>
    </w:p>
    <w:p w14:paraId="0DE89CA6" w14:textId="77777777" w:rsidR="009A6CE4" w:rsidRDefault="009A6CE4" w:rsidP="009A6CE4">
      <w:pPr>
        <w:rPr>
          <w:lang w:val="en-GB" w:eastAsia="zh-CN"/>
        </w:rPr>
      </w:pPr>
      <w:r>
        <w:rPr>
          <w:lang w:val="en-GB" w:eastAsia="zh-CN"/>
        </w:rPr>
        <w:t xml:space="preserve">In LTE the SRS power control was given as </w:t>
      </w:r>
    </w:p>
    <w:p w14:paraId="2FCE5463" w14:textId="77777777" w:rsidR="009A6CE4" w:rsidRDefault="009A6CE4" w:rsidP="009A6CE4">
      <w:pPr>
        <w:ind w:firstLine="432"/>
        <w:rPr>
          <w:rFonts w:ascii="Arial" w:eastAsia="Times New Roman" w:hAnsi="Arial" w:cs="Times New Roman"/>
          <w:szCs w:val="20"/>
        </w:rPr>
      </w:pPr>
      <w:r>
        <w:rPr>
          <w:rFonts w:ascii="Arial" w:eastAsia="Times New Roman" w:hAnsi="Arial" w:cs="Times New Roman"/>
          <w:position w:val="-14"/>
          <w:szCs w:val="20"/>
        </w:rPr>
        <w:object w:dxaOrig="7035" w:dyaOrig="330" w14:anchorId="6DEACAD8">
          <v:shape id="_x0000_i1026" type="#_x0000_t75" style="width:351.75pt;height:15.75pt" o:ole="">
            <v:imagedata r:id="rId10" o:title=""/>
          </v:shape>
          <o:OLEObject Type="Embed" ProgID="Equation.3" ShapeID="_x0000_i1026" DrawAspect="Content" ObjectID="_1568491023" r:id="rId11"/>
        </w:object>
      </w:r>
      <w:r>
        <w:rPr>
          <w:rFonts w:ascii="Arial" w:eastAsia="Times New Roman" w:hAnsi="Arial" w:cs="Times New Roman"/>
          <w:szCs w:val="20"/>
        </w:rPr>
        <w:t>.</w:t>
      </w:r>
    </w:p>
    <w:p w14:paraId="09C5BC3C" w14:textId="623E24FA" w:rsidR="009A6CE4" w:rsidRDefault="009A6CE4" w:rsidP="009A6CE4">
      <w:pPr>
        <w:rPr>
          <w:lang w:val="en-GB" w:eastAsia="zh-CN"/>
        </w:rPr>
      </w:pPr>
      <w:r>
        <w:rPr>
          <w:lang w:val="en-GB" w:eastAsia="zh-CN"/>
        </w:rPr>
        <w:t>Hence, SRS PC was tightly connected to PUSCH PC.</w:t>
      </w:r>
    </w:p>
    <w:p w14:paraId="445C5CB2" w14:textId="772E3DC2" w:rsidR="009A6CE4" w:rsidRDefault="009A6CE4" w:rsidP="009A6CE4">
      <w:pPr>
        <w:pStyle w:val="BodyText"/>
        <w:rPr>
          <w:rFonts w:cs="Arial"/>
          <w:lang w:val="en-AU"/>
        </w:rPr>
      </w:pPr>
      <w:r>
        <w:rPr>
          <w:rFonts w:cs="Arial"/>
          <w:lang w:val="en-AU"/>
        </w:rPr>
        <w:t xml:space="preserve">For SRS transmission in NR, it has been agreed that a transmission can be carried out in a beam defined from an DL RS and an UL RS as discussed by use cases 1-2 above. Since also the beams used </w:t>
      </w:r>
      <w:r w:rsidR="00813CF7">
        <w:rPr>
          <w:rFonts w:cs="Arial"/>
          <w:lang w:val="en-AU"/>
        </w:rPr>
        <w:t xml:space="preserve">in beam management </w:t>
      </w:r>
      <w:r>
        <w:rPr>
          <w:rFonts w:cs="Arial"/>
          <w:lang w:val="en-AU"/>
        </w:rPr>
        <w:t xml:space="preserve">for PUSCH will be initiated and created based on UL or DL RSs our interpretation is that it will be possible to transmit SRS in the same beams as used for PUSCH transmission. Furthermore, in case that the SRS is used for UL link adaptation purposes it becomes crucial that the PUSCH PC and the SRS PC are tied together in the same way as it was in LTE where PUSCH PC was related to the SRS PC by a fixed and known offset </w:t>
      </w:r>
      <w:proofErr w:type="spellStart"/>
      <w:r>
        <w:rPr>
          <w:rFonts w:cs="Arial"/>
          <w:lang w:val="en-AU"/>
        </w:rPr>
        <w:t>P_SRS_offset</w:t>
      </w:r>
      <w:proofErr w:type="spellEnd"/>
      <w:r>
        <w:rPr>
          <w:rFonts w:cs="Arial"/>
          <w:lang w:val="en-AU"/>
        </w:rPr>
        <w:t xml:space="preserve">. If the offset instead was unknown, as for instance if PUSCH PC and SRS PC were not tied together, the usefulness of the SRS transmission would be questionable since it would not be possible to relate it the PUSCH transmission. Due to this we think that NR should support beam specific SRS PC in addition to beam specific PUSCH PC as </w:t>
      </w:r>
    </w:p>
    <w:p w14:paraId="265CE9E3" w14:textId="77777777" w:rsidR="009A6CE4" w:rsidRPr="009F56BD" w:rsidRDefault="003854EC" w:rsidP="009A6CE4">
      <w:pPr>
        <w:pStyle w:val="BodyText"/>
        <w:rPr>
          <w:rFonts w:cs="Arial"/>
          <w:lang w:val="en-AU"/>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SRS</m:t>
              </m:r>
              <m:r>
                <w:rPr>
                  <w:rFonts w:ascii="Cambria Math" w:hAnsi="Cambria Math" w:cs="Arial"/>
                  <w:lang w:val="en-AU"/>
                </w:rPr>
                <m:t>,</m:t>
              </m:r>
              <m:r>
                <w:rPr>
                  <w:rFonts w:ascii="Cambria Math" w:hAnsi="Cambria Math" w:cs="Arial"/>
                </w:rPr>
                <m:t>c</m:t>
              </m:r>
            </m:sub>
            <m:sup>
              <m:r>
                <w:rPr>
                  <w:rFonts w:ascii="Cambria Math" w:hAnsi="Cambria Math" w:cs="Arial"/>
                </w:rPr>
                <m:t>{j,k,l}</m:t>
              </m:r>
            </m:sup>
          </m:sSubSup>
          <m:r>
            <w:rPr>
              <w:rFonts w:ascii="Cambria Math" w:hAnsi="Cambria Math" w:cs="Arial"/>
              <w:lang w:val="en-AU"/>
            </w:rPr>
            <m:t>=</m:t>
          </m:r>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m:t>
                      </m:r>
                      <m:r>
                        <w:rPr>
                          <w:rFonts w:ascii="Cambria Math" w:hAnsi="Cambria Math" w:cs="Arial"/>
                          <w:lang w:val="en-AU"/>
                        </w:rPr>
                        <m:t>,</m:t>
                      </m:r>
                      <m:r>
                        <w:rPr>
                          <w:rFonts w:ascii="Cambria Math" w:hAnsi="Cambria Math" w:cs="Arial"/>
                        </w:rPr>
                        <m:t>c</m:t>
                      </m:r>
                    </m:sub>
                    <m:sup/>
                  </m:sSubSup>
                  <m:r>
                    <w:rPr>
                      <w:rFonts w:ascii="Cambria Math" w:hAnsi="Cambria Math" w:cs="Arial"/>
                      <w:lang w:val="en-AU"/>
                    </w:rPr>
                    <m:t xml:space="preserve">, </m:t>
                  </m:r>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SR</m:t>
                          </m:r>
                          <m:sSub>
                            <m:sSubPr>
                              <m:ctrlPr>
                                <w:rPr>
                                  <w:rFonts w:ascii="Cambria Math" w:hAnsi="Cambria Math" w:cs="Arial"/>
                                  <w:i/>
                                </w:rPr>
                              </m:ctrlPr>
                            </m:sSubPr>
                            <m:e>
                              <m:r>
                                <w:rPr>
                                  <w:rFonts w:ascii="Cambria Math" w:hAnsi="Cambria Math" w:cs="Arial"/>
                                </w:rPr>
                                <m:t>S</m:t>
                              </m:r>
                            </m:e>
                            <m:sub>
                              <m:r>
                                <w:rPr>
                                  <w:rFonts w:ascii="Cambria Math" w:hAnsi="Cambria Math" w:cs="Arial"/>
                                </w:rPr>
                                <m:t>OFFSET</m:t>
                              </m:r>
                            </m:sub>
                          </m:sSub>
                          <m:r>
                            <w:rPr>
                              <w:rFonts w:ascii="Cambria Math" w:hAnsi="Cambria Math" w:cs="Arial"/>
                            </w:rPr>
                            <m:t>,c</m:t>
                          </m:r>
                        </m:sub>
                        <m:sup/>
                      </m:sSubSup>
                      <m:r>
                        <w:rPr>
                          <w:rFonts w:ascii="Cambria Math" w:hAnsi="Cambria Math" w:cs="Arial"/>
                        </w:rPr>
                        <m:t>+</m:t>
                      </m:r>
                      <m:r>
                        <m:rPr>
                          <m:sty m:val="p"/>
                        </m:rPr>
                        <w:rPr>
                          <w:rFonts w:ascii="Cambria Math" w:hAnsi="Cambria Math" w:cs="Arial"/>
                          <w:lang w:val="en-AU"/>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lang w:val="en-AU"/>
                            </w:rPr>
                            <m:t>10</m:t>
                          </m:r>
                        </m:sub>
                        <m:sup/>
                      </m:sSubSup>
                      <m:sSub>
                        <m:sSubPr>
                          <m:ctrlPr>
                            <w:rPr>
                              <w:rFonts w:ascii="Cambria Math" w:hAnsi="Cambria Math" w:cs="Arial"/>
                            </w:rPr>
                          </m:ctrlPr>
                        </m:sSubPr>
                        <m:e>
                          <m:r>
                            <w:rPr>
                              <w:rFonts w:ascii="Cambria Math" w:hAnsi="Cambria Math" w:cs="Arial"/>
                            </w:rPr>
                            <m:t>M</m:t>
                          </m:r>
                        </m:e>
                        <m:sub>
                          <m:r>
                            <w:rPr>
                              <w:rFonts w:ascii="Cambria Math" w:hAnsi="Cambria Math" w:cs="Arial"/>
                            </w:rPr>
                            <m:t>SRS,c</m:t>
                          </m:r>
                        </m:sub>
                      </m:sSub>
                      <m:r>
                        <w:rPr>
                          <w:rFonts w:ascii="Cambria Math" w:hAnsi="Cambria Math" w:cs="Arial"/>
                        </w:rPr>
                        <m:t>+P</m:t>
                      </m:r>
                    </m:e>
                    <m:sub>
                      <m:r>
                        <w:rPr>
                          <w:rFonts w:ascii="Cambria Math" w:hAnsi="Cambria Math" w:cs="Arial"/>
                          <w:lang w:val="en-AU"/>
                        </w:rPr>
                        <m:t>0,</m:t>
                      </m:r>
                      <m:r>
                        <w:rPr>
                          <w:rFonts w:ascii="Cambria Math" w:hAnsi="Cambria Math" w:cs="Arial"/>
                        </w:rPr>
                        <m:t>PUSCH</m:t>
                      </m:r>
                    </m:sub>
                    <m:sup>
                      <m:r>
                        <w:rPr>
                          <w:rFonts w:ascii="Cambria Math" w:hAnsi="Cambria Math" w:cs="Arial"/>
                        </w:rPr>
                        <m:t>j</m:t>
                      </m:r>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α</m:t>
                      </m:r>
                    </m:e>
                    <m:sub>
                      <m:r>
                        <w:rPr>
                          <w:rFonts w:ascii="Cambria Math" w:hAnsi="Cambria Math" w:cs="Arial"/>
                        </w:rPr>
                        <m:t>j</m:t>
                      </m:r>
                    </m:sub>
                  </m:sSub>
                  <m:r>
                    <w:rPr>
                      <w:rFonts w:ascii="Cambria Math" w:hAnsi="Cambria Math" w:cs="Arial"/>
                    </w:rPr>
                    <m:t>PL</m:t>
                  </m:r>
                </m:e>
                <m:sub>
                  <m:r>
                    <w:rPr>
                      <w:rFonts w:ascii="Cambria Math" w:hAnsi="Cambria Math" w:cs="Arial"/>
                    </w:rPr>
                    <m:t>c</m:t>
                  </m:r>
                </m:sub>
                <m:sup>
                  <m:r>
                    <w:rPr>
                      <w:rFonts w:ascii="Cambria Math" w:hAnsi="Cambria Math" w:cs="Arial"/>
                    </w:rPr>
                    <m:t>k</m:t>
                  </m:r>
                </m:sup>
              </m:sSubSup>
              <m:r>
                <w:rPr>
                  <w:rFonts w:ascii="Cambria Math" w:hAnsi="Cambria Math" w:cs="Arial"/>
                  <w:lang w:val="en-AU"/>
                </w:rPr>
                <m:t>+</m:t>
              </m:r>
              <m:sSubSup>
                <m:sSubSupPr>
                  <m:ctrlPr>
                    <w:rPr>
                      <w:rFonts w:ascii="Cambria Math" w:hAnsi="Cambria Math" w:cs="Arial"/>
                      <w:i/>
                    </w:rPr>
                  </m:ctrlPr>
                </m:sSubSupPr>
                <m:e>
                  <m:sSub>
                    <m:sSubPr>
                      <m:ctrlPr>
                        <w:rPr>
                          <w:rFonts w:ascii="Cambria Math" w:hAnsi="Cambria Math" w:cs="Arial"/>
                        </w:rPr>
                      </m:ctrlPr>
                    </m:sSubPr>
                    <m:e>
                      <m:r>
                        <w:rPr>
                          <w:rFonts w:ascii="Cambria Math" w:hAnsi="Cambria Math" w:cs="Arial"/>
                        </w:rPr>
                        <m:t>f</m:t>
                      </m:r>
                    </m:e>
                    <m:sub>
                      <m:r>
                        <w:rPr>
                          <w:rFonts w:ascii="Cambria Math" w:hAnsi="Cambria Math" w:cs="Arial"/>
                        </w:rPr>
                        <m:t>c</m:t>
                      </m:r>
                    </m:sub>
                  </m:sSub>
                  <m:r>
                    <w:rPr>
                      <w:rFonts w:ascii="Cambria Math" w:hAnsi="Cambria Math" w:cs="Arial"/>
                    </w:rPr>
                    <m:t>(l)</m:t>
                  </m:r>
                </m:e>
                <m:sub/>
                <m:sup/>
              </m:sSubSup>
            </m:e>
          </m:d>
        </m:oMath>
      </m:oMathPara>
    </w:p>
    <w:p w14:paraId="55857F68" w14:textId="4D7E70D6" w:rsidR="009A6CE4" w:rsidRDefault="009A6CE4" w:rsidP="009A6CE4">
      <w:pPr>
        <w:pStyle w:val="BodyText"/>
        <w:rPr>
          <w:rFonts w:cs="Arial"/>
          <w:lang w:val="en-AU"/>
        </w:rPr>
      </w:pPr>
      <w:r>
        <w:rPr>
          <w:rFonts w:cs="Arial"/>
          <w:lang w:val="en-AU"/>
        </w:rPr>
        <w:t xml:space="preserve">Furthermore, </w:t>
      </w:r>
      <w:r w:rsidR="00813CF7">
        <w:rPr>
          <w:rFonts w:cs="Arial"/>
          <w:lang w:val="en-AU"/>
        </w:rPr>
        <w:t xml:space="preserve">introducing this </w:t>
      </w:r>
      <w:r>
        <w:rPr>
          <w:rFonts w:cs="Arial"/>
          <w:lang w:val="en-AU"/>
        </w:rPr>
        <w:t xml:space="preserve">formula we would </w:t>
      </w:r>
      <w:r w:rsidR="00813CF7">
        <w:rPr>
          <w:rFonts w:cs="Arial"/>
          <w:lang w:val="en-AU"/>
        </w:rPr>
        <w:t xml:space="preserve">imply that </w:t>
      </w:r>
      <w:r>
        <w:rPr>
          <w:rFonts w:cs="Arial"/>
          <w:lang w:val="en-AU"/>
        </w:rPr>
        <w:t xml:space="preserve">the following questions </w:t>
      </w:r>
      <w:r w:rsidR="00813CF7">
        <w:rPr>
          <w:rFonts w:cs="Arial"/>
          <w:lang w:val="en-AU"/>
        </w:rPr>
        <w:t xml:space="preserve">need to be </w:t>
      </w:r>
      <w:r>
        <w:rPr>
          <w:lang w:val="en-AU"/>
        </w:rPr>
        <w:t xml:space="preserve">addressed: </w:t>
      </w:r>
    </w:p>
    <w:p w14:paraId="7D759FBB" w14:textId="77777777" w:rsidR="009A6CE4" w:rsidRDefault="009A6CE4" w:rsidP="00CF71AA">
      <w:pPr>
        <w:pStyle w:val="BodyText"/>
        <w:numPr>
          <w:ilvl w:val="0"/>
          <w:numId w:val="22"/>
        </w:numPr>
        <w:rPr>
          <w:lang w:val="en-AU"/>
        </w:rPr>
      </w:pPr>
      <w:r>
        <w:rPr>
          <w:lang w:val="en-AU"/>
        </w:rPr>
        <w:t xml:space="preserve">How will the </w:t>
      </w:r>
      <w:proofErr w:type="spellStart"/>
      <w:r>
        <w:rPr>
          <w:lang w:val="en-AU"/>
        </w:rPr>
        <w:t>gNB</w:t>
      </w:r>
      <w:proofErr w:type="spellEnd"/>
      <w:r>
        <w:rPr>
          <w:lang w:val="en-AU"/>
        </w:rPr>
        <w:t xml:space="preserve"> and UE link a </w:t>
      </w:r>
      <w:r w:rsidRPr="009F56BD">
        <w:rPr>
          <w:lang w:val="en-AU"/>
        </w:rPr>
        <w:t xml:space="preserve">PC-parameter-set </w:t>
      </w:r>
      <w:r>
        <w:rPr>
          <w:i/>
          <w:u w:val="single"/>
          <w:lang w:val="en-AU"/>
        </w:rPr>
        <w:t>{</w:t>
      </w:r>
      <w:proofErr w:type="spellStart"/>
      <w:r>
        <w:rPr>
          <w:i/>
          <w:u w:val="single"/>
          <w:lang w:val="en-AU"/>
        </w:rPr>
        <w:t>I,k,l</w:t>
      </w:r>
      <w:proofErr w:type="spellEnd"/>
      <w:r>
        <w:rPr>
          <w:i/>
          <w:u w:val="single"/>
          <w:lang w:val="en-AU"/>
        </w:rPr>
        <w:t>}</w:t>
      </w:r>
      <w:r w:rsidRPr="009F56BD">
        <w:rPr>
          <w:lang w:val="en-AU"/>
        </w:rPr>
        <w:t xml:space="preserve"> to </w:t>
      </w:r>
      <w:r>
        <w:rPr>
          <w:lang w:val="en-AU"/>
        </w:rPr>
        <w:t>a certain beam?</w:t>
      </w:r>
    </w:p>
    <w:p w14:paraId="247DB8CE" w14:textId="77777777" w:rsidR="009A6CE4" w:rsidRPr="007025A0" w:rsidRDefault="009A6CE4" w:rsidP="00CF71AA">
      <w:pPr>
        <w:pStyle w:val="BodyText"/>
        <w:numPr>
          <w:ilvl w:val="0"/>
          <w:numId w:val="22"/>
        </w:numPr>
        <w:rPr>
          <w:lang w:val="en-AU"/>
        </w:rPr>
      </w:pPr>
      <w:r>
        <w:rPr>
          <w:lang w:val="en-AU"/>
        </w:rPr>
        <w:t xml:space="preserve">How will the UE know which beam to use, and hence which </w:t>
      </w:r>
      <w:r>
        <w:rPr>
          <w:i/>
          <w:u w:val="single"/>
          <w:lang w:val="en-AU"/>
        </w:rPr>
        <w:t>{</w:t>
      </w:r>
      <w:proofErr w:type="spellStart"/>
      <w:r>
        <w:rPr>
          <w:i/>
          <w:u w:val="single"/>
          <w:lang w:val="en-AU"/>
        </w:rPr>
        <w:t>I,k,l</w:t>
      </w:r>
      <w:proofErr w:type="spellEnd"/>
      <w:r>
        <w:rPr>
          <w:i/>
          <w:u w:val="single"/>
          <w:lang w:val="en-AU"/>
        </w:rPr>
        <w:t>},</w:t>
      </w:r>
      <w:r>
        <w:rPr>
          <w:lang w:val="en-AU"/>
        </w:rPr>
        <w:t xml:space="preserve"> when </w:t>
      </w:r>
      <w:r w:rsidRPr="009F56BD">
        <w:rPr>
          <w:lang w:val="en-AU"/>
        </w:rPr>
        <w:t>setting the output power</w:t>
      </w:r>
      <w:r>
        <w:rPr>
          <w:lang w:val="en-AU"/>
        </w:rPr>
        <w:t xml:space="preserve"> for a certain beam for SRS transmission?</w:t>
      </w:r>
    </w:p>
    <w:p w14:paraId="062771A9" w14:textId="77777777" w:rsidR="009A6CE4" w:rsidRDefault="009A6CE4" w:rsidP="009A6CE4">
      <w:pPr>
        <w:pStyle w:val="BodyText"/>
        <w:rPr>
          <w:rFonts w:cs="Arial"/>
          <w:lang w:val="en-AU"/>
        </w:rPr>
      </w:pPr>
      <w:r>
        <w:rPr>
          <w:rFonts w:cs="Arial"/>
          <w:lang w:val="en-AU"/>
        </w:rPr>
        <w:t>These questions are, as previously mentioned, also being discussed for beam specific PUSCH PC and we therefore find it appropriate to unify these frameworks as much as possible. Based on this we have the following proposals</w:t>
      </w:r>
    </w:p>
    <w:p w14:paraId="32400410" w14:textId="77777777" w:rsidR="009A6CE4" w:rsidRDefault="009A6CE4" w:rsidP="009A6CE4">
      <w:pPr>
        <w:pStyle w:val="Proposal"/>
        <w:rPr>
          <w:lang w:val="en-AU"/>
        </w:rPr>
      </w:pPr>
      <w:bookmarkStart w:id="23" w:name="_Toc494738358"/>
      <w:bookmarkStart w:id="24" w:name="_Toc494740012"/>
      <w:bookmarkStart w:id="25" w:name="_Toc494740418"/>
      <w:bookmarkStart w:id="26" w:name="_Toc494741901"/>
      <w:r>
        <w:rPr>
          <w:lang w:val="en-AU"/>
        </w:rPr>
        <w:t>Support beam specific SRS PC such that it is tied together with beam specific PUSCH PC.</w:t>
      </w:r>
      <w:bookmarkEnd w:id="23"/>
      <w:bookmarkEnd w:id="24"/>
      <w:bookmarkEnd w:id="25"/>
      <w:bookmarkEnd w:id="26"/>
      <w:r>
        <w:rPr>
          <w:lang w:val="en-AU"/>
        </w:rPr>
        <w:t xml:space="preserve"> </w:t>
      </w:r>
    </w:p>
    <w:p w14:paraId="5CE89EF8" w14:textId="77777777" w:rsidR="009A6CE4" w:rsidRDefault="009A6CE4" w:rsidP="009A6CE4">
      <w:pPr>
        <w:pStyle w:val="Proposal"/>
        <w:rPr>
          <w:lang w:val="en-AU"/>
        </w:rPr>
      </w:pPr>
      <w:bookmarkStart w:id="27" w:name="_Toc494738359"/>
      <w:bookmarkStart w:id="28" w:name="_Toc494740013"/>
      <w:bookmarkStart w:id="29" w:name="_Toc494740419"/>
      <w:bookmarkStart w:id="30" w:name="_Toc494741902"/>
      <w:r w:rsidRPr="009F56BD">
        <w:rPr>
          <w:lang w:val="en-AU"/>
        </w:rPr>
        <w:t xml:space="preserve">Reuse the implicit/explicit beam indication mechanisms defined for </w:t>
      </w:r>
      <w:r>
        <w:rPr>
          <w:lang w:val="en-AU"/>
        </w:rPr>
        <w:t xml:space="preserve">PUSCH PC </w:t>
      </w:r>
      <w:r w:rsidRPr="009F56BD">
        <w:rPr>
          <w:lang w:val="en-AU"/>
        </w:rPr>
        <w:t xml:space="preserve">purposes for </w:t>
      </w:r>
      <w:r>
        <w:rPr>
          <w:lang w:val="en-AU"/>
        </w:rPr>
        <w:t xml:space="preserve">beam specific SRS </w:t>
      </w:r>
      <w:r w:rsidRPr="009F56BD">
        <w:rPr>
          <w:lang w:val="en-AU"/>
        </w:rPr>
        <w:t>PC purposes as much as possible to avoid specifying redundant signalling</w:t>
      </w:r>
      <w:r>
        <w:rPr>
          <w:lang w:val="en-AU"/>
        </w:rPr>
        <w:t xml:space="preserve"> frameworks</w:t>
      </w:r>
      <w:r w:rsidRPr="009F56BD">
        <w:rPr>
          <w:lang w:val="en-AU"/>
        </w:rPr>
        <w:t>.</w:t>
      </w:r>
      <w:bookmarkEnd w:id="27"/>
      <w:bookmarkEnd w:id="28"/>
      <w:bookmarkEnd w:id="29"/>
      <w:bookmarkEnd w:id="30"/>
      <w:r w:rsidRPr="009F56BD">
        <w:rPr>
          <w:lang w:val="en-AU"/>
        </w:rPr>
        <w:t xml:space="preserve"> </w:t>
      </w:r>
      <w:r>
        <w:rPr>
          <w:lang w:val="en-AU"/>
        </w:rPr>
        <w:t xml:space="preserve"> </w:t>
      </w:r>
    </w:p>
    <w:p w14:paraId="63278308" w14:textId="0E0B596B" w:rsidR="009A6CE4" w:rsidRPr="00AD333E" w:rsidRDefault="00813CF7" w:rsidP="009A6CE4">
      <w:pPr>
        <w:pStyle w:val="Heading2"/>
      </w:pPr>
      <w:r>
        <w:t>Non-beam</w:t>
      </w:r>
      <w:r w:rsidR="009A6CE4">
        <w:t xml:space="preserve"> specific SRS PC</w:t>
      </w:r>
    </w:p>
    <w:p w14:paraId="7DDABC2B" w14:textId="6BEF3FC4" w:rsidR="009A6CE4" w:rsidRDefault="009A6CE4" w:rsidP="009A6CE4">
      <w:pPr>
        <w:spacing w:line="252" w:lineRule="auto"/>
        <w:contextualSpacing/>
      </w:pPr>
      <w:r>
        <w:rPr>
          <w:rFonts w:ascii="Calibri" w:eastAsia="Times New Roman" w:hAnsi="Calibri" w:cs="Calibri"/>
          <w:lang w:val="en-AU" w:eastAsia="sv-FI"/>
        </w:rPr>
        <w:t xml:space="preserve">As discussed previously it will in NR also be possible to transmit SRS that does not relate to any </w:t>
      </w:r>
      <w:r>
        <w:t xml:space="preserve">DL/UL </w:t>
      </w:r>
      <w:r w:rsidR="00813CF7">
        <w:t xml:space="preserve">RSs </w:t>
      </w:r>
      <w:r w:rsidR="00813CF7">
        <w:rPr>
          <w:rFonts w:ascii="Calibri" w:eastAsia="Times New Roman" w:hAnsi="Calibri" w:cs="Calibri"/>
          <w:lang w:val="en-AU" w:eastAsia="sv-FI"/>
        </w:rPr>
        <w:t>(</w:t>
      </w:r>
      <w:r>
        <w:rPr>
          <w:rFonts w:ascii="Calibri" w:eastAsia="Times New Roman" w:hAnsi="Calibri" w:cs="Calibri"/>
          <w:lang w:val="en-AU" w:eastAsia="sv-FI"/>
        </w:rPr>
        <w:t>use case 3)</w:t>
      </w:r>
      <w:r>
        <w:t xml:space="preserve">. </w:t>
      </w:r>
      <w:r w:rsidR="00813CF7">
        <w:t>This</w:t>
      </w:r>
      <w:r>
        <w:t xml:space="preserve"> would then constitute a </w:t>
      </w:r>
      <w:r w:rsidR="00813CF7">
        <w:t>non-beam</w:t>
      </w:r>
      <w:r>
        <w:t xml:space="preserve"> specific SRS transmission. Also here we find it natural to relate the transmission to the PUSCH PC by using </w:t>
      </w:r>
    </w:p>
    <w:p w14:paraId="4B71BDE6" w14:textId="77777777" w:rsidR="009A6CE4" w:rsidRDefault="003854EC" w:rsidP="009A6CE4">
      <w:pPr>
        <w:spacing w:line="252" w:lineRule="auto"/>
        <w:contextualSpacing/>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SRS</m:t>
              </m:r>
              <m:r>
                <w:rPr>
                  <w:rFonts w:ascii="Cambria Math" w:hAnsi="Cambria Math" w:cs="Arial"/>
                  <w:lang w:val="en-AU"/>
                </w:rPr>
                <m:t>,</m:t>
              </m:r>
              <m:r>
                <w:rPr>
                  <w:rFonts w:ascii="Cambria Math" w:hAnsi="Cambria Math" w:cs="Arial"/>
                </w:rPr>
                <m:t>c</m:t>
              </m:r>
            </m:sub>
            <m:sup>
              <m:r>
                <w:rPr>
                  <w:rFonts w:ascii="Cambria Math" w:hAnsi="Cambria Math" w:cs="Arial"/>
                </w:rPr>
                <m:t>{j,k,l}</m:t>
              </m:r>
            </m:sup>
          </m:sSubSup>
          <m:r>
            <w:rPr>
              <w:rFonts w:ascii="Cambria Math" w:hAnsi="Cambria Math" w:cs="Arial"/>
              <w:lang w:val="en-AU"/>
            </w:rPr>
            <m:t>=</m:t>
          </m:r>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m:t>
                      </m:r>
                      <m:r>
                        <w:rPr>
                          <w:rFonts w:ascii="Cambria Math" w:hAnsi="Cambria Math" w:cs="Arial"/>
                          <w:lang w:val="en-AU"/>
                        </w:rPr>
                        <m:t>,</m:t>
                      </m:r>
                      <m:r>
                        <w:rPr>
                          <w:rFonts w:ascii="Cambria Math" w:hAnsi="Cambria Math" w:cs="Arial"/>
                        </w:rPr>
                        <m:t>c</m:t>
                      </m:r>
                    </m:sub>
                    <m:sup/>
                  </m:sSubSup>
                  <m:r>
                    <w:rPr>
                      <w:rFonts w:ascii="Cambria Math" w:hAnsi="Cambria Math" w:cs="Arial"/>
                      <w:lang w:val="en-AU"/>
                    </w:rPr>
                    <m:t xml:space="preserve">, </m:t>
                  </m:r>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SR</m:t>
                          </m:r>
                          <m:sSub>
                            <m:sSubPr>
                              <m:ctrlPr>
                                <w:rPr>
                                  <w:rFonts w:ascii="Cambria Math" w:hAnsi="Cambria Math" w:cs="Arial"/>
                                  <w:i/>
                                </w:rPr>
                              </m:ctrlPr>
                            </m:sSubPr>
                            <m:e>
                              <m:r>
                                <w:rPr>
                                  <w:rFonts w:ascii="Cambria Math" w:hAnsi="Cambria Math" w:cs="Arial"/>
                                </w:rPr>
                                <m:t>S</m:t>
                              </m:r>
                            </m:e>
                            <m:sub>
                              <m:r>
                                <w:rPr>
                                  <w:rFonts w:ascii="Cambria Math" w:hAnsi="Cambria Math" w:cs="Arial"/>
                                </w:rPr>
                                <m:t>OFFSET</m:t>
                              </m:r>
                            </m:sub>
                          </m:sSub>
                          <m:r>
                            <w:rPr>
                              <w:rFonts w:ascii="Cambria Math" w:hAnsi="Cambria Math" w:cs="Arial"/>
                            </w:rPr>
                            <m:t>,c</m:t>
                          </m:r>
                        </m:sub>
                        <m:sup/>
                      </m:sSubSup>
                      <m:r>
                        <w:rPr>
                          <w:rFonts w:ascii="Cambria Math" w:hAnsi="Cambria Math" w:cs="Arial"/>
                        </w:rPr>
                        <m:t>+</m:t>
                      </m:r>
                      <m:r>
                        <m:rPr>
                          <m:sty m:val="p"/>
                        </m:rPr>
                        <w:rPr>
                          <w:rFonts w:ascii="Cambria Math" w:hAnsi="Cambria Math" w:cs="Arial"/>
                          <w:lang w:val="en-AU"/>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lang w:val="en-AU"/>
                            </w:rPr>
                            <m:t>10</m:t>
                          </m:r>
                        </m:sub>
                        <m:sup/>
                      </m:sSubSup>
                      <m:sSub>
                        <m:sSubPr>
                          <m:ctrlPr>
                            <w:rPr>
                              <w:rFonts w:ascii="Cambria Math" w:hAnsi="Cambria Math" w:cs="Arial"/>
                            </w:rPr>
                          </m:ctrlPr>
                        </m:sSubPr>
                        <m:e>
                          <m:r>
                            <w:rPr>
                              <w:rFonts w:ascii="Cambria Math" w:hAnsi="Cambria Math" w:cs="Arial"/>
                            </w:rPr>
                            <m:t>M</m:t>
                          </m:r>
                        </m:e>
                        <m:sub>
                          <m:r>
                            <w:rPr>
                              <w:rFonts w:ascii="Cambria Math" w:hAnsi="Cambria Math" w:cs="Arial"/>
                            </w:rPr>
                            <m:t>SRS,c</m:t>
                          </m:r>
                        </m:sub>
                      </m:sSub>
                      <m:r>
                        <w:rPr>
                          <w:rFonts w:ascii="Cambria Math" w:hAnsi="Cambria Math" w:cs="Arial"/>
                        </w:rPr>
                        <m:t>+P</m:t>
                      </m:r>
                    </m:e>
                    <m:sub>
                      <m:r>
                        <w:rPr>
                          <w:rFonts w:ascii="Cambria Math" w:hAnsi="Cambria Math" w:cs="Arial"/>
                          <w:lang w:val="en-AU"/>
                        </w:rPr>
                        <m:t>0,</m:t>
                      </m:r>
                      <m:r>
                        <w:rPr>
                          <w:rFonts w:ascii="Cambria Math" w:hAnsi="Cambria Math" w:cs="Arial"/>
                        </w:rPr>
                        <m:t>PUSCH</m:t>
                      </m:r>
                    </m:sub>
                    <m:sup>
                      <m:r>
                        <w:rPr>
                          <w:rFonts w:ascii="Cambria Math" w:hAnsi="Cambria Math" w:cs="Arial"/>
                        </w:rPr>
                        <m:t>j</m:t>
                      </m:r>
                    </m:sup>
                  </m:sSubSup>
                  <m:r>
                    <w:rPr>
                      <w:rFonts w:ascii="Cambria Math" w:hAnsi="Cambria Math" w:cs="Arial"/>
                      <w:lang w:val="en-AU"/>
                    </w:rPr>
                    <m:t>+</m:t>
                  </m:r>
                  <m:sSub>
                    <m:sSubPr>
                      <m:ctrlPr>
                        <w:rPr>
                          <w:rFonts w:ascii="Cambria Math" w:hAnsi="Cambria Math" w:cs="Arial"/>
                        </w:rPr>
                      </m:ctrlPr>
                    </m:sSubPr>
                    <m:e>
                      <m:r>
                        <w:rPr>
                          <w:rFonts w:ascii="Cambria Math" w:hAnsi="Cambria Math" w:cs="Arial"/>
                        </w:rPr>
                        <m:t>α</m:t>
                      </m:r>
                    </m:e>
                    <m:sub>
                      <m:r>
                        <w:rPr>
                          <w:rFonts w:ascii="Cambria Math" w:hAnsi="Cambria Math" w:cs="Arial"/>
                        </w:rPr>
                        <m:t>j</m:t>
                      </m:r>
                    </m:sub>
                  </m:sSub>
                  <m:r>
                    <w:rPr>
                      <w:rFonts w:ascii="Cambria Math" w:hAnsi="Cambria Math" w:cs="Arial"/>
                    </w:rPr>
                    <m:t>PL</m:t>
                  </m:r>
                </m:e>
                <m:sub>
                  <m:r>
                    <w:rPr>
                      <w:rFonts w:ascii="Cambria Math" w:hAnsi="Cambria Math" w:cs="Arial"/>
                    </w:rPr>
                    <m:t>c</m:t>
                  </m:r>
                </m:sub>
                <m:sup>
                  <m:r>
                    <w:rPr>
                      <w:rFonts w:ascii="Cambria Math" w:hAnsi="Cambria Math" w:cs="Arial"/>
                    </w:rPr>
                    <m:t>k</m:t>
                  </m:r>
                </m:sup>
              </m:sSubSup>
              <m:r>
                <w:rPr>
                  <w:rFonts w:ascii="Cambria Math" w:hAnsi="Cambria Math" w:cs="Arial"/>
                  <w:lang w:val="en-AU"/>
                </w:rPr>
                <m:t>+</m:t>
              </m:r>
              <m:sSubSup>
                <m:sSubSupPr>
                  <m:ctrlPr>
                    <w:rPr>
                      <w:rFonts w:ascii="Cambria Math" w:hAnsi="Cambria Math" w:cs="Arial"/>
                      <w:i/>
                    </w:rPr>
                  </m:ctrlPr>
                </m:sSubSupPr>
                <m:e>
                  <m:sSub>
                    <m:sSubPr>
                      <m:ctrlPr>
                        <w:rPr>
                          <w:rFonts w:ascii="Cambria Math" w:hAnsi="Cambria Math" w:cs="Arial"/>
                        </w:rPr>
                      </m:ctrlPr>
                    </m:sSubPr>
                    <m:e>
                      <m:r>
                        <w:rPr>
                          <w:rFonts w:ascii="Cambria Math" w:hAnsi="Cambria Math" w:cs="Arial"/>
                        </w:rPr>
                        <m:t>f</m:t>
                      </m:r>
                    </m:e>
                    <m:sub>
                      <m:r>
                        <w:rPr>
                          <w:rFonts w:ascii="Cambria Math" w:hAnsi="Cambria Math" w:cs="Arial"/>
                        </w:rPr>
                        <m:t>c</m:t>
                      </m:r>
                    </m:sub>
                  </m:sSub>
                  <m:r>
                    <w:rPr>
                      <w:rFonts w:ascii="Cambria Math" w:hAnsi="Cambria Math" w:cs="Arial"/>
                    </w:rPr>
                    <m:t>(l)</m:t>
                  </m:r>
                </m:e>
                <m:sub/>
                <m:sup/>
              </m:sSubSup>
            </m:e>
          </m:d>
        </m:oMath>
      </m:oMathPara>
    </w:p>
    <w:p w14:paraId="658EF931" w14:textId="11AA9FE1" w:rsidR="009A6CE4" w:rsidRDefault="009A6CE4" w:rsidP="009A6CE4">
      <w:pPr>
        <w:spacing w:line="252" w:lineRule="auto"/>
        <w:contextualSpacing/>
        <w:rPr>
          <w:rFonts w:ascii="Calibri" w:eastAsia="Times New Roman" w:hAnsi="Calibri" w:cs="Calibri"/>
          <w:lang w:val="en-AU" w:eastAsia="sv-FI"/>
        </w:rPr>
      </w:pPr>
      <w:r>
        <w:t xml:space="preserve">and we identify the following alternatives for choosing which </w:t>
      </w:r>
      <w:r w:rsidR="00266A5F">
        <w:t>{</w:t>
      </w:r>
      <w:proofErr w:type="spellStart"/>
      <w:r w:rsidR="00266A5F">
        <w:t>j,k</w:t>
      </w:r>
      <w:proofErr w:type="spellEnd"/>
      <w:r w:rsidR="00266A5F">
        <w:t>}</w:t>
      </w:r>
      <w:r>
        <w:t xml:space="preserve"> to use for the </w:t>
      </w:r>
      <w:r w:rsidR="00813CF7">
        <w:t>non-beam</w:t>
      </w:r>
      <w:r>
        <w:t xml:space="preserve"> specific SRS process:  </w:t>
      </w:r>
    </w:p>
    <w:p w14:paraId="38FAC86F" w14:textId="59C44717" w:rsidR="009A6CE4" w:rsidRDefault="009A6CE4" w:rsidP="00CF71AA">
      <w:pPr>
        <w:numPr>
          <w:ilvl w:val="0"/>
          <w:numId w:val="21"/>
        </w:numPr>
        <w:spacing w:line="252" w:lineRule="auto"/>
        <w:contextualSpacing/>
        <w:rPr>
          <w:rFonts w:eastAsia="Times New Roman"/>
          <w:lang w:val="en-AU" w:eastAsia="sv-FI"/>
        </w:rPr>
      </w:pPr>
      <w:r>
        <w:rPr>
          <w:rFonts w:eastAsia="Times New Roman"/>
          <w:lang w:val="en-AU" w:eastAsia="sv-FI"/>
        </w:rPr>
        <w:t>Alt 1: support</w:t>
      </w:r>
      <w:r w:rsidR="00813CF7">
        <w:rPr>
          <w:rFonts w:eastAsia="Times New Roman"/>
          <w:lang w:val="en-AU" w:eastAsia="sv-FI"/>
        </w:rPr>
        <w:t>/utilize</w:t>
      </w:r>
      <w:r>
        <w:rPr>
          <w:rFonts w:eastAsia="Times New Roman"/>
          <w:lang w:val="en-AU" w:eastAsia="sv-FI"/>
        </w:rPr>
        <w:t xml:space="preserve"> a separate PC loop </w:t>
      </w:r>
      <w:r w:rsidR="00266A5F">
        <w:rPr>
          <w:rFonts w:eastAsia="Times New Roman"/>
          <w:lang w:val="en-AU" w:eastAsia="sv-FI"/>
        </w:rPr>
        <w:t>{</w:t>
      </w:r>
      <w:proofErr w:type="spellStart"/>
      <w:r w:rsidR="00266A5F">
        <w:rPr>
          <w:rFonts w:eastAsia="Times New Roman"/>
          <w:lang w:val="en-AU" w:eastAsia="sv-FI"/>
        </w:rPr>
        <w:t>j,k</w:t>
      </w:r>
      <w:proofErr w:type="spellEnd"/>
      <w:r w:rsidR="00266A5F">
        <w:rPr>
          <w:rFonts w:eastAsia="Times New Roman"/>
          <w:lang w:val="en-AU" w:eastAsia="sv-FI"/>
        </w:rPr>
        <w:t>}</w:t>
      </w:r>
      <w:r>
        <w:rPr>
          <w:rFonts w:eastAsia="Times New Roman"/>
          <w:lang w:val="en-AU" w:eastAsia="sv-FI"/>
        </w:rPr>
        <w:t xml:space="preserve"> not necessarily attached to any specific beam. </w:t>
      </w:r>
    </w:p>
    <w:p w14:paraId="07E818EE" w14:textId="59E81AB7" w:rsidR="009A6CE4" w:rsidRDefault="009A6CE4" w:rsidP="00CF71AA">
      <w:pPr>
        <w:numPr>
          <w:ilvl w:val="0"/>
          <w:numId w:val="21"/>
        </w:numPr>
        <w:spacing w:line="252" w:lineRule="auto"/>
        <w:contextualSpacing/>
        <w:rPr>
          <w:rFonts w:eastAsia="Times New Roman"/>
          <w:lang w:val="en-AU" w:eastAsia="sv-FI"/>
        </w:rPr>
      </w:pPr>
      <w:r>
        <w:rPr>
          <w:rFonts w:eastAsia="Times New Roman"/>
          <w:lang w:val="en-AU" w:eastAsia="sv-FI"/>
        </w:rPr>
        <w:t xml:space="preserve">Alt 2: use the </w:t>
      </w:r>
      <w:r w:rsidR="00266A5F">
        <w:rPr>
          <w:rFonts w:eastAsia="Times New Roman"/>
          <w:lang w:val="en-AU" w:eastAsia="sv-FI"/>
        </w:rPr>
        <w:t>{</w:t>
      </w:r>
      <w:proofErr w:type="spellStart"/>
      <w:r w:rsidR="00266A5F">
        <w:rPr>
          <w:rFonts w:eastAsia="Times New Roman"/>
          <w:lang w:val="en-AU" w:eastAsia="sv-FI"/>
        </w:rPr>
        <w:t>j,k</w:t>
      </w:r>
      <w:proofErr w:type="spellEnd"/>
      <w:r w:rsidR="00266A5F">
        <w:rPr>
          <w:rFonts w:eastAsia="Times New Roman"/>
          <w:lang w:val="en-AU" w:eastAsia="sv-FI"/>
        </w:rPr>
        <w:t>}</w:t>
      </w:r>
      <w:r>
        <w:rPr>
          <w:rFonts w:eastAsia="Times New Roman"/>
          <w:lang w:val="en-AU" w:eastAsia="sv-FI"/>
        </w:rPr>
        <w:t xml:space="preserve"> PC loop currently, or last used, for PUSCH transmission and transmit using that together with a defined P_SRS_OFFSET. </w:t>
      </w:r>
    </w:p>
    <w:p w14:paraId="6E110453" w14:textId="5A31DA0A" w:rsidR="009A6CE4" w:rsidRDefault="009A6CE4" w:rsidP="009A6CE4">
      <w:pPr>
        <w:spacing w:line="252" w:lineRule="auto"/>
        <w:contextualSpacing/>
        <w:rPr>
          <w:rFonts w:eastAsia="Times New Roman"/>
          <w:lang w:val="en-AU" w:eastAsia="sv-FI"/>
        </w:rPr>
      </w:pPr>
      <w:r>
        <w:rPr>
          <w:rFonts w:eastAsia="Times New Roman"/>
          <w:lang w:val="en-AU" w:eastAsia="sv-FI"/>
        </w:rPr>
        <w:t xml:space="preserve">Both these approaches should be able to support the flexibility needed for operating with </w:t>
      </w:r>
      <w:r w:rsidR="00813CF7">
        <w:rPr>
          <w:rFonts w:eastAsia="Times New Roman"/>
          <w:lang w:val="en-AU" w:eastAsia="sv-FI"/>
        </w:rPr>
        <w:t>non-beam</w:t>
      </w:r>
      <w:r>
        <w:rPr>
          <w:rFonts w:eastAsia="Times New Roman"/>
          <w:lang w:val="en-AU" w:eastAsia="sv-FI"/>
        </w:rPr>
        <w:t xml:space="preserve"> specific SRS PC. </w:t>
      </w:r>
    </w:p>
    <w:p w14:paraId="1DDFE841" w14:textId="77777777" w:rsidR="009A6CE4" w:rsidRPr="00354F11" w:rsidRDefault="009A6CE4" w:rsidP="009A6CE4">
      <w:pPr>
        <w:pStyle w:val="Proposal"/>
        <w:rPr>
          <w:lang w:val="en-AU"/>
        </w:rPr>
      </w:pPr>
      <w:bookmarkStart w:id="31" w:name="_Toc494738360"/>
      <w:bookmarkStart w:id="32" w:name="_Toc494740014"/>
      <w:bookmarkStart w:id="33" w:name="_Toc494740420"/>
      <w:bookmarkStart w:id="34" w:name="_Toc494741903"/>
      <w:r>
        <w:rPr>
          <w:lang w:val="en-AU"/>
        </w:rPr>
        <w:t>Support non beam specific PUSCH PC and SRS PC.</w:t>
      </w:r>
      <w:bookmarkEnd w:id="31"/>
      <w:bookmarkEnd w:id="32"/>
      <w:bookmarkEnd w:id="33"/>
      <w:bookmarkEnd w:id="34"/>
      <w:r>
        <w:rPr>
          <w:lang w:val="en-AU"/>
        </w:rPr>
        <w:t xml:space="preserve"> </w:t>
      </w:r>
    </w:p>
    <w:p w14:paraId="051D8748" w14:textId="77777777" w:rsidR="009A6CE4" w:rsidRPr="009A6CE4" w:rsidRDefault="009A6CE4" w:rsidP="009A6CE4">
      <w:pPr>
        <w:rPr>
          <w:lang w:val="en-AU" w:eastAsia="zh-CN"/>
        </w:rPr>
      </w:pPr>
    </w:p>
    <w:bookmarkEnd w:id="2"/>
    <w:p w14:paraId="6AC53E94" w14:textId="7C3FA755" w:rsidR="008E065E" w:rsidRPr="00130E08" w:rsidRDefault="00C01F33" w:rsidP="008E065E">
      <w:pPr>
        <w:pStyle w:val="Heading1"/>
      </w:pPr>
      <w:r w:rsidRPr="00CE0424">
        <w:t>Conclusion</w:t>
      </w:r>
      <w:r w:rsidR="00AE2FEB">
        <w:t>s</w:t>
      </w:r>
    </w:p>
    <w:p w14:paraId="3CB43BA7" w14:textId="36C194D0" w:rsidR="00E02EDD" w:rsidRPr="009F56BD" w:rsidRDefault="00935E61" w:rsidP="00923227">
      <w:pPr>
        <w:pStyle w:val="BodyText"/>
        <w:rPr>
          <w:lang w:val="en-AU"/>
        </w:rPr>
      </w:pPr>
      <w:r w:rsidRPr="009F56BD">
        <w:rPr>
          <w:lang w:val="en-AU"/>
        </w:rPr>
        <w:t>We make the following proposals</w:t>
      </w:r>
      <w:r w:rsidR="00E02EDD" w:rsidRPr="009F56BD">
        <w:rPr>
          <w:lang w:val="en-AU"/>
        </w:rPr>
        <w:t>:</w:t>
      </w:r>
    </w:p>
    <w:p w14:paraId="7BD27940" w14:textId="7B0D791A" w:rsidR="0076094E" w:rsidRDefault="0076094E" w:rsidP="0076094E">
      <w:pPr>
        <w:pStyle w:val="Proposal"/>
        <w:numPr>
          <w:ilvl w:val="0"/>
          <w:numId w:val="23"/>
        </w:numPr>
        <w:rPr>
          <w:lang w:val="en-AU"/>
        </w:rPr>
      </w:pPr>
      <w:r w:rsidRPr="0076094E">
        <w:rPr>
          <w:lang w:val="en-AU"/>
        </w:rPr>
        <w:t xml:space="preserve"> </w:t>
      </w:r>
      <w:r w:rsidRPr="009F56BD">
        <w:rPr>
          <w:lang w:val="en-AU"/>
        </w:rPr>
        <w:t xml:space="preserve">Reuse the implicit/explicit beam indication mechanisms defined for beam management purposes for </w:t>
      </w:r>
      <w:r>
        <w:rPr>
          <w:lang w:val="en-AU"/>
        </w:rPr>
        <w:t xml:space="preserve">UL </w:t>
      </w:r>
      <w:r w:rsidRPr="009F56BD">
        <w:rPr>
          <w:lang w:val="en-AU"/>
        </w:rPr>
        <w:t xml:space="preserve">PC purposes as much as possible to avoid specifying redundant signalling. </w:t>
      </w:r>
    </w:p>
    <w:p w14:paraId="548291FF" w14:textId="77777777" w:rsidR="0076094E" w:rsidRPr="0076094E" w:rsidRDefault="0076094E" w:rsidP="0076094E">
      <w:pPr>
        <w:pStyle w:val="Proposal"/>
        <w:rPr>
          <w:lang w:val="en-AU"/>
        </w:rPr>
      </w:pPr>
      <w:r w:rsidRPr="009F56BD">
        <w:rPr>
          <w:lang w:val="en-AU"/>
        </w:rPr>
        <w:lastRenderedPageBreak/>
        <w:t>For a PUSCH transmission</w:t>
      </w:r>
      <w:r>
        <w:rPr>
          <w:lang w:val="en-AU"/>
        </w:rPr>
        <w:t xml:space="preserve">, </w:t>
      </w:r>
      <w:r w:rsidRPr="009F56BD">
        <w:rPr>
          <w:lang w:val="en-AU"/>
        </w:rPr>
        <w:t xml:space="preserve">the </w:t>
      </w:r>
      <w:r>
        <w:rPr>
          <w:lang w:val="en-AU"/>
        </w:rPr>
        <w:t>set of PC parameters {</w:t>
      </w:r>
      <w:proofErr w:type="spellStart"/>
      <w:r>
        <w:rPr>
          <w:lang w:val="en-AU"/>
        </w:rPr>
        <w:t>j,k</w:t>
      </w:r>
      <w:proofErr w:type="spellEnd"/>
      <w:r>
        <w:rPr>
          <w:lang w:val="en-AU"/>
        </w:rPr>
        <w:t xml:space="preserve">} the UE uses to set its </w:t>
      </w:r>
      <w:r w:rsidRPr="009F56BD">
        <w:rPr>
          <w:lang w:val="en-AU"/>
        </w:rPr>
        <w:t>transmit power</w:t>
      </w:r>
      <w:r>
        <w:rPr>
          <w:lang w:val="en-AU"/>
        </w:rPr>
        <w:t xml:space="preserve"> i</w:t>
      </w:r>
      <w:r w:rsidRPr="009F56BD">
        <w:rPr>
          <w:lang w:val="en-AU"/>
        </w:rPr>
        <w:t>s determined from</w:t>
      </w:r>
      <w:r w:rsidRPr="00FB17C8">
        <w:rPr>
          <w:lang w:val="en-AU"/>
        </w:rPr>
        <w:t xml:space="preserve"> </w:t>
      </w:r>
      <w:r>
        <w:rPr>
          <w:lang w:val="en-AU"/>
        </w:rPr>
        <w:t xml:space="preserve">the </w:t>
      </w:r>
      <w:r w:rsidRPr="00FB17C8">
        <w:rPr>
          <w:lang w:val="en-AU"/>
        </w:rPr>
        <w:t xml:space="preserve">N-bit indicator which is </w:t>
      </w:r>
      <w:r w:rsidRPr="009F56BD">
        <w:rPr>
          <w:lang w:val="en-AU"/>
        </w:rPr>
        <w:t>implicit</w:t>
      </w:r>
      <w:r>
        <w:rPr>
          <w:lang w:val="en-AU"/>
        </w:rPr>
        <w:t xml:space="preserve">ly or explicitly signalled to the UE </w:t>
      </w:r>
      <w:r w:rsidRPr="009F56BD">
        <w:rPr>
          <w:lang w:val="en-AU"/>
        </w:rPr>
        <w:t>for that transmission</w:t>
      </w:r>
      <w:r>
        <w:rPr>
          <w:lang w:val="en-AU"/>
        </w:rPr>
        <w:t xml:space="preserve">. </w:t>
      </w:r>
    </w:p>
    <w:p w14:paraId="41442183" w14:textId="77777777" w:rsidR="0076094E" w:rsidRDefault="0076094E" w:rsidP="0076094E">
      <w:pPr>
        <w:pStyle w:val="Proposal"/>
        <w:rPr>
          <w:lang w:val="en-AU"/>
        </w:rPr>
      </w:pPr>
      <w:r>
        <w:rPr>
          <w:lang w:val="en-AU"/>
        </w:rPr>
        <w:t>Define beam specific PUCCH PC from {</w:t>
      </w:r>
      <w:proofErr w:type="spellStart"/>
      <w:r>
        <w:rPr>
          <w:lang w:val="en-AU"/>
        </w:rPr>
        <w:t>j,k</w:t>
      </w:r>
      <w:proofErr w:type="spellEnd"/>
      <w:r>
        <w:rPr>
          <w:lang w:val="en-AU"/>
        </w:rPr>
        <w:t>} in a similar way as PUSCH PC.</w:t>
      </w:r>
    </w:p>
    <w:p w14:paraId="6DC67FEB" w14:textId="77777777" w:rsidR="0076094E" w:rsidRPr="003D2F39" w:rsidRDefault="0076094E" w:rsidP="0076094E">
      <w:pPr>
        <w:pStyle w:val="Proposal"/>
        <w:rPr>
          <w:lang w:val="en-AU"/>
        </w:rPr>
      </w:pPr>
      <w:r w:rsidRPr="009F56BD">
        <w:rPr>
          <w:lang w:val="en-AU"/>
        </w:rPr>
        <w:t>For PU</w:t>
      </w:r>
      <w:r>
        <w:rPr>
          <w:lang w:val="en-AU"/>
        </w:rPr>
        <w:t>C</w:t>
      </w:r>
      <w:r w:rsidRPr="009F56BD">
        <w:rPr>
          <w:lang w:val="en-AU"/>
        </w:rPr>
        <w:t>CH PC</w:t>
      </w:r>
      <w:r>
        <w:rPr>
          <w:lang w:val="en-AU"/>
        </w:rPr>
        <w:t>, in case of beam correspondence</w:t>
      </w:r>
      <w:r w:rsidRPr="009F56BD">
        <w:rPr>
          <w:lang w:val="en-AU"/>
        </w:rPr>
        <w:t xml:space="preserve">, utilize the N-bit indicator field which provides a reference to a DL RS which is spatially </w:t>
      </w:r>
      <w:proofErr w:type="spellStart"/>
      <w:r w:rsidRPr="009F56BD">
        <w:rPr>
          <w:lang w:val="en-AU"/>
        </w:rPr>
        <w:t>QCL’d</w:t>
      </w:r>
      <w:proofErr w:type="spellEnd"/>
      <w:r w:rsidRPr="009F56BD">
        <w:rPr>
          <w:lang w:val="en-AU"/>
        </w:rPr>
        <w:t xml:space="preserve"> with at least one PD</w:t>
      </w:r>
      <w:r>
        <w:rPr>
          <w:lang w:val="en-AU"/>
        </w:rPr>
        <w:t>C</w:t>
      </w:r>
      <w:r w:rsidRPr="009F56BD">
        <w:rPr>
          <w:lang w:val="en-AU"/>
        </w:rPr>
        <w:t xml:space="preserve">CH DMRS port group in order to define a corresponding beam specific </w:t>
      </w:r>
      <w:r>
        <w:rPr>
          <w:lang w:val="en-AU"/>
        </w:rPr>
        <w:t>PC set {</w:t>
      </w:r>
      <w:proofErr w:type="spellStart"/>
      <w:r>
        <w:rPr>
          <w:lang w:val="en-AU"/>
        </w:rPr>
        <w:t>j,k</w:t>
      </w:r>
      <w:proofErr w:type="spellEnd"/>
      <w:r>
        <w:rPr>
          <w:lang w:val="en-AU"/>
        </w:rPr>
        <w:t xml:space="preserve">}. </w:t>
      </w:r>
      <w:r w:rsidRPr="009F56BD">
        <w:rPr>
          <w:lang w:val="en-AU"/>
        </w:rPr>
        <w:t xml:space="preserve"> </w:t>
      </w:r>
    </w:p>
    <w:p w14:paraId="732658B3" w14:textId="77777777" w:rsidR="0076094E" w:rsidRDefault="0076094E" w:rsidP="0076094E">
      <w:pPr>
        <w:pStyle w:val="Proposal"/>
        <w:rPr>
          <w:lang w:val="en-AU"/>
        </w:rPr>
      </w:pPr>
      <w:r w:rsidRPr="009F56BD">
        <w:rPr>
          <w:lang w:val="en-AU"/>
        </w:rPr>
        <w:t>For a PU</w:t>
      </w:r>
      <w:r>
        <w:rPr>
          <w:lang w:val="en-AU"/>
        </w:rPr>
        <w:t>C</w:t>
      </w:r>
      <w:r w:rsidRPr="009F56BD">
        <w:rPr>
          <w:lang w:val="en-AU"/>
        </w:rPr>
        <w:t>CH transmission</w:t>
      </w:r>
      <w:r>
        <w:rPr>
          <w:lang w:val="en-AU"/>
        </w:rPr>
        <w:t>, in case of beam correspondence,</w:t>
      </w:r>
      <w:r w:rsidRPr="009F56BD">
        <w:rPr>
          <w:lang w:val="en-AU"/>
        </w:rPr>
        <w:t xml:space="preserve"> the </w:t>
      </w:r>
      <w:r>
        <w:rPr>
          <w:lang w:val="en-AU"/>
        </w:rPr>
        <w:t>set of PC parameters {</w:t>
      </w:r>
      <w:proofErr w:type="spellStart"/>
      <w:r>
        <w:rPr>
          <w:lang w:val="en-AU"/>
        </w:rPr>
        <w:t>j,k</w:t>
      </w:r>
      <w:proofErr w:type="spellEnd"/>
      <w:r>
        <w:rPr>
          <w:lang w:val="en-AU"/>
        </w:rPr>
        <w:t xml:space="preserve">} the UE uses to set its </w:t>
      </w:r>
      <w:r w:rsidRPr="009F56BD">
        <w:rPr>
          <w:lang w:val="en-AU"/>
        </w:rPr>
        <w:t>transmit power</w:t>
      </w:r>
      <w:r>
        <w:rPr>
          <w:lang w:val="en-AU"/>
        </w:rPr>
        <w:t xml:space="preserve"> i</w:t>
      </w:r>
      <w:r w:rsidRPr="009F56BD">
        <w:rPr>
          <w:lang w:val="en-AU"/>
        </w:rPr>
        <w:t>s determined from</w:t>
      </w:r>
      <w:r w:rsidRPr="00FB17C8">
        <w:rPr>
          <w:lang w:val="en-AU"/>
        </w:rPr>
        <w:t xml:space="preserve"> N-bit indicator which is </w:t>
      </w:r>
      <w:r w:rsidRPr="009F56BD">
        <w:rPr>
          <w:lang w:val="en-AU"/>
        </w:rPr>
        <w:t>implicit</w:t>
      </w:r>
      <w:r>
        <w:rPr>
          <w:lang w:val="en-AU"/>
        </w:rPr>
        <w:t xml:space="preserve">ly or explicitly signalled to the UE </w:t>
      </w:r>
      <w:r w:rsidRPr="009F56BD">
        <w:rPr>
          <w:lang w:val="en-AU"/>
        </w:rPr>
        <w:t>for that transmission</w:t>
      </w:r>
      <w:r>
        <w:rPr>
          <w:lang w:val="en-AU"/>
        </w:rPr>
        <w:t xml:space="preserve">. </w:t>
      </w:r>
    </w:p>
    <w:p w14:paraId="2B355E87" w14:textId="2B01012E" w:rsidR="00A97502" w:rsidRDefault="00A97502" w:rsidP="00650293">
      <w:pPr>
        <w:pStyle w:val="BodyText"/>
        <w:rPr>
          <w:b/>
          <w:bCs/>
        </w:rPr>
      </w:pPr>
    </w:p>
    <w:p w14:paraId="603055AF" w14:textId="77777777" w:rsidR="0076094E" w:rsidRDefault="0076094E" w:rsidP="0076094E">
      <w:pPr>
        <w:pStyle w:val="Proposal"/>
        <w:rPr>
          <w:lang w:val="en-AU"/>
        </w:rPr>
      </w:pPr>
      <w:r>
        <w:rPr>
          <w:lang w:val="en-AU"/>
        </w:rPr>
        <w:t xml:space="preserve">Support beam specific SRS PC such that it is tied together with beam specific PUSCH PC. </w:t>
      </w:r>
    </w:p>
    <w:p w14:paraId="395408B8" w14:textId="77777777" w:rsidR="0076094E" w:rsidRDefault="0076094E" w:rsidP="0076094E">
      <w:pPr>
        <w:pStyle w:val="Proposal"/>
        <w:rPr>
          <w:lang w:val="en-AU"/>
        </w:rPr>
      </w:pPr>
      <w:r w:rsidRPr="009F56BD">
        <w:rPr>
          <w:lang w:val="en-AU"/>
        </w:rPr>
        <w:t xml:space="preserve">Reuse the implicit/explicit beam indication mechanisms defined for </w:t>
      </w:r>
      <w:r>
        <w:rPr>
          <w:lang w:val="en-AU"/>
        </w:rPr>
        <w:t xml:space="preserve">PUSCH PC </w:t>
      </w:r>
      <w:r w:rsidRPr="009F56BD">
        <w:rPr>
          <w:lang w:val="en-AU"/>
        </w:rPr>
        <w:t xml:space="preserve">purposes for </w:t>
      </w:r>
      <w:r>
        <w:rPr>
          <w:lang w:val="en-AU"/>
        </w:rPr>
        <w:t xml:space="preserve">beam specific SRS </w:t>
      </w:r>
      <w:r w:rsidRPr="009F56BD">
        <w:rPr>
          <w:lang w:val="en-AU"/>
        </w:rPr>
        <w:t>PC purposes as much as possible to avoid specifying redundant signalling</w:t>
      </w:r>
      <w:r>
        <w:rPr>
          <w:lang w:val="en-AU"/>
        </w:rPr>
        <w:t xml:space="preserve"> frameworks</w:t>
      </w:r>
      <w:r w:rsidRPr="009F56BD">
        <w:rPr>
          <w:lang w:val="en-AU"/>
        </w:rPr>
        <w:t xml:space="preserve">. </w:t>
      </w:r>
      <w:r>
        <w:rPr>
          <w:lang w:val="en-AU"/>
        </w:rPr>
        <w:t xml:space="preserve"> </w:t>
      </w:r>
    </w:p>
    <w:p w14:paraId="33B36808" w14:textId="77777777" w:rsidR="0076094E" w:rsidRPr="00354F11" w:rsidRDefault="0076094E" w:rsidP="0076094E">
      <w:pPr>
        <w:pStyle w:val="Proposal"/>
        <w:rPr>
          <w:lang w:val="en-AU"/>
        </w:rPr>
      </w:pPr>
      <w:r>
        <w:rPr>
          <w:lang w:val="en-AU"/>
        </w:rPr>
        <w:t xml:space="preserve">Support non beam specific PUSCH PC and SRS PC. </w:t>
      </w:r>
    </w:p>
    <w:p w14:paraId="41FD991D" w14:textId="0F04DCE5" w:rsidR="00266A5F" w:rsidRDefault="00266A5F" w:rsidP="00650293">
      <w:pPr>
        <w:pStyle w:val="BodyText"/>
        <w:rPr>
          <w:b/>
          <w:bCs/>
        </w:rPr>
      </w:pPr>
    </w:p>
    <w:p w14:paraId="75DF5E02" w14:textId="76D77BDD" w:rsidR="00266A5F" w:rsidRPr="00130E08" w:rsidRDefault="00266A5F" w:rsidP="00266A5F">
      <w:pPr>
        <w:pStyle w:val="Heading1"/>
      </w:pPr>
      <w:r>
        <w:t>References</w:t>
      </w:r>
    </w:p>
    <w:p w14:paraId="5CB74C23" w14:textId="77777777" w:rsidR="00CA1CD2" w:rsidRDefault="00CA1CD2" w:rsidP="00CA1CD2">
      <w:pPr>
        <w:pStyle w:val="BodyText"/>
      </w:pPr>
      <w:r>
        <w:t>[1] R1-1718747 – “On UL Beam Indication”, Ericsson</w:t>
      </w:r>
      <w:r w:rsidRPr="000C4A37">
        <w:t xml:space="preserve">, </w:t>
      </w:r>
      <w:r>
        <w:t>RAN1#90bis, Prague, Czech Republic, October 2017.</w:t>
      </w:r>
    </w:p>
    <w:p w14:paraId="489AE4E7" w14:textId="4B046F0C" w:rsidR="00266A5F" w:rsidRPr="00650293" w:rsidRDefault="00CA1CD2" w:rsidP="00650293">
      <w:pPr>
        <w:pStyle w:val="BodyText"/>
        <w:rPr>
          <w:b/>
          <w:bCs/>
          <w:lang w:val="en-AU"/>
        </w:rPr>
      </w:pPr>
      <w:r w:rsidDel="00CA1CD2">
        <w:rPr>
          <w:lang w:val="en-AU"/>
        </w:rPr>
        <w:t xml:space="preserve"> </w:t>
      </w:r>
    </w:p>
    <w:sectPr w:rsidR="00266A5F" w:rsidRPr="00650293"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4DA98" w14:textId="77777777" w:rsidR="003854EC" w:rsidRDefault="003854EC">
      <w:r>
        <w:separator/>
      </w:r>
    </w:p>
  </w:endnote>
  <w:endnote w:type="continuationSeparator" w:id="0">
    <w:p w14:paraId="1DEFC4BA" w14:textId="77777777" w:rsidR="003854EC" w:rsidRDefault="0038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0E19" w14:textId="77777777" w:rsidR="00650293" w:rsidRDefault="00650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D3A75A3" w:rsidR="00650293" w:rsidRDefault="006502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1C2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1C29">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E5BFF" w14:textId="77777777" w:rsidR="00650293" w:rsidRDefault="00650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0F553" w14:textId="77777777" w:rsidR="003854EC" w:rsidRDefault="003854EC">
      <w:r>
        <w:separator/>
      </w:r>
    </w:p>
  </w:footnote>
  <w:footnote w:type="continuationSeparator" w:id="0">
    <w:p w14:paraId="5506F060" w14:textId="77777777" w:rsidR="003854EC" w:rsidRDefault="00385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50293" w:rsidRDefault="006502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4077E" w14:textId="77777777" w:rsidR="00650293" w:rsidRDefault="00650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354BE" w14:textId="77777777" w:rsidR="00650293" w:rsidRDefault="00650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9F3106"/>
    <w:multiLevelType w:val="multilevel"/>
    <w:tmpl w:val="EA3CA4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7C41169"/>
    <w:multiLevelType w:val="multilevel"/>
    <w:tmpl w:val="259C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3A20C1"/>
    <w:multiLevelType w:val="multilevel"/>
    <w:tmpl w:val="8D00C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63AFF"/>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F43A05"/>
    <w:multiLevelType w:val="hybridMultilevel"/>
    <w:tmpl w:val="9EB07084"/>
    <w:lvl w:ilvl="0" w:tplc="081D000F">
      <w:start w:val="1"/>
      <w:numFmt w:val="decimal"/>
      <w:lvlText w:val="%1."/>
      <w:lvlJc w:val="left"/>
      <w:pPr>
        <w:ind w:left="720" w:hanging="360"/>
      </w:pPr>
      <w:rPr>
        <w:rFonts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43F64"/>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1" w15:restartNumberingAfterBreak="0">
    <w:nsid w:val="7BE84E7D"/>
    <w:multiLevelType w:val="hybridMultilevel"/>
    <w:tmpl w:val="9A52C9B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16"/>
  </w:num>
  <w:num w:numId="10">
    <w:abstractNumId w:val="11"/>
  </w:num>
  <w:num w:numId="11">
    <w:abstractNumId w:val="6"/>
  </w:num>
  <w:num w:numId="12">
    <w:abstractNumId w:val="20"/>
  </w:num>
  <w:num w:numId="13">
    <w:abstractNumId w:val="2"/>
  </w:num>
  <w:num w:numId="14">
    <w:abstractNumId w:val="4"/>
  </w:num>
  <w:num w:numId="15">
    <w:abstractNumId w:val="19"/>
  </w:num>
  <w:num w:numId="16">
    <w:abstractNumId w:val="1"/>
  </w:num>
  <w:num w:numId="17">
    <w:abstractNumId w:val="3"/>
  </w:num>
  <w:num w:numId="18">
    <w:abstractNumId w:val="5"/>
  </w:num>
  <w:num w:numId="19">
    <w:abstractNumId w:val="18"/>
  </w:num>
  <w:num w:numId="20">
    <w:abstractNumId w:val="7"/>
  </w:num>
  <w:num w:numId="21">
    <w:abstractNumId w:val="21"/>
  </w:num>
  <w:num w:numId="22">
    <w:abstractNumId w:val="10"/>
  </w:num>
  <w:num w:numId="23">
    <w:abstractNumId w:val="12"/>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72B"/>
    <w:rsid w:val="00006446"/>
    <w:rsid w:val="00006896"/>
    <w:rsid w:val="00007CDC"/>
    <w:rsid w:val="00011B28"/>
    <w:rsid w:val="00011C2F"/>
    <w:rsid w:val="00015D15"/>
    <w:rsid w:val="00022A29"/>
    <w:rsid w:val="00022D6A"/>
    <w:rsid w:val="0002564D"/>
    <w:rsid w:val="00025ECA"/>
    <w:rsid w:val="00030B30"/>
    <w:rsid w:val="000325B8"/>
    <w:rsid w:val="00034A62"/>
    <w:rsid w:val="00034C15"/>
    <w:rsid w:val="00036BA1"/>
    <w:rsid w:val="00042009"/>
    <w:rsid w:val="000422E2"/>
    <w:rsid w:val="00042F22"/>
    <w:rsid w:val="000444EF"/>
    <w:rsid w:val="00052A07"/>
    <w:rsid w:val="000534E3"/>
    <w:rsid w:val="0005606A"/>
    <w:rsid w:val="00057117"/>
    <w:rsid w:val="000579D9"/>
    <w:rsid w:val="000616E7"/>
    <w:rsid w:val="00062461"/>
    <w:rsid w:val="0006487E"/>
    <w:rsid w:val="00065E1A"/>
    <w:rsid w:val="00067527"/>
    <w:rsid w:val="000700BE"/>
    <w:rsid w:val="00077E5F"/>
    <w:rsid w:val="0008036A"/>
    <w:rsid w:val="00081AE6"/>
    <w:rsid w:val="00084BE5"/>
    <w:rsid w:val="000855EB"/>
    <w:rsid w:val="00085B52"/>
    <w:rsid w:val="000866F2"/>
    <w:rsid w:val="0009009F"/>
    <w:rsid w:val="00091557"/>
    <w:rsid w:val="000924C1"/>
    <w:rsid w:val="000924F0"/>
    <w:rsid w:val="00093474"/>
    <w:rsid w:val="0009510F"/>
    <w:rsid w:val="000A1B7B"/>
    <w:rsid w:val="000A389D"/>
    <w:rsid w:val="000A56F2"/>
    <w:rsid w:val="000A5F6A"/>
    <w:rsid w:val="000B2719"/>
    <w:rsid w:val="000B3A8F"/>
    <w:rsid w:val="000B4AB9"/>
    <w:rsid w:val="000B58C3"/>
    <w:rsid w:val="000B61E9"/>
    <w:rsid w:val="000C165A"/>
    <w:rsid w:val="000C2E19"/>
    <w:rsid w:val="000C45D5"/>
    <w:rsid w:val="000C4C24"/>
    <w:rsid w:val="000D0B7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673"/>
    <w:rsid w:val="001219F5"/>
    <w:rsid w:val="00121A20"/>
    <w:rsid w:val="0012377F"/>
    <w:rsid w:val="00124314"/>
    <w:rsid w:val="00126B4A"/>
    <w:rsid w:val="00130E08"/>
    <w:rsid w:val="001326C2"/>
    <w:rsid w:val="00132FD0"/>
    <w:rsid w:val="001344C0"/>
    <w:rsid w:val="001346FA"/>
    <w:rsid w:val="00135252"/>
    <w:rsid w:val="00137AB5"/>
    <w:rsid w:val="00137BCE"/>
    <w:rsid w:val="00137F0B"/>
    <w:rsid w:val="0014407A"/>
    <w:rsid w:val="00151E23"/>
    <w:rsid w:val="001526E0"/>
    <w:rsid w:val="0015373E"/>
    <w:rsid w:val="001551B5"/>
    <w:rsid w:val="00163610"/>
    <w:rsid w:val="001659C1"/>
    <w:rsid w:val="00173A8E"/>
    <w:rsid w:val="0018143F"/>
    <w:rsid w:val="00190AC1"/>
    <w:rsid w:val="00193256"/>
    <w:rsid w:val="0019341A"/>
    <w:rsid w:val="00197DF9"/>
    <w:rsid w:val="001A1987"/>
    <w:rsid w:val="001A2564"/>
    <w:rsid w:val="001A39D1"/>
    <w:rsid w:val="001A58F1"/>
    <w:rsid w:val="001A6173"/>
    <w:rsid w:val="001A6CBA"/>
    <w:rsid w:val="001B0D97"/>
    <w:rsid w:val="001B4FC6"/>
    <w:rsid w:val="001B5A5D"/>
    <w:rsid w:val="001B762F"/>
    <w:rsid w:val="001C1CE5"/>
    <w:rsid w:val="001C3D2A"/>
    <w:rsid w:val="001C772C"/>
    <w:rsid w:val="001D1BEF"/>
    <w:rsid w:val="001D51BA"/>
    <w:rsid w:val="001D6342"/>
    <w:rsid w:val="001D6D53"/>
    <w:rsid w:val="001E2560"/>
    <w:rsid w:val="001E58E2"/>
    <w:rsid w:val="001E7AED"/>
    <w:rsid w:val="001F2D01"/>
    <w:rsid w:val="001F3916"/>
    <w:rsid w:val="001F4D39"/>
    <w:rsid w:val="001F54C5"/>
    <w:rsid w:val="001F662C"/>
    <w:rsid w:val="001F7074"/>
    <w:rsid w:val="0020020B"/>
    <w:rsid w:val="00200490"/>
    <w:rsid w:val="00201F3A"/>
    <w:rsid w:val="00202A3B"/>
    <w:rsid w:val="00203F96"/>
    <w:rsid w:val="002069B2"/>
    <w:rsid w:val="00207FA3"/>
    <w:rsid w:val="00214DA8"/>
    <w:rsid w:val="00215423"/>
    <w:rsid w:val="002158FA"/>
    <w:rsid w:val="00220600"/>
    <w:rsid w:val="00220DD8"/>
    <w:rsid w:val="002218E2"/>
    <w:rsid w:val="002224DB"/>
    <w:rsid w:val="00223FCB"/>
    <w:rsid w:val="002252C3"/>
    <w:rsid w:val="00225C54"/>
    <w:rsid w:val="00230765"/>
    <w:rsid w:val="002319E4"/>
    <w:rsid w:val="00231E12"/>
    <w:rsid w:val="00234BED"/>
    <w:rsid w:val="00235632"/>
    <w:rsid w:val="00235872"/>
    <w:rsid w:val="00241559"/>
    <w:rsid w:val="002435B3"/>
    <w:rsid w:val="002451ED"/>
    <w:rsid w:val="002458EB"/>
    <w:rsid w:val="002500C8"/>
    <w:rsid w:val="00251D8C"/>
    <w:rsid w:val="00256046"/>
    <w:rsid w:val="00257543"/>
    <w:rsid w:val="00260BC7"/>
    <w:rsid w:val="002611E7"/>
    <w:rsid w:val="002617E7"/>
    <w:rsid w:val="00264228"/>
    <w:rsid w:val="00264334"/>
    <w:rsid w:val="0026473E"/>
    <w:rsid w:val="00266214"/>
    <w:rsid w:val="00266A5F"/>
    <w:rsid w:val="00267C83"/>
    <w:rsid w:val="0027144F"/>
    <w:rsid w:val="00271813"/>
    <w:rsid w:val="00271F3A"/>
    <w:rsid w:val="002728CC"/>
    <w:rsid w:val="00273278"/>
    <w:rsid w:val="002737F4"/>
    <w:rsid w:val="00277C7E"/>
    <w:rsid w:val="002805F5"/>
    <w:rsid w:val="00280751"/>
    <w:rsid w:val="0028280A"/>
    <w:rsid w:val="00286ACD"/>
    <w:rsid w:val="00287838"/>
    <w:rsid w:val="002907B5"/>
    <w:rsid w:val="00292EB7"/>
    <w:rsid w:val="00296227"/>
    <w:rsid w:val="00296F44"/>
    <w:rsid w:val="0029777D"/>
    <w:rsid w:val="002A055E"/>
    <w:rsid w:val="002A1D4E"/>
    <w:rsid w:val="002A2869"/>
    <w:rsid w:val="002A4BDC"/>
    <w:rsid w:val="002A5BD6"/>
    <w:rsid w:val="002B0369"/>
    <w:rsid w:val="002B24D6"/>
    <w:rsid w:val="002C41E6"/>
    <w:rsid w:val="002D071A"/>
    <w:rsid w:val="002D1ED2"/>
    <w:rsid w:val="002D246D"/>
    <w:rsid w:val="002D34B2"/>
    <w:rsid w:val="002D7637"/>
    <w:rsid w:val="002E0289"/>
    <w:rsid w:val="002E17F2"/>
    <w:rsid w:val="002E2E91"/>
    <w:rsid w:val="002E4464"/>
    <w:rsid w:val="002E507C"/>
    <w:rsid w:val="002E5561"/>
    <w:rsid w:val="002E5760"/>
    <w:rsid w:val="002E7CAE"/>
    <w:rsid w:val="002F2771"/>
    <w:rsid w:val="002F37A9"/>
    <w:rsid w:val="002F6288"/>
    <w:rsid w:val="00301CE6"/>
    <w:rsid w:val="0030256B"/>
    <w:rsid w:val="0030501F"/>
    <w:rsid w:val="00307BA1"/>
    <w:rsid w:val="00311702"/>
    <w:rsid w:val="00311E82"/>
    <w:rsid w:val="00312CCC"/>
    <w:rsid w:val="00313FD6"/>
    <w:rsid w:val="003143BD"/>
    <w:rsid w:val="00316180"/>
    <w:rsid w:val="003203ED"/>
    <w:rsid w:val="0032071F"/>
    <w:rsid w:val="00322C9F"/>
    <w:rsid w:val="003233EC"/>
    <w:rsid w:val="00324D23"/>
    <w:rsid w:val="00327997"/>
    <w:rsid w:val="00331751"/>
    <w:rsid w:val="00331B7B"/>
    <w:rsid w:val="00334579"/>
    <w:rsid w:val="00335858"/>
    <w:rsid w:val="00336BDA"/>
    <w:rsid w:val="00337FDC"/>
    <w:rsid w:val="00342BD7"/>
    <w:rsid w:val="003453D8"/>
    <w:rsid w:val="00346DB5"/>
    <w:rsid w:val="003477B1"/>
    <w:rsid w:val="00356447"/>
    <w:rsid w:val="00356A14"/>
    <w:rsid w:val="00357380"/>
    <w:rsid w:val="003602D9"/>
    <w:rsid w:val="003604CE"/>
    <w:rsid w:val="00370E47"/>
    <w:rsid w:val="003742AC"/>
    <w:rsid w:val="00374ADB"/>
    <w:rsid w:val="00377CE1"/>
    <w:rsid w:val="003854EC"/>
    <w:rsid w:val="00385BF0"/>
    <w:rsid w:val="003939FF"/>
    <w:rsid w:val="00393FEE"/>
    <w:rsid w:val="003A0E41"/>
    <w:rsid w:val="003A2223"/>
    <w:rsid w:val="003A2A0F"/>
    <w:rsid w:val="003A45A1"/>
    <w:rsid w:val="003A5B0A"/>
    <w:rsid w:val="003A6BAC"/>
    <w:rsid w:val="003A7EF3"/>
    <w:rsid w:val="003B159C"/>
    <w:rsid w:val="003B369F"/>
    <w:rsid w:val="003B36A3"/>
    <w:rsid w:val="003B5496"/>
    <w:rsid w:val="003B7FE5"/>
    <w:rsid w:val="003C11C8"/>
    <w:rsid w:val="003C2702"/>
    <w:rsid w:val="003C7806"/>
    <w:rsid w:val="003D109F"/>
    <w:rsid w:val="003D2478"/>
    <w:rsid w:val="003D2F39"/>
    <w:rsid w:val="003D3C45"/>
    <w:rsid w:val="003D5B1F"/>
    <w:rsid w:val="003E15FA"/>
    <w:rsid w:val="003E55E4"/>
    <w:rsid w:val="003E74E3"/>
    <w:rsid w:val="003F05C7"/>
    <w:rsid w:val="003F2CD4"/>
    <w:rsid w:val="003F6BBE"/>
    <w:rsid w:val="004000E8"/>
    <w:rsid w:val="004007B2"/>
    <w:rsid w:val="00402933"/>
    <w:rsid w:val="00402E2B"/>
    <w:rsid w:val="004033B5"/>
    <w:rsid w:val="00403959"/>
    <w:rsid w:val="004050EA"/>
    <w:rsid w:val="0040512B"/>
    <w:rsid w:val="00405CA5"/>
    <w:rsid w:val="00407CD3"/>
    <w:rsid w:val="00410134"/>
    <w:rsid w:val="00410B72"/>
    <w:rsid w:val="00410F18"/>
    <w:rsid w:val="0041263E"/>
    <w:rsid w:val="00413AAC"/>
    <w:rsid w:val="00413E92"/>
    <w:rsid w:val="00421105"/>
    <w:rsid w:val="004242F4"/>
    <w:rsid w:val="00427248"/>
    <w:rsid w:val="0043084A"/>
    <w:rsid w:val="00437447"/>
    <w:rsid w:val="00441782"/>
    <w:rsid w:val="00441A92"/>
    <w:rsid w:val="00444F56"/>
    <w:rsid w:val="00446488"/>
    <w:rsid w:val="004517AA"/>
    <w:rsid w:val="00452311"/>
    <w:rsid w:val="00452CAC"/>
    <w:rsid w:val="00457565"/>
    <w:rsid w:val="00457B71"/>
    <w:rsid w:val="00465ABC"/>
    <w:rsid w:val="004669E2"/>
    <w:rsid w:val="00470C31"/>
    <w:rsid w:val="004734D0"/>
    <w:rsid w:val="0047556B"/>
    <w:rsid w:val="00477768"/>
    <w:rsid w:val="0048127A"/>
    <w:rsid w:val="00486883"/>
    <w:rsid w:val="00492BC5"/>
    <w:rsid w:val="004964F1"/>
    <w:rsid w:val="0049696D"/>
    <w:rsid w:val="004A16BC"/>
    <w:rsid w:val="004A2B94"/>
    <w:rsid w:val="004A7EBA"/>
    <w:rsid w:val="004B7C0C"/>
    <w:rsid w:val="004C3898"/>
    <w:rsid w:val="004C4136"/>
    <w:rsid w:val="004D10DD"/>
    <w:rsid w:val="004D36B1"/>
    <w:rsid w:val="004D7EBD"/>
    <w:rsid w:val="004E2680"/>
    <w:rsid w:val="004E28F9"/>
    <w:rsid w:val="004E462E"/>
    <w:rsid w:val="004E56DC"/>
    <w:rsid w:val="004E76F4"/>
    <w:rsid w:val="004F0B4E"/>
    <w:rsid w:val="004F0B6C"/>
    <w:rsid w:val="004F2078"/>
    <w:rsid w:val="004F4DA3"/>
    <w:rsid w:val="00505DE4"/>
    <w:rsid w:val="00506557"/>
    <w:rsid w:val="0050677A"/>
    <w:rsid w:val="005108D8"/>
    <w:rsid w:val="005116F9"/>
    <w:rsid w:val="00511CF4"/>
    <w:rsid w:val="005153A7"/>
    <w:rsid w:val="00516489"/>
    <w:rsid w:val="005219CF"/>
    <w:rsid w:val="00524195"/>
    <w:rsid w:val="00534908"/>
    <w:rsid w:val="00534B59"/>
    <w:rsid w:val="00536486"/>
    <w:rsid w:val="00536759"/>
    <w:rsid w:val="00537C62"/>
    <w:rsid w:val="005430E3"/>
    <w:rsid w:val="00546970"/>
    <w:rsid w:val="00547F03"/>
    <w:rsid w:val="00554192"/>
    <w:rsid w:val="00554E19"/>
    <w:rsid w:val="0056121F"/>
    <w:rsid w:val="00563833"/>
    <w:rsid w:val="005638C6"/>
    <w:rsid w:val="00572505"/>
    <w:rsid w:val="00575DA6"/>
    <w:rsid w:val="00582809"/>
    <w:rsid w:val="00583278"/>
    <w:rsid w:val="00583D71"/>
    <w:rsid w:val="005857CF"/>
    <w:rsid w:val="0058798C"/>
    <w:rsid w:val="00587C44"/>
    <w:rsid w:val="005900FA"/>
    <w:rsid w:val="005935A4"/>
    <w:rsid w:val="005948C2"/>
    <w:rsid w:val="00595DCA"/>
    <w:rsid w:val="00595FC9"/>
    <w:rsid w:val="0059779B"/>
    <w:rsid w:val="005A209A"/>
    <w:rsid w:val="005A5BFC"/>
    <w:rsid w:val="005A662D"/>
    <w:rsid w:val="005B0E1C"/>
    <w:rsid w:val="005B30CF"/>
    <w:rsid w:val="005B35D7"/>
    <w:rsid w:val="005B392A"/>
    <w:rsid w:val="005B3AA3"/>
    <w:rsid w:val="005B6DD3"/>
    <w:rsid w:val="005B6F83"/>
    <w:rsid w:val="005C6E7A"/>
    <w:rsid w:val="005C74FB"/>
    <w:rsid w:val="005D1602"/>
    <w:rsid w:val="005E385F"/>
    <w:rsid w:val="005E5B81"/>
    <w:rsid w:val="005F2A74"/>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CA7"/>
    <w:rsid w:val="0064624E"/>
    <w:rsid w:val="00646CC6"/>
    <w:rsid w:val="00650293"/>
    <w:rsid w:val="00650AB9"/>
    <w:rsid w:val="00655733"/>
    <w:rsid w:val="00655ACD"/>
    <w:rsid w:val="00656A92"/>
    <w:rsid w:val="00656DDE"/>
    <w:rsid w:val="0066011D"/>
    <w:rsid w:val="006607C0"/>
    <w:rsid w:val="0066128E"/>
    <w:rsid w:val="006613A6"/>
    <w:rsid w:val="0066174F"/>
    <w:rsid w:val="006627A2"/>
    <w:rsid w:val="006634E6"/>
    <w:rsid w:val="006655EE"/>
    <w:rsid w:val="00667EE7"/>
    <w:rsid w:val="00670922"/>
    <w:rsid w:val="00670BE1"/>
    <w:rsid w:val="0067218F"/>
    <w:rsid w:val="006741F2"/>
    <w:rsid w:val="00674CC3"/>
    <w:rsid w:val="00675C72"/>
    <w:rsid w:val="006771F9"/>
    <w:rsid w:val="006776D7"/>
    <w:rsid w:val="006807ED"/>
    <w:rsid w:val="00681003"/>
    <w:rsid w:val="006817C9"/>
    <w:rsid w:val="00683ECE"/>
    <w:rsid w:val="00691F58"/>
    <w:rsid w:val="006946D1"/>
    <w:rsid w:val="00695FC2"/>
    <w:rsid w:val="00696949"/>
    <w:rsid w:val="00697052"/>
    <w:rsid w:val="006A46FB"/>
    <w:rsid w:val="006A58CD"/>
    <w:rsid w:val="006A5E28"/>
    <w:rsid w:val="006A6585"/>
    <w:rsid w:val="006A697B"/>
    <w:rsid w:val="006A7AFF"/>
    <w:rsid w:val="006B1816"/>
    <w:rsid w:val="006B2099"/>
    <w:rsid w:val="006B24D4"/>
    <w:rsid w:val="006B50CF"/>
    <w:rsid w:val="006C03B8"/>
    <w:rsid w:val="006C2243"/>
    <w:rsid w:val="006C5EC9"/>
    <w:rsid w:val="006C6059"/>
    <w:rsid w:val="006C7522"/>
    <w:rsid w:val="006C7633"/>
    <w:rsid w:val="006D098B"/>
    <w:rsid w:val="006D6F08"/>
    <w:rsid w:val="006E062C"/>
    <w:rsid w:val="006E1514"/>
    <w:rsid w:val="006E2288"/>
    <w:rsid w:val="006E28B7"/>
    <w:rsid w:val="006E2C5D"/>
    <w:rsid w:val="006E3310"/>
    <w:rsid w:val="006E3D9D"/>
    <w:rsid w:val="006E4E39"/>
    <w:rsid w:val="006E565E"/>
    <w:rsid w:val="006E673D"/>
    <w:rsid w:val="006E6F50"/>
    <w:rsid w:val="006E7D3B"/>
    <w:rsid w:val="006F1B70"/>
    <w:rsid w:val="006F341D"/>
    <w:rsid w:val="006F3CDE"/>
    <w:rsid w:val="006F58D4"/>
    <w:rsid w:val="007025A0"/>
    <w:rsid w:val="0070346E"/>
    <w:rsid w:val="00704EDB"/>
    <w:rsid w:val="00706101"/>
    <w:rsid w:val="00707072"/>
    <w:rsid w:val="00707D61"/>
    <w:rsid w:val="00712287"/>
    <w:rsid w:val="00712772"/>
    <w:rsid w:val="007148D3"/>
    <w:rsid w:val="00715B9A"/>
    <w:rsid w:val="00726174"/>
    <w:rsid w:val="00726EA6"/>
    <w:rsid w:val="00727208"/>
    <w:rsid w:val="00727680"/>
    <w:rsid w:val="007348B1"/>
    <w:rsid w:val="007362A6"/>
    <w:rsid w:val="00736D7D"/>
    <w:rsid w:val="00737FB0"/>
    <w:rsid w:val="00740E58"/>
    <w:rsid w:val="007445A0"/>
    <w:rsid w:val="0074524B"/>
    <w:rsid w:val="007465C6"/>
    <w:rsid w:val="00747C22"/>
    <w:rsid w:val="00747D8B"/>
    <w:rsid w:val="00751228"/>
    <w:rsid w:val="00755917"/>
    <w:rsid w:val="007571E1"/>
    <w:rsid w:val="007604B2"/>
    <w:rsid w:val="0076094E"/>
    <w:rsid w:val="007627E0"/>
    <w:rsid w:val="007641F9"/>
    <w:rsid w:val="00765281"/>
    <w:rsid w:val="00766BAD"/>
    <w:rsid w:val="007748D4"/>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43F"/>
    <w:rsid w:val="007C3D18"/>
    <w:rsid w:val="007C55DF"/>
    <w:rsid w:val="007C60BF"/>
    <w:rsid w:val="007C6A07"/>
    <w:rsid w:val="007C75A1"/>
    <w:rsid w:val="007C77A5"/>
    <w:rsid w:val="007D04E5"/>
    <w:rsid w:val="007D5901"/>
    <w:rsid w:val="007D69C1"/>
    <w:rsid w:val="007D7526"/>
    <w:rsid w:val="007E4610"/>
    <w:rsid w:val="007E4715"/>
    <w:rsid w:val="007E505B"/>
    <w:rsid w:val="007E7091"/>
    <w:rsid w:val="007F2C79"/>
    <w:rsid w:val="007F75D5"/>
    <w:rsid w:val="00803FAE"/>
    <w:rsid w:val="0080605F"/>
    <w:rsid w:val="00806EE7"/>
    <w:rsid w:val="00807786"/>
    <w:rsid w:val="00811FCB"/>
    <w:rsid w:val="00813CF7"/>
    <w:rsid w:val="008158D6"/>
    <w:rsid w:val="00817196"/>
    <w:rsid w:val="008179F8"/>
    <w:rsid w:val="008235DB"/>
    <w:rsid w:val="00823BA0"/>
    <w:rsid w:val="00824AB4"/>
    <w:rsid w:val="00825C42"/>
    <w:rsid w:val="00825D25"/>
    <w:rsid w:val="00826179"/>
    <w:rsid w:val="00827D6F"/>
    <w:rsid w:val="008376AC"/>
    <w:rsid w:val="00840154"/>
    <w:rsid w:val="008444E8"/>
    <w:rsid w:val="00844E80"/>
    <w:rsid w:val="00846FE7"/>
    <w:rsid w:val="00856911"/>
    <w:rsid w:val="00863836"/>
    <w:rsid w:val="00866BA1"/>
    <w:rsid w:val="0086748D"/>
    <w:rsid w:val="008677FD"/>
    <w:rsid w:val="008706D4"/>
    <w:rsid w:val="00870F8A"/>
    <w:rsid w:val="008719A4"/>
    <w:rsid w:val="00871D23"/>
    <w:rsid w:val="00874312"/>
    <w:rsid w:val="0087437C"/>
    <w:rsid w:val="00875CD7"/>
    <w:rsid w:val="008767A9"/>
    <w:rsid w:val="00876B4D"/>
    <w:rsid w:val="00877F18"/>
    <w:rsid w:val="008867F3"/>
    <w:rsid w:val="00887039"/>
    <w:rsid w:val="00894A88"/>
    <w:rsid w:val="00895386"/>
    <w:rsid w:val="008A21FF"/>
    <w:rsid w:val="008A2CE2"/>
    <w:rsid w:val="008A30AC"/>
    <w:rsid w:val="008A44B8"/>
    <w:rsid w:val="008A51A8"/>
    <w:rsid w:val="008A54C7"/>
    <w:rsid w:val="008A59D9"/>
    <w:rsid w:val="008A71AF"/>
    <w:rsid w:val="008A77D8"/>
    <w:rsid w:val="008B0483"/>
    <w:rsid w:val="008B120C"/>
    <w:rsid w:val="008B51A0"/>
    <w:rsid w:val="008B592A"/>
    <w:rsid w:val="008B7B5C"/>
    <w:rsid w:val="008C0C99"/>
    <w:rsid w:val="008C2017"/>
    <w:rsid w:val="008C4958"/>
    <w:rsid w:val="008C4BAA"/>
    <w:rsid w:val="008C6AE8"/>
    <w:rsid w:val="008C7573"/>
    <w:rsid w:val="008D272C"/>
    <w:rsid w:val="008D34F1"/>
    <w:rsid w:val="008D39D8"/>
    <w:rsid w:val="008D3E5D"/>
    <w:rsid w:val="008D6D1A"/>
    <w:rsid w:val="008E065E"/>
    <w:rsid w:val="008E0927"/>
    <w:rsid w:val="008E1909"/>
    <w:rsid w:val="008F1EAB"/>
    <w:rsid w:val="008F33DC"/>
    <w:rsid w:val="008F477F"/>
    <w:rsid w:val="00902350"/>
    <w:rsid w:val="0090262A"/>
    <w:rsid w:val="0090336B"/>
    <w:rsid w:val="009053AA"/>
    <w:rsid w:val="00906939"/>
    <w:rsid w:val="0090712D"/>
    <w:rsid w:val="00910B7D"/>
    <w:rsid w:val="00911DFB"/>
    <w:rsid w:val="009120C5"/>
    <w:rsid w:val="0091328D"/>
    <w:rsid w:val="009139D9"/>
    <w:rsid w:val="00914AD8"/>
    <w:rsid w:val="00916079"/>
    <w:rsid w:val="00917CE9"/>
    <w:rsid w:val="00920BF2"/>
    <w:rsid w:val="00922010"/>
    <w:rsid w:val="00923227"/>
    <w:rsid w:val="00924622"/>
    <w:rsid w:val="00931BD9"/>
    <w:rsid w:val="0093248D"/>
    <w:rsid w:val="00935739"/>
    <w:rsid w:val="00935E61"/>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3044"/>
    <w:rsid w:val="0096363C"/>
    <w:rsid w:val="0096430A"/>
    <w:rsid w:val="0096554B"/>
    <w:rsid w:val="0096584A"/>
    <w:rsid w:val="00971F08"/>
    <w:rsid w:val="009721B3"/>
    <w:rsid w:val="0097493A"/>
    <w:rsid w:val="0097603D"/>
    <w:rsid w:val="00976949"/>
    <w:rsid w:val="00980477"/>
    <w:rsid w:val="00982EF9"/>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CE4"/>
    <w:rsid w:val="009B1F30"/>
    <w:rsid w:val="009B3AC2"/>
    <w:rsid w:val="009B4DF4"/>
    <w:rsid w:val="009B564E"/>
    <w:rsid w:val="009B7E87"/>
    <w:rsid w:val="009C1188"/>
    <w:rsid w:val="009C403E"/>
    <w:rsid w:val="009C6832"/>
    <w:rsid w:val="009C6D4D"/>
    <w:rsid w:val="009D01F3"/>
    <w:rsid w:val="009D28E4"/>
    <w:rsid w:val="009D4FF0"/>
    <w:rsid w:val="009D703C"/>
    <w:rsid w:val="009D718F"/>
    <w:rsid w:val="009E068F"/>
    <w:rsid w:val="009E14E0"/>
    <w:rsid w:val="009E35DB"/>
    <w:rsid w:val="009E47A3"/>
    <w:rsid w:val="009F08F3"/>
    <w:rsid w:val="009F344F"/>
    <w:rsid w:val="009F56BD"/>
    <w:rsid w:val="00A031D8"/>
    <w:rsid w:val="00A048A8"/>
    <w:rsid w:val="00A04F49"/>
    <w:rsid w:val="00A0767D"/>
    <w:rsid w:val="00A13E54"/>
    <w:rsid w:val="00A15745"/>
    <w:rsid w:val="00A1601D"/>
    <w:rsid w:val="00A17F63"/>
    <w:rsid w:val="00A2193B"/>
    <w:rsid w:val="00A2351A"/>
    <w:rsid w:val="00A264A9"/>
    <w:rsid w:val="00A2683F"/>
    <w:rsid w:val="00A27785"/>
    <w:rsid w:val="00A30187"/>
    <w:rsid w:val="00A3448A"/>
    <w:rsid w:val="00A36297"/>
    <w:rsid w:val="00A41E2B"/>
    <w:rsid w:val="00A45B74"/>
    <w:rsid w:val="00A52E1D"/>
    <w:rsid w:val="00A61499"/>
    <w:rsid w:val="00A62A77"/>
    <w:rsid w:val="00A63483"/>
    <w:rsid w:val="00A657D7"/>
    <w:rsid w:val="00A660AC"/>
    <w:rsid w:val="00A67242"/>
    <w:rsid w:val="00A67E6C"/>
    <w:rsid w:val="00A71B99"/>
    <w:rsid w:val="00A739D0"/>
    <w:rsid w:val="00A761D4"/>
    <w:rsid w:val="00A77EC4"/>
    <w:rsid w:val="00A826CC"/>
    <w:rsid w:val="00A85C6C"/>
    <w:rsid w:val="00A85EF6"/>
    <w:rsid w:val="00A92879"/>
    <w:rsid w:val="00A9442A"/>
    <w:rsid w:val="00A970EB"/>
    <w:rsid w:val="00A97502"/>
    <w:rsid w:val="00AA016F"/>
    <w:rsid w:val="00AA1ED6"/>
    <w:rsid w:val="00AA51D6"/>
    <w:rsid w:val="00AB0BC8"/>
    <w:rsid w:val="00AB11CA"/>
    <w:rsid w:val="00AB14D9"/>
    <w:rsid w:val="00AB1861"/>
    <w:rsid w:val="00AB4AB8"/>
    <w:rsid w:val="00AB655E"/>
    <w:rsid w:val="00AC007F"/>
    <w:rsid w:val="00AC2ECD"/>
    <w:rsid w:val="00AC3119"/>
    <w:rsid w:val="00AC49FB"/>
    <w:rsid w:val="00AC5A10"/>
    <w:rsid w:val="00AC7789"/>
    <w:rsid w:val="00AD0AA3"/>
    <w:rsid w:val="00AD333E"/>
    <w:rsid w:val="00AD3F94"/>
    <w:rsid w:val="00AD4A5A"/>
    <w:rsid w:val="00AD76D7"/>
    <w:rsid w:val="00AE27AC"/>
    <w:rsid w:val="00AE2FEB"/>
    <w:rsid w:val="00AE40E0"/>
    <w:rsid w:val="00AE4DBA"/>
    <w:rsid w:val="00AE4F07"/>
    <w:rsid w:val="00AF0198"/>
    <w:rsid w:val="00AF1C5D"/>
    <w:rsid w:val="00AF20FD"/>
    <w:rsid w:val="00AF42D7"/>
    <w:rsid w:val="00B00577"/>
    <w:rsid w:val="00B006FE"/>
    <w:rsid w:val="00B007CB"/>
    <w:rsid w:val="00B01481"/>
    <w:rsid w:val="00B02AA9"/>
    <w:rsid w:val="00B02FA3"/>
    <w:rsid w:val="00B03374"/>
    <w:rsid w:val="00B05084"/>
    <w:rsid w:val="00B07B71"/>
    <w:rsid w:val="00B10494"/>
    <w:rsid w:val="00B157F9"/>
    <w:rsid w:val="00B20256"/>
    <w:rsid w:val="00B20D09"/>
    <w:rsid w:val="00B2763F"/>
    <w:rsid w:val="00B27AAC"/>
    <w:rsid w:val="00B30929"/>
    <w:rsid w:val="00B372AA"/>
    <w:rsid w:val="00B40445"/>
    <w:rsid w:val="00B41888"/>
    <w:rsid w:val="00B45A52"/>
    <w:rsid w:val="00B46175"/>
    <w:rsid w:val="00B5393D"/>
    <w:rsid w:val="00B55453"/>
    <w:rsid w:val="00B664C7"/>
    <w:rsid w:val="00B739F6"/>
    <w:rsid w:val="00B75A51"/>
    <w:rsid w:val="00B77DCB"/>
    <w:rsid w:val="00B81A6C"/>
    <w:rsid w:val="00B85311"/>
    <w:rsid w:val="00B85DE5"/>
    <w:rsid w:val="00B90F73"/>
    <w:rsid w:val="00B93B59"/>
    <w:rsid w:val="00B93F2D"/>
    <w:rsid w:val="00B9406A"/>
    <w:rsid w:val="00BA2280"/>
    <w:rsid w:val="00BA2A08"/>
    <w:rsid w:val="00BA56D2"/>
    <w:rsid w:val="00BA76E0"/>
    <w:rsid w:val="00BB2A25"/>
    <w:rsid w:val="00BB51E9"/>
    <w:rsid w:val="00BC0FDC"/>
    <w:rsid w:val="00BC3053"/>
    <w:rsid w:val="00BC4D2E"/>
    <w:rsid w:val="00BD0906"/>
    <w:rsid w:val="00BD48AC"/>
    <w:rsid w:val="00BD5F1A"/>
    <w:rsid w:val="00BE1234"/>
    <w:rsid w:val="00BE2FA6"/>
    <w:rsid w:val="00BE333F"/>
    <w:rsid w:val="00BE7406"/>
    <w:rsid w:val="00BE7603"/>
    <w:rsid w:val="00BF3279"/>
    <w:rsid w:val="00BF6992"/>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1B47"/>
    <w:rsid w:val="00C24D4F"/>
    <w:rsid w:val="00C279B5"/>
    <w:rsid w:val="00C27C45"/>
    <w:rsid w:val="00C3719D"/>
    <w:rsid w:val="00C5056C"/>
    <w:rsid w:val="00C54995"/>
    <w:rsid w:val="00C54D41"/>
    <w:rsid w:val="00C56A06"/>
    <w:rsid w:val="00C60783"/>
    <w:rsid w:val="00C64672"/>
    <w:rsid w:val="00C658B2"/>
    <w:rsid w:val="00C70697"/>
    <w:rsid w:val="00C72EF4"/>
    <w:rsid w:val="00C75D2F"/>
    <w:rsid w:val="00C767BE"/>
    <w:rsid w:val="00C76E3C"/>
    <w:rsid w:val="00C81568"/>
    <w:rsid w:val="00C9027A"/>
    <w:rsid w:val="00C9068E"/>
    <w:rsid w:val="00C93C4B"/>
    <w:rsid w:val="00C944AB"/>
    <w:rsid w:val="00C95B40"/>
    <w:rsid w:val="00CA1068"/>
    <w:rsid w:val="00CA1CD2"/>
    <w:rsid w:val="00CA1ED8"/>
    <w:rsid w:val="00CA2417"/>
    <w:rsid w:val="00CB1F63"/>
    <w:rsid w:val="00CB3DBC"/>
    <w:rsid w:val="00CB7170"/>
    <w:rsid w:val="00CC040E"/>
    <w:rsid w:val="00CC111F"/>
    <w:rsid w:val="00CC2011"/>
    <w:rsid w:val="00CC37B4"/>
    <w:rsid w:val="00CC3EA0"/>
    <w:rsid w:val="00CC7B45"/>
    <w:rsid w:val="00CD1188"/>
    <w:rsid w:val="00CD2ED1"/>
    <w:rsid w:val="00CD337B"/>
    <w:rsid w:val="00CD7A58"/>
    <w:rsid w:val="00CE0424"/>
    <w:rsid w:val="00CE7561"/>
    <w:rsid w:val="00CF1354"/>
    <w:rsid w:val="00CF3B1F"/>
    <w:rsid w:val="00CF3BF6"/>
    <w:rsid w:val="00CF625B"/>
    <w:rsid w:val="00CF687E"/>
    <w:rsid w:val="00CF71AA"/>
    <w:rsid w:val="00D01F4D"/>
    <w:rsid w:val="00D0349B"/>
    <w:rsid w:val="00D10249"/>
    <w:rsid w:val="00D115C3"/>
    <w:rsid w:val="00D1163B"/>
    <w:rsid w:val="00D11897"/>
    <w:rsid w:val="00D11E49"/>
    <w:rsid w:val="00D13135"/>
    <w:rsid w:val="00D13219"/>
    <w:rsid w:val="00D13C9E"/>
    <w:rsid w:val="00D13E4E"/>
    <w:rsid w:val="00D14FFA"/>
    <w:rsid w:val="00D1510F"/>
    <w:rsid w:val="00D239A7"/>
    <w:rsid w:val="00D23F47"/>
    <w:rsid w:val="00D36E71"/>
    <w:rsid w:val="00D37D87"/>
    <w:rsid w:val="00D40B33"/>
    <w:rsid w:val="00D424E6"/>
    <w:rsid w:val="00D4318F"/>
    <w:rsid w:val="00D438BF"/>
    <w:rsid w:val="00D440F8"/>
    <w:rsid w:val="00D4587C"/>
    <w:rsid w:val="00D5457B"/>
    <w:rsid w:val="00D546FF"/>
    <w:rsid w:val="00D55AD5"/>
    <w:rsid w:val="00D576CA"/>
    <w:rsid w:val="00D61AF5"/>
    <w:rsid w:val="00D61B54"/>
    <w:rsid w:val="00D652B5"/>
    <w:rsid w:val="00D66155"/>
    <w:rsid w:val="00D708B0"/>
    <w:rsid w:val="00D77B1D"/>
    <w:rsid w:val="00D8021F"/>
    <w:rsid w:val="00D80383"/>
    <w:rsid w:val="00D823C6"/>
    <w:rsid w:val="00D84AC9"/>
    <w:rsid w:val="00D84CDB"/>
    <w:rsid w:val="00D86CA3"/>
    <w:rsid w:val="00D871CE"/>
    <w:rsid w:val="00D9196D"/>
    <w:rsid w:val="00D92194"/>
    <w:rsid w:val="00D92982"/>
    <w:rsid w:val="00DA271A"/>
    <w:rsid w:val="00DA305E"/>
    <w:rsid w:val="00DA5417"/>
    <w:rsid w:val="00DA56E8"/>
    <w:rsid w:val="00DB0A9F"/>
    <w:rsid w:val="00DB377D"/>
    <w:rsid w:val="00DB46BF"/>
    <w:rsid w:val="00DB5016"/>
    <w:rsid w:val="00DC2D36"/>
    <w:rsid w:val="00DC53EF"/>
    <w:rsid w:val="00DE5608"/>
    <w:rsid w:val="00DE58D0"/>
    <w:rsid w:val="00DE654F"/>
    <w:rsid w:val="00DF0B6E"/>
    <w:rsid w:val="00DF15E0"/>
    <w:rsid w:val="00DF37A0"/>
    <w:rsid w:val="00DF6885"/>
    <w:rsid w:val="00E02EDD"/>
    <w:rsid w:val="00E110E7"/>
    <w:rsid w:val="00E11B20"/>
    <w:rsid w:val="00E17E15"/>
    <w:rsid w:val="00E17FA2"/>
    <w:rsid w:val="00E22330"/>
    <w:rsid w:val="00E30358"/>
    <w:rsid w:val="00E30B5A"/>
    <w:rsid w:val="00E3123D"/>
    <w:rsid w:val="00E31461"/>
    <w:rsid w:val="00E31D43"/>
    <w:rsid w:val="00E32608"/>
    <w:rsid w:val="00E3315A"/>
    <w:rsid w:val="00E34188"/>
    <w:rsid w:val="00E349CA"/>
    <w:rsid w:val="00E34B6E"/>
    <w:rsid w:val="00E35559"/>
    <w:rsid w:val="00E3723A"/>
    <w:rsid w:val="00E37860"/>
    <w:rsid w:val="00E446F1"/>
    <w:rsid w:val="00E46886"/>
    <w:rsid w:val="00E47AEF"/>
    <w:rsid w:val="00E53B75"/>
    <w:rsid w:val="00E54E3B"/>
    <w:rsid w:val="00E5689D"/>
    <w:rsid w:val="00E57565"/>
    <w:rsid w:val="00E601CE"/>
    <w:rsid w:val="00E61C29"/>
    <w:rsid w:val="00E63838"/>
    <w:rsid w:val="00E64434"/>
    <w:rsid w:val="00E64B80"/>
    <w:rsid w:val="00E676CF"/>
    <w:rsid w:val="00E67C51"/>
    <w:rsid w:val="00E72EFC"/>
    <w:rsid w:val="00E7458C"/>
    <w:rsid w:val="00E758EC"/>
    <w:rsid w:val="00E8234C"/>
    <w:rsid w:val="00E83AA9"/>
    <w:rsid w:val="00E85928"/>
    <w:rsid w:val="00E87822"/>
    <w:rsid w:val="00E90395"/>
    <w:rsid w:val="00E90E49"/>
    <w:rsid w:val="00E91161"/>
    <w:rsid w:val="00E917F9"/>
    <w:rsid w:val="00E9291C"/>
    <w:rsid w:val="00E93FFE"/>
    <w:rsid w:val="00E94F8A"/>
    <w:rsid w:val="00EA4B16"/>
    <w:rsid w:val="00EA7A41"/>
    <w:rsid w:val="00EB077B"/>
    <w:rsid w:val="00EB1564"/>
    <w:rsid w:val="00EB3039"/>
    <w:rsid w:val="00EB4EA2"/>
    <w:rsid w:val="00EC27C6"/>
    <w:rsid w:val="00EC391F"/>
    <w:rsid w:val="00EC4207"/>
    <w:rsid w:val="00EC5653"/>
    <w:rsid w:val="00EC71CE"/>
    <w:rsid w:val="00EC77A7"/>
    <w:rsid w:val="00ED1006"/>
    <w:rsid w:val="00EE59C8"/>
    <w:rsid w:val="00EE74AB"/>
    <w:rsid w:val="00EF12DF"/>
    <w:rsid w:val="00EF18FE"/>
    <w:rsid w:val="00EF5787"/>
    <w:rsid w:val="00EF60D0"/>
    <w:rsid w:val="00EF610A"/>
    <w:rsid w:val="00F0528D"/>
    <w:rsid w:val="00F056B2"/>
    <w:rsid w:val="00F06C67"/>
    <w:rsid w:val="00F06DFD"/>
    <w:rsid w:val="00F071D1"/>
    <w:rsid w:val="00F07533"/>
    <w:rsid w:val="00F10629"/>
    <w:rsid w:val="00F15FA5"/>
    <w:rsid w:val="00F209B7"/>
    <w:rsid w:val="00F2376F"/>
    <w:rsid w:val="00F243D8"/>
    <w:rsid w:val="00F2509F"/>
    <w:rsid w:val="00F253BD"/>
    <w:rsid w:val="00F30828"/>
    <w:rsid w:val="00F30E6A"/>
    <w:rsid w:val="00F313D6"/>
    <w:rsid w:val="00F404A7"/>
    <w:rsid w:val="00F40F0C"/>
    <w:rsid w:val="00F4766C"/>
    <w:rsid w:val="00F5060E"/>
    <w:rsid w:val="00F507D1"/>
    <w:rsid w:val="00F519CE"/>
    <w:rsid w:val="00F51ADA"/>
    <w:rsid w:val="00F56321"/>
    <w:rsid w:val="00F607C5"/>
    <w:rsid w:val="00F60DEA"/>
    <w:rsid w:val="00F6302A"/>
    <w:rsid w:val="00F64C2B"/>
    <w:rsid w:val="00F651BE"/>
    <w:rsid w:val="00F67F53"/>
    <w:rsid w:val="00F703BE"/>
    <w:rsid w:val="00F7063A"/>
    <w:rsid w:val="00F71F69"/>
    <w:rsid w:val="00F72B72"/>
    <w:rsid w:val="00F74BB9"/>
    <w:rsid w:val="00F75582"/>
    <w:rsid w:val="00F76EFA"/>
    <w:rsid w:val="00F804BE"/>
    <w:rsid w:val="00F817CE"/>
    <w:rsid w:val="00F8456C"/>
    <w:rsid w:val="00F84E9B"/>
    <w:rsid w:val="00F859D8"/>
    <w:rsid w:val="00F868F5"/>
    <w:rsid w:val="00F9056A"/>
    <w:rsid w:val="00F90F8D"/>
    <w:rsid w:val="00F92782"/>
    <w:rsid w:val="00F93AA9"/>
    <w:rsid w:val="00F94661"/>
    <w:rsid w:val="00F96985"/>
    <w:rsid w:val="00F97838"/>
    <w:rsid w:val="00FA2BB3"/>
    <w:rsid w:val="00FB17C8"/>
    <w:rsid w:val="00FB4C80"/>
    <w:rsid w:val="00FB4D09"/>
    <w:rsid w:val="00FB5031"/>
    <w:rsid w:val="00FB6A6A"/>
    <w:rsid w:val="00FC7429"/>
    <w:rsid w:val="00FD07F6"/>
    <w:rsid w:val="00FD1EC8"/>
    <w:rsid w:val="00FD47ED"/>
    <w:rsid w:val="00FD74DB"/>
    <w:rsid w:val="00FD7660"/>
    <w:rsid w:val="00FE0655"/>
    <w:rsid w:val="00FE0B9C"/>
    <w:rsid w:val="00FE2365"/>
    <w:rsid w:val="00FE37D7"/>
    <w:rsid w:val="00FE4C7B"/>
    <w:rsid w:val="00FE7336"/>
    <w:rsid w:val="00FE787C"/>
    <w:rsid w:val="00FF45A5"/>
    <w:rsid w:val="00FF5C91"/>
    <w:rsid w:val="00FF6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1163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2E44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E446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E44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2E4464"/>
    <w:pPr>
      <w:numPr>
        <w:ilvl w:val="3"/>
      </w:numPr>
      <w:outlineLvl w:val="3"/>
    </w:pPr>
    <w:rPr>
      <w:szCs w:val="24"/>
    </w:rPr>
  </w:style>
  <w:style w:type="paragraph" w:styleId="Heading5">
    <w:name w:val="heading 5"/>
    <w:basedOn w:val="Heading4"/>
    <w:next w:val="Normal"/>
    <w:qFormat/>
    <w:rsid w:val="002E4464"/>
    <w:pPr>
      <w:numPr>
        <w:ilvl w:val="4"/>
      </w:numPr>
      <w:outlineLvl w:val="4"/>
    </w:pPr>
    <w:rPr>
      <w:sz w:val="22"/>
      <w:szCs w:val="22"/>
    </w:rPr>
  </w:style>
  <w:style w:type="paragraph" w:styleId="Heading6">
    <w:name w:val="heading 6"/>
    <w:basedOn w:val="Normal"/>
    <w:next w:val="Normal"/>
    <w:qFormat/>
    <w:rsid w:val="002E4464"/>
    <w:pPr>
      <w:keepNext/>
      <w:keepLines/>
      <w:numPr>
        <w:ilvl w:val="5"/>
        <w:numId w:val="1"/>
      </w:numPr>
      <w:spacing w:before="120"/>
      <w:outlineLvl w:val="5"/>
    </w:pPr>
    <w:rPr>
      <w:rFonts w:cs="Arial"/>
    </w:rPr>
  </w:style>
  <w:style w:type="paragraph" w:styleId="Heading7">
    <w:name w:val="heading 7"/>
    <w:basedOn w:val="Normal"/>
    <w:next w:val="Normal"/>
    <w:qFormat/>
    <w:rsid w:val="002E4464"/>
    <w:pPr>
      <w:keepNext/>
      <w:keepLines/>
      <w:numPr>
        <w:ilvl w:val="6"/>
        <w:numId w:val="1"/>
      </w:numPr>
      <w:spacing w:before="120"/>
      <w:outlineLvl w:val="6"/>
    </w:pPr>
    <w:rPr>
      <w:rFonts w:cs="Arial"/>
    </w:rPr>
  </w:style>
  <w:style w:type="paragraph" w:styleId="Heading8">
    <w:name w:val="heading 8"/>
    <w:basedOn w:val="Heading7"/>
    <w:next w:val="Normal"/>
    <w:qFormat/>
    <w:rsid w:val="002E4464"/>
    <w:pPr>
      <w:numPr>
        <w:ilvl w:val="7"/>
      </w:numPr>
      <w:outlineLvl w:val="7"/>
    </w:pPr>
  </w:style>
  <w:style w:type="paragraph" w:styleId="Heading9">
    <w:name w:val="heading 9"/>
    <w:basedOn w:val="Heading8"/>
    <w:next w:val="Normal"/>
    <w:qFormat/>
    <w:rsid w:val="002E4464"/>
    <w:pPr>
      <w:numPr>
        <w:ilvl w:val="8"/>
      </w:numPr>
      <w:outlineLvl w:val="8"/>
    </w:pPr>
  </w:style>
  <w:style w:type="character" w:default="1" w:styleId="DefaultParagraphFont">
    <w:name w:val="Default Paragraph Font"/>
    <w:uiPriority w:val="1"/>
    <w:semiHidden/>
    <w:unhideWhenUsed/>
    <w:rsid w:val="00D116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63B"/>
  </w:style>
  <w:style w:type="paragraph" w:styleId="TOC8">
    <w:name w:val="toc 8"/>
    <w:basedOn w:val="TOC1"/>
    <w:semiHidden/>
    <w:rsid w:val="002E4464"/>
    <w:pPr>
      <w:spacing w:before="180"/>
      <w:ind w:left="2693" w:hanging="2693"/>
    </w:pPr>
    <w:rPr>
      <w:b w:val="0"/>
      <w:bCs/>
    </w:rPr>
  </w:style>
  <w:style w:type="paragraph" w:styleId="TOC1">
    <w:name w:val="toc 1"/>
    <w:aliases w:val="Observation TOC2"/>
    <w:uiPriority w:val="39"/>
    <w:rsid w:val="002E446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E4464"/>
    <w:pPr>
      <w:keepNext/>
      <w:keepLines/>
      <w:spacing w:before="180"/>
      <w:jc w:val="center"/>
    </w:pPr>
  </w:style>
  <w:style w:type="paragraph" w:styleId="Caption">
    <w:name w:val="caption"/>
    <w:basedOn w:val="Normal"/>
    <w:next w:val="Normal"/>
    <w:qFormat/>
    <w:rsid w:val="002E4464"/>
    <w:pPr>
      <w:spacing w:after="240"/>
      <w:jc w:val="center"/>
    </w:pPr>
    <w:rPr>
      <w:b/>
      <w:bCs/>
    </w:rPr>
  </w:style>
  <w:style w:type="paragraph" w:styleId="TOC5">
    <w:name w:val="toc 5"/>
    <w:aliases w:val="Observation TOC"/>
    <w:basedOn w:val="TOC4"/>
    <w:semiHidden/>
    <w:rsid w:val="002E4464"/>
    <w:pPr>
      <w:tabs>
        <w:tab w:val="right" w:pos="1701"/>
      </w:tabs>
      <w:ind w:left="1701" w:hanging="1701"/>
    </w:pPr>
  </w:style>
  <w:style w:type="paragraph" w:styleId="TOC4">
    <w:name w:val="toc 4"/>
    <w:basedOn w:val="TOC3"/>
    <w:semiHidden/>
    <w:rsid w:val="002E4464"/>
    <w:pPr>
      <w:ind w:left="1418" w:hanging="1418"/>
    </w:pPr>
  </w:style>
  <w:style w:type="paragraph" w:styleId="TOC3">
    <w:name w:val="toc 3"/>
    <w:basedOn w:val="TOC2"/>
    <w:semiHidden/>
    <w:rsid w:val="002E4464"/>
    <w:pPr>
      <w:ind w:left="1134" w:hanging="1134"/>
    </w:pPr>
  </w:style>
  <w:style w:type="paragraph" w:styleId="TOC2">
    <w:name w:val="toc 2"/>
    <w:basedOn w:val="TOC1"/>
    <w:semiHidden/>
    <w:rsid w:val="002E4464"/>
    <w:pPr>
      <w:keepNext w:val="0"/>
      <w:spacing w:before="0"/>
      <w:ind w:left="851" w:hanging="851"/>
    </w:pPr>
    <w:rPr>
      <w:szCs w:val="20"/>
    </w:rPr>
  </w:style>
  <w:style w:type="paragraph" w:styleId="Index2">
    <w:name w:val="index 2"/>
    <w:basedOn w:val="Index1"/>
    <w:semiHidden/>
    <w:rsid w:val="002E4464"/>
    <w:pPr>
      <w:ind w:left="284"/>
    </w:pPr>
  </w:style>
  <w:style w:type="paragraph" w:styleId="Index1">
    <w:name w:val="index 1"/>
    <w:basedOn w:val="Normal"/>
    <w:semiHidden/>
    <w:rsid w:val="002E4464"/>
    <w:pPr>
      <w:keepLines/>
      <w:spacing w:after="0"/>
    </w:pPr>
  </w:style>
  <w:style w:type="paragraph" w:styleId="DocumentMap">
    <w:name w:val="Document Map"/>
    <w:basedOn w:val="Normal"/>
    <w:semiHidden/>
    <w:rsid w:val="002E4464"/>
    <w:pPr>
      <w:shd w:val="clear" w:color="auto" w:fill="000080"/>
    </w:pPr>
    <w:rPr>
      <w:rFonts w:ascii="Tahoma" w:hAnsi="Tahoma" w:cs="Tahoma"/>
    </w:rPr>
  </w:style>
  <w:style w:type="paragraph" w:styleId="ListNumber2">
    <w:name w:val="List Number 2"/>
    <w:basedOn w:val="ListNumber"/>
    <w:rsid w:val="002E4464"/>
    <w:pPr>
      <w:ind w:left="851"/>
    </w:pPr>
  </w:style>
  <w:style w:type="paragraph" w:styleId="ListNumber">
    <w:name w:val="List Number"/>
    <w:basedOn w:val="List"/>
    <w:rsid w:val="002E4464"/>
  </w:style>
  <w:style w:type="paragraph" w:styleId="List">
    <w:name w:val="List"/>
    <w:basedOn w:val="Normal"/>
    <w:rsid w:val="002E4464"/>
    <w:pPr>
      <w:ind w:left="568" w:hanging="284"/>
    </w:pPr>
  </w:style>
  <w:style w:type="paragraph" w:styleId="Header">
    <w:name w:val="header"/>
    <w:rsid w:val="002E446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4464"/>
    <w:rPr>
      <w:b/>
      <w:bCs/>
      <w:position w:val="6"/>
      <w:sz w:val="16"/>
      <w:szCs w:val="16"/>
    </w:rPr>
  </w:style>
  <w:style w:type="paragraph" w:styleId="FootnoteText">
    <w:name w:val="footnote text"/>
    <w:basedOn w:val="Normal"/>
    <w:semiHidden/>
    <w:rsid w:val="002E4464"/>
    <w:pPr>
      <w:keepLines/>
      <w:spacing w:after="0"/>
      <w:ind w:left="454" w:hanging="454"/>
    </w:pPr>
    <w:rPr>
      <w:sz w:val="16"/>
      <w:szCs w:val="16"/>
    </w:rPr>
  </w:style>
  <w:style w:type="paragraph" w:customStyle="1" w:styleId="3GPPHeader">
    <w:name w:val="3GPP_Header"/>
    <w:basedOn w:val="Normal"/>
    <w:qFormat/>
    <w:rsid w:val="002E4464"/>
    <w:pPr>
      <w:tabs>
        <w:tab w:val="left" w:pos="1800"/>
        <w:tab w:val="right" w:pos="9360"/>
      </w:tabs>
      <w:spacing w:after="0"/>
    </w:pPr>
    <w:rPr>
      <w:rFonts w:ascii="Arial" w:hAnsi="Arial"/>
      <w:b/>
    </w:rPr>
  </w:style>
  <w:style w:type="paragraph" w:styleId="TOC9">
    <w:name w:val="toc 9"/>
    <w:basedOn w:val="TOC8"/>
    <w:semiHidden/>
    <w:rsid w:val="002E4464"/>
    <w:pPr>
      <w:ind w:left="1418" w:hanging="1418"/>
    </w:pPr>
  </w:style>
  <w:style w:type="paragraph" w:styleId="TOC6">
    <w:name w:val="toc 6"/>
    <w:basedOn w:val="TOC5"/>
    <w:next w:val="Normal"/>
    <w:semiHidden/>
    <w:rsid w:val="002E4464"/>
    <w:pPr>
      <w:ind w:left="1985" w:hanging="1985"/>
    </w:pPr>
  </w:style>
  <w:style w:type="paragraph" w:styleId="TOC7">
    <w:name w:val="toc 7"/>
    <w:basedOn w:val="TOC6"/>
    <w:next w:val="Normal"/>
    <w:semiHidden/>
    <w:rsid w:val="002E4464"/>
    <w:pPr>
      <w:ind w:left="2268" w:hanging="2268"/>
    </w:pPr>
  </w:style>
  <w:style w:type="paragraph" w:styleId="ListBullet2">
    <w:name w:val="List Bullet 2"/>
    <w:basedOn w:val="ListBullet"/>
    <w:rsid w:val="002E4464"/>
    <w:pPr>
      <w:numPr>
        <w:numId w:val="6"/>
      </w:numPr>
    </w:pPr>
  </w:style>
  <w:style w:type="paragraph" w:styleId="ListBullet">
    <w:name w:val="List Bullet"/>
    <w:basedOn w:val="BodyText"/>
    <w:rsid w:val="002E4464"/>
    <w:pPr>
      <w:numPr>
        <w:numId w:val="5"/>
      </w:numPr>
    </w:pPr>
  </w:style>
  <w:style w:type="paragraph" w:styleId="ListBullet3">
    <w:name w:val="List Bullet 3"/>
    <w:basedOn w:val="ListBullet2"/>
    <w:rsid w:val="002E4464"/>
    <w:pPr>
      <w:numPr>
        <w:numId w:val="7"/>
      </w:numPr>
    </w:pPr>
  </w:style>
  <w:style w:type="paragraph" w:customStyle="1" w:styleId="EQ">
    <w:name w:val="EQ"/>
    <w:basedOn w:val="Normal"/>
    <w:next w:val="Normal"/>
    <w:rsid w:val="002E4464"/>
    <w:pPr>
      <w:keepLines/>
      <w:tabs>
        <w:tab w:val="center" w:pos="4536"/>
        <w:tab w:val="right" w:pos="9072"/>
      </w:tabs>
      <w:spacing w:after="180"/>
    </w:pPr>
    <w:rPr>
      <w:noProof/>
    </w:rPr>
  </w:style>
  <w:style w:type="paragraph" w:styleId="List2">
    <w:name w:val="List 2"/>
    <w:basedOn w:val="List"/>
    <w:rsid w:val="002E4464"/>
    <w:pPr>
      <w:ind w:left="851"/>
    </w:pPr>
  </w:style>
  <w:style w:type="paragraph" w:styleId="List3">
    <w:name w:val="List 3"/>
    <w:basedOn w:val="List2"/>
    <w:rsid w:val="002E4464"/>
    <w:pPr>
      <w:ind w:left="1135"/>
    </w:pPr>
  </w:style>
  <w:style w:type="paragraph" w:styleId="List4">
    <w:name w:val="List 4"/>
    <w:basedOn w:val="List3"/>
    <w:rsid w:val="002E4464"/>
    <w:pPr>
      <w:ind w:left="1418"/>
    </w:pPr>
  </w:style>
  <w:style w:type="paragraph" w:styleId="List5">
    <w:name w:val="List 5"/>
    <w:basedOn w:val="List4"/>
    <w:rsid w:val="002E4464"/>
    <w:pPr>
      <w:ind w:left="1702"/>
    </w:pPr>
  </w:style>
  <w:style w:type="paragraph" w:customStyle="1" w:styleId="EditorsNote">
    <w:name w:val="Editor's Note"/>
    <w:basedOn w:val="Normal"/>
    <w:rsid w:val="002E4464"/>
    <w:pPr>
      <w:keepLines/>
      <w:spacing w:after="180"/>
      <w:ind w:left="1135" w:hanging="851"/>
    </w:pPr>
    <w:rPr>
      <w:color w:val="FF0000"/>
    </w:rPr>
  </w:style>
  <w:style w:type="paragraph" w:styleId="ListBullet4">
    <w:name w:val="List Bullet 4"/>
    <w:basedOn w:val="ListBullet3"/>
    <w:rsid w:val="002E4464"/>
    <w:pPr>
      <w:numPr>
        <w:numId w:val="8"/>
      </w:numPr>
    </w:pPr>
  </w:style>
  <w:style w:type="paragraph" w:styleId="ListBullet5">
    <w:name w:val="List Bullet 5"/>
    <w:basedOn w:val="ListBullet4"/>
    <w:rsid w:val="002E4464"/>
    <w:pPr>
      <w:numPr>
        <w:numId w:val="4"/>
      </w:numPr>
    </w:pPr>
  </w:style>
  <w:style w:type="paragraph" w:styleId="Footer">
    <w:name w:val="footer"/>
    <w:basedOn w:val="Header"/>
    <w:semiHidden/>
    <w:rsid w:val="002E4464"/>
    <w:pPr>
      <w:jc w:val="center"/>
    </w:pPr>
    <w:rPr>
      <w:i/>
      <w:iCs/>
    </w:rPr>
  </w:style>
  <w:style w:type="paragraph" w:customStyle="1" w:styleId="Reference">
    <w:name w:val="Reference"/>
    <w:basedOn w:val="Normal"/>
    <w:qFormat/>
    <w:rsid w:val="002E4464"/>
    <w:pPr>
      <w:numPr>
        <w:numId w:val="2"/>
      </w:numPr>
    </w:pPr>
  </w:style>
  <w:style w:type="paragraph" w:styleId="BalloonText">
    <w:name w:val="Balloon Text"/>
    <w:basedOn w:val="Normal"/>
    <w:semiHidden/>
    <w:rsid w:val="002E4464"/>
    <w:rPr>
      <w:rFonts w:ascii="Tahoma" w:hAnsi="Tahoma" w:cs="Tahoma"/>
      <w:sz w:val="16"/>
      <w:szCs w:val="16"/>
    </w:rPr>
  </w:style>
  <w:style w:type="character" w:styleId="PageNumber">
    <w:name w:val="page number"/>
    <w:basedOn w:val="DefaultParagraphFont"/>
    <w:semiHidden/>
    <w:rsid w:val="002E4464"/>
  </w:style>
  <w:style w:type="paragraph" w:styleId="BodyText">
    <w:name w:val="Body Text"/>
    <w:basedOn w:val="Normal"/>
    <w:link w:val="BodyTextChar"/>
    <w:qFormat/>
    <w:rsid w:val="002E4464"/>
  </w:style>
  <w:style w:type="character" w:styleId="Hyperlink">
    <w:name w:val="Hyperlink"/>
    <w:uiPriority w:val="99"/>
    <w:rsid w:val="002E4464"/>
    <w:rPr>
      <w:color w:val="0000FF"/>
      <w:u w:val="single"/>
      <w:lang w:val="en-GB"/>
    </w:rPr>
  </w:style>
  <w:style w:type="character" w:styleId="FollowedHyperlink">
    <w:name w:val="FollowedHyperlink"/>
    <w:semiHidden/>
    <w:rsid w:val="002E4464"/>
    <w:rPr>
      <w:color w:val="FF0000"/>
      <w:u w:val="single"/>
    </w:rPr>
  </w:style>
  <w:style w:type="character" w:styleId="CommentReference">
    <w:name w:val="annotation reference"/>
    <w:semiHidden/>
    <w:rsid w:val="002E4464"/>
    <w:rPr>
      <w:sz w:val="16"/>
      <w:szCs w:val="16"/>
    </w:rPr>
  </w:style>
  <w:style w:type="paragraph" w:styleId="CommentText">
    <w:name w:val="annotation text"/>
    <w:basedOn w:val="Normal"/>
    <w:semiHidden/>
    <w:rsid w:val="002E4464"/>
  </w:style>
  <w:style w:type="paragraph" w:styleId="CommentSubject">
    <w:name w:val="annotation subject"/>
    <w:basedOn w:val="CommentText"/>
    <w:next w:val="CommentText"/>
    <w:semiHidden/>
    <w:rsid w:val="002E446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4464"/>
    <w:rPr>
      <w:rFonts w:ascii="Arial" w:hAnsi="Arial" w:cs="Arial"/>
      <w:sz w:val="32"/>
      <w:szCs w:val="36"/>
      <w:lang w:val="en-GB" w:eastAsia="zh-CN"/>
    </w:rPr>
  </w:style>
  <w:style w:type="paragraph" w:customStyle="1" w:styleId="B1">
    <w:name w:val="B1"/>
    <w:basedOn w:val="List"/>
    <w:rsid w:val="002E4464"/>
    <w:pPr>
      <w:spacing w:after="180"/>
    </w:pPr>
  </w:style>
  <w:style w:type="paragraph" w:customStyle="1" w:styleId="B2">
    <w:name w:val="B2"/>
    <w:basedOn w:val="List2"/>
    <w:rsid w:val="002E4464"/>
    <w:pPr>
      <w:spacing w:after="180"/>
    </w:pPr>
  </w:style>
  <w:style w:type="paragraph" w:customStyle="1" w:styleId="B3">
    <w:name w:val="B3"/>
    <w:basedOn w:val="List3"/>
    <w:rsid w:val="002E4464"/>
    <w:pPr>
      <w:spacing w:after="180"/>
    </w:pPr>
  </w:style>
  <w:style w:type="paragraph" w:customStyle="1" w:styleId="B4">
    <w:name w:val="B4"/>
    <w:basedOn w:val="List4"/>
    <w:rsid w:val="002E4464"/>
    <w:pPr>
      <w:spacing w:after="180"/>
    </w:pPr>
  </w:style>
  <w:style w:type="paragraph" w:customStyle="1" w:styleId="Proposal">
    <w:name w:val="Proposal"/>
    <w:basedOn w:val="Normal"/>
    <w:qFormat/>
    <w:rsid w:val="002E4464"/>
    <w:pPr>
      <w:numPr>
        <w:numId w:val="3"/>
      </w:numPr>
      <w:tabs>
        <w:tab w:val="clear" w:pos="1304"/>
        <w:tab w:val="left" w:pos="1701"/>
      </w:tabs>
      <w:ind w:left="1701" w:hanging="1701"/>
    </w:pPr>
    <w:rPr>
      <w:b/>
      <w:bCs/>
    </w:rPr>
  </w:style>
  <w:style w:type="character" w:customStyle="1" w:styleId="BodyTextChar">
    <w:name w:val="Body Text Char"/>
    <w:link w:val="BodyText"/>
    <w:rsid w:val="002E4464"/>
    <w:rPr>
      <w:rFonts w:ascii="Times New Roman" w:hAnsi="Times New Roman"/>
      <w:lang w:val="en-GB" w:eastAsia="zh-CN"/>
    </w:rPr>
  </w:style>
  <w:style w:type="paragraph" w:customStyle="1" w:styleId="B5">
    <w:name w:val="B5"/>
    <w:basedOn w:val="List5"/>
    <w:rsid w:val="002E4464"/>
    <w:pPr>
      <w:spacing w:after="180"/>
    </w:pPr>
  </w:style>
  <w:style w:type="paragraph" w:customStyle="1" w:styleId="EX">
    <w:name w:val="EX"/>
    <w:basedOn w:val="Normal"/>
    <w:rsid w:val="002E4464"/>
    <w:pPr>
      <w:keepLines/>
      <w:spacing w:after="180"/>
      <w:ind w:left="1702" w:hanging="1418"/>
    </w:pPr>
  </w:style>
  <w:style w:type="paragraph" w:customStyle="1" w:styleId="EW">
    <w:name w:val="EW"/>
    <w:basedOn w:val="EX"/>
    <w:rsid w:val="002E4464"/>
    <w:pPr>
      <w:spacing w:after="0"/>
    </w:pPr>
  </w:style>
  <w:style w:type="paragraph" w:customStyle="1" w:styleId="TAL">
    <w:name w:val="TAL"/>
    <w:basedOn w:val="Normal"/>
    <w:rsid w:val="002E4464"/>
    <w:pPr>
      <w:keepNext/>
      <w:keepLines/>
      <w:spacing w:after="0"/>
    </w:pPr>
    <w:rPr>
      <w:sz w:val="18"/>
    </w:rPr>
  </w:style>
  <w:style w:type="paragraph" w:customStyle="1" w:styleId="TAC">
    <w:name w:val="TAC"/>
    <w:basedOn w:val="TAL"/>
    <w:rsid w:val="002E4464"/>
    <w:pPr>
      <w:jc w:val="center"/>
    </w:pPr>
  </w:style>
  <w:style w:type="paragraph" w:customStyle="1" w:styleId="TAH">
    <w:name w:val="TAH"/>
    <w:basedOn w:val="TAC"/>
    <w:rsid w:val="002E4464"/>
    <w:rPr>
      <w:b/>
    </w:rPr>
  </w:style>
  <w:style w:type="paragraph" w:customStyle="1" w:styleId="TAN">
    <w:name w:val="TAN"/>
    <w:basedOn w:val="TAL"/>
    <w:rsid w:val="002E4464"/>
    <w:pPr>
      <w:ind w:left="851" w:hanging="851"/>
    </w:pPr>
  </w:style>
  <w:style w:type="paragraph" w:customStyle="1" w:styleId="TAR">
    <w:name w:val="TAR"/>
    <w:basedOn w:val="TAL"/>
    <w:rsid w:val="002E4464"/>
    <w:pPr>
      <w:jc w:val="right"/>
    </w:pPr>
  </w:style>
  <w:style w:type="paragraph" w:customStyle="1" w:styleId="TH">
    <w:name w:val="TH"/>
    <w:basedOn w:val="Normal"/>
    <w:rsid w:val="002E4464"/>
    <w:pPr>
      <w:keepNext/>
      <w:keepLines/>
      <w:spacing w:before="60" w:after="180"/>
      <w:jc w:val="center"/>
    </w:pPr>
    <w:rPr>
      <w:b/>
    </w:rPr>
  </w:style>
  <w:style w:type="paragraph" w:customStyle="1" w:styleId="TF">
    <w:name w:val="TF"/>
    <w:basedOn w:val="TH"/>
    <w:rsid w:val="002E4464"/>
    <w:pPr>
      <w:keepNext w:val="0"/>
      <w:spacing w:before="0" w:after="240"/>
    </w:pPr>
  </w:style>
  <w:style w:type="paragraph" w:customStyle="1" w:styleId="TT">
    <w:name w:val="TT"/>
    <w:basedOn w:val="Heading1"/>
    <w:next w:val="Normal"/>
    <w:rsid w:val="002E4464"/>
    <w:pPr>
      <w:numPr>
        <w:numId w:val="0"/>
      </w:numPr>
      <w:ind w:left="1134" w:hanging="1134"/>
      <w:outlineLvl w:val="9"/>
    </w:pPr>
    <w:rPr>
      <w:rFonts w:cs="Times New Roman"/>
      <w:szCs w:val="20"/>
      <w:lang w:eastAsia="en-US"/>
    </w:rPr>
  </w:style>
  <w:style w:type="paragraph" w:customStyle="1" w:styleId="ZA">
    <w:name w:val="ZA"/>
    <w:rsid w:val="002E44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44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44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44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4464"/>
  </w:style>
  <w:style w:type="paragraph" w:customStyle="1" w:styleId="ZH">
    <w:name w:val="ZH"/>
    <w:rsid w:val="002E44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44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4464"/>
    <w:pPr>
      <w:framePr w:hRule="auto" w:wrap="notBeside" w:y="852"/>
    </w:pPr>
    <w:rPr>
      <w:i w:val="0"/>
      <w:sz w:val="40"/>
    </w:rPr>
  </w:style>
  <w:style w:type="paragraph" w:customStyle="1" w:styleId="ZU">
    <w:name w:val="ZU"/>
    <w:rsid w:val="002E44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4464"/>
    <w:pPr>
      <w:framePr w:wrap="notBeside" w:y="16161"/>
    </w:pPr>
  </w:style>
  <w:style w:type="paragraph" w:customStyle="1" w:styleId="FP">
    <w:name w:val="FP"/>
    <w:basedOn w:val="Normal"/>
    <w:rsid w:val="002E4464"/>
    <w:pPr>
      <w:spacing w:after="0"/>
    </w:pPr>
  </w:style>
  <w:style w:type="paragraph" w:customStyle="1" w:styleId="Observation">
    <w:name w:val="Observation"/>
    <w:basedOn w:val="Proposal"/>
    <w:qFormat/>
    <w:rsid w:val="002E4464"/>
    <w:pPr>
      <w:numPr>
        <w:numId w:val="9"/>
      </w:numPr>
      <w:ind w:left="1701" w:hanging="1701"/>
    </w:pPr>
  </w:style>
  <w:style w:type="paragraph" w:styleId="TableofFigures">
    <w:name w:val="table of figures"/>
    <w:basedOn w:val="Normal"/>
    <w:next w:val="Normal"/>
    <w:uiPriority w:val="99"/>
    <w:rsid w:val="002E4464"/>
    <w:pPr>
      <w:ind w:left="1418" w:hanging="1418"/>
    </w:pPr>
    <w:rPr>
      <w:b/>
    </w:rPr>
  </w:style>
  <w:style w:type="paragraph" w:styleId="Index4">
    <w:name w:val="index 4"/>
    <w:basedOn w:val="Normal"/>
    <w:next w:val="Normal"/>
    <w:autoRedefine/>
    <w:rsid w:val="002E446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2B0369"/>
    <w:rPr>
      <w:color w:val="808080"/>
    </w:rPr>
  </w:style>
  <w:style w:type="table" w:styleId="TableGrid">
    <w:name w:val="Table Grid"/>
    <w:basedOn w:val="TableNormal"/>
    <w:rsid w:val="00D45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F12D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EF12D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643479">
      <w:bodyDiv w:val="1"/>
      <w:marLeft w:val="0"/>
      <w:marRight w:val="0"/>
      <w:marTop w:val="0"/>
      <w:marBottom w:val="0"/>
      <w:divBdr>
        <w:top w:val="none" w:sz="0" w:space="0" w:color="auto"/>
        <w:left w:val="none" w:sz="0" w:space="0" w:color="auto"/>
        <w:bottom w:val="none" w:sz="0" w:space="0" w:color="auto"/>
        <w:right w:val="none" w:sz="0" w:space="0" w:color="auto"/>
      </w:divBdr>
    </w:div>
    <w:div w:id="766080491">
      <w:bodyDiv w:val="1"/>
      <w:marLeft w:val="0"/>
      <w:marRight w:val="0"/>
      <w:marTop w:val="0"/>
      <w:marBottom w:val="0"/>
      <w:divBdr>
        <w:top w:val="none" w:sz="0" w:space="0" w:color="auto"/>
        <w:left w:val="none" w:sz="0" w:space="0" w:color="auto"/>
        <w:bottom w:val="none" w:sz="0" w:space="0" w:color="auto"/>
        <w:right w:val="none" w:sz="0" w:space="0" w:color="auto"/>
      </w:divBdr>
    </w:div>
    <w:div w:id="1496995484">
      <w:bodyDiv w:val="1"/>
      <w:marLeft w:val="0"/>
      <w:marRight w:val="0"/>
      <w:marTop w:val="0"/>
      <w:marBottom w:val="0"/>
      <w:divBdr>
        <w:top w:val="none" w:sz="0" w:space="0" w:color="auto"/>
        <w:left w:val="none" w:sz="0" w:space="0" w:color="auto"/>
        <w:bottom w:val="none" w:sz="0" w:space="0" w:color="auto"/>
        <w:right w:val="none" w:sz="0" w:space="0" w:color="auto"/>
      </w:divBdr>
    </w:div>
    <w:div w:id="15869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349C-A8DA-41B6-BD9A-2748CEB0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2017-10-03T04:07:00Z</dcterms:created>
  <dcterms:modified xsi:type="dcterms:W3CDTF">2017-10-03T04:07:00Z</dcterms:modified>
</cp:coreProperties>
</file>