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B1F268" w14:textId="77777777" w:rsidR="000B121A" w:rsidRDefault="000B121A" w:rsidP="00C07E87">
      <w:pPr>
        <w:pStyle w:val="3GPPHeader"/>
        <w:spacing w:after="60"/>
        <w:rPr>
          <w:b w:val="0"/>
          <w:bCs/>
          <w:lang w:val="de-DE"/>
        </w:rPr>
      </w:pPr>
    </w:p>
    <w:p w14:paraId="66C27EEB" w14:textId="77777777" w:rsidR="000B121A" w:rsidRDefault="000B121A" w:rsidP="00C07E87">
      <w:pPr>
        <w:pStyle w:val="3GPPHeader"/>
        <w:spacing w:after="60"/>
        <w:rPr>
          <w:b w:val="0"/>
          <w:bCs/>
          <w:lang w:val="de-DE"/>
        </w:rPr>
      </w:pPr>
    </w:p>
    <w:p w14:paraId="5B0A50A3" w14:textId="77777777" w:rsidR="000B121A" w:rsidRDefault="000B121A" w:rsidP="00C07E87">
      <w:pPr>
        <w:pStyle w:val="3GPPHeader"/>
        <w:spacing w:after="60"/>
        <w:rPr>
          <w:b w:val="0"/>
          <w:bCs/>
          <w:lang w:val="de-DE"/>
        </w:rPr>
      </w:pPr>
    </w:p>
    <w:p w14:paraId="57A01ADA" w14:textId="77777777" w:rsidR="000B121A" w:rsidRDefault="000B121A" w:rsidP="00C07E87">
      <w:pPr>
        <w:pStyle w:val="3GPPHeader"/>
        <w:spacing w:after="60"/>
        <w:rPr>
          <w:b w:val="0"/>
          <w:bCs/>
          <w:lang w:val="de-DE"/>
        </w:rPr>
      </w:pPr>
    </w:p>
    <w:p w14:paraId="19ECFD0B" w14:textId="60141D5D" w:rsidR="00BC0C27" w:rsidRPr="00BC0C27" w:rsidRDefault="00BC0C27" w:rsidP="00BC0C27">
      <w:pPr>
        <w:pStyle w:val="3GPPHeader"/>
        <w:spacing w:after="0"/>
        <w:rPr>
          <w:rFonts w:asciiTheme="minorBidi" w:hAnsiTheme="minorBidi"/>
          <w:b w:val="0"/>
          <w:szCs w:val="24"/>
        </w:rPr>
      </w:pPr>
      <w:r w:rsidRPr="00BC0C27">
        <w:rPr>
          <w:rFonts w:asciiTheme="minorBidi" w:hAnsiTheme="minorBidi"/>
          <w:b w:val="0"/>
          <w:szCs w:val="24"/>
        </w:rPr>
        <w:t xml:space="preserve">3GPP TSG RAN1 WG1 Meeting #90bis                                      </w:t>
      </w:r>
      <w:r w:rsidRPr="00BC0C27">
        <w:rPr>
          <w:rFonts w:asciiTheme="minorBidi" w:hAnsiTheme="minorBidi"/>
          <w:b w:val="0"/>
          <w:szCs w:val="24"/>
        </w:rPr>
        <w:tab/>
      </w:r>
      <w:r w:rsidRPr="00594551">
        <w:rPr>
          <w:rFonts w:asciiTheme="minorBidi" w:hAnsiTheme="minorBidi"/>
          <w:b w:val="0"/>
          <w:szCs w:val="24"/>
        </w:rPr>
        <w:t>R1-17</w:t>
      </w:r>
      <w:r w:rsidR="00860F1D" w:rsidRPr="00594551">
        <w:rPr>
          <w:rFonts w:asciiTheme="minorBidi" w:hAnsiTheme="minorBidi"/>
          <w:b w:val="0"/>
          <w:szCs w:val="24"/>
        </w:rPr>
        <w:t>18645</w:t>
      </w:r>
    </w:p>
    <w:p w14:paraId="33B44133" w14:textId="77777777" w:rsidR="00BC0C27" w:rsidRPr="00BC0C27" w:rsidRDefault="00BC0C27" w:rsidP="00BC0C27">
      <w:pPr>
        <w:pStyle w:val="3GPPHeader"/>
        <w:spacing w:after="0"/>
        <w:rPr>
          <w:rFonts w:asciiTheme="minorBidi" w:hAnsiTheme="minorBidi"/>
          <w:b w:val="0"/>
          <w:szCs w:val="24"/>
        </w:rPr>
      </w:pPr>
      <w:r w:rsidRPr="00BC0C27">
        <w:rPr>
          <w:rFonts w:asciiTheme="minorBidi" w:hAnsiTheme="minorBidi"/>
          <w:b w:val="0"/>
          <w:szCs w:val="24"/>
        </w:rPr>
        <w:t>Prague, Czech Republic, 9-13 October 2017</w:t>
      </w:r>
    </w:p>
    <w:p w14:paraId="25360FD4" w14:textId="77777777" w:rsidR="00BC0C27" w:rsidRPr="00BC0C27" w:rsidRDefault="00BC0C27" w:rsidP="00BC0C27">
      <w:pPr>
        <w:pStyle w:val="3GPPHeader"/>
        <w:spacing w:after="0"/>
        <w:rPr>
          <w:rFonts w:asciiTheme="minorBidi" w:hAnsiTheme="minorBidi"/>
          <w:b w:val="0"/>
          <w:szCs w:val="24"/>
        </w:rPr>
      </w:pPr>
    </w:p>
    <w:p w14:paraId="260A0ABD" w14:textId="77777777" w:rsidR="00BC0C27" w:rsidRPr="00BC0C27" w:rsidRDefault="00BC0C27" w:rsidP="00BC0C27">
      <w:pPr>
        <w:pStyle w:val="3GPPHeader"/>
        <w:rPr>
          <w:rFonts w:asciiTheme="minorBidi" w:hAnsiTheme="minorBidi"/>
          <w:b w:val="0"/>
          <w:szCs w:val="24"/>
        </w:rPr>
      </w:pPr>
    </w:p>
    <w:p w14:paraId="6A4ABC84" w14:textId="6640D40E" w:rsidR="00BC0C27" w:rsidRPr="00BC0C27" w:rsidRDefault="00BC0C27" w:rsidP="00BC0C27">
      <w:pPr>
        <w:pStyle w:val="3GPPHeader"/>
        <w:rPr>
          <w:rFonts w:asciiTheme="minorBidi" w:hAnsiTheme="minorBidi"/>
          <w:b w:val="0"/>
          <w:szCs w:val="24"/>
        </w:rPr>
      </w:pPr>
      <w:r w:rsidRPr="00BC0C27">
        <w:rPr>
          <w:rFonts w:asciiTheme="minorBidi" w:hAnsiTheme="minorBidi"/>
          <w:b w:val="0"/>
          <w:szCs w:val="24"/>
        </w:rPr>
        <w:t>Agenda Item:</w:t>
      </w:r>
      <w:r w:rsidRPr="00BC0C27">
        <w:rPr>
          <w:rFonts w:asciiTheme="minorBidi" w:hAnsiTheme="minorBidi"/>
          <w:b w:val="0"/>
          <w:szCs w:val="24"/>
        </w:rPr>
        <w:tab/>
      </w:r>
      <w:r w:rsidR="0027486C">
        <w:rPr>
          <w:rFonts w:asciiTheme="minorBidi" w:hAnsiTheme="minorBidi"/>
          <w:b w:val="0"/>
          <w:szCs w:val="24"/>
        </w:rPr>
        <w:t>7.3.3.2</w:t>
      </w:r>
    </w:p>
    <w:p w14:paraId="3077A12A" w14:textId="77777777" w:rsidR="00E90E49" w:rsidRPr="00CE0424" w:rsidRDefault="003D3C45" w:rsidP="00F64C2B">
      <w:pPr>
        <w:pStyle w:val="3GPPHeader"/>
        <w:rPr>
          <w:sz w:val="22"/>
        </w:rPr>
      </w:pPr>
      <w:r w:rsidRPr="00750E8F">
        <w:rPr>
          <w:sz w:val="22"/>
        </w:rPr>
        <w:t>Source:</w:t>
      </w:r>
      <w:r w:rsidR="00E90E49" w:rsidRPr="00750E8F">
        <w:rPr>
          <w:sz w:val="22"/>
        </w:rPr>
        <w:tab/>
      </w:r>
      <w:r w:rsidR="00F64C2B" w:rsidRPr="00750E8F">
        <w:rPr>
          <w:sz w:val="22"/>
        </w:rPr>
        <w:t>Er</w:t>
      </w:r>
      <w:r w:rsidR="00F64C2B" w:rsidRPr="00CE0424">
        <w:rPr>
          <w:sz w:val="22"/>
        </w:rPr>
        <w:t>icsson</w:t>
      </w:r>
    </w:p>
    <w:p w14:paraId="786E84DF" w14:textId="472D83C9" w:rsidR="00E90E49" w:rsidRPr="00CE0424" w:rsidRDefault="003D3C45" w:rsidP="00311702">
      <w:pPr>
        <w:pStyle w:val="3GPPHeader"/>
        <w:rPr>
          <w:sz w:val="22"/>
        </w:rPr>
      </w:pPr>
      <w:r>
        <w:rPr>
          <w:sz w:val="22"/>
        </w:rPr>
        <w:t>Title:</w:t>
      </w:r>
      <w:r w:rsidR="00E90E49" w:rsidRPr="00CE0424">
        <w:rPr>
          <w:sz w:val="22"/>
        </w:rPr>
        <w:tab/>
      </w:r>
      <w:r w:rsidR="00B81687" w:rsidRPr="00B81687">
        <w:rPr>
          <w:sz w:val="22"/>
        </w:rPr>
        <w:t xml:space="preserve">On </w:t>
      </w:r>
      <w:r w:rsidR="008A3F2A">
        <w:rPr>
          <w:sz w:val="22"/>
        </w:rPr>
        <w:t xml:space="preserve">HARQ </w:t>
      </w:r>
      <w:r w:rsidR="00110E51">
        <w:rPr>
          <w:sz w:val="22"/>
        </w:rPr>
        <w:t>Management</w:t>
      </w:r>
    </w:p>
    <w:p w14:paraId="00BFF626" w14:textId="11E1CA34" w:rsidR="00E90E49" w:rsidRPr="007369A2" w:rsidRDefault="00E90E49" w:rsidP="00C704D9">
      <w:pPr>
        <w:pStyle w:val="3GPPHeader"/>
      </w:pPr>
      <w:r w:rsidRPr="001B501F">
        <w:rPr>
          <w:sz w:val="22"/>
        </w:rPr>
        <w:t>Document for:</w:t>
      </w:r>
      <w:r w:rsidRPr="001B501F">
        <w:rPr>
          <w:sz w:val="22"/>
        </w:rPr>
        <w:tab/>
      </w:r>
      <w:r w:rsidRPr="00FF1171">
        <w:rPr>
          <w:sz w:val="22"/>
        </w:rPr>
        <w:t>Discussion, Decision</w:t>
      </w:r>
    </w:p>
    <w:p w14:paraId="5F52BF02" w14:textId="544B6157" w:rsidR="00E30225" w:rsidRDefault="00E30225" w:rsidP="00E30225">
      <w:pPr>
        <w:pStyle w:val="Heading1"/>
      </w:pPr>
      <w:r w:rsidRPr="00CE0424">
        <w:t>Introduction</w:t>
      </w:r>
    </w:p>
    <w:p w14:paraId="28DFC3D9" w14:textId="6095D667" w:rsidR="00C44578" w:rsidRDefault="00C44578" w:rsidP="005F0D0E">
      <w:r>
        <w:t xml:space="preserve">In this paper we discuss </w:t>
      </w:r>
      <w:r w:rsidR="007471F4">
        <w:t>HARQ codebook design for single carrier and carrier aggregation with same/different TTI length, with/without CBG</w:t>
      </w:r>
      <w:r>
        <w:t>.</w:t>
      </w:r>
      <w:r w:rsidR="006E23B5">
        <w:t xml:space="preserve"> Also we discuss the number of HARQ processes in the UL for different scenarios</w:t>
      </w:r>
      <w:r w:rsidR="00733A19">
        <w:t>, and HARQ process sharing for slot-based transmission, mini-slot based transmission and UL transmission without UL grant.</w:t>
      </w:r>
    </w:p>
    <w:p w14:paraId="56EACA61" w14:textId="65AE92EB" w:rsidR="00C44578" w:rsidRDefault="00B74A88" w:rsidP="00C44578">
      <w:pPr>
        <w:pStyle w:val="Heading1"/>
      </w:pPr>
      <w:r>
        <w:t>Relevant a</w:t>
      </w:r>
      <w:r w:rsidR="00C44578">
        <w:t>greements from previous meeting</w:t>
      </w:r>
      <w:r w:rsidR="00876002">
        <w:t xml:space="preserve"> </w:t>
      </w:r>
      <w:r w:rsidR="00876002">
        <w:fldChar w:fldCharType="begin"/>
      </w:r>
      <w:r w:rsidR="00876002">
        <w:instrText xml:space="preserve"> REF _Ref492309327 \r \h </w:instrText>
      </w:r>
      <w:r w:rsidR="00876002">
        <w:fldChar w:fldCharType="separate"/>
      </w:r>
      <w:r w:rsidR="00876002">
        <w:t>[2]</w:t>
      </w:r>
      <w:r w:rsidR="00876002">
        <w:fldChar w:fldCharType="end"/>
      </w:r>
    </w:p>
    <w:p w14:paraId="06468D41" w14:textId="77777777" w:rsidR="00513DE3" w:rsidRPr="00703D6C" w:rsidRDefault="00513DE3" w:rsidP="00513DE3">
      <w:pPr>
        <w:rPr>
          <w:rFonts w:eastAsia="MS Mincho"/>
          <w:b/>
          <w:u w:val="single"/>
          <w:lang w:eastAsia="ja-JP"/>
        </w:rPr>
      </w:pPr>
      <w:r w:rsidRPr="00C6638B">
        <w:rPr>
          <w:rFonts w:eastAsia="MS Mincho" w:hint="eastAsia"/>
          <w:b/>
          <w:highlight w:val="green"/>
          <w:u w:val="single"/>
          <w:lang w:eastAsia="ja-JP"/>
        </w:rPr>
        <w:t>Agreements:</w:t>
      </w:r>
    </w:p>
    <w:p w14:paraId="5BA5B7CD" w14:textId="77777777" w:rsidR="00513DE3" w:rsidRPr="00513DE3" w:rsidRDefault="00513DE3" w:rsidP="00FE0278">
      <w:pPr>
        <w:pStyle w:val="ListParagraph"/>
        <w:numPr>
          <w:ilvl w:val="0"/>
          <w:numId w:val="10"/>
        </w:numPr>
        <w:spacing w:line="288" w:lineRule="auto"/>
        <w:jc w:val="both"/>
        <w:rPr>
          <w:rFonts w:ascii="Times New Roman" w:hAnsi="Times New Roman"/>
          <w:szCs w:val="20"/>
          <w:lang w:val="en-US" w:eastAsia="ko-KR"/>
        </w:rPr>
      </w:pPr>
      <w:r w:rsidRPr="00513DE3">
        <w:rPr>
          <w:rFonts w:ascii="Times New Roman" w:hAnsi="Times New Roman" w:hint="eastAsia"/>
          <w:szCs w:val="20"/>
          <w:lang w:val="en-US" w:eastAsia="ko-KR"/>
        </w:rPr>
        <w:t xml:space="preserve">At least </w:t>
      </w:r>
      <w:r w:rsidRPr="00513DE3">
        <w:rPr>
          <w:rFonts w:ascii="Times New Roman" w:hAnsi="Times New Roman"/>
          <w:szCs w:val="20"/>
          <w:lang w:val="en-US" w:eastAsia="ko-KR"/>
        </w:rPr>
        <w:t xml:space="preserve">for single CW case, at least </w:t>
      </w:r>
      <w:r w:rsidRPr="00513DE3">
        <w:rPr>
          <w:rFonts w:ascii="Times New Roman" w:hAnsi="Times New Roman" w:hint="eastAsia"/>
          <w:szCs w:val="20"/>
          <w:lang w:val="en-US" w:eastAsia="ko-KR"/>
        </w:rPr>
        <w:t xml:space="preserve">support that the </w:t>
      </w:r>
      <w:r w:rsidRPr="00513DE3">
        <w:rPr>
          <w:rFonts w:ascii="Times New Roman" w:eastAsia="MS Mincho" w:hAnsi="Times New Roman" w:hint="eastAsia"/>
          <w:szCs w:val="20"/>
          <w:lang w:val="en-US" w:eastAsia="ja-JP"/>
        </w:rPr>
        <w:t xml:space="preserve">maximum </w:t>
      </w:r>
      <w:r w:rsidRPr="00513DE3">
        <w:rPr>
          <w:rFonts w:ascii="Times New Roman" w:hAnsi="Times New Roman" w:hint="eastAsia"/>
          <w:szCs w:val="20"/>
          <w:lang w:val="en-US" w:eastAsia="ko-KR"/>
        </w:rPr>
        <w:t xml:space="preserve">number of CBGs per TB is indicated by </w:t>
      </w:r>
      <w:r w:rsidRPr="00513DE3">
        <w:rPr>
          <w:rFonts w:ascii="Times New Roman" w:hAnsi="Times New Roman"/>
          <w:szCs w:val="20"/>
          <w:lang w:val="en-US" w:eastAsia="ko-KR"/>
        </w:rPr>
        <w:t>RRC signaling</w:t>
      </w:r>
    </w:p>
    <w:p w14:paraId="7F890E5B" w14:textId="77777777" w:rsidR="00513DE3" w:rsidRPr="00513DE3" w:rsidRDefault="00513DE3" w:rsidP="00FE0278">
      <w:pPr>
        <w:pStyle w:val="ListParagraph"/>
        <w:numPr>
          <w:ilvl w:val="1"/>
          <w:numId w:val="10"/>
        </w:numPr>
        <w:spacing w:line="288" w:lineRule="auto"/>
        <w:jc w:val="both"/>
        <w:rPr>
          <w:lang w:val="en-US" w:eastAsia="ko-KR"/>
        </w:rPr>
      </w:pPr>
      <w:r w:rsidRPr="00513DE3">
        <w:rPr>
          <w:rFonts w:ascii="Times New Roman" w:hAnsi="Times New Roman"/>
          <w:szCs w:val="20"/>
          <w:lang w:val="en-US" w:eastAsia="ko-KR"/>
        </w:rPr>
        <w:t xml:space="preserve">FFS whether also support </w:t>
      </w:r>
      <w:r w:rsidRPr="00513DE3">
        <w:rPr>
          <w:rFonts w:ascii="Times New Roman" w:hAnsi="Times New Roman" w:hint="eastAsia"/>
          <w:szCs w:val="20"/>
          <w:lang w:val="en-US" w:eastAsia="ko-KR"/>
        </w:rPr>
        <w:t>to indicate the number of CBGs per TB by L1 signaling</w:t>
      </w:r>
    </w:p>
    <w:p w14:paraId="47F8C5EC" w14:textId="77777777" w:rsidR="00513DE3" w:rsidRPr="00E82F7A" w:rsidRDefault="00513DE3" w:rsidP="00513DE3">
      <w:pPr>
        <w:spacing w:line="288" w:lineRule="auto"/>
        <w:jc w:val="both"/>
        <w:rPr>
          <w:rFonts w:eastAsia="Yu Mincho"/>
          <w:b/>
          <w:u w:val="single"/>
          <w:lang w:eastAsia="ja-JP"/>
        </w:rPr>
      </w:pPr>
      <w:r w:rsidRPr="00C6638B">
        <w:rPr>
          <w:rFonts w:eastAsia="MS Mincho" w:hint="eastAsia"/>
          <w:b/>
          <w:highlight w:val="green"/>
          <w:u w:val="single"/>
          <w:lang w:eastAsia="ja-JP"/>
        </w:rPr>
        <w:t>Agreements:</w:t>
      </w:r>
    </w:p>
    <w:p w14:paraId="2DCDDB28" w14:textId="77777777" w:rsidR="00513DE3" w:rsidRPr="004C3856" w:rsidRDefault="00513DE3" w:rsidP="00FE0278">
      <w:pPr>
        <w:numPr>
          <w:ilvl w:val="0"/>
          <w:numId w:val="11"/>
        </w:numPr>
        <w:tabs>
          <w:tab w:val="left" w:pos="1440"/>
        </w:tabs>
        <w:spacing w:after="0" w:line="288" w:lineRule="auto"/>
        <w:jc w:val="both"/>
        <w:rPr>
          <w:szCs w:val="20"/>
          <w:lang w:eastAsia="ko-KR"/>
        </w:rPr>
      </w:pPr>
      <w:r w:rsidRPr="004C3856">
        <w:rPr>
          <w:szCs w:val="20"/>
          <w:lang w:eastAsia="ko-KR"/>
        </w:rPr>
        <w:t>For DL CBG-based (re)transmission,</w:t>
      </w:r>
    </w:p>
    <w:p w14:paraId="4D5D6100" w14:textId="77777777" w:rsidR="00513DE3" w:rsidRPr="004C3856" w:rsidRDefault="00513DE3" w:rsidP="00FE0278">
      <w:pPr>
        <w:numPr>
          <w:ilvl w:val="1"/>
          <w:numId w:val="11"/>
        </w:numPr>
        <w:tabs>
          <w:tab w:val="left" w:pos="1440"/>
        </w:tabs>
        <w:spacing w:after="0" w:line="288" w:lineRule="auto"/>
        <w:jc w:val="both"/>
        <w:rPr>
          <w:szCs w:val="20"/>
          <w:lang w:eastAsia="ko-KR"/>
        </w:rPr>
      </w:pPr>
      <w:r w:rsidRPr="004C3856">
        <w:rPr>
          <w:szCs w:val="20"/>
          <w:lang w:eastAsia="ko-KR"/>
        </w:rPr>
        <w:t>Following information can be separately configured to be included in the same DCI:</w:t>
      </w:r>
    </w:p>
    <w:p w14:paraId="125F242E" w14:textId="77777777" w:rsidR="00513DE3" w:rsidRPr="004C3856" w:rsidRDefault="00513DE3" w:rsidP="00FE0278">
      <w:pPr>
        <w:numPr>
          <w:ilvl w:val="2"/>
          <w:numId w:val="11"/>
        </w:numPr>
        <w:tabs>
          <w:tab w:val="left" w:pos="1440"/>
        </w:tabs>
        <w:spacing w:after="0" w:line="288" w:lineRule="auto"/>
        <w:jc w:val="both"/>
        <w:rPr>
          <w:szCs w:val="20"/>
          <w:lang w:eastAsia="ko-KR"/>
        </w:rPr>
      </w:pPr>
      <w:r w:rsidRPr="004C3856">
        <w:rPr>
          <w:szCs w:val="20"/>
          <w:lang w:eastAsia="ko-KR"/>
        </w:rPr>
        <w:t>Which CBG(s) is/are (re)transmitted.</w:t>
      </w:r>
    </w:p>
    <w:p w14:paraId="66FBB0C1" w14:textId="77777777" w:rsidR="00513DE3" w:rsidRPr="004C3856" w:rsidRDefault="00513DE3" w:rsidP="00FE0278">
      <w:pPr>
        <w:numPr>
          <w:ilvl w:val="2"/>
          <w:numId w:val="11"/>
        </w:numPr>
        <w:tabs>
          <w:tab w:val="left" w:pos="1440"/>
        </w:tabs>
        <w:spacing w:after="0" w:line="288" w:lineRule="auto"/>
        <w:jc w:val="both"/>
        <w:rPr>
          <w:szCs w:val="20"/>
          <w:lang w:eastAsia="ko-KR"/>
        </w:rPr>
      </w:pPr>
      <w:r w:rsidRPr="004C3856">
        <w:rPr>
          <w:szCs w:val="20"/>
          <w:lang w:eastAsia="ko-KR"/>
        </w:rPr>
        <w:t>Which CBG(s) is/are handled differently for soft-buffer/HARQ combining.</w:t>
      </w:r>
    </w:p>
    <w:p w14:paraId="60B8D738" w14:textId="77777777" w:rsidR="00513DE3" w:rsidRPr="004C3856" w:rsidRDefault="00513DE3" w:rsidP="00FE0278">
      <w:pPr>
        <w:numPr>
          <w:ilvl w:val="3"/>
          <w:numId w:val="11"/>
        </w:numPr>
        <w:tabs>
          <w:tab w:val="left" w:pos="1440"/>
        </w:tabs>
        <w:spacing w:after="0" w:line="288" w:lineRule="auto"/>
        <w:jc w:val="both"/>
        <w:rPr>
          <w:szCs w:val="20"/>
          <w:lang w:eastAsia="ko-KR"/>
        </w:rPr>
      </w:pPr>
      <w:r w:rsidRPr="004C3856">
        <w:rPr>
          <w:szCs w:val="20"/>
          <w:lang w:eastAsia="ko-KR"/>
        </w:rPr>
        <w:t>FFS: whether/how UE behavior is specified, e.g., part/whole of soft-buffer</w:t>
      </w:r>
      <w:r>
        <w:rPr>
          <w:szCs w:val="20"/>
          <w:lang w:eastAsia="ko-KR"/>
        </w:rPr>
        <w:t xml:space="preserve"> of indicated CBG(s) is flushed</w:t>
      </w:r>
    </w:p>
    <w:p w14:paraId="2E2569E5" w14:textId="77777777" w:rsidR="00513DE3" w:rsidRPr="00282E5A" w:rsidRDefault="00513DE3" w:rsidP="00513DE3">
      <w:pPr>
        <w:spacing w:line="288" w:lineRule="auto"/>
        <w:jc w:val="both"/>
        <w:rPr>
          <w:lang w:eastAsia="ko-KR"/>
        </w:rPr>
      </w:pPr>
    </w:p>
    <w:p w14:paraId="6C5C34E7" w14:textId="77777777" w:rsidR="00513DE3" w:rsidRPr="001F1705" w:rsidRDefault="00513DE3" w:rsidP="00513DE3">
      <w:pPr>
        <w:spacing w:line="288" w:lineRule="auto"/>
        <w:jc w:val="both"/>
        <w:rPr>
          <w:b/>
          <w:u w:val="single"/>
          <w:lang w:eastAsia="ko-KR"/>
        </w:rPr>
      </w:pPr>
      <w:r w:rsidRPr="00C6638B">
        <w:rPr>
          <w:rFonts w:eastAsia="MS Mincho" w:hint="eastAsia"/>
          <w:b/>
          <w:highlight w:val="green"/>
          <w:u w:val="single"/>
          <w:lang w:eastAsia="ja-JP"/>
        </w:rPr>
        <w:t>Agreements:</w:t>
      </w:r>
    </w:p>
    <w:p w14:paraId="28668365" w14:textId="77777777" w:rsidR="00513DE3" w:rsidRPr="006B1764" w:rsidRDefault="00513DE3" w:rsidP="00FE0278">
      <w:pPr>
        <w:numPr>
          <w:ilvl w:val="0"/>
          <w:numId w:val="12"/>
        </w:numPr>
        <w:tabs>
          <w:tab w:val="left" w:pos="1440"/>
        </w:tabs>
        <w:spacing w:after="0" w:line="288" w:lineRule="auto"/>
        <w:jc w:val="both"/>
        <w:rPr>
          <w:sz w:val="18"/>
          <w:szCs w:val="18"/>
          <w:lang w:eastAsia="ko-KR"/>
        </w:rPr>
      </w:pPr>
      <w:r w:rsidRPr="006B1764">
        <w:rPr>
          <w:sz w:val="18"/>
          <w:szCs w:val="18"/>
          <w:lang w:eastAsia="ko-KR"/>
        </w:rPr>
        <w:t>At least for single CW case</w:t>
      </w:r>
    </w:p>
    <w:p w14:paraId="7FCB8EBB" w14:textId="77777777" w:rsidR="00513DE3" w:rsidRPr="006B1764" w:rsidRDefault="00513DE3" w:rsidP="00FE0278">
      <w:pPr>
        <w:numPr>
          <w:ilvl w:val="1"/>
          <w:numId w:val="12"/>
        </w:numPr>
        <w:tabs>
          <w:tab w:val="left" w:pos="1440"/>
        </w:tabs>
        <w:spacing w:after="0" w:line="288" w:lineRule="auto"/>
        <w:jc w:val="both"/>
        <w:rPr>
          <w:sz w:val="18"/>
          <w:szCs w:val="18"/>
          <w:lang w:eastAsia="ko-KR"/>
        </w:rPr>
      </w:pPr>
      <w:r w:rsidRPr="006B1764">
        <w:rPr>
          <w:sz w:val="18"/>
          <w:szCs w:val="18"/>
          <w:lang w:eastAsia="ko-KR"/>
        </w:rPr>
        <w:t xml:space="preserve">The maximum number </w:t>
      </w:r>
      <w:r w:rsidRPr="006B1764">
        <w:rPr>
          <w:b/>
          <w:bCs/>
          <w:i/>
          <w:iCs/>
          <w:sz w:val="18"/>
          <w:szCs w:val="18"/>
          <w:lang w:eastAsia="ko-KR"/>
        </w:rPr>
        <w:t xml:space="preserve">N </w:t>
      </w:r>
      <w:r w:rsidRPr="006B1764">
        <w:rPr>
          <w:sz w:val="18"/>
          <w:szCs w:val="18"/>
          <w:lang w:eastAsia="ko-KR"/>
        </w:rPr>
        <w:t>of CBG(s) per TB is configured by RRC signaling</w:t>
      </w:r>
    </w:p>
    <w:p w14:paraId="3F2FA25B" w14:textId="77777777" w:rsidR="00513DE3" w:rsidRPr="006B1764" w:rsidRDefault="00513DE3" w:rsidP="00FE0278">
      <w:pPr>
        <w:numPr>
          <w:ilvl w:val="2"/>
          <w:numId w:val="12"/>
        </w:numPr>
        <w:tabs>
          <w:tab w:val="left" w:pos="1440"/>
        </w:tabs>
        <w:spacing w:after="0" w:line="288" w:lineRule="auto"/>
        <w:jc w:val="both"/>
        <w:rPr>
          <w:sz w:val="18"/>
          <w:szCs w:val="18"/>
          <w:lang w:eastAsia="ko-KR"/>
        </w:rPr>
      </w:pPr>
      <w:r w:rsidRPr="006B1764">
        <w:rPr>
          <w:sz w:val="18"/>
          <w:szCs w:val="18"/>
          <w:lang w:eastAsia="ko-KR"/>
        </w:rPr>
        <w:t xml:space="preserve">The number </w:t>
      </w:r>
      <w:r w:rsidRPr="006B1764">
        <w:rPr>
          <w:b/>
          <w:bCs/>
          <w:i/>
          <w:iCs/>
          <w:sz w:val="18"/>
          <w:szCs w:val="18"/>
          <w:lang w:eastAsia="ko-KR"/>
        </w:rPr>
        <w:t>M</w:t>
      </w:r>
      <w:r w:rsidRPr="006B1764">
        <w:rPr>
          <w:sz w:val="18"/>
          <w:szCs w:val="18"/>
          <w:lang w:eastAsia="ko-KR"/>
        </w:rPr>
        <w:t xml:space="preserve"> of CBG(s) in the TB equals to </w:t>
      </w:r>
      <w:r w:rsidRPr="006B1764">
        <w:rPr>
          <w:b/>
          <w:bCs/>
          <w:i/>
          <w:iCs/>
          <w:sz w:val="18"/>
          <w:szCs w:val="18"/>
          <w:lang w:eastAsia="ko-KR"/>
        </w:rPr>
        <w:t>min(C, N)</w:t>
      </w:r>
      <w:r w:rsidRPr="006B1764">
        <w:rPr>
          <w:i/>
          <w:iCs/>
          <w:sz w:val="18"/>
          <w:szCs w:val="18"/>
          <w:lang w:eastAsia="ko-KR"/>
        </w:rPr>
        <w:t xml:space="preserve">, </w:t>
      </w:r>
      <w:r w:rsidRPr="006B1764">
        <w:rPr>
          <w:sz w:val="18"/>
          <w:szCs w:val="18"/>
          <w:lang w:eastAsia="ko-KR"/>
        </w:rPr>
        <w:t xml:space="preserve">where </w:t>
      </w:r>
      <w:r w:rsidRPr="006B1764">
        <w:rPr>
          <w:b/>
          <w:bCs/>
          <w:i/>
          <w:iCs/>
          <w:sz w:val="18"/>
          <w:szCs w:val="18"/>
          <w:lang w:eastAsia="ko-KR"/>
        </w:rPr>
        <w:t>C</w:t>
      </w:r>
      <w:r w:rsidRPr="006B1764">
        <w:rPr>
          <w:sz w:val="18"/>
          <w:szCs w:val="18"/>
          <w:lang w:eastAsia="ko-KR"/>
        </w:rPr>
        <w:t xml:space="preserve"> is the number of CB(s) within the TB.</w:t>
      </w:r>
    </w:p>
    <w:p w14:paraId="217451CE" w14:textId="77777777" w:rsidR="00513DE3" w:rsidRPr="006B1764" w:rsidRDefault="00513DE3" w:rsidP="00FE0278">
      <w:pPr>
        <w:numPr>
          <w:ilvl w:val="1"/>
          <w:numId w:val="12"/>
        </w:numPr>
        <w:tabs>
          <w:tab w:val="left" w:pos="1440"/>
        </w:tabs>
        <w:spacing w:after="0" w:line="288" w:lineRule="auto"/>
        <w:jc w:val="both"/>
        <w:rPr>
          <w:sz w:val="18"/>
          <w:szCs w:val="18"/>
          <w:lang w:eastAsia="ko-KR"/>
        </w:rPr>
      </w:pPr>
      <w:r w:rsidRPr="006B1764">
        <w:rPr>
          <w:sz w:val="18"/>
          <w:szCs w:val="18"/>
          <w:lang w:eastAsia="ko-KR"/>
        </w:rPr>
        <w:t>For CBG construction</w:t>
      </w:r>
    </w:p>
    <w:p w14:paraId="06731006" w14:textId="77777777" w:rsidR="00513DE3" w:rsidRPr="006B1764" w:rsidRDefault="00513DE3" w:rsidP="00FE0278">
      <w:pPr>
        <w:numPr>
          <w:ilvl w:val="2"/>
          <w:numId w:val="12"/>
        </w:numPr>
        <w:tabs>
          <w:tab w:val="left" w:pos="1440"/>
        </w:tabs>
        <w:spacing w:after="0" w:line="288" w:lineRule="auto"/>
        <w:jc w:val="both"/>
        <w:rPr>
          <w:sz w:val="18"/>
          <w:szCs w:val="18"/>
          <w:lang w:eastAsia="ko-KR"/>
        </w:rPr>
      </w:pPr>
      <w:r w:rsidRPr="006B1764">
        <w:rPr>
          <w:sz w:val="18"/>
          <w:szCs w:val="18"/>
          <w:lang w:eastAsia="ko-KR"/>
        </w:rPr>
        <w:t xml:space="preserve">The first </w:t>
      </w:r>
      <w:r w:rsidRPr="006B1764">
        <w:rPr>
          <w:b/>
          <w:bCs/>
          <w:i/>
          <w:iCs/>
          <w:sz w:val="18"/>
          <w:szCs w:val="18"/>
          <w:lang w:eastAsia="ko-KR"/>
        </w:rPr>
        <w:t>Mod</w:t>
      </w:r>
      <w:r w:rsidRPr="006B1764">
        <w:rPr>
          <w:b/>
          <w:bCs/>
          <w:sz w:val="18"/>
          <w:szCs w:val="18"/>
          <w:lang w:eastAsia="ko-KR"/>
        </w:rPr>
        <w:t>(</w:t>
      </w:r>
      <w:r w:rsidRPr="006B1764">
        <w:rPr>
          <w:b/>
          <w:bCs/>
          <w:i/>
          <w:iCs/>
          <w:sz w:val="18"/>
          <w:szCs w:val="18"/>
          <w:lang w:eastAsia="ko-KR"/>
        </w:rPr>
        <w:t>C,M)</w:t>
      </w:r>
      <w:r w:rsidRPr="006B1764">
        <w:rPr>
          <w:b/>
          <w:bCs/>
          <w:sz w:val="18"/>
          <w:szCs w:val="18"/>
          <w:lang w:eastAsia="ko-KR"/>
        </w:rPr>
        <w:t xml:space="preserve"> </w:t>
      </w:r>
      <w:r w:rsidRPr="006B1764">
        <w:rPr>
          <w:sz w:val="18"/>
          <w:szCs w:val="18"/>
          <w:lang w:eastAsia="ko-KR"/>
        </w:rPr>
        <w:t xml:space="preserve">CBG(s) out of total </w:t>
      </w:r>
      <w:r w:rsidRPr="006B1764">
        <w:rPr>
          <w:b/>
          <w:bCs/>
          <w:i/>
          <w:iCs/>
          <w:sz w:val="18"/>
          <w:szCs w:val="18"/>
          <w:lang w:eastAsia="ko-KR"/>
        </w:rPr>
        <w:t>M</w:t>
      </w:r>
      <w:r w:rsidRPr="006B1764">
        <w:rPr>
          <w:sz w:val="18"/>
          <w:szCs w:val="18"/>
          <w:lang w:eastAsia="ko-KR"/>
        </w:rPr>
        <w:t xml:space="preserve"> CBG(s) include </w:t>
      </w:r>
      <w:r w:rsidRPr="006B1764">
        <w:rPr>
          <w:b/>
          <w:bCs/>
          <w:i/>
          <w:iCs/>
          <w:sz w:val="18"/>
          <w:szCs w:val="18"/>
          <w:lang w:eastAsia="ko-KR"/>
        </w:rPr>
        <w:t>ceil(C/M)</w:t>
      </w:r>
      <w:r w:rsidRPr="006B1764">
        <w:rPr>
          <w:sz w:val="18"/>
          <w:szCs w:val="18"/>
          <w:lang w:eastAsia="ko-KR"/>
        </w:rPr>
        <w:t xml:space="preserve"> CB(s) per CBG </w:t>
      </w:r>
    </w:p>
    <w:p w14:paraId="073A74E6" w14:textId="77777777" w:rsidR="00513DE3" w:rsidRPr="006B1764" w:rsidRDefault="00513DE3" w:rsidP="00FE0278">
      <w:pPr>
        <w:numPr>
          <w:ilvl w:val="2"/>
          <w:numId w:val="12"/>
        </w:numPr>
        <w:tabs>
          <w:tab w:val="left" w:pos="1440"/>
        </w:tabs>
        <w:spacing w:after="0" w:line="288" w:lineRule="auto"/>
        <w:jc w:val="both"/>
        <w:rPr>
          <w:sz w:val="18"/>
          <w:szCs w:val="18"/>
          <w:lang w:eastAsia="ko-KR"/>
        </w:rPr>
      </w:pPr>
      <w:r w:rsidRPr="006B1764">
        <w:rPr>
          <w:sz w:val="18"/>
          <w:szCs w:val="18"/>
          <w:lang w:eastAsia="ko-KR"/>
        </w:rPr>
        <w:lastRenderedPageBreak/>
        <w:t xml:space="preserve">The remaining </w:t>
      </w:r>
      <w:r w:rsidRPr="006B1764">
        <w:rPr>
          <w:b/>
          <w:bCs/>
          <w:i/>
          <w:iCs/>
          <w:sz w:val="18"/>
          <w:szCs w:val="18"/>
          <w:lang w:eastAsia="ko-KR"/>
        </w:rPr>
        <w:t>M-Mod</w:t>
      </w:r>
      <w:r w:rsidRPr="006B1764">
        <w:rPr>
          <w:b/>
          <w:bCs/>
          <w:sz w:val="18"/>
          <w:szCs w:val="18"/>
          <w:lang w:eastAsia="ko-KR"/>
        </w:rPr>
        <w:t>(</w:t>
      </w:r>
      <w:r w:rsidRPr="006B1764">
        <w:rPr>
          <w:b/>
          <w:bCs/>
          <w:i/>
          <w:iCs/>
          <w:sz w:val="18"/>
          <w:szCs w:val="18"/>
          <w:lang w:eastAsia="ko-KR"/>
        </w:rPr>
        <w:t>C,M)</w:t>
      </w:r>
      <w:r w:rsidRPr="006B1764">
        <w:rPr>
          <w:sz w:val="18"/>
          <w:szCs w:val="18"/>
          <w:lang w:eastAsia="ko-KR"/>
        </w:rPr>
        <w:t xml:space="preserve"> CBG(s) include </w:t>
      </w:r>
      <w:r w:rsidRPr="006B1764">
        <w:rPr>
          <w:b/>
          <w:bCs/>
          <w:i/>
          <w:iCs/>
          <w:sz w:val="18"/>
          <w:szCs w:val="18"/>
          <w:lang w:eastAsia="ko-KR"/>
        </w:rPr>
        <w:t>floor(C/M)</w:t>
      </w:r>
      <w:r w:rsidRPr="006B1764">
        <w:rPr>
          <w:sz w:val="18"/>
          <w:szCs w:val="18"/>
          <w:lang w:eastAsia="ko-KR"/>
        </w:rPr>
        <w:t xml:space="preserve"> CB(s) per CBG. </w:t>
      </w:r>
    </w:p>
    <w:p w14:paraId="68A3504D" w14:textId="77777777" w:rsidR="00513DE3" w:rsidRPr="00E55E57" w:rsidRDefault="00513DE3" w:rsidP="00513DE3">
      <w:pPr>
        <w:rPr>
          <w:rFonts w:eastAsia="MS Mincho"/>
          <w:lang w:eastAsia="ja-JP"/>
        </w:rPr>
      </w:pPr>
    </w:p>
    <w:p w14:paraId="5C4C9561" w14:textId="77777777" w:rsidR="00513DE3" w:rsidRPr="00186031" w:rsidRDefault="00513DE3" w:rsidP="00513DE3">
      <w:pPr>
        <w:rPr>
          <w:rFonts w:eastAsia="MS Mincho"/>
          <w:b/>
          <w:u w:val="single"/>
          <w:lang w:eastAsia="ja-JP"/>
        </w:rPr>
      </w:pPr>
      <w:r w:rsidRPr="00B82D79">
        <w:rPr>
          <w:rFonts w:eastAsia="MS Mincho" w:hint="eastAsia"/>
          <w:b/>
          <w:highlight w:val="green"/>
          <w:u w:val="single"/>
          <w:lang w:eastAsia="ja-JP"/>
        </w:rPr>
        <w:t>Agreements:</w:t>
      </w:r>
    </w:p>
    <w:p w14:paraId="010B8A4D" w14:textId="77777777" w:rsidR="00513DE3" w:rsidRPr="00186031" w:rsidRDefault="00513DE3" w:rsidP="00FE0278">
      <w:pPr>
        <w:numPr>
          <w:ilvl w:val="0"/>
          <w:numId w:val="13"/>
        </w:numPr>
        <w:tabs>
          <w:tab w:val="left" w:pos="1440"/>
        </w:tabs>
        <w:spacing w:after="0" w:line="240" w:lineRule="auto"/>
        <w:rPr>
          <w:rFonts w:eastAsia="MS Mincho"/>
          <w:lang w:eastAsia="ja-JP"/>
        </w:rPr>
      </w:pPr>
      <w:r w:rsidRPr="00186031">
        <w:rPr>
          <w:rFonts w:eastAsia="MS Mincho"/>
          <w:lang w:eastAsia="ja-JP"/>
        </w:rPr>
        <w:t>Confirm the working assumption that, for initial transmission and retransmission, each CBG of a TB has the same set of CB(s).</w:t>
      </w:r>
    </w:p>
    <w:p w14:paraId="32C55A34" w14:textId="77777777" w:rsidR="00513DE3" w:rsidRDefault="00513DE3" w:rsidP="00513DE3">
      <w:pPr>
        <w:rPr>
          <w:rFonts w:eastAsia="MS Mincho"/>
          <w:lang w:eastAsia="ja-JP"/>
        </w:rPr>
      </w:pPr>
    </w:p>
    <w:p w14:paraId="58225981" w14:textId="77777777" w:rsidR="00513DE3" w:rsidRPr="00AB5AD3" w:rsidRDefault="00513DE3" w:rsidP="00513DE3">
      <w:pPr>
        <w:rPr>
          <w:rFonts w:eastAsia="MS Mincho"/>
          <w:b/>
          <w:u w:val="single"/>
          <w:lang w:eastAsia="ja-JP"/>
        </w:rPr>
      </w:pPr>
      <w:r w:rsidRPr="00AB5AD3">
        <w:rPr>
          <w:rFonts w:eastAsia="MS Mincho" w:hint="eastAsia"/>
          <w:b/>
          <w:highlight w:val="green"/>
          <w:u w:val="single"/>
          <w:lang w:eastAsia="ja-JP"/>
        </w:rPr>
        <w:t>Agreements:</w:t>
      </w:r>
    </w:p>
    <w:p w14:paraId="38D07C53" w14:textId="77777777" w:rsidR="00513DE3" w:rsidRPr="00AB5AD3" w:rsidRDefault="00513DE3" w:rsidP="00FE0278">
      <w:pPr>
        <w:numPr>
          <w:ilvl w:val="0"/>
          <w:numId w:val="14"/>
        </w:numPr>
        <w:tabs>
          <w:tab w:val="left" w:pos="1440"/>
        </w:tabs>
        <w:spacing w:after="0" w:line="240" w:lineRule="auto"/>
        <w:rPr>
          <w:rFonts w:eastAsia="MS Mincho"/>
          <w:lang w:eastAsia="ja-JP"/>
        </w:rPr>
      </w:pPr>
      <w:r w:rsidRPr="00AB5AD3">
        <w:rPr>
          <w:rFonts w:eastAsia="MS Mincho"/>
          <w:lang w:eastAsia="ja-JP"/>
        </w:rPr>
        <w:t>For multiple CW cases, the following can be considered.</w:t>
      </w:r>
    </w:p>
    <w:p w14:paraId="313E3ED7" w14:textId="77777777" w:rsidR="00513DE3" w:rsidRPr="00AB5AD3" w:rsidRDefault="00513DE3" w:rsidP="00FE0278">
      <w:pPr>
        <w:numPr>
          <w:ilvl w:val="1"/>
          <w:numId w:val="14"/>
        </w:numPr>
        <w:tabs>
          <w:tab w:val="left" w:pos="1440"/>
        </w:tabs>
        <w:spacing w:after="0" w:line="240" w:lineRule="auto"/>
        <w:rPr>
          <w:rFonts w:eastAsia="MS Mincho"/>
          <w:lang w:eastAsia="ja-JP"/>
        </w:rPr>
      </w:pPr>
      <w:r w:rsidRPr="00AB5AD3">
        <w:rPr>
          <w:rFonts w:eastAsia="MS Mincho"/>
          <w:lang w:eastAsia="ja-JP"/>
        </w:rPr>
        <w:t>Option 1. The gNB configures the maximum number of CBGs per TB.</w:t>
      </w:r>
    </w:p>
    <w:p w14:paraId="3BFD8AE8" w14:textId="77777777" w:rsidR="00513DE3" w:rsidRPr="00AB5AD3" w:rsidRDefault="00513DE3" w:rsidP="00FE0278">
      <w:pPr>
        <w:numPr>
          <w:ilvl w:val="2"/>
          <w:numId w:val="14"/>
        </w:numPr>
        <w:tabs>
          <w:tab w:val="left" w:pos="1440"/>
          <w:tab w:val="num" w:pos="2160"/>
        </w:tabs>
        <w:spacing w:after="0" w:line="240" w:lineRule="auto"/>
        <w:rPr>
          <w:rFonts w:eastAsia="MS Mincho"/>
          <w:lang w:eastAsia="ja-JP"/>
        </w:rPr>
      </w:pPr>
      <w:r w:rsidRPr="00AB5AD3">
        <w:rPr>
          <w:rFonts w:eastAsia="MS Mincho"/>
          <w:lang w:eastAsia="ja-JP"/>
        </w:rPr>
        <w:t>Each TB has the same maximum number of CBGs.</w:t>
      </w:r>
    </w:p>
    <w:p w14:paraId="08C6C718" w14:textId="77777777" w:rsidR="00513DE3" w:rsidRPr="00AB5AD3" w:rsidRDefault="00513DE3" w:rsidP="00FE0278">
      <w:pPr>
        <w:numPr>
          <w:ilvl w:val="1"/>
          <w:numId w:val="14"/>
        </w:numPr>
        <w:tabs>
          <w:tab w:val="left" w:pos="1440"/>
        </w:tabs>
        <w:spacing w:after="0" w:line="240" w:lineRule="auto"/>
        <w:rPr>
          <w:rFonts w:eastAsia="MS Mincho"/>
          <w:lang w:eastAsia="ja-JP"/>
        </w:rPr>
      </w:pPr>
      <w:r w:rsidRPr="00AB5AD3">
        <w:rPr>
          <w:rFonts w:eastAsia="MS Mincho"/>
          <w:lang w:eastAsia="ja-JP"/>
        </w:rPr>
        <w:t>Option 2. The gNB configures the maximum number of CBGs per TB.</w:t>
      </w:r>
    </w:p>
    <w:p w14:paraId="4CD08AE8" w14:textId="77777777" w:rsidR="00513DE3" w:rsidRPr="00AB5AD3" w:rsidRDefault="00513DE3" w:rsidP="00FE0278">
      <w:pPr>
        <w:numPr>
          <w:ilvl w:val="2"/>
          <w:numId w:val="14"/>
        </w:numPr>
        <w:tabs>
          <w:tab w:val="left" w:pos="1440"/>
          <w:tab w:val="num" w:pos="2160"/>
        </w:tabs>
        <w:spacing w:after="0" w:line="240" w:lineRule="auto"/>
        <w:rPr>
          <w:rFonts w:eastAsia="MS Mincho"/>
          <w:lang w:eastAsia="ja-JP"/>
        </w:rPr>
      </w:pPr>
      <w:r w:rsidRPr="00AB5AD3">
        <w:rPr>
          <w:rFonts w:eastAsia="MS Mincho"/>
          <w:lang w:eastAsia="ja-JP"/>
        </w:rPr>
        <w:t>Each TB can be configured with different/same maximum number of CBGs.</w:t>
      </w:r>
    </w:p>
    <w:p w14:paraId="776DC00B" w14:textId="77777777" w:rsidR="00513DE3" w:rsidRPr="00AB5AD3" w:rsidRDefault="00513DE3" w:rsidP="00FE0278">
      <w:pPr>
        <w:numPr>
          <w:ilvl w:val="2"/>
          <w:numId w:val="14"/>
        </w:numPr>
        <w:tabs>
          <w:tab w:val="left" w:pos="1440"/>
          <w:tab w:val="num" w:pos="2160"/>
        </w:tabs>
        <w:spacing w:after="0" w:line="240" w:lineRule="auto"/>
        <w:rPr>
          <w:rFonts w:eastAsia="MS Mincho"/>
          <w:lang w:eastAsia="ja-JP"/>
        </w:rPr>
      </w:pPr>
      <w:r w:rsidRPr="00AB5AD3">
        <w:rPr>
          <w:rFonts w:eastAsia="MS Mincho"/>
          <w:lang w:eastAsia="ja-JP"/>
        </w:rPr>
        <w:t>Note: the gNB configures two parameters on the maximum number of CBGs per TB to the UE.</w:t>
      </w:r>
    </w:p>
    <w:p w14:paraId="486D5710" w14:textId="77777777" w:rsidR="00513DE3" w:rsidRPr="00AB5AD3" w:rsidRDefault="00513DE3" w:rsidP="00FE0278">
      <w:pPr>
        <w:numPr>
          <w:ilvl w:val="1"/>
          <w:numId w:val="14"/>
        </w:numPr>
        <w:tabs>
          <w:tab w:val="left" w:pos="1440"/>
        </w:tabs>
        <w:spacing w:after="0" w:line="240" w:lineRule="auto"/>
        <w:rPr>
          <w:rFonts w:eastAsia="MS Mincho"/>
          <w:lang w:eastAsia="ja-JP"/>
        </w:rPr>
      </w:pPr>
      <w:r w:rsidRPr="00AB5AD3">
        <w:rPr>
          <w:rFonts w:eastAsia="MS Mincho"/>
          <w:lang w:eastAsia="ja-JP"/>
        </w:rPr>
        <w:t xml:space="preserve">Option 3. The gNB configures the maximum number of CBGs to be shared by both CWs. </w:t>
      </w:r>
    </w:p>
    <w:p w14:paraId="25B1DE66" w14:textId="77777777" w:rsidR="00513DE3" w:rsidRPr="00AB5AD3" w:rsidRDefault="00513DE3" w:rsidP="00FE0278">
      <w:pPr>
        <w:numPr>
          <w:ilvl w:val="2"/>
          <w:numId w:val="14"/>
        </w:numPr>
        <w:tabs>
          <w:tab w:val="left" w:pos="1440"/>
          <w:tab w:val="num" w:pos="2160"/>
        </w:tabs>
        <w:spacing w:after="0" w:line="240" w:lineRule="auto"/>
        <w:rPr>
          <w:rFonts w:eastAsia="MS Mincho"/>
          <w:lang w:eastAsia="ja-JP"/>
        </w:rPr>
      </w:pPr>
      <w:r w:rsidRPr="00AB5AD3">
        <w:rPr>
          <w:rFonts w:eastAsia="MS Mincho"/>
          <w:lang w:eastAsia="ja-JP"/>
        </w:rPr>
        <w:t>FFS: How to divide the total number of CBGs to two CWs</w:t>
      </w:r>
    </w:p>
    <w:p w14:paraId="33ADC3E0" w14:textId="77777777" w:rsidR="00513DE3" w:rsidRDefault="00513DE3" w:rsidP="00513DE3">
      <w:pPr>
        <w:rPr>
          <w:rFonts w:eastAsia="MS Mincho"/>
          <w:lang w:eastAsia="ja-JP"/>
        </w:rPr>
      </w:pPr>
    </w:p>
    <w:p w14:paraId="2C403388" w14:textId="77777777" w:rsidR="00513DE3" w:rsidRPr="00AB5AD3" w:rsidRDefault="00513DE3" w:rsidP="00513DE3">
      <w:pPr>
        <w:rPr>
          <w:rFonts w:eastAsia="MS Mincho"/>
          <w:b/>
          <w:u w:val="single"/>
          <w:lang w:eastAsia="ja-JP"/>
        </w:rPr>
      </w:pPr>
      <w:r w:rsidRPr="00AB5AD3">
        <w:rPr>
          <w:rFonts w:eastAsia="MS Mincho" w:hint="eastAsia"/>
          <w:b/>
          <w:highlight w:val="green"/>
          <w:u w:val="single"/>
          <w:lang w:eastAsia="ja-JP"/>
        </w:rPr>
        <w:t>Agreements:</w:t>
      </w:r>
    </w:p>
    <w:p w14:paraId="3605A300" w14:textId="77777777" w:rsidR="00513DE3" w:rsidRPr="00AB5AD3" w:rsidRDefault="00513DE3" w:rsidP="00FE0278">
      <w:pPr>
        <w:numPr>
          <w:ilvl w:val="0"/>
          <w:numId w:val="15"/>
        </w:numPr>
        <w:tabs>
          <w:tab w:val="left" w:pos="426"/>
        </w:tabs>
        <w:spacing w:after="0" w:line="240" w:lineRule="auto"/>
        <w:rPr>
          <w:rFonts w:eastAsia="MS Mincho"/>
          <w:lang w:eastAsia="ja-JP"/>
        </w:rPr>
      </w:pPr>
      <w:r w:rsidRPr="00AB5AD3">
        <w:rPr>
          <w:rFonts w:eastAsia="MS Mincho" w:hint="eastAsia"/>
          <w:lang w:eastAsia="ja-JP"/>
        </w:rPr>
        <w:t>Fo</w:t>
      </w:r>
      <w:r w:rsidRPr="00AB5AD3">
        <w:rPr>
          <w:rFonts w:eastAsia="MS Mincho"/>
          <w:lang w:eastAsia="ja-JP"/>
        </w:rPr>
        <w:t>r the purpose of further discussion, we conclude following:</w:t>
      </w:r>
    </w:p>
    <w:p w14:paraId="114B127E" w14:textId="77777777" w:rsidR="00513DE3" w:rsidRPr="00AB5AD3" w:rsidRDefault="00513DE3" w:rsidP="00FE0278">
      <w:pPr>
        <w:numPr>
          <w:ilvl w:val="1"/>
          <w:numId w:val="15"/>
        </w:numPr>
        <w:tabs>
          <w:tab w:val="left" w:pos="426"/>
        </w:tabs>
        <w:spacing w:after="0" w:line="240" w:lineRule="auto"/>
        <w:rPr>
          <w:rFonts w:eastAsia="MS Mincho"/>
          <w:lang w:eastAsia="ja-JP"/>
        </w:rPr>
      </w:pPr>
      <w:r w:rsidRPr="00AB5AD3">
        <w:rPr>
          <w:rFonts w:eastAsia="MS Mincho" w:hint="eastAsia"/>
          <w:lang w:eastAsia="ja-JP"/>
        </w:rPr>
        <w:t xml:space="preserve">For the following discussion on CBG-based retransmission, define the terms CBGTI and CBGFI as below. </w:t>
      </w:r>
    </w:p>
    <w:p w14:paraId="081116F0" w14:textId="77777777" w:rsidR="00513DE3" w:rsidRPr="00AB5AD3" w:rsidRDefault="00513DE3" w:rsidP="00FE0278">
      <w:pPr>
        <w:numPr>
          <w:ilvl w:val="2"/>
          <w:numId w:val="15"/>
        </w:numPr>
        <w:tabs>
          <w:tab w:val="left" w:pos="426"/>
        </w:tabs>
        <w:spacing w:after="0" w:line="240" w:lineRule="auto"/>
        <w:rPr>
          <w:rFonts w:eastAsia="MS Mincho"/>
          <w:lang w:eastAsia="ja-JP"/>
        </w:rPr>
      </w:pPr>
      <w:r w:rsidRPr="00AB5AD3">
        <w:rPr>
          <w:rFonts w:eastAsia="MS Mincho" w:hint="eastAsia"/>
          <w:lang w:eastAsia="ja-JP"/>
        </w:rPr>
        <w:t>CBGTI (CBG transmission information) means information on w</w:t>
      </w:r>
      <w:r w:rsidRPr="00AB5AD3">
        <w:rPr>
          <w:rFonts w:eastAsia="MS Mincho"/>
          <w:lang w:eastAsia="ja-JP"/>
        </w:rPr>
        <w:t>hich CBG(s) is/are (re)transmitted</w:t>
      </w:r>
      <w:r w:rsidRPr="00AB5AD3">
        <w:rPr>
          <w:rFonts w:eastAsia="MS Mincho" w:hint="eastAsia"/>
          <w:lang w:eastAsia="ja-JP"/>
        </w:rPr>
        <w:t xml:space="preserve"> and, </w:t>
      </w:r>
    </w:p>
    <w:p w14:paraId="12A99A48" w14:textId="77777777" w:rsidR="00513DE3" w:rsidRPr="00AB5AD3" w:rsidRDefault="00513DE3" w:rsidP="00FE0278">
      <w:pPr>
        <w:numPr>
          <w:ilvl w:val="2"/>
          <w:numId w:val="15"/>
        </w:numPr>
        <w:tabs>
          <w:tab w:val="left" w:pos="426"/>
        </w:tabs>
        <w:spacing w:after="0" w:line="240" w:lineRule="auto"/>
        <w:rPr>
          <w:rFonts w:eastAsia="MS Mincho"/>
          <w:lang w:eastAsia="ja-JP"/>
        </w:rPr>
      </w:pPr>
      <w:r w:rsidRPr="00AB5AD3">
        <w:rPr>
          <w:rFonts w:eastAsia="MS Mincho" w:hint="eastAsia"/>
          <w:lang w:eastAsia="ja-JP"/>
        </w:rPr>
        <w:t>CBGFI (CBG flushing out information) means information on w</w:t>
      </w:r>
      <w:r w:rsidRPr="00AB5AD3">
        <w:rPr>
          <w:rFonts w:eastAsia="MS Mincho"/>
          <w:lang w:eastAsia="ja-JP"/>
        </w:rPr>
        <w:t>hich CBG(s) is/are handled differently for soft-buffer/HARQ combining</w:t>
      </w:r>
    </w:p>
    <w:p w14:paraId="0F906C43" w14:textId="77777777" w:rsidR="00513DE3" w:rsidRPr="00AB5AD3" w:rsidRDefault="00513DE3" w:rsidP="00FE0278">
      <w:pPr>
        <w:numPr>
          <w:ilvl w:val="0"/>
          <w:numId w:val="15"/>
        </w:numPr>
        <w:tabs>
          <w:tab w:val="left" w:pos="426"/>
        </w:tabs>
        <w:spacing w:after="0" w:line="240" w:lineRule="auto"/>
        <w:rPr>
          <w:rFonts w:eastAsia="MS Mincho"/>
          <w:szCs w:val="20"/>
          <w:lang w:eastAsia="ja-JP"/>
        </w:rPr>
      </w:pPr>
      <w:r w:rsidRPr="00AB5AD3">
        <w:rPr>
          <w:rFonts w:eastAsia="MS Mincho" w:hint="eastAsia"/>
          <w:szCs w:val="20"/>
          <w:lang w:eastAsia="ja-JP"/>
        </w:rPr>
        <w:t>At least following is supported</w:t>
      </w:r>
      <w:r w:rsidRPr="00AB5AD3">
        <w:rPr>
          <w:rFonts w:eastAsia="MS Mincho"/>
          <w:szCs w:val="20"/>
          <w:lang w:eastAsia="ja-JP"/>
        </w:rPr>
        <w:t xml:space="preserve"> for DL CBG-based (re)transmission</w:t>
      </w:r>
      <w:r w:rsidRPr="00AB5AD3">
        <w:rPr>
          <w:rFonts w:eastAsia="MS Mincho" w:hint="eastAsia"/>
          <w:szCs w:val="20"/>
          <w:lang w:eastAsia="ja-JP"/>
        </w:rPr>
        <w:t>.</w:t>
      </w:r>
    </w:p>
    <w:p w14:paraId="32961158" w14:textId="77777777" w:rsidR="00513DE3" w:rsidRPr="00AB5AD3" w:rsidRDefault="00513DE3" w:rsidP="00FE0278">
      <w:pPr>
        <w:numPr>
          <w:ilvl w:val="1"/>
          <w:numId w:val="15"/>
        </w:numPr>
        <w:tabs>
          <w:tab w:val="left" w:pos="426"/>
        </w:tabs>
        <w:spacing w:after="0" w:line="240" w:lineRule="auto"/>
        <w:rPr>
          <w:rFonts w:eastAsia="MS Mincho"/>
          <w:szCs w:val="20"/>
          <w:lang w:eastAsia="ja-JP"/>
        </w:rPr>
      </w:pPr>
      <w:r w:rsidRPr="00AB5AD3">
        <w:rPr>
          <w:rFonts w:eastAsia="MS Mincho" w:hint="eastAsia"/>
          <w:szCs w:val="20"/>
          <w:lang w:eastAsia="ja-JP"/>
        </w:rPr>
        <w:t>A DCI includes both CBGTI and CBGFI.</w:t>
      </w:r>
    </w:p>
    <w:p w14:paraId="42242FFD" w14:textId="77777777" w:rsidR="00513DE3" w:rsidRPr="00AB5AD3" w:rsidRDefault="00513DE3" w:rsidP="00FE0278">
      <w:pPr>
        <w:numPr>
          <w:ilvl w:val="2"/>
          <w:numId w:val="15"/>
        </w:numPr>
        <w:tabs>
          <w:tab w:val="left" w:pos="426"/>
        </w:tabs>
        <w:spacing w:after="0" w:line="240" w:lineRule="auto"/>
        <w:rPr>
          <w:rFonts w:eastAsia="MS Mincho"/>
          <w:szCs w:val="20"/>
          <w:lang w:eastAsia="ja-JP"/>
        </w:rPr>
      </w:pPr>
      <w:r w:rsidRPr="00AB5AD3">
        <w:rPr>
          <w:rFonts w:eastAsia="MS Mincho" w:hint="eastAsia"/>
          <w:szCs w:val="20"/>
          <w:lang w:eastAsia="ja-JP"/>
        </w:rPr>
        <w:t xml:space="preserve">For single CW case, when N is the maximum number of CBGs </w:t>
      </w:r>
      <w:r w:rsidRPr="00AB5AD3">
        <w:rPr>
          <w:rFonts w:eastAsia="MS Mincho"/>
          <w:szCs w:val="20"/>
          <w:lang w:eastAsia="ja-JP"/>
        </w:rPr>
        <w:t>configured</w:t>
      </w:r>
      <w:r w:rsidRPr="00AB5AD3">
        <w:rPr>
          <w:rFonts w:eastAsia="MS Mincho" w:hint="eastAsia"/>
          <w:szCs w:val="20"/>
          <w:lang w:eastAsia="ja-JP"/>
        </w:rPr>
        <w:t xml:space="preserve"> by RRC</w:t>
      </w:r>
    </w:p>
    <w:p w14:paraId="0151E0A5" w14:textId="77777777" w:rsidR="00513DE3" w:rsidRPr="00AB5AD3" w:rsidRDefault="00513DE3" w:rsidP="00FE0278">
      <w:pPr>
        <w:numPr>
          <w:ilvl w:val="3"/>
          <w:numId w:val="15"/>
        </w:numPr>
        <w:tabs>
          <w:tab w:val="left" w:pos="426"/>
        </w:tabs>
        <w:spacing w:after="0" w:line="240" w:lineRule="auto"/>
        <w:rPr>
          <w:rFonts w:eastAsia="MS Mincho"/>
          <w:szCs w:val="20"/>
          <w:lang w:eastAsia="ja-JP"/>
        </w:rPr>
      </w:pPr>
      <w:r w:rsidRPr="00AB5AD3">
        <w:rPr>
          <w:rFonts w:eastAsia="MS Mincho" w:hint="eastAsia"/>
          <w:szCs w:val="20"/>
          <w:lang w:eastAsia="ja-JP"/>
        </w:rPr>
        <w:t>N bits for CBGTI, and the other 1 bit for CBGFI</w:t>
      </w:r>
    </w:p>
    <w:p w14:paraId="3D23C45A" w14:textId="77777777" w:rsidR="00513DE3" w:rsidRPr="00AB5AD3" w:rsidRDefault="00513DE3" w:rsidP="00FE0278">
      <w:pPr>
        <w:numPr>
          <w:ilvl w:val="4"/>
          <w:numId w:val="15"/>
        </w:numPr>
        <w:tabs>
          <w:tab w:val="left" w:pos="426"/>
        </w:tabs>
        <w:spacing w:after="0" w:line="240" w:lineRule="auto"/>
        <w:rPr>
          <w:rFonts w:eastAsia="MS Mincho"/>
          <w:szCs w:val="20"/>
          <w:lang w:eastAsia="ja-JP"/>
        </w:rPr>
      </w:pPr>
      <w:r w:rsidRPr="00AB5AD3">
        <w:rPr>
          <w:rFonts w:eastAsia="MS Mincho" w:hint="eastAsia"/>
          <w:szCs w:val="20"/>
          <w:lang w:eastAsia="ja-JP"/>
        </w:rPr>
        <w:t xml:space="preserve">FFS: </w:t>
      </w:r>
      <w:r w:rsidRPr="00AB5AD3">
        <w:rPr>
          <w:rFonts w:eastAsia="MS Mincho"/>
          <w:szCs w:val="20"/>
          <w:lang w:eastAsia="ja-JP"/>
        </w:rPr>
        <w:t>whether re-interpret NDI as CBGFI</w:t>
      </w:r>
    </w:p>
    <w:p w14:paraId="20308332" w14:textId="77777777" w:rsidR="00513DE3" w:rsidRPr="00AB5AD3" w:rsidRDefault="00513DE3" w:rsidP="00FE0278">
      <w:pPr>
        <w:numPr>
          <w:ilvl w:val="4"/>
          <w:numId w:val="15"/>
        </w:numPr>
        <w:tabs>
          <w:tab w:val="left" w:pos="426"/>
        </w:tabs>
        <w:spacing w:after="0" w:line="240" w:lineRule="auto"/>
        <w:rPr>
          <w:rFonts w:eastAsia="MS Mincho"/>
          <w:szCs w:val="20"/>
          <w:lang w:eastAsia="ja-JP"/>
        </w:rPr>
      </w:pPr>
      <w:r w:rsidRPr="00AB5AD3">
        <w:rPr>
          <w:rFonts w:eastAsia="MS Mincho" w:hint="eastAsia"/>
          <w:szCs w:val="20"/>
          <w:lang w:eastAsia="ja-JP"/>
        </w:rPr>
        <w:t xml:space="preserve">FFS: </w:t>
      </w:r>
      <w:r w:rsidRPr="00AB5AD3">
        <w:rPr>
          <w:rFonts w:eastAsia="MS Mincho"/>
          <w:szCs w:val="20"/>
          <w:lang w:eastAsia="ja-JP"/>
        </w:rPr>
        <w:t xml:space="preserve">whether </w:t>
      </w:r>
      <w:r w:rsidRPr="00AB5AD3">
        <w:rPr>
          <w:rFonts w:eastAsia="MS Mincho" w:hint="eastAsia"/>
          <w:szCs w:val="20"/>
          <w:lang w:eastAsia="ja-JP"/>
        </w:rPr>
        <w:t>CBGTI is re-interpreted as NDI</w:t>
      </w:r>
      <w:r w:rsidRPr="00AB5AD3">
        <w:rPr>
          <w:rFonts w:eastAsia="MS Mincho"/>
          <w:szCs w:val="20"/>
          <w:lang w:eastAsia="ja-JP"/>
        </w:rPr>
        <w:t xml:space="preserve"> </w:t>
      </w:r>
    </w:p>
    <w:p w14:paraId="0025D395" w14:textId="77777777" w:rsidR="00513DE3" w:rsidRPr="00AB5AD3" w:rsidRDefault="00513DE3" w:rsidP="00FE0278">
      <w:pPr>
        <w:numPr>
          <w:ilvl w:val="4"/>
          <w:numId w:val="15"/>
        </w:numPr>
        <w:tabs>
          <w:tab w:val="left" w:pos="426"/>
        </w:tabs>
        <w:spacing w:after="0" w:line="240" w:lineRule="auto"/>
        <w:rPr>
          <w:rFonts w:eastAsia="MS Mincho"/>
          <w:szCs w:val="20"/>
          <w:lang w:eastAsia="ja-JP"/>
        </w:rPr>
      </w:pPr>
      <w:r w:rsidRPr="00AB5AD3">
        <w:rPr>
          <w:rFonts w:eastAsia="MS Mincho" w:hint="eastAsia"/>
          <w:szCs w:val="20"/>
          <w:lang w:eastAsia="ja-JP"/>
        </w:rPr>
        <w:t xml:space="preserve">FFS: </w:t>
      </w:r>
      <w:r w:rsidRPr="00AB5AD3">
        <w:rPr>
          <w:rFonts w:eastAsia="MS Mincho"/>
          <w:szCs w:val="20"/>
          <w:lang w:eastAsia="ja-JP"/>
        </w:rPr>
        <w:t>whether jointly using other field as CBGTI or CBGFI</w:t>
      </w:r>
    </w:p>
    <w:p w14:paraId="4632BA5E" w14:textId="77777777" w:rsidR="00513DE3" w:rsidRPr="00AB5AD3" w:rsidRDefault="00513DE3" w:rsidP="00FE0278">
      <w:pPr>
        <w:numPr>
          <w:ilvl w:val="2"/>
          <w:numId w:val="15"/>
        </w:numPr>
        <w:tabs>
          <w:tab w:val="left" w:pos="426"/>
        </w:tabs>
        <w:spacing w:after="0" w:line="240" w:lineRule="auto"/>
        <w:rPr>
          <w:rFonts w:eastAsia="MS Mincho"/>
          <w:szCs w:val="20"/>
          <w:lang w:eastAsia="ja-JP"/>
        </w:rPr>
      </w:pPr>
      <w:r w:rsidRPr="00AB5AD3">
        <w:rPr>
          <w:rFonts w:eastAsia="MS Mincho" w:hint="eastAsia"/>
          <w:szCs w:val="20"/>
          <w:lang w:eastAsia="ja-JP"/>
        </w:rPr>
        <w:t>FFS on multiple CW case.</w:t>
      </w:r>
    </w:p>
    <w:p w14:paraId="23248DAE" w14:textId="77777777" w:rsidR="00513DE3" w:rsidRPr="00AB5AD3" w:rsidRDefault="00513DE3" w:rsidP="00FE0278">
      <w:pPr>
        <w:numPr>
          <w:ilvl w:val="0"/>
          <w:numId w:val="17"/>
        </w:numPr>
        <w:tabs>
          <w:tab w:val="left" w:pos="426"/>
        </w:tabs>
        <w:spacing w:after="0" w:line="240" w:lineRule="auto"/>
        <w:rPr>
          <w:rFonts w:eastAsia="MS Mincho"/>
          <w:lang w:eastAsia="ja-JP"/>
        </w:rPr>
      </w:pPr>
      <w:r w:rsidRPr="00AB5AD3">
        <w:rPr>
          <w:rFonts w:eastAsia="MS Mincho"/>
          <w:lang w:eastAsia="ja-JP"/>
        </w:rPr>
        <w:t>At least following is supported for DL and UL CBG-based (re)transmission.</w:t>
      </w:r>
    </w:p>
    <w:p w14:paraId="4C5C12CB" w14:textId="77777777" w:rsidR="00513DE3" w:rsidRPr="00AB5AD3" w:rsidRDefault="00513DE3" w:rsidP="00FE0278">
      <w:pPr>
        <w:numPr>
          <w:ilvl w:val="0"/>
          <w:numId w:val="16"/>
        </w:numPr>
        <w:tabs>
          <w:tab w:val="left" w:pos="426"/>
        </w:tabs>
        <w:spacing w:after="0" w:line="240" w:lineRule="auto"/>
        <w:rPr>
          <w:rFonts w:eastAsia="MS Mincho"/>
          <w:lang w:eastAsia="ja-JP"/>
        </w:rPr>
      </w:pPr>
      <w:r w:rsidRPr="00AB5AD3">
        <w:rPr>
          <w:rFonts w:eastAsia="MS Mincho" w:hint="eastAsia"/>
          <w:lang w:eastAsia="ja-JP"/>
        </w:rPr>
        <w:t>A DCI includes CBGTI.</w:t>
      </w:r>
    </w:p>
    <w:p w14:paraId="0349D3A3" w14:textId="77777777" w:rsidR="00513DE3" w:rsidRPr="00AB5AD3" w:rsidRDefault="00513DE3" w:rsidP="00FE0278">
      <w:pPr>
        <w:numPr>
          <w:ilvl w:val="1"/>
          <w:numId w:val="16"/>
        </w:numPr>
        <w:tabs>
          <w:tab w:val="left" w:pos="426"/>
        </w:tabs>
        <w:spacing w:after="0" w:line="240" w:lineRule="auto"/>
        <w:rPr>
          <w:rFonts w:eastAsia="MS Mincho"/>
          <w:lang w:eastAsia="ja-JP"/>
        </w:rPr>
      </w:pPr>
      <w:r w:rsidRPr="00AB5AD3">
        <w:rPr>
          <w:rFonts w:eastAsia="MS Mincho" w:hint="eastAsia"/>
          <w:lang w:eastAsia="ja-JP"/>
        </w:rPr>
        <w:t>For single CW case, N bits for CBGTI as configured by RRC</w:t>
      </w:r>
    </w:p>
    <w:p w14:paraId="4248B82E" w14:textId="77777777" w:rsidR="00513DE3" w:rsidRPr="00AB5AD3" w:rsidRDefault="00513DE3" w:rsidP="00FE0278">
      <w:pPr>
        <w:numPr>
          <w:ilvl w:val="3"/>
          <w:numId w:val="16"/>
        </w:numPr>
        <w:tabs>
          <w:tab w:val="left" w:pos="426"/>
        </w:tabs>
        <w:spacing w:after="0" w:line="240" w:lineRule="auto"/>
        <w:rPr>
          <w:rFonts w:eastAsia="MS Mincho"/>
          <w:lang w:eastAsia="ja-JP"/>
        </w:rPr>
      </w:pPr>
      <w:r w:rsidRPr="00AB5AD3">
        <w:rPr>
          <w:rFonts w:eastAsia="MS Mincho" w:hint="eastAsia"/>
          <w:lang w:eastAsia="ja-JP"/>
        </w:rPr>
        <w:t xml:space="preserve">FFS: </w:t>
      </w:r>
      <w:r w:rsidRPr="00AB5AD3">
        <w:rPr>
          <w:rFonts w:eastAsia="MS Mincho"/>
          <w:lang w:eastAsia="ja-JP"/>
        </w:rPr>
        <w:t xml:space="preserve">whether </w:t>
      </w:r>
      <w:r w:rsidRPr="00AB5AD3">
        <w:rPr>
          <w:rFonts w:eastAsia="MS Mincho" w:hint="eastAsia"/>
          <w:lang w:eastAsia="ja-JP"/>
        </w:rPr>
        <w:t>CBGTI is re-interpreted as NDI</w:t>
      </w:r>
      <w:r w:rsidRPr="00AB5AD3">
        <w:rPr>
          <w:rFonts w:eastAsia="MS Mincho"/>
          <w:lang w:eastAsia="ja-JP"/>
        </w:rPr>
        <w:t xml:space="preserve"> </w:t>
      </w:r>
    </w:p>
    <w:p w14:paraId="7ACE9DBE" w14:textId="77777777" w:rsidR="00513DE3" w:rsidRPr="00AB5AD3" w:rsidRDefault="00513DE3" w:rsidP="00FE0278">
      <w:pPr>
        <w:numPr>
          <w:ilvl w:val="3"/>
          <w:numId w:val="16"/>
        </w:numPr>
        <w:tabs>
          <w:tab w:val="left" w:pos="426"/>
        </w:tabs>
        <w:spacing w:after="0" w:line="240" w:lineRule="auto"/>
        <w:rPr>
          <w:rFonts w:eastAsia="MS Mincho"/>
          <w:lang w:eastAsia="ja-JP"/>
        </w:rPr>
      </w:pPr>
      <w:r w:rsidRPr="00AB5AD3">
        <w:rPr>
          <w:rFonts w:eastAsia="MS Mincho" w:hint="eastAsia"/>
          <w:lang w:eastAsia="ja-JP"/>
        </w:rPr>
        <w:t xml:space="preserve">FFS: </w:t>
      </w:r>
      <w:r w:rsidRPr="00AB5AD3">
        <w:rPr>
          <w:rFonts w:eastAsia="MS Mincho"/>
          <w:lang w:eastAsia="ja-JP"/>
        </w:rPr>
        <w:t>whether NDI</w:t>
      </w:r>
      <w:r w:rsidRPr="00AB5AD3">
        <w:rPr>
          <w:rFonts w:eastAsia="MS Mincho" w:hint="eastAsia"/>
          <w:lang w:eastAsia="ja-JP"/>
        </w:rPr>
        <w:t xml:space="preserve"> is re-interpreted as </w:t>
      </w:r>
      <w:r w:rsidRPr="00AB5AD3">
        <w:rPr>
          <w:rFonts w:eastAsia="MS Mincho"/>
          <w:lang w:eastAsia="ja-JP"/>
        </w:rPr>
        <w:t>CBGTI</w:t>
      </w:r>
    </w:p>
    <w:p w14:paraId="63867B7B" w14:textId="77777777" w:rsidR="00513DE3" w:rsidRPr="00AB5AD3" w:rsidRDefault="00513DE3" w:rsidP="00FE0278">
      <w:pPr>
        <w:numPr>
          <w:ilvl w:val="3"/>
          <w:numId w:val="16"/>
        </w:numPr>
        <w:tabs>
          <w:tab w:val="left" w:pos="426"/>
        </w:tabs>
        <w:spacing w:after="0" w:line="240" w:lineRule="auto"/>
        <w:rPr>
          <w:rFonts w:eastAsia="MS Mincho"/>
          <w:lang w:eastAsia="ja-JP"/>
        </w:rPr>
      </w:pPr>
      <w:r w:rsidRPr="00AB5AD3">
        <w:rPr>
          <w:rFonts w:eastAsia="MS Mincho" w:hint="eastAsia"/>
          <w:lang w:eastAsia="ja-JP"/>
        </w:rPr>
        <w:t xml:space="preserve">FFS: </w:t>
      </w:r>
      <w:r w:rsidRPr="00AB5AD3">
        <w:rPr>
          <w:rFonts w:eastAsia="MS Mincho"/>
          <w:lang w:eastAsia="ja-JP"/>
        </w:rPr>
        <w:t>whether jointly using other field as CBGTI</w:t>
      </w:r>
    </w:p>
    <w:p w14:paraId="393C0875" w14:textId="77777777" w:rsidR="00513DE3" w:rsidRPr="00AB5AD3" w:rsidRDefault="00513DE3" w:rsidP="00FE0278">
      <w:pPr>
        <w:numPr>
          <w:ilvl w:val="1"/>
          <w:numId w:val="16"/>
        </w:numPr>
        <w:tabs>
          <w:tab w:val="left" w:pos="426"/>
        </w:tabs>
        <w:spacing w:after="0" w:line="240" w:lineRule="auto"/>
        <w:rPr>
          <w:rFonts w:eastAsia="MS Mincho"/>
          <w:lang w:eastAsia="ja-JP"/>
        </w:rPr>
      </w:pPr>
      <w:r w:rsidRPr="00AB5AD3">
        <w:rPr>
          <w:rFonts w:eastAsia="MS Mincho" w:hint="eastAsia"/>
          <w:lang w:eastAsia="ja-JP"/>
        </w:rPr>
        <w:t>FFS on multiple CW case</w:t>
      </w:r>
    </w:p>
    <w:p w14:paraId="4F1D4420" w14:textId="77777777" w:rsidR="00513DE3" w:rsidRPr="00AB5AD3" w:rsidRDefault="00513DE3" w:rsidP="00513DE3">
      <w:pPr>
        <w:rPr>
          <w:rFonts w:eastAsia="MS Mincho"/>
          <w:lang w:eastAsia="ja-JP"/>
        </w:rPr>
      </w:pPr>
    </w:p>
    <w:p w14:paraId="30CB4E60" w14:textId="77777777" w:rsidR="00513DE3" w:rsidRPr="005840DE" w:rsidRDefault="00513DE3" w:rsidP="00513DE3">
      <w:pPr>
        <w:rPr>
          <w:rFonts w:eastAsia="MS Mincho"/>
          <w:b/>
          <w:highlight w:val="yellow"/>
          <w:u w:val="single"/>
          <w:lang w:eastAsia="ja-JP"/>
        </w:rPr>
      </w:pPr>
      <w:r w:rsidRPr="00D55460">
        <w:rPr>
          <w:rFonts w:eastAsia="MS Mincho" w:hint="eastAsia"/>
          <w:b/>
          <w:highlight w:val="green"/>
          <w:u w:val="single"/>
          <w:lang w:eastAsia="ja-JP"/>
        </w:rPr>
        <w:t>Agreements:</w:t>
      </w:r>
    </w:p>
    <w:p w14:paraId="028A8F0C" w14:textId="77777777" w:rsidR="00513DE3" w:rsidRPr="00D55460" w:rsidRDefault="00513DE3" w:rsidP="00FE0278">
      <w:pPr>
        <w:numPr>
          <w:ilvl w:val="0"/>
          <w:numId w:val="18"/>
        </w:numPr>
        <w:tabs>
          <w:tab w:val="left" w:pos="1440"/>
        </w:tabs>
        <w:spacing w:after="0" w:line="240" w:lineRule="auto"/>
        <w:rPr>
          <w:rFonts w:eastAsia="MS Mincho"/>
          <w:lang w:eastAsia="ja-JP"/>
        </w:rPr>
      </w:pPr>
      <w:r w:rsidRPr="00D55460">
        <w:rPr>
          <w:rFonts w:eastAsia="MS Mincho"/>
          <w:lang w:eastAsia="ja-JP"/>
        </w:rPr>
        <w:t>For single CW case with CBG based retransmission</w:t>
      </w:r>
      <w:r w:rsidRPr="00D55460">
        <w:rPr>
          <w:rFonts w:eastAsia="MS Mincho" w:hint="eastAsia"/>
          <w:lang w:eastAsia="ja-JP"/>
        </w:rPr>
        <w:t xml:space="preserve"> for the semi-static codebook with HARQ-ACK multiplexing</w:t>
      </w:r>
      <w:r w:rsidRPr="00D55460">
        <w:rPr>
          <w:rFonts w:eastAsia="MS Mincho"/>
          <w:lang w:eastAsia="ja-JP"/>
        </w:rPr>
        <w:t>, at least following is supported for the HARQ-ACK composition and mapping per TB</w:t>
      </w:r>
    </w:p>
    <w:p w14:paraId="189E6E7E" w14:textId="77777777" w:rsidR="00513DE3" w:rsidRPr="00D55460" w:rsidRDefault="00513DE3" w:rsidP="00FE0278">
      <w:pPr>
        <w:numPr>
          <w:ilvl w:val="1"/>
          <w:numId w:val="18"/>
        </w:numPr>
        <w:tabs>
          <w:tab w:val="left" w:pos="1440"/>
        </w:tabs>
        <w:spacing w:after="0" w:line="240" w:lineRule="auto"/>
        <w:rPr>
          <w:rFonts w:eastAsia="MS Mincho"/>
          <w:lang w:eastAsia="ja-JP"/>
        </w:rPr>
      </w:pPr>
      <w:r w:rsidRPr="00D55460">
        <w:rPr>
          <w:rFonts w:eastAsia="MS Mincho"/>
          <w:lang w:eastAsia="ja-JP"/>
        </w:rPr>
        <w:t xml:space="preserve">HARQ-ACK codebook </w:t>
      </w:r>
      <w:r w:rsidRPr="00D55460">
        <w:rPr>
          <w:rFonts w:eastAsia="MS Mincho" w:hint="eastAsia"/>
          <w:lang w:eastAsia="ja-JP"/>
        </w:rPr>
        <w:t xml:space="preserve">includes </w:t>
      </w:r>
      <w:r w:rsidRPr="00D55460">
        <w:rPr>
          <w:rFonts w:eastAsia="MS Mincho"/>
          <w:lang w:eastAsia="ja-JP"/>
        </w:rPr>
        <w:t>HARQ-ACK corresponding to all the CBGs (including the non-scheduled CBG(s))</w:t>
      </w:r>
    </w:p>
    <w:p w14:paraId="110194EC" w14:textId="77777777" w:rsidR="00513DE3" w:rsidRPr="00D55460" w:rsidRDefault="00513DE3" w:rsidP="00FE0278">
      <w:pPr>
        <w:numPr>
          <w:ilvl w:val="1"/>
          <w:numId w:val="18"/>
        </w:numPr>
        <w:tabs>
          <w:tab w:val="left" w:pos="1440"/>
        </w:tabs>
        <w:spacing w:after="0" w:line="240" w:lineRule="auto"/>
        <w:rPr>
          <w:rFonts w:eastAsia="MS Mincho"/>
          <w:lang w:eastAsia="ja-JP"/>
        </w:rPr>
      </w:pPr>
      <w:r w:rsidRPr="00D55460">
        <w:rPr>
          <w:rFonts w:eastAsia="MS Mincho" w:hint="eastAsia"/>
          <w:lang w:eastAsia="ja-JP"/>
        </w:rPr>
        <w:t>At least followings are supported</w:t>
      </w:r>
    </w:p>
    <w:p w14:paraId="04BACE3F" w14:textId="77777777" w:rsidR="00513DE3" w:rsidRPr="00D55460" w:rsidRDefault="00513DE3" w:rsidP="00FE0278">
      <w:pPr>
        <w:numPr>
          <w:ilvl w:val="2"/>
          <w:numId w:val="18"/>
        </w:numPr>
        <w:tabs>
          <w:tab w:val="left" w:pos="1440"/>
        </w:tabs>
        <w:spacing w:after="0" w:line="240" w:lineRule="auto"/>
        <w:rPr>
          <w:rFonts w:eastAsia="MS Mincho"/>
          <w:lang w:eastAsia="ja-JP"/>
        </w:rPr>
      </w:pPr>
      <w:r w:rsidRPr="00D55460">
        <w:rPr>
          <w:rFonts w:eastAsia="MS Mincho"/>
          <w:lang w:eastAsia="ja-JP"/>
        </w:rPr>
        <w:lastRenderedPageBreak/>
        <w:t>HARQ-ACK payload size is the same with the configured number of CBGs</w:t>
      </w:r>
    </w:p>
    <w:p w14:paraId="0D86F652" w14:textId="77777777" w:rsidR="00513DE3" w:rsidRPr="00D55460" w:rsidRDefault="00513DE3" w:rsidP="00FE0278">
      <w:pPr>
        <w:numPr>
          <w:ilvl w:val="2"/>
          <w:numId w:val="18"/>
        </w:numPr>
        <w:tabs>
          <w:tab w:val="left" w:pos="1440"/>
        </w:tabs>
        <w:spacing w:after="0" w:line="240" w:lineRule="auto"/>
        <w:rPr>
          <w:rFonts w:eastAsia="MS Mincho"/>
          <w:lang w:eastAsia="ja-JP"/>
        </w:rPr>
      </w:pPr>
      <w:r w:rsidRPr="00D55460">
        <w:rPr>
          <w:rFonts w:eastAsia="MS Mincho"/>
          <w:lang w:eastAsia="ja-JP"/>
        </w:rPr>
        <w:t>Each HARQ-ACK bit corresponds to each CBG</w:t>
      </w:r>
    </w:p>
    <w:p w14:paraId="0DA45A72" w14:textId="77777777" w:rsidR="00513DE3" w:rsidRPr="00D55460" w:rsidRDefault="00513DE3" w:rsidP="00FE0278">
      <w:pPr>
        <w:numPr>
          <w:ilvl w:val="2"/>
          <w:numId w:val="18"/>
        </w:numPr>
        <w:tabs>
          <w:tab w:val="left" w:pos="1440"/>
        </w:tabs>
        <w:spacing w:after="0" w:line="240" w:lineRule="auto"/>
        <w:rPr>
          <w:rFonts w:eastAsia="MS Mincho"/>
          <w:lang w:eastAsia="ja-JP"/>
        </w:rPr>
      </w:pPr>
      <w:r w:rsidRPr="00D55460">
        <w:rPr>
          <w:rFonts w:eastAsia="MS Mincho" w:hint="eastAsia"/>
          <w:lang w:eastAsia="ja-JP"/>
        </w:rPr>
        <w:t>FFS payload size reduction</w:t>
      </w:r>
    </w:p>
    <w:p w14:paraId="752E72CB" w14:textId="77777777" w:rsidR="00513DE3" w:rsidRPr="00D55460" w:rsidRDefault="00513DE3" w:rsidP="00FE0278">
      <w:pPr>
        <w:numPr>
          <w:ilvl w:val="1"/>
          <w:numId w:val="18"/>
        </w:numPr>
        <w:tabs>
          <w:tab w:val="left" w:pos="1440"/>
        </w:tabs>
        <w:spacing w:after="0" w:line="240" w:lineRule="auto"/>
        <w:rPr>
          <w:rFonts w:eastAsia="MS Mincho"/>
          <w:lang w:eastAsia="ja-JP"/>
        </w:rPr>
      </w:pPr>
      <w:r w:rsidRPr="00D55460">
        <w:rPr>
          <w:rFonts w:eastAsia="MS Mincho"/>
          <w:lang w:eastAsia="ja-JP"/>
        </w:rPr>
        <w:t>ACK is reported for a CBG if the same CBG has been successfully decoded</w:t>
      </w:r>
    </w:p>
    <w:p w14:paraId="11F6DC78" w14:textId="77777777" w:rsidR="00513DE3" w:rsidRPr="00D55460" w:rsidRDefault="00513DE3" w:rsidP="00FE0278">
      <w:pPr>
        <w:numPr>
          <w:ilvl w:val="1"/>
          <w:numId w:val="18"/>
        </w:numPr>
        <w:tabs>
          <w:tab w:val="left" w:pos="1440"/>
        </w:tabs>
        <w:spacing w:after="0" w:line="240" w:lineRule="auto"/>
        <w:rPr>
          <w:rFonts w:eastAsia="MS Mincho"/>
          <w:lang w:eastAsia="ja-JP"/>
        </w:rPr>
      </w:pPr>
      <w:r w:rsidRPr="00D55460">
        <w:rPr>
          <w:rFonts w:eastAsia="MS Mincho" w:hint="eastAsia"/>
          <w:lang w:eastAsia="ja-JP"/>
        </w:rPr>
        <w:t xml:space="preserve">FFS how to handle the case </w:t>
      </w:r>
      <w:r w:rsidRPr="00D55460">
        <w:rPr>
          <w:rFonts w:eastAsia="MS Mincho"/>
          <w:lang w:eastAsia="ja-JP"/>
        </w:rPr>
        <w:t>if TB CRC check is not passed while CB CRC check is passed for all the CBs</w:t>
      </w:r>
    </w:p>
    <w:p w14:paraId="36595F20" w14:textId="32DF8742" w:rsidR="00C44578" w:rsidRDefault="00763DD2" w:rsidP="00EC24C5">
      <w:pPr>
        <w:pStyle w:val="Heading1"/>
      </w:pPr>
      <w:bookmarkStart w:id="0" w:name="_Ref178064866"/>
      <w:r>
        <w:t>Discussion</w:t>
      </w:r>
    </w:p>
    <w:p w14:paraId="380CB625" w14:textId="6F4F162A" w:rsidR="001668A6" w:rsidRDefault="001668A6" w:rsidP="00513DE3">
      <w:pPr>
        <w:pStyle w:val="Heading2"/>
      </w:pPr>
      <w:r>
        <w:t>HARQ code</w:t>
      </w:r>
      <w:r w:rsidR="007F09F7">
        <w:t>book</w:t>
      </w:r>
      <w:r>
        <w:t xml:space="preserve"> design</w:t>
      </w:r>
    </w:p>
    <w:p w14:paraId="05D7ABE6" w14:textId="6F0BF040" w:rsidR="00513DE3" w:rsidRDefault="00513DE3" w:rsidP="00594551">
      <w:pPr>
        <w:pStyle w:val="Heading3"/>
      </w:pPr>
      <w:r>
        <w:t>No carrier aggregation</w:t>
      </w:r>
      <w:r w:rsidR="00594166">
        <w:t>, no CBG</w:t>
      </w:r>
    </w:p>
    <w:p w14:paraId="694975CC" w14:textId="19C995C4" w:rsidR="008C26B4" w:rsidRPr="008C26B4" w:rsidRDefault="008C26B4" w:rsidP="00594551">
      <w:pPr>
        <w:pStyle w:val="Heading4"/>
      </w:pPr>
      <w:bookmarkStart w:id="1" w:name="_Ref492307104"/>
      <w:r>
        <w:t>Dynamic HARQ codebook</w:t>
      </w:r>
      <w:bookmarkEnd w:id="1"/>
    </w:p>
    <w:p w14:paraId="700F1BE9" w14:textId="7E3AF81F" w:rsidR="0061380C" w:rsidRDefault="0061380C" w:rsidP="00C44578">
      <w:r>
        <w:t xml:space="preserve">NR supports dynamic indication of PUCCH resource and time </w:t>
      </w:r>
      <w:r w:rsidR="00876002">
        <w:fldChar w:fldCharType="begin"/>
      </w:r>
      <w:r w:rsidR="00876002">
        <w:instrText xml:space="preserve"> REF _Ref492309338 \r \h </w:instrText>
      </w:r>
      <w:r w:rsidR="00876002">
        <w:fldChar w:fldCharType="separate"/>
      </w:r>
      <w:r w:rsidR="00876002">
        <w:t>[1]</w:t>
      </w:r>
      <w:r w:rsidR="00876002">
        <w:fldChar w:fldCharType="end"/>
      </w:r>
      <w:r w:rsidR="00876002">
        <w:t xml:space="preserve"> </w:t>
      </w:r>
      <w:r>
        <w:t xml:space="preserve">and HARQ feedback for multiple PDSCH can be sent using a single </w:t>
      </w:r>
      <w:r w:rsidR="00216D9B">
        <w:t>HARQ codebook</w:t>
      </w:r>
      <w:r>
        <w:t xml:space="preserve">. PUCCH resource and </w:t>
      </w:r>
      <w:r w:rsidR="00216D9B">
        <w:t>time</w:t>
      </w:r>
      <w:r>
        <w:t xml:space="preserve"> will be indicated in the scheduling </w:t>
      </w:r>
      <w:r w:rsidR="00216D9B">
        <w:t>DCI</w:t>
      </w:r>
      <w:r>
        <w:t xml:space="preserve"> in case of a dynamic scheduled transmission. The association between PDSCH and PUCCH can be based on the </w:t>
      </w:r>
      <w:r w:rsidR="0077643B">
        <w:t xml:space="preserve">PUCCH resource </w:t>
      </w:r>
      <w:r w:rsidR="00575E73">
        <w:t xml:space="preserve">(PR) </w:t>
      </w:r>
      <w:r w:rsidR="0077643B">
        <w:t xml:space="preserve">and </w:t>
      </w:r>
      <w:r w:rsidR="00216D9B">
        <w:t>time</w:t>
      </w:r>
      <w:r w:rsidR="0077643B">
        <w:t xml:space="preserve"> indicated in the scheduling DCI</w:t>
      </w:r>
      <w:r w:rsidR="00575E73">
        <w:t xml:space="preserve"> (</w:t>
      </w:r>
      <w:r w:rsidR="00575E73">
        <w:sym w:font="Symbol" w:char="F044"/>
      </w:r>
      <w:r w:rsidR="00575E73">
        <w:t>T);</w:t>
      </w:r>
      <w:r w:rsidR="0077643B">
        <w:t xml:space="preserve"> HARQ feedback of all PDSCHs which scheduling </w:t>
      </w:r>
      <w:r w:rsidR="00216D9B">
        <w:t>DCIs</w:t>
      </w:r>
      <w:r w:rsidR="0077643B">
        <w:t xml:space="preserve"> indicate same PUCCH resource </w:t>
      </w:r>
      <w:r w:rsidR="00BC7064">
        <w:t xml:space="preserve">and </w:t>
      </w:r>
      <w:r w:rsidR="00216D9B">
        <w:t>time</w:t>
      </w:r>
      <w:r w:rsidR="00BC7064">
        <w:t xml:space="preserve"> </w:t>
      </w:r>
      <w:r w:rsidR="0077643B">
        <w:t xml:space="preserve">are reported together. </w:t>
      </w:r>
      <w:r w:rsidR="00BC7064">
        <w:t xml:space="preserve">The latest PDSCH </w:t>
      </w:r>
      <w:r w:rsidR="00575E73">
        <w:t>that can be</w:t>
      </w:r>
      <w:r w:rsidR="00BC7064">
        <w:t xml:space="preserve"> include</w:t>
      </w:r>
      <w:r w:rsidR="00575E73">
        <w:t>d</w:t>
      </w:r>
      <w:r w:rsidR="00BC7064">
        <w:t xml:space="preserve"> is limited by the processing time the UE need</w:t>
      </w:r>
      <w:r w:rsidR="00110E51">
        <w:t>s</w:t>
      </w:r>
      <w:r w:rsidR="00BC7064">
        <w:t xml:space="preserve"> to prepare HARQ feedback, in the example in </w:t>
      </w:r>
      <w:r w:rsidR="008C26B4">
        <w:fldChar w:fldCharType="begin"/>
      </w:r>
      <w:r w:rsidR="008C26B4">
        <w:instrText xml:space="preserve"> REF _Ref492043228 \h </w:instrText>
      </w:r>
      <w:r w:rsidR="008C26B4">
        <w:fldChar w:fldCharType="separate"/>
      </w:r>
      <w:r w:rsidR="008C26B4">
        <w:t xml:space="preserve">Figure </w:t>
      </w:r>
      <w:r w:rsidR="008C26B4">
        <w:rPr>
          <w:noProof/>
        </w:rPr>
        <w:t>1</w:t>
      </w:r>
      <w:r w:rsidR="008C26B4">
        <w:fldChar w:fldCharType="end"/>
      </w:r>
      <w:r w:rsidR="008C26B4">
        <w:t xml:space="preserve"> </w:t>
      </w:r>
      <w:r w:rsidR="00BC7064">
        <w:t xml:space="preserve">the UE can report HARQ feedback on a short PUCCH in the same slot. </w:t>
      </w:r>
      <w:r w:rsidR="0077643B">
        <w:t xml:space="preserve">The earliest PDSCH to include in the HARQ codebook for a given PUCCH resource is the </w:t>
      </w:r>
      <w:r w:rsidR="00BC7064">
        <w:t xml:space="preserve">first scheduled PDSCH after the time window </w:t>
      </w:r>
      <w:r w:rsidR="00216D9B">
        <w:t>of</w:t>
      </w:r>
      <w:r w:rsidR="00BC7064">
        <w:t xml:space="preserve"> the last transmitted same PUCCH resource has been expired</w:t>
      </w:r>
      <w:r w:rsidR="00575E73">
        <w:t xml:space="preserve"> (in </w:t>
      </w:r>
      <w:r w:rsidR="00575E73">
        <w:fldChar w:fldCharType="begin"/>
      </w:r>
      <w:r w:rsidR="00575E73">
        <w:instrText xml:space="preserve"> REF _Ref492043228 \h </w:instrText>
      </w:r>
      <w:r w:rsidR="00575E73">
        <w:fldChar w:fldCharType="separate"/>
      </w:r>
      <w:r w:rsidR="00575E73">
        <w:t xml:space="preserve">Figure </w:t>
      </w:r>
      <w:r w:rsidR="00575E73">
        <w:rPr>
          <w:noProof/>
        </w:rPr>
        <w:t>1</w:t>
      </w:r>
      <w:r w:rsidR="00575E73">
        <w:fldChar w:fldCharType="end"/>
      </w:r>
      <w:r w:rsidR="00575E73">
        <w:t xml:space="preserve"> PDSCH of slot n-1 is reported on PUCCH resource m of slot n-1; PDSCH from slot n is therefore the first PDSCH to include in the HARQ codebook transmitted on PUCCH resource m in slot n+4)</w:t>
      </w:r>
      <w:r w:rsidR="00BC7064">
        <w:t>.</w:t>
      </w:r>
      <w:r w:rsidR="0077643B">
        <w:t xml:space="preserve"> </w:t>
      </w:r>
    </w:p>
    <w:p w14:paraId="60D1A381" w14:textId="4F4364D4" w:rsidR="0061380C" w:rsidRDefault="00E700FB" w:rsidP="00575E73">
      <w:pPr>
        <w:ind w:hanging="1134"/>
        <w:jc w:val="center"/>
      </w:pPr>
      <w:r>
        <w:rPr>
          <w:noProof/>
        </w:rPr>
        <w:drawing>
          <wp:inline distT="0" distB="0" distL="0" distR="0" wp14:anchorId="31277DA8" wp14:editId="2194D8A1">
            <wp:extent cx="7131600" cy="1836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31600" cy="1836000"/>
                    </a:xfrm>
                    <a:prstGeom prst="rect">
                      <a:avLst/>
                    </a:prstGeom>
                    <a:noFill/>
                  </pic:spPr>
                </pic:pic>
              </a:graphicData>
            </a:graphic>
          </wp:inline>
        </w:drawing>
      </w:r>
    </w:p>
    <w:p w14:paraId="3F9EC6ED" w14:textId="3D858974" w:rsidR="008D1E5D" w:rsidRDefault="008D1E5D" w:rsidP="008C26B4">
      <w:pPr>
        <w:pStyle w:val="Caption"/>
      </w:pPr>
      <w:bookmarkStart w:id="2" w:name="_Ref492043228"/>
      <w:r>
        <w:t xml:space="preserve">Figure </w:t>
      </w:r>
      <w:fldSimple w:instr=" SEQ Figure \* ARABIC ">
        <w:r w:rsidR="00575E73">
          <w:rPr>
            <w:noProof/>
          </w:rPr>
          <w:t>1</w:t>
        </w:r>
      </w:fldSimple>
      <w:bookmarkEnd w:id="2"/>
      <w:r>
        <w:t xml:space="preserve">: </w:t>
      </w:r>
      <w:r w:rsidR="008C26B4">
        <w:t>HARQ feedback association</w:t>
      </w:r>
      <w:r>
        <w:tab/>
      </w:r>
    </w:p>
    <w:p w14:paraId="7470D1DE" w14:textId="6BADF9F3" w:rsidR="00513DE3" w:rsidRDefault="008C26B4" w:rsidP="00C44578">
      <w:r>
        <w:t xml:space="preserve">Since the PUCCH resource to use is indicated in the scheduling DCI HARQ feedback will never </w:t>
      </w:r>
      <w:r w:rsidR="00110E51">
        <w:t xml:space="preserve">be </w:t>
      </w:r>
      <w:r>
        <w:t>sent on the wrong PUCCH resource. However, if a UE misses DL assignment(s) the wrong number of HARQ f</w:t>
      </w:r>
      <w:r w:rsidR="00216D9B">
        <w:t xml:space="preserve">eedback bits are transmitted </w:t>
      </w:r>
      <w:r>
        <w:t xml:space="preserve">resulting in wrong PUCCH decoding. To avoid such error cases a DAI can be included in the scheduling DCI counting the number of DL assignments (including the current one) that should be included in the </w:t>
      </w:r>
      <w:r w:rsidR="009618B2">
        <w:t>HARQ codebook</w:t>
      </w:r>
      <w:r>
        <w:t xml:space="preserve">. </w:t>
      </w:r>
      <w:r w:rsidR="00575E73">
        <w:t xml:space="preserve">Normally DAI is taken e.g. mod-2 to limit feedback size, in the </w:t>
      </w:r>
      <w:r w:rsidR="009618B2">
        <w:t>examples</w:t>
      </w:r>
      <w:r w:rsidR="00575E73">
        <w:t xml:space="preserve"> shown in </w:t>
      </w:r>
      <w:r w:rsidR="00575E73">
        <w:fldChar w:fldCharType="begin"/>
      </w:r>
      <w:r w:rsidR="00575E73">
        <w:instrText xml:space="preserve"> REF _Ref492043228 \h </w:instrText>
      </w:r>
      <w:r w:rsidR="00575E73">
        <w:fldChar w:fldCharType="separate"/>
      </w:r>
      <w:r w:rsidR="00575E73">
        <w:t xml:space="preserve">Figure </w:t>
      </w:r>
      <w:r w:rsidR="00575E73">
        <w:rPr>
          <w:noProof/>
        </w:rPr>
        <w:t>1</w:t>
      </w:r>
      <w:r w:rsidR="00575E73">
        <w:fldChar w:fldCharType="end"/>
      </w:r>
      <w:r w:rsidR="00575E73">
        <w:t xml:space="preserve"> </w:t>
      </w:r>
      <w:r w:rsidR="009618B2">
        <w:t xml:space="preserve">to </w:t>
      </w:r>
      <w:r w:rsidR="009618B2">
        <w:fldChar w:fldCharType="begin"/>
      </w:r>
      <w:r w:rsidR="009618B2">
        <w:instrText xml:space="preserve"> REF _Ref492292991 \h </w:instrText>
      </w:r>
      <w:r w:rsidR="009618B2">
        <w:fldChar w:fldCharType="separate"/>
      </w:r>
      <w:r w:rsidR="009618B2">
        <w:t xml:space="preserve">Figure </w:t>
      </w:r>
      <w:r w:rsidR="009618B2">
        <w:rPr>
          <w:noProof/>
        </w:rPr>
        <w:t>3</w:t>
      </w:r>
      <w:r w:rsidR="009618B2">
        <w:fldChar w:fldCharType="end"/>
      </w:r>
      <w:r w:rsidR="009618B2">
        <w:t xml:space="preserve"> </w:t>
      </w:r>
      <w:r w:rsidR="00575E73">
        <w:t xml:space="preserve">no modulo operation has yet been applied. </w:t>
      </w:r>
      <w:r w:rsidR="00216D9B">
        <w:t xml:space="preserve">The DAI </w:t>
      </w:r>
      <w:r w:rsidR="009618B2">
        <w:t xml:space="preserve">also </w:t>
      </w:r>
      <w:r w:rsidR="00216D9B">
        <w:t xml:space="preserve">serves as index into the HARQ codebook. </w:t>
      </w:r>
      <w:r>
        <w:t xml:space="preserve">This avoids HARQ codebook size as well as HARQ codebook indexing errors. </w:t>
      </w:r>
      <w:r w:rsidR="00CA5B83">
        <w:t xml:space="preserve">If the component carrier is configured with a MIMO configuration enabling two transport blocks </w:t>
      </w:r>
      <w:r w:rsidR="00D15170">
        <w:t>two feedback bits are inserted per detected DCI</w:t>
      </w:r>
      <w:r w:rsidR="00CA5B83">
        <w:t>, otherwise one bit</w:t>
      </w:r>
      <w:r w:rsidR="00D15170">
        <w:t>.</w:t>
      </w:r>
    </w:p>
    <w:p w14:paraId="6451925C" w14:textId="0B7CD4EA" w:rsidR="008C26B4" w:rsidRDefault="00216D9B" w:rsidP="00216D9B">
      <w:r>
        <w:lastRenderedPageBreak/>
        <w:t>The DAI mechanism also enables multiplexing of HARQ feedback from slot- and non-slot-based transmissions into the same HARQ codebook (and thus to transmit on the same PUCCH).</w:t>
      </w:r>
      <w:r w:rsidR="008C26B4">
        <w:t xml:space="preserve"> </w:t>
      </w:r>
      <w:r w:rsidR="008C26B4">
        <w:fldChar w:fldCharType="begin"/>
      </w:r>
      <w:r w:rsidR="008C26B4">
        <w:instrText xml:space="preserve"> REF _Ref492043925 \h </w:instrText>
      </w:r>
      <w:r w:rsidR="008C26B4">
        <w:fldChar w:fldCharType="separate"/>
      </w:r>
      <w:r w:rsidR="008C26B4">
        <w:t xml:space="preserve">Figure </w:t>
      </w:r>
      <w:r w:rsidR="008C26B4">
        <w:rPr>
          <w:noProof/>
        </w:rPr>
        <w:t>2</w:t>
      </w:r>
      <w:r w:rsidR="008C26B4">
        <w:fldChar w:fldCharType="end"/>
      </w:r>
      <w:r>
        <w:t xml:space="preserve"> </w:t>
      </w:r>
      <w:r w:rsidR="008C26B4">
        <w:t xml:space="preserve">shows the case where HARQ feedback from slot- and non-slot-based </w:t>
      </w:r>
      <w:r w:rsidR="00BF5237">
        <w:t xml:space="preserve">(green in </w:t>
      </w:r>
      <w:r w:rsidR="00BF5237">
        <w:fldChar w:fldCharType="begin"/>
      </w:r>
      <w:r w:rsidR="00BF5237">
        <w:instrText xml:space="preserve"> REF _Ref492043925 \h </w:instrText>
      </w:r>
      <w:r w:rsidR="00BF5237">
        <w:fldChar w:fldCharType="separate"/>
      </w:r>
      <w:r w:rsidR="00BF5237">
        <w:t xml:space="preserve">Figure </w:t>
      </w:r>
      <w:r w:rsidR="00BF5237">
        <w:rPr>
          <w:noProof/>
        </w:rPr>
        <w:t>2</w:t>
      </w:r>
      <w:r w:rsidR="00BF5237">
        <w:fldChar w:fldCharType="end"/>
      </w:r>
      <w:r w:rsidR="00BF5237">
        <w:t xml:space="preserve">) </w:t>
      </w:r>
      <w:r w:rsidR="008C26B4">
        <w:t xml:space="preserve">transmissions are included in the same HARQ codebook. The DCI for all transmissions </w:t>
      </w:r>
      <w:r w:rsidR="00110E51">
        <w:t xml:space="preserve">in slot n and later </w:t>
      </w:r>
      <w:r w:rsidR="008C26B4">
        <w:t xml:space="preserve">indicate the same PUCCH resource </w:t>
      </w:r>
      <w:r w:rsidR="00BF5237">
        <w:t>(PR</w:t>
      </w:r>
      <w:r w:rsidR="00575E73">
        <w:t xml:space="preserve">=m) </w:t>
      </w:r>
      <w:r w:rsidR="008C26B4">
        <w:t xml:space="preserve">and </w:t>
      </w:r>
      <w:r>
        <w:t>time</w:t>
      </w:r>
      <w:r w:rsidR="008C26B4">
        <w:t xml:space="preserve"> </w:t>
      </w:r>
      <w:r w:rsidR="00575E73">
        <w:t xml:space="preserve">(slot n+4) </w:t>
      </w:r>
      <w:r w:rsidR="008C26B4">
        <w:t>but the DAI is different for the two transmissions in slot interval n</w:t>
      </w:r>
      <w:r w:rsidR="00575E73">
        <w:t>+3</w:t>
      </w:r>
      <w:r w:rsidR="008C26B4">
        <w:t>.</w:t>
      </w:r>
    </w:p>
    <w:p w14:paraId="7E4604B1" w14:textId="5F914045" w:rsidR="008C26B4" w:rsidRDefault="00E700FB" w:rsidP="00575E73">
      <w:pPr>
        <w:ind w:hanging="1134"/>
        <w:jc w:val="center"/>
      </w:pPr>
      <w:r>
        <w:rPr>
          <w:noProof/>
        </w:rPr>
        <w:drawing>
          <wp:inline distT="0" distB="0" distL="0" distR="0" wp14:anchorId="6B8B28FB" wp14:editId="552826A1">
            <wp:extent cx="7120800" cy="1828800"/>
            <wp:effectExtent l="0" t="0" r="444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20800" cy="1828800"/>
                    </a:xfrm>
                    <a:prstGeom prst="rect">
                      <a:avLst/>
                    </a:prstGeom>
                    <a:noFill/>
                  </pic:spPr>
                </pic:pic>
              </a:graphicData>
            </a:graphic>
          </wp:inline>
        </w:drawing>
      </w:r>
    </w:p>
    <w:p w14:paraId="260B32AE" w14:textId="5B468AAD" w:rsidR="008C26B4" w:rsidRDefault="008C26B4" w:rsidP="008C26B4">
      <w:pPr>
        <w:pStyle w:val="Caption"/>
      </w:pPr>
      <w:bookmarkStart w:id="3" w:name="_Ref492043925"/>
      <w:r>
        <w:t xml:space="preserve">Figure </w:t>
      </w:r>
      <w:fldSimple w:instr=" SEQ Figure \* ARABIC ">
        <w:r w:rsidR="00575E73">
          <w:rPr>
            <w:noProof/>
          </w:rPr>
          <w:t>2</w:t>
        </w:r>
      </w:fldSimple>
      <w:bookmarkEnd w:id="3"/>
      <w:r>
        <w:t xml:space="preserve">: Feedback for slot- and non-slot-based transmissions are multiplexed into the same HARQ codebook. </w:t>
      </w:r>
      <w:r>
        <w:tab/>
      </w:r>
    </w:p>
    <w:p w14:paraId="2A9B3A1B" w14:textId="4EE62C94" w:rsidR="00B13F98" w:rsidRDefault="00B13F98" w:rsidP="00B13F98">
      <w:pPr>
        <w:pStyle w:val="BodyText"/>
      </w:pPr>
      <w:r>
        <w:t>If the gNB wants the UE to use a different (earlier) PUCCH resource for non-slot-based scheduling (e.g. the non-slot-based DL transmission relates to low latency and requires early HARQ feedback) the gNB can indicate different PUCCH resource and time as well as DAI value in the scheduling DCI</w:t>
      </w:r>
      <w:r w:rsidR="00575E73">
        <w:t xml:space="preserve">, see </w:t>
      </w:r>
      <w:r w:rsidR="00575E73">
        <w:fldChar w:fldCharType="begin"/>
      </w:r>
      <w:r w:rsidR="00575E73">
        <w:instrText xml:space="preserve"> REF _Ref492292991 \h </w:instrText>
      </w:r>
      <w:r w:rsidR="00575E73">
        <w:fldChar w:fldCharType="separate"/>
      </w:r>
      <w:r w:rsidR="00575E73">
        <w:t xml:space="preserve">Figure </w:t>
      </w:r>
      <w:r w:rsidR="00575E73">
        <w:rPr>
          <w:noProof/>
        </w:rPr>
        <w:t>3</w:t>
      </w:r>
      <w:r w:rsidR="00575E73">
        <w:fldChar w:fldCharType="end"/>
      </w:r>
      <w:r w:rsidR="00575E73">
        <w:t xml:space="preserve"> (PR=m, slot n+4 for slot-based transmissions; PR=k, slot n+3  for non-slot-based transmission)</w:t>
      </w:r>
      <w:r>
        <w:t xml:space="preserve">. </w:t>
      </w:r>
    </w:p>
    <w:p w14:paraId="09886FE5" w14:textId="31AD9898" w:rsidR="00575E73" w:rsidRDefault="00E700FB" w:rsidP="00575E73">
      <w:pPr>
        <w:pStyle w:val="BodyText"/>
        <w:ind w:left="-1134"/>
        <w:jc w:val="center"/>
      </w:pPr>
      <w:r>
        <w:rPr>
          <w:noProof/>
        </w:rPr>
        <w:drawing>
          <wp:inline distT="0" distB="0" distL="0" distR="0" wp14:anchorId="6BC3D336" wp14:editId="73EBEE29">
            <wp:extent cx="7124400" cy="1828800"/>
            <wp:effectExtent l="0" t="0" r="635"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124400" cy="1828800"/>
                    </a:xfrm>
                    <a:prstGeom prst="rect">
                      <a:avLst/>
                    </a:prstGeom>
                    <a:noFill/>
                  </pic:spPr>
                </pic:pic>
              </a:graphicData>
            </a:graphic>
          </wp:inline>
        </w:drawing>
      </w:r>
    </w:p>
    <w:p w14:paraId="5B0492DF" w14:textId="579CC410" w:rsidR="00575E73" w:rsidRDefault="00575E73" w:rsidP="00575E73">
      <w:pPr>
        <w:pStyle w:val="Caption"/>
      </w:pPr>
      <w:bookmarkStart w:id="4" w:name="_Ref492292991"/>
      <w:r>
        <w:t xml:space="preserve">Figure </w:t>
      </w:r>
      <w:fldSimple w:instr=" SEQ Figure \* ARABIC ">
        <w:r>
          <w:rPr>
            <w:noProof/>
          </w:rPr>
          <w:t>3</w:t>
        </w:r>
      </w:fldSimple>
      <w:bookmarkEnd w:id="4"/>
      <w:r>
        <w:t xml:space="preserve">: Feedback for the non-slot-based </w:t>
      </w:r>
      <w:r w:rsidR="008B65BC">
        <w:t>transmission</w:t>
      </w:r>
      <w:r>
        <w:t xml:space="preserve"> is transmitted separately in a PUCCH resource in the same slot</w:t>
      </w:r>
      <w:r w:rsidR="008B65BC">
        <w:t xml:space="preserve"> interval</w:t>
      </w:r>
      <w:r>
        <w:t>.</w:t>
      </w:r>
      <w:r>
        <w:tab/>
      </w:r>
    </w:p>
    <w:p w14:paraId="668CB898" w14:textId="620D12E8" w:rsidR="00216D9B" w:rsidRPr="00796C9E" w:rsidRDefault="00216D9B" w:rsidP="00216D9B">
      <w:pPr>
        <w:rPr>
          <w:b/>
          <w:i/>
        </w:rPr>
      </w:pPr>
      <w:r w:rsidRPr="00796C9E">
        <w:rPr>
          <w:b/>
          <w:i/>
        </w:rPr>
        <w:t xml:space="preserve">Proposal: Support dynamic </w:t>
      </w:r>
      <w:r w:rsidR="00CA5B83" w:rsidRPr="00796C9E">
        <w:rPr>
          <w:b/>
          <w:i/>
        </w:rPr>
        <w:t xml:space="preserve">(in time dimension) </w:t>
      </w:r>
      <w:r w:rsidRPr="00796C9E">
        <w:rPr>
          <w:b/>
          <w:i/>
        </w:rPr>
        <w:t>HARQ codebook for non-CA case.</w:t>
      </w:r>
    </w:p>
    <w:p w14:paraId="294C53AB" w14:textId="6055F8B6" w:rsidR="00216D9B" w:rsidRDefault="00216D9B" w:rsidP="00216D9B">
      <w:r w:rsidRPr="00796C9E">
        <w:rPr>
          <w:b/>
          <w:i/>
        </w:rPr>
        <w:t>Proposal: HARQ feedback from slot- and non-slot-based transmissions can be multiplexed into same HARQ codebook.</w:t>
      </w:r>
    </w:p>
    <w:p w14:paraId="14A4DD7B" w14:textId="6CB97CE3" w:rsidR="00216D9B" w:rsidRDefault="00276040" w:rsidP="00594551">
      <w:pPr>
        <w:pStyle w:val="Heading3"/>
      </w:pPr>
      <w:r>
        <w:t>With carrier aggregation</w:t>
      </w:r>
      <w:r w:rsidR="00594166">
        <w:t>, no CBG</w:t>
      </w:r>
    </w:p>
    <w:p w14:paraId="7E613F24" w14:textId="41E22D7F" w:rsidR="00276040" w:rsidRPr="00276040" w:rsidRDefault="00276040" w:rsidP="00594551">
      <w:pPr>
        <w:pStyle w:val="Heading4"/>
      </w:pPr>
      <w:r>
        <w:t xml:space="preserve">Same </w:t>
      </w:r>
      <w:r w:rsidR="00CA5B83">
        <w:t>TTI on all component carriers</w:t>
      </w:r>
    </w:p>
    <w:p w14:paraId="77A4D8F9" w14:textId="666265F9" w:rsidR="00276040" w:rsidRDefault="00276040" w:rsidP="00594551">
      <w:pPr>
        <w:pStyle w:val="Heading5"/>
      </w:pPr>
      <w:r>
        <w:t>Fixed HARQ codebook</w:t>
      </w:r>
    </w:p>
    <w:p w14:paraId="52387505" w14:textId="17894F1C" w:rsidR="00C27565" w:rsidRDefault="00CA5B83" w:rsidP="00C44578">
      <w:pPr>
        <w:rPr>
          <w:lang w:val="en-GB" w:eastAsia="zh-CN"/>
        </w:rPr>
      </w:pPr>
      <w:r>
        <w:rPr>
          <w:lang w:val="en-GB" w:eastAsia="zh-CN"/>
        </w:rPr>
        <w:t>When</w:t>
      </w:r>
      <w:r w:rsidR="00276040">
        <w:rPr>
          <w:lang w:val="en-GB" w:eastAsia="zh-CN"/>
        </w:rPr>
        <w:t xml:space="preserve"> all PDSCHs </w:t>
      </w:r>
      <w:r w:rsidR="009618B2">
        <w:rPr>
          <w:lang w:val="en-GB" w:eastAsia="zh-CN"/>
        </w:rPr>
        <w:t>which</w:t>
      </w:r>
      <w:r w:rsidR="00276040">
        <w:rPr>
          <w:lang w:val="en-GB" w:eastAsia="zh-CN"/>
        </w:rPr>
        <w:t xml:space="preserve"> HARQ feedback should be multiplexed into same HARQ codebook have </w:t>
      </w:r>
      <w:r>
        <w:rPr>
          <w:lang w:val="en-GB" w:eastAsia="zh-CN"/>
        </w:rPr>
        <w:t>same TTI</w:t>
      </w:r>
      <w:r w:rsidR="00276040">
        <w:rPr>
          <w:lang w:val="en-GB" w:eastAsia="zh-CN"/>
        </w:rPr>
        <w:t xml:space="preserve"> the same solution as in Section </w:t>
      </w:r>
      <w:r w:rsidR="009618B2">
        <w:rPr>
          <w:highlight w:val="yellow"/>
          <w:lang w:val="en-GB" w:eastAsia="zh-CN"/>
        </w:rPr>
        <w:fldChar w:fldCharType="begin"/>
      </w:r>
      <w:r w:rsidR="009618B2">
        <w:rPr>
          <w:lang w:val="en-GB" w:eastAsia="zh-CN"/>
        </w:rPr>
        <w:instrText xml:space="preserve"> REF _Ref492307104 \r \h </w:instrText>
      </w:r>
      <w:r w:rsidR="009618B2">
        <w:rPr>
          <w:highlight w:val="yellow"/>
          <w:lang w:val="en-GB" w:eastAsia="zh-CN"/>
        </w:rPr>
      </w:r>
      <w:r w:rsidR="009618B2">
        <w:rPr>
          <w:highlight w:val="yellow"/>
          <w:lang w:val="en-GB" w:eastAsia="zh-CN"/>
        </w:rPr>
        <w:fldChar w:fldCharType="separate"/>
      </w:r>
      <w:r w:rsidR="009618B2">
        <w:rPr>
          <w:lang w:val="en-GB" w:eastAsia="zh-CN"/>
        </w:rPr>
        <w:t>3.1.1</w:t>
      </w:r>
      <w:r w:rsidR="009618B2">
        <w:rPr>
          <w:highlight w:val="yellow"/>
          <w:lang w:val="en-GB" w:eastAsia="zh-CN"/>
        </w:rPr>
        <w:fldChar w:fldCharType="end"/>
      </w:r>
      <w:r w:rsidR="009618B2">
        <w:rPr>
          <w:lang w:val="en-GB" w:eastAsia="zh-CN"/>
        </w:rPr>
        <w:t xml:space="preserve"> </w:t>
      </w:r>
      <w:r w:rsidR="00276040">
        <w:rPr>
          <w:lang w:val="en-GB" w:eastAsia="zh-CN"/>
        </w:rPr>
        <w:t xml:space="preserve">can be applied. </w:t>
      </w:r>
      <w:r w:rsidR="00D15170">
        <w:rPr>
          <w:lang w:val="en-GB" w:eastAsia="zh-CN"/>
        </w:rPr>
        <w:t xml:space="preserve">Instead of a single bit (two in case of MIMO </w:t>
      </w:r>
      <w:r w:rsidR="00D15170">
        <w:rPr>
          <w:lang w:val="en-GB" w:eastAsia="zh-CN"/>
        </w:rPr>
        <w:lastRenderedPageBreak/>
        <w:t xml:space="preserve">configuration with </w:t>
      </w:r>
      <w:r>
        <w:rPr>
          <w:lang w:val="en-GB" w:eastAsia="zh-CN"/>
        </w:rPr>
        <w:t xml:space="preserve">up to </w:t>
      </w:r>
      <w:r w:rsidR="00D15170">
        <w:rPr>
          <w:lang w:val="en-GB" w:eastAsia="zh-CN"/>
        </w:rPr>
        <w:t xml:space="preserve">two transport blocks) always a bitmap with the size </w:t>
      </w:r>
      <w:r w:rsidR="001E342D">
        <w:rPr>
          <w:lang w:val="en-GB" w:eastAsia="zh-CN"/>
        </w:rPr>
        <w:t>needed for feedback of all</w:t>
      </w:r>
      <w:r w:rsidR="00D15170">
        <w:rPr>
          <w:lang w:val="en-GB" w:eastAsia="zh-CN"/>
        </w:rPr>
        <w:t xml:space="preserve"> configured/activated component carriers is inserted into the HARQ codebook as soon as at least one </w:t>
      </w:r>
      <w:r>
        <w:rPr>
          <w:lang w:val="en-GB" w:eastAsia="zh-CN"/>
        </w:rPr>
        <w:t xml:space="preserve">DL assignment </w:t>
      </w:r>
      <w:r w:rsidR="007F286B">
        <w:rPr>
          <w:lang w:val="en-GB" w:eastAsia="zh-CN"/>
        </w:rPr>
        <w:t xml:space="preserve">is </w:t>
      </w:r>
      <w:r>
        <w:rPr>
          <w:lang w:val="en-GB" w:eastAsia="zh-CN"/>
        </w:rPr>
        <w:t xml:space="preserve">detected for a TTI. For component carriers configured with MIMO </w:t>
      </w:r>
      <w:r w:rsidR="001E342D">
        <w:rPr>
          <w:lang w:val="en-GB" w:eastAsia="zh-CN"/>
        </w:rPr>
        <w:t xml:space="preserve">with </w:t>
      </w:r>
      <w:r>
        <w:rPr>
          <w:lang w:val="en-GB" w:eastAsia="zh-CN"/>
        </w:rPr>
        <w:t xml:space="preserve">up to two transport blocks two bits instead </w:t>
      </w:r>
      <w:r w:rsidR="001E342D">
        <w:rPr>
          <w:lang w:val="en-GB" w:eastAsia="zh-CN"/>
        </w:rPr>
        <w:t xml:space="preserve">of </w:t>
      </w:r>
      <w:r>
        <w:rPr>
          <w:lang w:val="en-GB" w:eastAsia="zh-CN"/>
        </w:rPr>
        <w:t xml:space="preserve">a single </w:t>
      </w:r>
      <w:r w:rsidR="009618B2">
        <w:rPr>
          <w:lang w:val="en-GB" w:eastAsia="zh-CN"/>
        </w:rPr>
        <w:t>bit</w:t>
      </w:r>
      <w:r>
        <w:rPr>
          <w:lang w:val="en-GB" w:eastAsia="zh-CN"/>
        </w:rPr>
        <w:t xml:space="preserve"> are inserted increasing the bitmap size accordingly. </w:t>
      </w:r>
      <w:r w:rsidR="00C27565">
        <w:rPr>
          <w:lang w:val="en-GB" w:eastAsia="zh-CN"/>
        </w:rPr>
        <w:t xml:space="preserve">The HARQ feedback of component carriers without detected scheduling assignment is set to NACK. </w:t>
      </w:r>
    </w:p>
    <w:p w14:paraId="1C71BBA9" w14:textId="236AFDB9" w:rsidR="00643739" w:rsidRDefault="00C27565" w:rsidP="00C44578">
      <w:pPr>
        <w:rPr>
          <w:lang w:val="en-GB" w:eastAsia="zh-CN"/>
        </w:rPr>
      </w:pPr>
      <w:r>
        <w:rPr>
          <w:lang w:val="en-GB" w:eastAsia="zh-CN"/>
        </w:rPr>
        <w:t>Also here the scheduling DCI includes the PUCCH resource and time as well as the DAI. The same PUCCH resource and time are indicated in all scheduling DCIs to enable HARQ feedback in the same HARQ codebook. The same DAI is included in all scheduling DCIs transmitted in the same TTI since as soon as a single DCI is detected in a TTI HARQ feedback for all component carriers is included in the HARQ codebook.</w:t>
      </w:r>
    </w:p>
    <w:p w14:paraId="014F8389" w14:textId="240356CE" w:rsidR="00CA5B83" w:rsidRDefault="00CA5B83" w:rsidP="00C44578">
      <w:pPr>
        <w:rPr>
          <w:b/>
          <w:i/>
        </w:rPr>
      </w:pPr>
      <w:r w:rsidRPr="00796C9E">
        <w:rPr>
          <w:b/>
          <w:i/>
          <w:lang w:val="en-GB" w:eastAsia="zh-CN"/>
        </w:rPr>
        <w:t xml:space="preserve">Proposal: Support fixed (fixed in component carrier dimension, dynamic in time dimension) </w:t>
      </w:r>
      <w:r w:rsidRPr="00796C9E">
        <w:rPr>
          <w:b/>
          <w:i/>
        </w:rPr>
        <w:t xml:space="preserve">HARQ codebook for CA with same TTI on all component carriers. </w:t>
      </w:r>
      <w:r w:rsidR="00EA2530">
        <w:rPr>
          <w:b/>
          <w:i/>
        </w:rPr>
        <w:t>For each TTI where at least one DL assignment is detected, the HARQ codebook entry is a bitmap which size is given by the configured number of CC and MIMO configuration.</w:t>
      </w:r>
    </w:p>
    <w:p w14:paraId="7A76F4EE" w14:textId="405D20B7" w:rsidR="00CA5B83" w:rsidRDefault="00CA5B83" w:rsidP="00594551">
      <w:pPr>
        <w:pStyle w:val="Heading5"/>
      </w:pPr>
      <w:r>
        <w:t>Dynamic HARQ codebook</w:t>
      </w:r>
    </w:p>
    <w:p w14:paraId="1E7E109A" w14:textId="40826B6B" w:rsidR="00CA5B83" w:rsidRDefault="00CA5B83" w:rsidP="00CA5B83">
      <w:pPr>
        <w:rPr>
          <w:lang w:val="en-GB" w:eastAsia="zh-CN"/>
        </w:rPr>
      </w:pPr>
      <w:r>
        <w:rPr>
          <w:lang w:val="en-GB" w:eastAsia="zh-CN"/>
        </w:rPr>
        <w:t>This case corresponds to the feCA scenario in LTE Rel-13 where counter and total DAI are introduced. It is proposed to adopt for carrier aggregation with same TTI on all component carriers a dynamic HARQ codebook using the counter/total DAI mechanism from LTE Rel-13.</w:t>
      </w:r>
    </w:p>
    <w:p w14:paraId="4FBCE51F" w14:textId="2B29FDCB" w:rsidR="00CA5B83" w:rsidRPr="00796C9E" w:rsidRDefault="00CA5B83" w:rsidP="00CA5B83">
      <w:pPr>
        <w:rPr>
          <w:b/>
          <w:i/>
        </w:rPr>
      </w:pPr>
      <w:r w:rsidRPr="00796C9E">
        <w:rPr>
          <w:b/>
          <w:i/>
          <w:lang w:val="en-GB" w:eastAsia="zh-CN"/>
        </w:rPr>
        <w:t xml:space="preserve">Proposal: </w:t>
      </w:r>
      <w:r w:rsidRPr="00796C9E">
        <w:rPr>
          <w:b/>
          <w:i/>
        </w:rPr>
        <w:t>Support dynamic (dynamic in both component carrier and time dimension) HARQ codebook for CA with same TTI on all component carriers. Re-use counter/total DAI mechanism from LTE feCA.</w:t>
      </w:r>
    </w:p>
    <w:p w14:paraId="1B723487" w14:textId="2C306DAF" w:rsidR="00CA5B83" w:rsidRDefault="00CA5B83" w:rsidP="00594551">
      <w:pPr>
        <w:pStyle w:val="Heading4"/>
      </w:pPr>
      <w:r>
        <w:t>Different TTIs across component carriers</w:t>
      </w:r>
    </w:p>
    <w:p w14:paraId="74315802" w14:textId="78FBEE64" w:rsidR="00594166" w:rsidRDefault="00594166" w:rsidP="00594551">
      <w:pPr>
        <w:pStyle w:val="Heading5"/>
      </w:pPr>
      <w:r>
        <w:t>Fixed HARQ codebook</w:t>
      </w:r>
    </w:p>
    <w:p w14:paraId="0F0531E5" w14:textId="1B9E92FB" w:rsidR="00CA5B83" w:rsidRDefault="00CA5B83" w:rsidP="00CA5B83">
      <w:pPr>
        <w:rPr>
          <w:lang w:val="en-GB" w:eastAsia="zh-CN"/>
        </w:rPr>
      </w:pPr>
      <w:r>
        <w:rPr>
          <w:lang w:val="en-GB" w:eastAsia="zh-CN"/>
        </w:rPr>
        <w:t xml:space="preserve">If the configured component carriers are associated with different TTIs (either due to different numerologies or non-slot-based scheduling) a PDCCH </w:t>
      </w:r>
      <w:r w:rsidR="00796C9E">
        <w:rPr>
          <w:lang w:val="en-GB" w:eastAsia="zh-CN"/>
        </w:rPr>
        <w:t xml:space="preserve">occurrence on one component carrier does not necessarily overlap with PDCCH occurrences on other component carriers. To insert for each detected </w:t>
      </w:r>
      <w:r w:rsidR="00151725">
        <w:rPr>
          <w:lang w:val="en-GB" w:eastAsia="zh-CN"/>
        </w:rPr>
        <w:t>DL assignment</w:t>
      </w:r>
      <w:r w:rsidR="00796C9E">
        <w:rPr>
          <w:lang w:val="en-GB" w:eastAsia="zh-CN"/>
        </w:rPr>
        <w:t xml:space="preserve"> a bitmap according to the number of configured/activated component carriers is therefore grossly overdone since not even PDCCH opportunities might exist on other component carriers. </w:t>
      </w:r>
      <w:r w:rsidR="009618B2">
        <w:rPr>
          <w:lang w:val="en-GB" w:eastAsia="zh-CN"/>
        </w:rPr>
        <w:t>Alternatively</w:t>
      </w:r>
      <w:r w:rsidR="00151725">
        <w:rPr>
          <w:lang w:val="en-GB" w:eastAsia="zh-CN"/>
        </w:rPr>
        <w:t>,</w:t>
      </w:r>
      <w:r w:rsidR="009618B2">
        <w:rPr>
          <w:lang w:val="en-GB" w:eastAsia="zh-CN"/>
        </w:rPr>
        <w:t xml:space="preserve"> a bitmap with the number of configured PDCCH occurrences can be inserted at each PDCCH time (when at least one </w:t>
      </w:r>
      <w:r w:rsidR="00D033AF">
        <w:rPr>
          <w:lang w:val="en-GB" w:eastAsia="zh-CN"/>
        </w:rPr>
        <w:t>DL assignmment</w:t>
      </w:r>
      <w:r w:rsidR="009618B2">
        <w:rPr>
          <w:lang w:val="en-GB" w:eastAsia="zh-CN"/>
        </w:rPr>
        <w:t xml:space="preserve"> has been detected), however, this number would be time-varying resulting in a complex solution. A</w:t>
      </w:r>
      <w:r w:rsidR="00796C9E">
        <w:rPr>
          <w:lang w:val="en-GB" w:eastAsia="zh-CN"/>
        </w:rPr>
        <w:t xml:space="preserve"> fixed codebook together with different TTIs across aggregated component carriers seems therefore not desirable.</w:t>
      </w:r>
    </w:p>
    <w:p w14:paraId="2B40AA78" w14:textId="2EFB3F48" w:rsidR="00796C9E" w:rsidRPr="00796C9E" w:rsidRDefault="00796C9E" w:rsidP="00796C9E">
      <w:pPr>
        <w:rPr>
          <w:b/>
          <w:i/>
        </w:rPr>
      </w:pPr>
      <w:r w:rsidRPr="00796C9E">
        <w:rPr>
          <w:b/>
          <w:i/>
          <w:lang w:val="en-GB" w:eastAsia="zh-CN"/>
        </w:rPr>
        <w:t xml:space="preserve">Proposal: Do not support fixed (fixed in component carrier dimension, dynamic in time dimension) </w:t>
      </w:r>
      <w:r w:rsidRPr="00796C9E">
        <w:rPr>
          <w:b/>
          <w:i/>
        </w:rPr>
        <w:t xml:space="preserve">HARQ codebook for CA with </w:t>
      </w:r>
      <w:r>
        <w:rPr>
          <w:b/>
          <w:i/>
        </w:rPr>
        <w:t>different</w:t>
      </w:r>
      <w:r w:rsidRPr="00796C9E">
        <w:rPr>
          <w:b/>
          <w:i/>
        </w:rPr>
        <w:t xml:space="preserve"> TTI</w:t>
      </w:r>
      <w:r>
        <w:rPr>
          <w:b/>
          <w:i/>
        </w:rPr>
        <w:t>s</w:t>
      </w:r>
      <w:r w:rsidRPr="00796C9E">
        <w:rPr>
          <w:b/>
          <w:i/>
        </w:rPr>
        <w:t xml:space="preserve"> </w:t>
      </w:r>
      <w:r>
        <w:rPr>
          <w:b/>
          <w:i/>
        </w:rPr>
        <w:t>across</w:t>
      </w:r>
      <w:r w:rsidRPr="00796C9E">
        <w:rPr>
          <w:b/>
          <w:i/>
        </w:rPr>
        <w:t xml:space="preserve"> component carriers. </w:t>
      </w:r>
    </w:p>
    <w:p w14:paraId="1C898DFE" w14:textId="3BFAC01A" w:rsidR="00796C9E" w:rsidRDefault="00594166" w:rsidP="00594551">
      <w:pPr>
        <w:pStyle w:val="Heading5"/>
      </w:pPr>
      <w:r>
        <w:t>Dynamic HARQ codebook</w:t>
      </w:r>
    </w:p>
    <w:p w14:paraId="69245DCB" w14:textId="26B1FF61" w:rsidR="00594166" w:rsidRDefault="00594166" w:rsidP="00594166">
      <w:r w:rsidRPr="00476E0E">
        <w:fldChar w:fldCharType="begin"/>
      </w:r>
      <w:r w:rsidRPr="00476E0E">
        <w:instrText xml:space="preserve"> REF _Ref490124875 \h  \* MERGEFORMAT </w:instrText>
      </w:r>
      <w:r w:rsidRPr="00476E0E">
        <w:fldChar w:fldCharType="separate"/>
      </w:r>
      <w:r w:rsidR="00424107" w:rsidRPr="00424107">
        <w:t xml:space="preserve">Figure </w:t>
      </w:r>
      <w:r w:rsidR="00424107" w:rsidRPr="00424107">
        <w:rPr>
          <w:noProof/>
        </w:rPr>
        <w:t>4</w:t>
      </w:r>
      <w:r w:rsidRPr="00476E0E">
        <w:fldChar w:fldCharType="end"/>
      </w:r>
      <w:r>
        <w:t xml:space="preserve"> </w:t>
      </w:r>
      <w:r w:rsidR="00D0776E">
        <w:t>applies the dynamic HARQ codebook using counter/total DAI mechanism to the case where the component carriers have different TTI lengths. In this example three component carriers are aggregated.</w:t>
      </w:r>
      <w:r>
        <w:t xml:space="preserve"> At each PDCCH </w:t>
      </w:r>
      <w:r w:rsidR="00D0776E">
        <w:t>time</w:t>
      </w:r>
      <w:r>
        <w:t xml:space="preserve">, the total DAI is set to the total number of scheduled DL assignments including this PDCCH time. </w:t>
      </w:r>
      <w:r w:rsidR="009757D3">
        <w:t>The figure</w:t>
      </w:r>
      <w:r>
        <w:t xml:space="preserve"> shows the case with different </w:t>
      </w:r>
      <w:r w:rsidR="00D0776E">
        <w:t xml:space="preserve">TTIs due to different </w:t>
      </w:r>
      <w:r>
        <w:t xml:space="preserve">slot intervals, the same solution can also be applied to </w:t>
      </w:r>
      <w:r w:rsidR="00D0776E">
        <w:t>non-slot-based scheduling</w:t>
      </w:r>
      <w:r>
        <w:t xml:space="preserve">. </w:t>
      </w:r>
      <w:r w:rsidR="00D0776E">
        <w:t xml:space="preserve">Most important for successful HARQ codebook decoding is the total DAI, if this number is wrong the decoding will </w:t>
      </w:r>
      <w:r w:rsidR="009757D3">
        <w:t xml:space="preserve">likely </w:t>
      </w:r>
      <w:r w:rsidR="00D0776E">
        <w:t xml:space="preserve">fail. If the UE misses the </w:t>
      </w:r>
      <w:r w:rsidR="009757D3">
        <w:t xml:space="preserve">first </w:t>
      </w:r>
      <w:r w:rsidR="00D0776E">
        <w:t>green PDCCH with DAI (3,3) and the blue PDCCH with DAI (0,0) but receives the blue PDCCH with DAI (1,2) it can reconstruct the total HARQ codebook length and determine that it missed two PDCCH assignments.</w:t>
      </w:r>
      <w:r w:rsidR="009757D3">
        <w:t xml:space="preserve"> </w:t>
      </w:r>
      <w:r w:rsidR="009757D3">
        <w:lastRenderedPageBreak/>
        <w:t xml:space="preserve">However, if the UE misses the </w:t>
      </w:r>
      <w:r w:rsidR="00CF476F">
        <w:t>last</w:t>
      </w:r>
      <w:r w:rsidR="009757D3">
        <w:t xml:space="preserve"> green PDCCH with DAI (3,3) it assumes a wrong HARQ codebook size and decoding likely fails. Even in case of same TTI length across component carriers the same problem exists but the likelihood that the highest total DAI is transmitted multiple times (and thus the likelihood that UE receives total DAI at least once) is higher if PDCCH occurrences are aligned (i.e. same TTI) than with unaligned PDCCH occurrences. To counteract this effect the scheduler can use a higher CCE aggregation level when transmitting the </w:t>
      </w:r>
      <w:r w:rsidR="00CF476F">
        <w:t>last</w:t>
      </w:r>
      <w:r w:rsidR="009757D3">
        <w:t xml:space="preserve"> DCI.  </w:t>
      </w:r>
    </w:p>
    <w:p w14:paraId="7747AFFF" w14:textId="159EFD77" w:rsidR="00C27565" w:rsidRDefault="00C27565" w:rsidP="00594166">
      <w:r>
        <w:rPr>
          <w:lang w:val="en-GB" w:eastAsia="zh-CN"/>
        </w:rPr>
        <w:t>Also here the scheduling DCI includes the PUCCH resource and time. The same PUCCH resource and time are indicated in all scheduling DCIs to enable HARQ feedback in the same HARQ codebook.</w:t>
      </w:r>
    </w:p>
    <w:p w14:paraId="332F322D" w14:textId="4964B785" w:rsidR="00594166" w:rsidRDefault="00CF476F" w:rsidP="00594166">
      <w:pPr>
        <w:jc w:val="center"/>
      </w:pPr>
      <w:r>
        <w:rPr>
          <w:noProof/>
        </w:rPr>
        <w:drawing>
          <wp:inline distT="0" distB="0" distL="0" distR="0" wp14:anchorId="43E9DD46" wp14:editId="20470D17">
            <wp:extent cx="6501600" cy="225000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01600" cy="2250000"/>
                    </a:xfrm>
                    <a:prstGeom prst="rect">
                      <a:avLst/>
                    </a:prstGeom>
                    <a:noFill/>
                  </pic:spPr>
                </pic:pic>
              </a:graphicData>
            </a:graphic>
          </wp:inline>
        </w:drawing>
      </w:r>
    </w:p>
    <w:p w14:paraId="34A4C4BC" w14:textId="74D99197" w:rsidR="00594166" w:rsidRPr="00476E0E" w:rsidRDefault="00594166" w:rsidP="00CF476F">
      <w:pPr>
        <w:jc w:val="center"/>
        <w:rPr>
          <w:b/>
        </w:rPr>
      </w:pPr>
      <w:bookmarkStart w:id="5" w:name="_Ref492292965"/>
      <w:r w:rsidRPr="00476E0E">
        <w:rPr>
          <w:b/>
        </w:rPr>
        <w:t xml:space="preserve">Figure </w:t>
      </w:r>
      <w:r>
        <w:rPr>
          <w:b/>
        </w:rPr>
        <w:fldChar w:fldCharType="begin"/>
      </w:r>
      <w:r>
        <w:rPr>
          <w:b/>
        </w:rPr>
        <w:instrText xml:space="preserve"> SEQ Figure \* ARABIC </w:instrText>
      </w:r>
      <w:r>
        <w:rPr>
          <w:b/>
        </w:rPr>
        <w:fldChar w:fldCharType="separate"/>
      </w:r>
      <w:r w:rsidR="00575E73">
        <w:rPr>
          <w:b/>
          <w:noProof/>
        </w:rPr>
        <w:t>4</w:t>
      </w:r>
      <w:r>
        <w:rPr>
          <w:b/>
        </w:rPr>
        <w:fldChar w:fldCharType="end"/>
      </w:r>
      <w:r w:rsidR="00CF476F">
        <w:rPr>
          <w:b/>
        </w:rPr>
        <w:t xml:space="preserve">: </w:t>
      </w:r>
      <w:r>
        <w:rPr>
          <w:b/>
        </w:rPr>
        <w:t xml:space="preserve">A UE is configured with three component carriers with different </w:t>
      </w:r>
      <w:r w:rsidR="009757D3">
        <w:rPr>
          <w:b/>
        </w:rPr>
        <w:t>TTI</w:t>
      </w:r>
      <w:r>
        <w:rPr>
          <w:b/>
        </w:rPr>
        <w:t>s. At each PDCCH time, the total DAI is set to</w:t>
      </w:r>
      <w:r w:rsidRPr="00476E0E">
        <w:rPr>
          <w:b/>
        </w:rPr>
        <w:t xml:space="preserve"> the total number of </w:t>
      </w:r>
      <w:r>
        <w:rPr>
          <w:b/>
        </w:rPr>
        <w:t>scheduled</w:t>
      </w:r>
      <w:r w:rsidRPr="00476E0E">
        <w:rPr>
          <w:b/>
        </w:rPr>
        <w:t xml:space="preserve"> DL assignments including this PDCCH time.</w:t>
      </w:r>
      <w:bookmarkEnd w:id="5"/>
    </w:p>
    <w:p w14:paraId="1DA867AF" w14:textId="55BCB436" w:rsidR="00594166" w:rsidRPr="009757D3" w:rsidRDefault="009757D3" w:rsidP="00594166">
      <w:pPr>
        <w:rPr>
          <w:b/>
          <w:i/>
          <w:lang w:eastAsia="zh-CN"/>
        </w:rPr>
      </w:pPr>
      <w:r w:rsidRPr="009757D3">
        <w:rPr>
          <w:b/>
          <w:i/>
          <w:lang w:eastAsia="zh-CN"/>
        </w:rPr>
        <w:t xml:space="preserve">Proposal: </w:t>
      </w:r>
      <w:r w:rsidRPr="009757D3">
        <w:rPr>
          <w:b/>
          <w:i/>
        </w:rPr>
        <w:t xml:space="preserve">Support dynamic (dynamic in both component carrier and time dimension) HARQ codebook </w:t>
      </w:r>
      <w:r w:rsidRPr="00796C9E">
        <w:rPr>
          <w:b/>
          <w:i/>
        </w:rPr>
        <w:t xml:space="preserve">for CA with </w:t>
      </w:r>
      <w:r>
        <w:rPr>
          <w:b/>
          <w:i/>
        </w:rPr>
        <w:t>different</w:t>
      </w:r>
      <w:r w:rsidRPr="00796C9E">
        <w:rPr>
          <w:b/>
          <w:i/>
        </w:rPr>
        <w:t xml:space="preserve"> TTI</w:t>
      </w:r>
      <w:r>
        <w:rPr>
          <w:b/>
          <w:i/>
        </w:rPr>
        <w:t>s</w:t>
      </w:r>
      <w:r w:rsidRPr="00796C9E">
        <w:rPr>
          <w:b/>
          <w:i/>
        </w:rPr>
        <w:t xml:space="preserve"> </w:t>
      </w:r>
      <w:r>
        <w:rPr>
          <w:b/>
          <w:i/>
        </w:rPr>
        <w:t>across component carriers</w:t>
      </w:r>
      <w:r w:rsidRPr="009757D3">
        <w:rPr>
          <w:b/>
          <w:i/>
        </w:rPr>
        <w:t>. Re-use counter/total DAI mechanism from LTE feCA.</w:t>
      </w:r>
    </w:p>
    <w:p w14:paraId="38EC16A2" w14:textId="68EB7CF3" w:rsidR="00594166" w:rsidRDefault="00962CA5" w:rsidP="00594551">
      <w:pPr>
        <w:pStyle w:val="Heading3"/>
      </w:pPr>
      <w:r>
        <w:t xml:space="preserve">No carrier aggregation, </w:t>
      </w:r>
      <w:r w:rsidR="00594166">
        <w:t>with CBG</w:t>
      </w:r>
    </w:p>
    <w:p w14:paraId="2D255477" w14:textId="34ACC394" w:rsidR="00962CA5" w:rsidRDefault="00962CA5" w:rsidP="00962CA5">
      <w:pPr>
        <w:rPr>
          <w:lang w:val="en-GB" w:eastAsia="zh-CN"/>
        </w:rPr>
      </w:pPr>
      <w:r>
        <w:rPr>
          <w:lang w:val="en-GB" w:eastAsia="zh-CN"/>
        </w:rPr>
        <w:t xml:space="preserve">The same solution as outlined for the case with no CA, no CBG can be adopted here. Instead of a single or two bits (depending on MIMO configuration) a bitmap of fixed size is inserted for each detected </w:t>
      </w:r>
      <w:r w:rsidR="00585D35">
        <w:rPr>
          <w:lang w:val="en-GB" w:eastAsia="zh-CN"/>
        </w:rPr>
        <w:t>DL assignment</w:t>
      </w:r>
      <w:r>
        <w:rPr>
          <w:lang w:val="en-GB" w:eastAsia="zh-CN"/>
        </w:rPr>
        <w:t xml:space="preserve">. The bitmap size is given by the MIMO configuration and the </w:t>
      </w:r>
      <w:r w:rsidR="00B16428">
        <w:rPr>
          <w:lang w:val="en-GB" w:eastAsia="zh-CN"/>
        </w:rPr>
        <w:t xml:space="preserve">configured </w:t>
      </w:r>
      <w:r>
        <w:rPr>
          <w:lang w:val="en-GB" w:eastAsia="zh-CN"/>
        </w:rPr>
        <w:t>maximum number of</w:t>
      </w:r>
      <w:r w:rsidR="00B16428">
        <w:rPr>
          <w:lang w:val="en-GB" w:eastAsia="zh-CN"/>
        </w:rPr>
        <w:t xml:space="preserve"> CBG</w:t>
      </w:r>
      <w:r>
        <w:rPr>
          <w:lang w:val="en-GB" w:eastAsia="zh-CN"/>
        </w:rPr>
        <w:t xml:space="preserve">. </w:t>
      </w:r>
      <w:r w:rsidR="00C27565">
        <w:rPr>
          <w:lang w:val="en-GB" w:eastAsia="zh-CN"/>
        </w:rPr>
        <w:t>Also here the scheduling DCI includes the PUCCH resource and time as well as the DAI.</w:t>
      </w:r>
    </w:p>
    <w:p w14:paraId="2C227ECB" w14:textId="3C01A589" w:rsidR="00962CA5" w:rsidRDefault="00B16428" w:rsidP="00962CA5">
      <w:pPr>
        <w:rPr>
          <w:b/>
          <w:i/>
          <w:lang w:val="en-GB" w:eastAsia="zh-CN"/>
        </w:rPr>
      </w:pPr>
      <w:r w:rsidRPr="00B16428">
        <w:rPr>
          <w:b/>
          <w:i/>
        </w:rPr>
        <w:t xml:space="preserve">Proposal: Support dynamic (in time dimension) HARQ codebook for non-CA case with CBG. Each entry in the HARQ codebook is a bitmap which size is given by the MIMO configuration and </w:t>
      </w:r>
      <w:r w:rsidRPr="00B16428">
        <w:rPr>
          <w:b/>
          <w:i/>
          <w:lang w:val="en-GB" w:eastAsia="zh-CN"/>
        </w:rPr>
        <w:t>the configured maximum number of CBG.</w:t>
      </w:r>
    </w:p>
    <w:p w14:paraId="094C515B" w14:textId="474EDAB5" w:rsidR="00962CA5" w:rsidRDefault="00962CA5" w:rsidP="00594551">
      <w:pPr>
        <w:pStyle w:val="Heading3"/>
      </w:pPr>
      <w:r>
        <w:t>With carrier aggregation, with CBG</w:t>
      </w:r>
    </w:p>
    <w:p w14:paraId="2B03DD6F" w14:textId="77777777" w:rsidR="006D52E4" w:rsidRDefault="006D52E4" w:rsidP="006D52E4">
      <w:r>
        <w:t>A UE configured with both carrier aggregation and CBG-based HARQ feedback can have largely varying UCI sizes depending on number of configured/activated component carriers and CBG configurations. If all component carriers are configured with the same CBG configuration a similar approach as without CBG configuration can be taken with the modification that for each received PDSCH a bitmap instead of a single bit (two bit depending on MIMO configuration) is inserted into the HARQ codebook. The bitmap size is given by the CBG and MIMO configuration.</w:t>
      </w:r>
    </w:p>
    <w:p w14:paraId="00E8009B" w14:textId="77777777" w:rsidR="006D52E4" w:rsidRDefault="006D52E4" w:rsidP="006D52E4">
      <w:r>
        <w:t xml:space="preserve">If different CBG configurations exist across component carriers the DAI solution from Rel-13 does not work properly since the DAI counters only count HARQ entries irrespective of size. With different CBG configurations it is not enough to know that one or two assignments have been missed, one also needs to </w:t>
      </w:r>
      <w:r>
        <w:lastRenderedPageBreak/>
        <w:t xml:space="preserve">know the size of the corresponding HARQ feedback. Without this knowledge, the HARQ codebook size as well as the internal bitmap ordering will be wrong. </w:t>
      </w:r>
    </w:p>
    <w:p w14:paraId="614E3B8A" w14:textId="5570DE4B" w:rsidR="00466356" w:rsidRDefault="00C27565" w:rsidP="006D52E4">
      <w:pPr>
        <w:rPr>
          <w:lang w:val="en-GB" w:eastAsia="zh-CN"/>
        </w:rPr>
      </w:pPr>
      <w:r>
        <w:rPr>
          <w:lang w:val="en-GB" w:eastAsia="zh-CN"/>
        </w:rPr>
        <w:t xml:space="preserve">One possibility is to extend the </w:t>
      </w:r>
      <w:r w:rsidR="00CF476F">
        <w:rPr>
          <w:lang w:val="en-GB" w:eastAsia="zh-CN"/>
        </w:rPr>
        <w:t>fixed HARQ codebook (</w:t>
      </w:r>
      <w:r w:rsidR="00CF476F" w:rsidRPr="00CF476F">
        <w:rPr>
          <w:lang w:val="en-GB" w:eastAsia="zh-CN"/>
        </w:rPr>
        <w:t>fixed in component carrier dimension, dynamic in time dimension)</w:t>
      </w:r>
      <w:r w:rsidR="00CF476F">
        <w:rPr>
          <w:lang w:val="en-GB" w:eastAsia="zh-CN"/>
        </w:rPr>
        <w:t xml:space="preserve"> carrier aggregation</w:t>
      </w:r>
      <w:r>
        <w:rPr>
          <w:lang w:val="en-GB" w:eastAsia="zh-CN"/>
        </w:rPr>
        <w:t xml:space="preserve"> solution to </w:t>
      </w:r>
      <w:r w:rsidR="00CF476F">
        <w:rPr>
          <w:lang w:val="en-GB" w:eastAsia="zh-CN"/>
        </w:rPr>
        <w:t>CBG</w:t>
      </w:r>
      <w:r>
        <w:rPr>
          <w:lang w:val="en-GB" w:eastAsia="zh-CN"/>
        </w:rPr>
        <w:t xml:space="preserve">. </w:t>
      </w:r>
      <w:r w:rsidR="00466356">
        <w:rPr>
          <w:lang w:val="en-GB" w:eastAsia="zh-CN"/>
        </w:rPr>
        <w:t xml:space="preserve">As soon as at least one scheduling DCI is detected within a TTI (assumed to be the same across component carriers) HARQ feedback for all </w:t>
      </w:r>
      <w:r w:rsidR="00CF476F">
        <w:rPr>
          <w:lang w:val="en-GB" w:eastAsia="zh-CN"/>
        </w:rPr>
        <w:t xml:space="preserve">component </w:t>
      </w:r>
      <w:r w:rsidR="00466356">
        <w:rPr>
          <w:lang w:val="en-GB" w:eastAsia="zh-CN"/>
        </w:rPr>
        <w:t xml:space="preserve">carriers is reported. The bitmap representing HARQ feedback for all component carriers is given by the number of configured/activated component carriers as well as the MIMO configuration and </w:t>
      </w:r>
      <w:r w:rsidR="00B45E5C">
        <w:rPr>
          <w:lang w:val="en-GB" w:eastAsia="zh-CN"/>
        </w:rPr>
        <w:t xml:space="preserve">configured </w:t>
      </w:r>
      <w:r w:rsidR="00466356">
        <w:rPr>
          <w:lang w:val="en-GB" w:eastAsia="zh-CN"/>
        </w:rPr>
        <w:t>maximum number of CBG of each carrier. HARQ feedback for not received CBG is set to NACK. All scheduling DCIs include the PUCCH resource and time as well as the DAI. The same PUCCH resource and time are indicated in all scheduling DCIs to enable HARQ feedback in the same HARQ codebook. The same DAI is included in all scheduling DCIs transmitted in the same TTI since as soon as a single DCI is detected in a TTI HARQ feedback for all component carriers is included in the HARQ codebook.</w:t>
      </w:r>
      <w:r w:rsidR="008B16A8">
        <w:rPr>
          <w:lang w:val="en-GB" w:eastAsia="zh-CN"/>
        </w:rPr>
        <w:t xml:space="preserve"> Drawback of this option is higher overhead if not all component carriers are scheduled simultaneously, however, with fast carrier activation/deactivation the gNB could rather quickly adopt the number of activated component carriers to the actual needed number of component carriers.</w:t>
      </w:r>
      <w:r w:rsidR="00827B60">
        <w:rPr>
          <w:lang w:val="en-GB" w:eastAsia="zh-CN"/>
        </w:rPr>
        <w:t xml:space="preserve"> Furthermore, it must be possible to send reliable feedback even if all component carriers are scheduled.</w:t>
      </w:r>
    </w:p>
    <w:p w14:paraId="012EB593" w14:textId="660CB48B" w:rsidR="006D52E4" w:rsidRDefault="006D52E4" w:rsidP="00466356">
      <w:pPr>
        <w:rPr>
          <w:lang w:val="en-GB" w:eastAsia="zh-CN"/>
        </w:rPr>
      </w:pPr>
      <w:r>
        <w:rPr>
          <w:lang w:val="en-GB" w:eastAsia="zh-CN"/>
        </w:rPr>
        <w:t xml:space="preserve">Another option </w:t>
      </w:r>
      <w:r>
        <w:t>is to group component carriers according to their CBG configuration (CBG per TB), i.e. all component carriers with same CBG configuration are within one group. For each group, an independent Rel-13 feCA DAI mechanism is implemented. A DCI scheduling PDSCH from a group contains total and counter DAI from this group and these DAIs are calculated considering only DL assignments from this group. Each group has its own HARQ codebook and the DAI counters refer to this codebook. Prior transmission, the HARQ codebooks are concatenated and then sent on PUCCH or as UCI on PUSCH. If a UE determines the HARQ codebook size of a single group wrongly the total HARQ codebook size would be wrong and the HARQ feedback undecodable. Since multiple total DAIs (one for each group) exist each total DAI is transmitted less often than if</w:t>
      </w:r>
      <w:r w:rsidR="00CF476F">
        <w:t xml:space="preserve"> a single total DAI would exist</w:t>
      </w:r>
      <w:r>
        <w:t xml:space="preserve">. Error cases are more likely compared to the case of a single DAI mechanism. </w:t>
      </w:r>
    </w:p>
    <w:p w14:paraId="019127C6" w14:textId="0BB34D8C" w:rsidR="008B16A8" w:rsidRDefault="008B16A8" w:rsidP="00466356">
      <w:pPr>
        <w:rPr>
          <w:lang w:val="en-GB" w:eastAsia="zh-CN"/>
        </w:rPr>
      </w:pPr>
      <w:r>
        <w:rPr>
          <w:lang w:val="en-GB" w:eastAsia="zh-CN"/>
        </w:rPr>
        <w:t>Yet another option is</w:t>
      </w:r>
      <w:r w:rsidR="00BF3D22">
        <w:rPr>
          <w:lang w:val="en-GB" w:eastAsia="zh-CN"/>
        </w:rPr>
        <w:t xml:space="preserve"> </w:t>
      </w:r>
      <w:r w:rsidR="00643739">
        <w:rPr>
          <w:lang w:val="en-GB" w:eastAsia="zh-CN"/>
        </w:rPr>
        <w:t xml:space="preserve">to limit the number of CBG configurations </w:t>
      </w:r>
      <w:r w:rsidR="00F465F6">
        <w:rPr>
          <w:lang w:val="en-GB" w:eastAsia="zh-CN"/>
        </w:rPr>
        <w:t xml:space="preserve">so </w:t>
      </w:r>
      <w:r w:rsidR="00643739">
        <w:rPr>
          <w:lang w:val="en-GB" w:eastAsia="zh-CN"/>
        </w:rPr>
        <w:t xml:space="preserve">that they </w:t>
      </w:r>
      <w:r w:rsidR="002A18F5">
        <w:rPr>
          <w:lang w:val="en-GB" w:eastAsia="zh-CN"/>
        </w:rPr>
        <w:t>have a largest common divisor larger than one</w:t>
      </w:r>
      <w:r w:rsidR="00643739">
        <w:rPr>
          <w:lang w:val="en-GB" w:eastAsia="zh-CN"/>
        </w:rPr>
        <w:t xml:space="preserve">, e.g. the configured maximum number of CBG across the </w:t>
      </w:r>
      <w:r w:rsidR="00F465F6">
        <w:rPr>
          <w:lang w:val="en-GB" w:eastAsia="zh-CN"/>
        </w:rPr>
        <w:t>component carriers</w:t>
      </w:r>
      <w:r w:rsidR="00643739">
        <w:rPr>
          <w:lang w:val="en-GB" w:eastAsia="zh-CN"/>
        </w:rPr>
        <w:t xml:space="preserve"> could be </w:t>
      </w:r>
      <w:r w:rsidR="002A18F5">
        <w:rPr>
          <w:lang w:val="en-GB" w:eastAsia="zh-CN"/>
        </w:rPr>
        <w:t>4, 8, and 12</w:t>
      </w:r>
      <w:r w:rsidR="00643739">
        <w:rPr>
          <w:lang w:val="en-GB" w:eastAsia="zh-CN"/>
        </w:rPr>
        <w:t xml:space="preserve">. </w:t>
      </w:r>
      <w:r w:rsidR="00B45E5C">
        <w:rPr>
          <w:lang w:val="en-GB" w:eastAsia="zh-CN"/>
        </w:rPr>
        <w:fldChar w:fldCharType="begin"/>
      </w:r>
      <w:r w:rsidR="00B45E5C">
        <w:rPr>
          <w:lang w:val="en-GB" w:eastAsia="zh-CN"/>
        </w:rPr>
        <w:instrText xml:space="preserve"> REF _Ref492283150 \h </w:instrText>
      </w:r>
      <w:r w:rsidR="00B45E5C">
        <w:rPr>
          <w:lang w:val="en-GB" w:eastAsia="zh-CN"/>
        </w:rPr>
      </w:r>
      <w:r w:rsidR="00B45E5C">
        <w:rPr>
          <w:lang w:val="en-GB" w:eastAsia="zh-CN"/>
        </w:rPr>
        <w:fldChar w:fldCharType="separate"/>
      </w:r>
      <w:r w:rsidR="00B45E5C">
        <w:t xml:space="preserve">Figure </w:t>
      </w:r>
      <w:r w:rsidR="00B45E5C">
        <w:rPr>
          <w:noProof/>
        </w:rPr>
        <w:t>4</w:t>
      </w:r>
      <w:r w:rsidR="00B45E5C">
        <w:rPr>
          <w:lang w:val="en-GB" w:eastAsia="zh-CN"/>
        </w:rPr>
        <w:fldChar w:fldCharType="end"/>
      </w:r>
      <w:r w:rsidR="00CF476F">
        <w:rPr>
          <w:lang w:val="en-GB" w:eastAsia="zh-CN"/>
        </w:rPr>
        <w:t xml:space="preserve"> </w:t>
      </w:r>
      <w:r w:rsidR="00643739">
        <w:rPr>
          <w:lang w:val="en-GB" w:eastAsia="zh-CN"/>
        </w:rPr>
        <w:t xml:space="preserve">shows an example with four component carriers. A DAI mechanism similar to that in feCA Rel-13 LTE is used. However, the </w:t>
      </w:r>
      <w:r w:rsidR="002A18F5">
        <w:rPr>
          <w:lang w:val="en-GB" w:eastAsia="zh-CN"/>
        </w:rPr>
        <w:t xml:space="preserve">DAIs do not count assignments but the size of the corresponding HARQ feedback bitmaps. </w:t>
      </w:r>
      <w:r w:rsidR="00643739">
        <w:rPr>
          <w:lang w:val="en-GB" w:eastAsia="zh-CN"/>
        </w:rPr>
        <w:t>To reduce the field size of the DAI</w:t>
      </w:r>
      <w:r w:rsidR="002A18F5">
        <w:rPr>
          <w:lang w:val="en-GB" w:eastAsia="zh-CN"/>
        </w:rPr>
        <w:t>s</w:t>
      </w:r>
      <w:r w:rsidR="00643739">
        <w:rPr>
          <w:lang w:val="en-GB" w:eastAsia="zh-CN"/>
        </w:rPr>
        <w:t xml:space="preserve"> it can be counted in units of the largest common divisor, in </w:t>
      </w:r>
      <w:r w:rsidR="00F465F6">
        <w:rPr>
          <w:lang w:val="en-GB" w:eastAsia="zh-CN"/>
        </w:rPr>
        <w:t>below</w:t>
      </w:r>
      <w:r w:rsidR="002A18F5">
        <w:rPr>
          <w:lang w:val="en-GB" w:eastAsia="zh-CN"/>
        </w:rPr>
        <w:t xml:space="preserve"> example this unit would be 4. Nevertheless, the </w:t>
      </w:r>
      <w:r w:rsidR="00643739">
        <w:rPr>
          <w:lang w:val="en-GB" w:eastAsia="zh-CN"/>
        </w:rPr>
        <w:t>DAI counter</w:t>
      </w:r>
      <w:r w:rsidR="002A18F5">
        <w:rPr>
          <w:lang w:val="en-GB" w:eastAsia="zh-CN"/>
        </w:rPr>
        <w:t>s increase</w:t>
      </w:r>
      <w:r w:rsidR="00643739">
        <w:rPr>
          <w:lang w:val="en-GB" w:eastAsia="zh-CN"/>
        </w:rPr>
        <w:t xml:space="preserve"> more quickly than in feCA Rel-13 LTE, therefore a larger field size than just two bit should be considered. </w:t>
      </w:r>
      <w:r w:rsidR="00B45E5C">
        <w:rPr>
          <w:lang w:val="en-GB" w:eastAsia="zh-CN"/>
        </w:rPr>
        <w:t xml:space="preserve">Drawback of this scheme is a slightly increased DL </w:t>
      </w:r>
      <w:r w:rsidR="00CF476F">
        <w:rPr>
          <w:lang w:val="en-GB" w:eastAsia="zh-CN"/>
        </w:rPr>
        <w:t xml:space="preserve">control </w:t>
      </w:r>
      <w:r w:rsidR="00B45E5C">
        <w:rPr>
          <w:lang w:val="en-GB" w:eastAsia="zh-CN"/>
        </w:rPr>
        <w:t xml:space="preserve">overhead since the DAI counter should be </w:t>
      </w:r>
      <w:r w:rsidR="002A18F5">
        <w:rPr>
          <w:lang w:val="en-GB" w:eastAsia="zh-CN"/>
        </w:rPr>
        <w:t xml:space="preserve">encoded with more </w:t>
      </w:r>
      <w:r w:rsidR="00B45E5C">
        <w:rPr>
          <w:lang w:val="en-GB" w:eastAsia="zh-CN"/>
        </w:rPr>
        <w:t>than two bits</w:t>
      </w:r>
      <w:r w:rsidR="002A18F5">
        <w:rPr>
          <w:lang w:val="en-GB" w:eastAsia="zh-CN"/>
        </w:rPr>
        <w:t xml:space="preserve"> to avoid ambiguities</w:t>
      </w:r>
      <w:r w:rsidR="00B45E5C">
        <w:rPr>
          <w:lang w:val="en-GB" w:eastAsia="zh-CN"/>
        </w:rPr>
        <w:t>.</w:t>
      </w:r>
    </w:p>
    <w:p w14:paraId="53E2B9E0" w14:textId="184F7E20" w:rsidR="00B16428" w:rsidRDefault="002A18F5" w:rsidP="00E700FB">
      <w:pPr>
        <w:ind w:hanging="1134"/>
        <w:jc w:val="center"/>
        <w:rPr>
          <w:lang w:val="en-GB" w:eastAsia="zh-CN"/>
        </w:rPr>
      </w:pPr>
      <w:r>
        <w:rPr>
          <w:noProof/>
        </w:rPr>
        <w:lastRenderedPageBreak/>
        <w:drawing>
          <wp:inline distT="0" distB="0" distL="0" distR="0" wp14:anchorId="513A2DAD" wp14:editId="0A056C65">
            <wp:extent cx="6310800" cy="246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10800" cy="2462400"/>
                    </a:xfrm>
                    <a:prstGeom prst="rect">
                      <a:avLst/>
                    </a:prstGeom>
                    <a:noFill/>
                  </pic:spPr>
                </pic:pic>
              </a:graphicData>
            </a:graphic>
          </wp:inline>
        </w:drawing>
      </w:r>
    </w:p>
    <w:p w14:paraId="4570205D" w14:textId="036EA687" w:rsidR="00466356" w:rsidRDefault="00643739" w:rsidP="00643739">
      <w:pPr>
        <w:pStyle w:val="Caption"/>
      </w:pPr>
      <w:bookmarkStart w:id="6" w:name="_Ref492283150"/>
      <w:r>
        <w:t xml:space="preserve">Figure </w:t>
      </w:r>
      <w:fldSimple w:instr=" SEQ Figure \* ARABIC ">
        <w:r w:rsidR="00575E73">
          <w:rPr>
            <w:noProof/>
          </w:rPr>
          <w:t>5</w:t>
        </w:r>
      </w:fldSimple>
      <w:bookmarkEnd w:id="6"/>
      <w:r>
        <w:t>: Carrier aggregation scenario with four component carrier</w:t>
      </w:r>
      <w:r w:rsidR="00CF476F">
        <w:t>s</w:t>
      </w:r>
      <w:r>
        <w:t>. The configured maximum number of CB</w:t>
      </w:r>
      <w:r w:rsidR="002A18F5">
        <w:t>G per carrier are multiples of 4</w:t>
      </w:r>
      <w:r>
        <w:t xml:space="preserve">. The </w:t>
      </w:r>
      <w:r w:rsidR="002A18F5">
        <w:t>DAI are counted in units of 4</w:t>
      </w:r>
      <w:r>
        <w:t xml:space="preserve">. The DAI counters are shown before a modulo operation. </w:t>
      </w:r>
    </w:p>
    <w:p w14:paraId="532BE41B" w14:textId="55DABD8B" w:rsidR="006D52E4" w:rsidRPr="006D52E4" w:rsidRDefault="006D52E4" w:rsidP="006D52E4">
      <w:r>
        <w:t>Given that only few meeting cycles are left until completion data we propose to adopt a robust solution for HARQ feedback with CBG configuration. More advanced schemes can potentially be considered in later releases once the robustness problem has been solved.</w:t>
      </w:r>
    </w:p>
    <w:p w14:paraId="7AE2894F" w14:textId="7A415E74" w:rsidR="00B45E5C" w:rsidRDefault="00B45E5C" w:rsidP="00B45E5C">
      <w:pPr>
        <w:rPr>
          <w:b/>
          <w:i/>
        </w:rPr>
      </w:pPr>
      <w:r w:rsidRPr="00796C9E">
        <w:rPr>
          <w:b/>
          <w:i/>
          <w:lang w:val="en-GB" w:eastAsia="zh-CN"/>
        </w:rPr>
        <w:t xml:space="preserve">Proposal: Support fixed (fixed in component carrier dimension, dynamic in time dimension) </w:t>
      </w:r>
      <w:r w:rsidRPr="00796C9E">
        <w:rPr>
          <w:b/>
          <w:i/>
        </w:rPr>
        <w:t xml:space="preserve">HARQ codebook for CA </w:t>
      </w:r>
      <w:r w:rsidR="00CF476F">
        <w:rPr>
          <w:b/>
          <w:i/>
        </w:rPr>
        <w:t>with CBG and</w:t>
      </w:r>
      <w:r w:rsidRPr="00796C9E">
        <w:rPr>
          <w:b/>
          <w:i/>
        </w:rPr>
        <w:t xml:space="preserve"> same TTI on all component carriers. </w:t>
      </w:r>
      <w:r w:rsidR="00EA2530">
        <w:rPr>
          <w:b/>
          <w:i/>
        </w:rPr>
        <w:t xml:space="preserve">For each TTI where at least one DL assignment is detected, the HARQ codebook entry is a bitmap which size is given by the configured number of CC, </w:t>
      </w:r>
      <w:r w:rsidR="007F09F7">
        <w:rPr>
          <w:b/>
          <w:i/>
        </w:rPr>
        <w:t xml:space="preserve">configured </w:t>
      </w:r>
      <w:r w:rsidR="00EA2530">
        <w:rPr>
          <w:b/>
          <w:i/>
        </w:rPr>
        <w:t>maximum number of CBG, and MIMO configuration.</w:t>
      </w:r>
    </w:p>
    <w:p w14:paraId="679251ED" w14:textId="77777777" w:rsidR="008723DE" w:rsidRPr="00060D83" w:rsidRDefault="008723DE" w:rsidP="008723DE">
      <w:pPr>
        <w:pStyle w:val="Heading2"/>
        <w:keepLines w:val="0"/>
        <w:overflowPunct/>
        <w:autoSpaceDE/>
        <w:autoSpaceDN/>
        <w:adjustRightInd/>
        <w:spacing w:before="240" w:after="60"/>
        <w:textAlignment w:val="auto"/>
      </w:pPr>
      <w:r w:rsidRPr="00060D83">
        <w:t>The number of HARQ processes</w:t>
      </w:r>
    </w:p>
    <w:p w14:paraId="735DF186" w14:textId="77777777" w:rsidR="008723DE" w:rsidRPr="00060D83" w:rsidRDefault="008723DE" w:rsidP="008723DE">
      <w:pPr>
        <w:pStyle w:val="BodyText"/>
        <w:rPr>
          <w:rFonts w:ascii="Arial" w:hAnsi="Arial" w:cs="Arial"/>
        </w:rPr>
      </w:pPr>
      <w:r w:rsidRPr="00060D83">
        <w:rPr>
          <w:rFonts w:ascii="Arial" w:hAnsi="Arial" w:cs="Arial"/>
        </w:rPr>
        <w:t>Retransmissions are scheduled in a similar way as the original transmission. Hence, upon reception of a negative acknowledgement (for downlink data transmissions) or detection of incorrectly received uplink data (for uplink data transmission), the gNodeB needs to schedule a retransmission.</w:t>
      </w:r>
    </w:p>
    <w:p w14:paraId="76078841" w14:textId="77777777" w:rsidR="008723DE" w:rsidRPr="00060D83" w:rsidRDefault="008723DE" w:rsidP="008723DE">
      <w:pPr>
        <w:pStyle w:val="BodyText"/>
        <w:rPr>
          <w:rFonts w:ascii="Arial" w:hAnsi="Arial" w:cs="Arial"/>
        </w:rPr>
      </w:pPr>
      <w:r w:rsidRPr="00060D83">
        <w:rPr>
          <w:rFonts w:ascii="Arial" w:hAnsi="Arial" w:cs="Arial"/>
        </w:rPr>
        <w:t xml:space="preserve">The number of hybrid ARQ processes depends on the overall roundtrip time. For downlink data transmission this includes the UE processing time to generate the acknowledgement, network-side processing time for scheduling the retransmission, and front-haul delays in case remote radio units are used to separate the baseband processing from the actual transmission site. </w:t>
      </w:r>
    </w:p>
    <w:p w14:paraId="1A031915" w14:textId="77777777" w:rsidR="008723DE" w:rsidRPr="00060D83" w:rsidRDefault="008723DE" w:rsidP="008723DE">
      <w:pPr>
        <w:pStyle w:val="BodyText"/>
        <w:rPr>
          <w:rFonts w:ascii="Arial" w:hAnsi="Arial" w:cs="Arial"/>
        </w:rPr>
      </w:pPr>
      <w:r w:rsidRPr="00060D83">
        <w:rPr>
          <w:rFonts w:ascii="Arial" w:hAnsi="Arial" w:cs="Arial"/>
        </w:rPr>
        <w:t>The speed of light in an optical fiber is approximatively 2·10</w:t>
      </w:r>
      <w:r w:rsidRPr="00060D83">
        <w:rPr>
          <w:rFonts w:ascii="Arial" w:hAnsi="Arial" w:cs="Arial"/>
          <w:vertAlign w:val="superscript"/>
        </w:rPr>
        <w:t>8</w:t>
      </w:r>
      <w:r w:rsidRPr="00060D83">
        <w:rPr>
          <w:rFonts w:ascii="Arial" w:hAnsi="Arial" w:cs="Arial"/>
        </w:rPr>
        <w:t xml:space="preserve"> m/s. Hence, for a 15 km distance, which is not an unlikely distance, the two-way delay is 150 μs. The scheduling delays can be in a similar range, depending on implementation, network load, scheduling complexity in terms of quality-of-service handling, exploitation of channel conditions, multi-user MIMO aspects, etc. As a comparison, the slot length is 125 μs assuming 14 symbol slots and 120 kHz subcarrier spacing.</w:t>
      </w:r>
    </w:p>
    <w:p w14:paraId="03E5EAA9" w14:textId="77777777" w:rsidR="008723DE" w:rsidRPr="00060D83" w:rsidRDefault="008723DE" w:rsidP="008723DE">
      <w:pPr>
        <w:pStyle w:val="BodyText"/>
        <w:rPr>
          <w:rFonts w:ascii="Arial" w:hAnsi="Arial" w:cs="Arial"/>
        </w:rPr>
      </w:pPr>
      <w:r w:rsidRPr="00060D83">
        <w:rPr>
          <w:rFonts w:ascii="Arial" w:hAnsi="Arial" w:cs="Arial"/>
        </w:rPr>
        <w:t xml:space="preserve">Coexistence with TD-LTE is another example where multiple hybrid-ARQ processes are needed as there, for coexistence reasons, can be multiple slots (corresponding to LTE subframes) where it is not possible to transmit an uplink acknowledgement. For a typical case of TDD uplink-downlink allocation #2, there are four downlink slots followed by one uplink slot. In principle, four processes would be sufficient to handle this if the UE is capable of ‘same slot’ ACK, otherwise a couple of more processes are needed. Furthermore, LTE supports several uplink-downlink allocations, many </w:t>
      </w:r>
      <w:r w:rsidRPr="00060D83">
        <w:rPr>
          <w:rFonts w:ascii="Arial" w:hAnsi="Arial" w:cs="Arial"/>
        </w:rPr>
        <w:lastRenderedPageBreak/>
        <w:t>of which are not used in practice, and it can be considered if coexistence with all these possibilities need to be able to support the peak data rate.</w:t>
      </w:r>
    </w:p>
    <w:p w14:paraId="2668196E" w14:textId="77777777" w:rsidR="008723DE" w:rsidRPr="00060D83" w:rsidRDefault="008723DE" w:rsidP="008723DE">
      <w:pPr>
        <w:pStyle w:val="BodyText"/>
        <w:rPr>
          <w:rFonts w:ascii="Arial" w:hAnsi="Arial" w:cs="Arial"/>
        </w:rPr>
      </w:pPr>
      <w:r w:rsidRPr="00060D83">
        <w:rPr>
          <w:rFonts w:ascii="Arial" w:hAnsi="Arial" w:cs="Arial"/>
        </w:rPr>
        <w:t>From the simplified discussion above, it is seen that the time from transmission to retransmission can be in the order of several slots, motivating multiple hybrid-ARQ processes. At the same time, it is beneficial to keep the number of hybrid-ARQ processes small as NR is supposed to provide low latency. Furthermore, supporting different number of hybrid-ARQ processes for different numerologies would complicate the overall structure and a single number is preferable. It is therefore recommended to support 8 hybrid-ARQ processes in NR, i.e. use 3 bits for the hybrid-ARQ process number in the DCI.</w:t>
      </w:r>
    </w:p>
    <w:p w14:paraId="57F83190" w14:textId="77777777" w:rsidR="008723DE" w:rsidRDefault="008723DE" w:rsidP="00B45E5C">
      <w:pPr>
        <w:rPr>
          <w:b/>
          <w:i/>
        </w:rPr>
      </w:pPr>
    </w:p>
    <w:p w14:paraId="536346FF" w14:textId="0E00290B" w:rsidR="00186775" w:rsidRPr="00060D83" w:rsidRDefault="000B36E8" w:rsidP="00BA01B1">
      <w:pPr>
        <w:pStyle w:val="Heading2"/>
      </w:pPr>
      <w:r>
        <w:t>HARQ process sharing</w:t>
      </w:r>
    </w:p>
    <w:p w14:paraId="22A780BA" w14:textId="77777777" w:rsidR="00186775" w:rsidRPr="00A20BBC" w:rsidRDefault="00186775" w:rsidP="00186775">
      <w:pPr>
        <w:pStyle w:val="BodyText"/>
        <w:rPr>
          <w:rFonts w:cs="Arial"/>
        </w:rPr>
      </w:pPr>
      <w:r w:rsidRPr="00A20BBC">
        <w:rPr>
          <w:rFonts w:cs="Arial"/>
        </w:rPr>
        <w:t xml:space="preserve">For the scheduling purpose either a slot or mini-slot can be scheduled on a specific carrier. To allow full flexibility in scheduling within a single carrier it would make sense to have the same HARQ processes being applicable for both mini-slots and slots. This allows the gNodeb to dynamically move between slot and mini-slot transmission and is in line with the general intention in RAN1 to harmonize slots and mini-slots into the same framework. </w:t>
      </w:r>
    </w:p>
    <w:p w14:paraId="0F021C1E" w14:textId="69F2A13B" w:rsidR="00186775" w:rsidRPr="00A20BBC" w:rsidRDefault="00186775" w:rsidP="00186775">
      <w:pPr>
        <w:pStyle w:val="BodyText"/>
        <w:rPr>
          <w:rFonts w:cs="Arial"/>
        </w:rPr>
      </w:pPr>
      <w:r w:rsidRPr="00A20BBC">
        <w:rPr>
          <w:rFonts w:cs="Arial"/>
        </w:rPr>
        <w:t xml:space="preserve">To be able to support different services it is assumed in the discussion that the UE can be assigned with multiple PDSCH within the same subframe. </w:t>
      </w:r>
      <w:r w:rsidR="00385190" w:rsidRPr="00A20BBC">
        <w:rPr>
          <w:rFonts w:cs="Arial"/>
        </w:rPr>
        <w:t>W</w:t>
      </w:r>
      <w:r w:rsidRPr="00A20BBC">
        <w:rPr>
          <w:rFonts w:cs="Arial"/>
        </w:rPr>
        <w:t xml:space="preserve">e </w:t>
      </w:r>
      <w:r w:rsidR="00385190" w:rsidRPr="00A20BBC">
        <w:rPr>
          <w:rFonts w:cs="Arial"/>
        </w:rPr>
        <w:t>think</w:t>
      </w:r>
      <w:r w:rsidRPr="00A20BBC">
        <w:rPr>
          <w:rFonts w:cs="Arial"/>
        </w:rPr>
        <w:t xml:space="preserve"> that it is sufficient to be able to handle t</w:t>
      </w:r>
      <w:r w:rsidR="00385190" w:rsidRPr="00A20BBC">
        <w:rPr>
          <w:rFonts w:cs="Arial"/>
        </w:rPr>
        <w:t>w</w:t>
      </w:r>
      <w:r w:rsidRPr="00A20BBC">
        <w:rPr>
          <w:rFonts w:cs="Arial"/>
        </w:rPr>
        <w:t>o PDSCH for unicast simultaneously on one carrier for the UE. To provide sufficient flexibility in the design no restriction should be made on the allocated frequency resource and time resource for the two PDSCH(s). Note however that a UE can be assigned with many consecutive PDSCH(s) in time within a slot if they do not overlap in time.</w:t>
      </w:r>
    </w:p>
    <w:p w14:paraId="64D88F71" w14:textId="1C20552A" w:rsidR="00BA01B1" w:rsidRPr="00A20BBC" w:rsidRDefault="00385190" w:rsidP="00F577DD">
      <w:pPr>
        <w:pStyle w:val="BodyText"/>
      </w:pPr>
      <w:r w:rsidRPr="00A20BBC">
        <w:t>Furthermore,</w:t>
      </w:r>
      <w:r w:rsidR="00F577DD" w:rsidRPr="00A20BBC">
        <w:t xml:space="preserve"> a simultaneous</w:t>
      </w:r>
      <w:r w:rsidRPr="00A20BBC">
        <w:t xml:space="preserve"> UL transmission without </w:t>
      </w:r>
      <w:r w:rsidR="00F577DD" w:rsidRPr="00A20BBC">
        <w:t xml:space="preserve">UL </w:t>
      </w:r>
      <w:r w:rsidRPr="00A20BBC">
        <w:t>grant</w:t>
      </w:r>
      <w:r w:rsidR="00F577DD" w:rsidRPr="00A20BBC">
        <w:t xml:space="preserve"> together with scheduled PDSCH(s) is possible. In transmission without UL grant, a retransmission based on a dynamic grant is useful to guarantee a successful retransmission by a dedicated channel. For better handling of HARQ retransmissions in this case it is desirable that the </w:t>
      </w:r>
      <w:r w:rsidR="00E01EF3" w:rsidRPr="00A20BBC">
        <w:t>HARQ processes are shared between the scheduled transmissions and the UL transmission without UL grant. The assignment can be done by means of RRC signaling.</w:t>
      </w:r>
    </w:p>
    <w:p w14:paraId="49631105" w14:textId="6807B4B9" w:rsidR="00BA01B1" w:rsidRPr="00BE7DB5" w:rsidRDefault="00BA01B1" w:rsidP="00BE7DB5">
      <w:pPr>
        <w:adjustRightInd w:val="0"/>
        <w:snapToGrid w:val="0"/>
        <w:spacing w:line="240" w:lineRule="auto"/>
        <w:jc w:val="both"/>
        <w:rPr>
          <w:b/>
          <w:bCs/>
          <w:i/>
          <w:iCs/>
        </w:rPr>
      </w:pPr>
      <w:r w:rsidRPr="00BE7DB5">
        <w:rPr>
          <w:b/>
          <w:bCs/>
          <w:i/>
          <w:iCs/>
        </w:rPr>
        <w:t xml:space="preserve">Proposal: </w:t>
      </w:r>
      <w:r w:rsidR="009D2E98" w:rsidRPr="00BE7DB5">
        <w:rPr>
          <w:b/>
          <w:bCs/>
          <w:i/>
          <w:iCs/>
        </w:rPr>
        <w:t>HARQ process IDs</w:t>
      </w:r>
      <w:r w:rsidR="002260BE" w:rsidRPr="00BE7DB5">
        <w:rPr>
          <w:b/>
          <w:bCs/>
          <w:i/>
          <w:iCs/>
        </w:rPr>
        <w:t xml:space="preserve"> are </w:t>
      </w:r>
      <w:r w:rsidR="009D2E98" w:rsidRPr="00BE7DB5">
        <w:rPr>
          <w:b/>
          <w:bCs/>
          <w:i/>
          <w:iCs/>
        </w:rPr>
        <w:t>shared between</w:t>
      </w:r>
      <w:r w:rsidR="002260BE" w:rsidRPr="00BE7DB5">
        <w:rPr>
          <w:b/>
          <w:bCs/>
          <w:i/>
          <w:iCs/>
        </w:rPr>
        <w:t xml:space="preserve"> slot, </w:t>
      </w:r>
      <w:r w:rsidR="009D2E98" w:rsidRPr="00BE7DB5">
        <w:rPr>
          <w:b/>
          <w:bCs/>
          <w:i/>
          <w:iCs/>
        </w:rPr>
        <w:t>and</w:t>
      </w:r>
      <w:r w:rsidR="002260BE" w:rsidRPr="00BE7DB5">
        <w:rPr>
          <w:b/>
          <w:bCs/>
          <w:i/>
          <w:iCs/>
        </w:rPr>
        <w:t xml:space="preserve"> mini-slot a</w:t>
      </w:r>
      <w:r w:rsidR="00E44E5D" w:rsidRPr="00BE7DB5">
        <w:rPr>
          <w:b/>
          <w:bCs/>
          <w:i/>
          <w:iCs/>
        </w:rPr>
        <w:t>s well as</w:t>
      </w:r>
      <w:r w:rsidR="002260BE" w:rsidRPr="00BE7DB5">
        <w:rPr>
          <w:b/>
          <w:bCs/>
          <w:i/>
          <w:iCs/>
        </w:rPr>
        <w:t xml:space="preserve"> both </w:t>
      </w:r>
      <w:r w:rsidR="009D2E98" w:rsidRPr="00BE7DB5">
        <w:rPr>
          <w:b/>
          <w:bCs/>
          <w:i/>
          <w:iCs/>
        </w:rPr>
        <w:t xml:space="preserve">transmission with </w:t>
      </w:r>
      <w:r w:rsidR="002260BE" w:rsidRPr="00BE7DB5">
        <w:rPr>
          <w:b/>
          <w:bCs/>
          <w:i/>
          <w:iCs/>
        </w:rPr>
        <w:t xml:space="preserve">grant and </w:t>
      </w:r>
      <w:r w:rsidR="009D2E98" w:rsidRPr="00BE7DB5">
        <w:rPr>
          <w:b/>
          <w:bCs/>
          <w:i/>
          <w:iCs/>
        </w:rPr>
        <w:t xml:space="preserve">UL transmission without UL </w:t>
      </w:r>
      <w:r w:rsidR="002260BE" w:rsidRPr="00BE7DB5">
        <w:rPr>
          <w:b/>
          <w:bCs/>
          <w:i/>
          <w:iCs/>
        </w:rPr>
        <w:t>grant</w:t>
      </w:r>
      <w:r w:rsidR="009D2E98" w:rsidRPr="00BE7DB5">
        <w:rPr>
          <w:b/>
          <w:bCs/>
          <w:i/>
          <w:iCs/>
        </w:rPr>
        <w:t xml:space="preserve">. </w:t>
      </w:r>
    </w:p>
    <w:p w14:paraId="50730D2A" w14:textId="77777777" w:rsidR="002F49B2" w:rsidRPr="00A20BBC" w:rsidRDefault="002F49B2" w:rsidP="00095DAC">
      <w:pPr>
        <w:rPr>
          <w:b/>
          <w:i/>
        </w:rPr>
      </w:pPr>
    </w:p>
    <w:bookmarkEnd w:id="0"/>
    <w:p w14:paraId="3FDAEECB" w14:textId="29622BF0" w:rsidR="00C01F33" w:rsidRDefault="00C01F33" w:rsidP="00CE0424">
      <w:pPr>
        <w:pStyle w:val="Heading1"/>
      </w:pPr>
      <w:r w:rsidRPr="00CE0424">
        <w:t>Conclusion</w:t>
      </w:r>
    </w:p>
    <w:p w14:paraId="2881CE66" w14:textId="1053F074" w:rsidR="00B4086D" w:rsidRDefault="00B4086D" w:rsidP="00B4086D">
      <w:pPr>
        <w:pStyle w:val="BodyText"/>
      </w:pPr>
      <w:r>
        <w:t>In this contribution</w:t>
      </w:r>
      <w:r w:rsidR="007471F4">
        <w:t>,</w:t>
      </w:r>
      <w:r>
        <w:t xml:space="preserve"> we discuss </w:t>
      </w:r>
      <w:r w:rsidR="00024345">
        <w:t xml:space="preserve">HARQ </w:t>
      </w:r>
      <w:r w:rsidR="007471F4">
        <w:t xml:space="preserve">codebook </w:t>
      </w:r>
      <w:r w:rsidR="00024345">
        <w:t>for NR. The following is proposed</w:t>
      </w:r>
      <w:r w:rsidR="007471F4">
        <w:t xml:space="preserve"> (the proposals in the text have been combined to the proposals below)</w:t>
      </w:r>
      <w:r w:rsidR="00C6602E" w:rsidRPr="00CE0424">
        <w:t>:</w:t>
      </w:r>
    </w:p>
    <w:p w14:paraId="481EFADC" w14:textId="77777777" w:rsidR="00BE7DB5" w:rsidRPr="00796C9E" w:rsidRDefault="00BE7DB5" w:rsidP="00BE7DB5">
      <w:pPr>
        <w:rPr>
          <w:b/>
          <w:i/>
        </w:rPr>
      </w:pPr>
      <w:r w:rsidRPr="00796C9E">
        <w:rPr>
          <w:b/>
          <w:i/>
        </w:rPr>
        <w:t>Proposal: Support dynamic (in time dimension) HARQ codebook for non-CA case.</w:t>
      </w:r>
    </w:p>
    <w:p w14:paraId="678AB225" w14:textId="62B98B89" w:rsidR="00BE7DB5" w:rsidRDefault="00BE7DB5" w:rsidP="00BE7DB5">
      <w:pPr>
        <w:rPr>
          <w:b/>
          <w:i/>
        </w:rPr>
      </w:pPr>
      <w:r w:rsidRPr="00796C9E">
        <w:rPr>
          <w:b/>
          <w:i/>
        </w:rPr>
        <w:t>Proposal: HARQ feedback from slot- and non-slot-based transmissions can be multiplexed into same HARQ codebook.</w:t>
      </w:r>
    </w:p>
    <w:p w14:paraId="21E2F0B9" w14:textId="77777777" w:rsidR="00BE7DB5" w:rsidRDefault="00BE7DB5" w:rsidP="00BE7DB5">
      <w:pPr>
        <w:rPr>
          <w:b/>
          <w:i/>
        </w:rPr>
      </w:pPr>
      <w:r w:rsidRPr="00796C9E">
        <w:rPr>
          <w:b/>
          <w:i/>
          <w:lang w:val="en-GB" w:eastAsia="zh-CN"/>
        </w:rPr>
        <w:t xml:space="preserve">Proposal: Support fixed (fixed in component carrier dimension, dynamic in time dimension) </w:t>
      </w:r>
      <w:r w:rsidRPr="00796C9E">
        <w:rPr>
          <w:b/>
          <w:i/>
        </w:rPr>
        <w:t xml:space="preserve">HARQ codebook for CA with same TTI on all component carriers. </w:t>
      </w:r>
      <w:r>
        <w:rPr>
          <w:b/>
          <w:i/>
        </w:rPr>
        <w:t>For each TTI where at least one DL assignment is detected, the HARQ codebook entry is a bitmap which size is given by the configured number of CC and MIMO configuration.</w:t>
      </w:r>
    </w:p>
    <w:p w14:paraId="3701A64B" w14:textId="77777777" w:rsidR="00BE7DB5" w:rsidRPr="00796C9E" w:rsidRDefault="00BE7DB5" w:rsidP="00BE7DB5">
      <w:pPr>
        <w:rPr>
          <w:b/>
          <w:i/>
        </w:rPr>
      </w:pPr>
      <w:r w:rsidRPr="00796C9E">
        <w:rPr>
          <w:b/>
          <w:i/>
          <w:lang w:val="en-GB" w:eastAsia="zh-CN"/>
        </w:rPr>
        <w:lastRenderedPageBreak/>
        <w:t xml:space="preserve">Proposal: </w:t>
      </w:r>
      <w:r w:rsidRPr="00796C9E">
        <w:rPr>
          <w:b/>
          <w:i/>
        </w:rPr>
        <w:t>Support dynamic (dynamic in both component carrier and time dimension) HARQ codebook for CA with same TTI on all component carriers. Re-use counter/total DAI mechanism from LTE feCA.</w:t>
      </w:r>
    </w:p>
    <w:p w14:paraId="48250DE3" w14:textId="77777777" w:rsidR="00BE7DB5" w:rsidRPr="00796C9E" w:rsidRDefault="00BE7DB5" w:rsidP="00BE7DB5">
      <w:pPr>
        <w:rPr>
          <w:b/>
          <w:i/>
        </w:rPr>
      </w:pPr>
      <w:r w:rsidRPr="00796C9E">
        <w:rPr>
          <w:b/>
          <w:i/>
          <w:lang w:val="en-GB" w:eastAsia="zh-CN"/>
        </w:rPr>
        <w:t xml:space="preserve">Proposal: Do not support fixed (fixed in component carrier dimension, dynamic in time dimension) </w:t>
      </w:r>
      <w:r w:rsidRPr="00796C9E">
        <w:rPr>
          <w:b/>
          <w:i/>
        </w:rPr>
        <w:t xml:space="preserve">HARQ codebook for CA with </w:t>
      </w:r>
      <w:r>
        <w:rPr>
          <w:b/>
          <w:i/>
        </w:rPr>
        <w:t>different</w:t>
      </w:r>
      <w:r w:rsidRPr="00796C9E">
        <w:rPr>
          <w:b/>
          <w:i/>
        </w:rPr>
        <w:t xml:space="preserve"> TTI</w:t>
      </w:r>
      <w:r>
        <w:rPr>
          <w:b/>
          <w:i/>
        </w:rPr>
        <w:t>s</w:t>
      </w:r>
      <w:r w:rsidRPr="00796C9E">
        <w:rPr>
          <w:b/>
          <w:i/>
        </w:rPr>
        <w:t xml:space="preserve"> </w:t>
      </w:r>
      <w:r>
        <w:rPr>
          <w:b/>
          <w:i/>
        </w:rPr>
        <w:t>across</w:t>
      </w:r>
      <w:r w:rsidRPr="00796C9E">
        <w:rPr>
          <w:b/>
          <w:i/>
        </w:rPr>
        <w:t xml:space="preserve"> component carriers. </w:t>
      </w:r>
    </w:p>
    <w:p w14:paraId="52364852" w14:textId="77777777" w:rsidR="00BE7DB5" w:rsidRPr="009757D3" w:rsidRDefault="00BE7DB5" w:rsidP="00BE7DB5">
      <w:pPr>
        <w:rPr>
          <w:b/>
          <w:i/>
          <w:lang w:eastAsia="zh-CN"/>
        </w:rPr>
      </w:pPr>
      <w:r w:rsidRPr="009757D3">
        <w:rPr>
          <w:b/>
          <w:i/>
          <w:lang w:eastAsia="zh-CN"/>
        </w:rPr>
        <w:t xml:space="preserve">Proposal: </w:t>
      </w:r>
      <w:r w:rsidRPr="009757D3">
        <w:rPr>
          <w:b/>
          <w:i/>
        </w:rPr>
        <w:t xml:space="preserve">Support dynamic (dynamic in both component carrier and time dimension) HARQ codebook </w:t>
      </w:r>
      <w:r w:rsidRPr="00796C9E">
        <w:rPr>
          <w:b/>
          <w:i/>
        </w:rPr>
        <w:t xml:space="preserve">for CA with </w:t>
      </w:r>
      <w:r>
        <w:rPr>
          <w:b/>
          <w:i/>
        </w:rPr>
        <w:t>different</w:t>
      </w:r>
      <w:r w:rsidRPr="00796C9E">
        <w:rPr>
          <w:b/>
          <w:i/>
        </w:rPr>
        <w:t xml:space="preserve"> TTI</w:t>
      </w:r>
      <w:r>
        <w:rPr>
          <w:b/>
          <w:i/>
        </w:rPr>
        <w:t>s</w:t>
      </w:r>
      <w:r w:rsidRPr="00796C9E">
        <w:rPr>
          <w:b/>
          <w:i/>
        </w:rPr>
        <w:t xml:space="preserve"> </w:t>
      </w:r>
      <w:r>
        <w:rPr>
          <w:b/>
          <w:i/>
        </w:rPr>
        <w:t>across component carriers</w:t>
      </w:r>
      <w:r w:rsidRPr="009757D3">
        <w:rPr>
          <w:b/>
          <w:i/>
        </w:rPr>
        <w:t>. Re-use counter/total DAI mechanism from LTE feCA.</w:t>
      </w:r>
    </w:p>
    <w:p w14:paraId="726E8B45" w14:textId="77777777" w:rsidR="00BE7DB5" w:rsidRDefault="00BE7DB5" w:rsidP="00BE7DB5">
      <w:pPr>
        <w:rPr>
          <w:b/>
          <w:i/>
          <w:lang w:val="en-GB" w:eastAsia="zh-CN"/>
        </w:rPr>
      </w:pPr>
      <w:r w:rsidRPr="00B16428">
        <w:rPr>
          <w:b/>
          <w:i/>
        </w:rPr>
        <w:t xml:space="preserve">Proposal: Support dynamic (in time dimension) HARQ codebook for non-CA case with CBG. Each entry in the HARQ codebook is a bitmap which size is given by the MIMO configuration and </w:t>
      </w:r>
      <w:r w:rsidRPr="00B16428">
        <w:rPr>
          <w:b/>
          <w:i/>
          <w:lang w:val="en-GB" w:eastAsia="zh-CN"/>
        </w:rPr>
        <w:t>the configured maximum number of CBG.</w:t>
      </w:r>
    </w:p>
    <w:p w14:paraId="4C219818" w14:textId="77777777" w:rsidR="00BE7DB5" w:rsidRDefault="00BE7DB5" w:rsidP="00BE7DB5">
      <w:pPr>
        <w:rPr>
          <w:b/>
          <w:i/>
        </w:rPr>
      </w:pPr>
      <w:r w:rsidRPr="00796C9E">
        <w:rPr>
          <w:b/>
          <w:i/>
          <w:lang w:val="en-GB" w:eastAsia="zh-CN"/>
        </w:rPr>
        <w:t xml:space="preserve">Proposal: Support fixed (fixed in component carrier dimension, dynamic in time dimension) </w:t>
      </w:r>
      <w:r w:rsidRPr="00796C9E">
        <w:rPr>
          <w:b/>
          <w:i/>
        </w:rPr>
        <w:t xml:space="preserve">HARQ codebook for CA </w:t>
      </w:r>
      <w:r>
        <w:rPr>
          <w:b/>
          <w:i/>
        </w:rPr>
        <w:t>with CBG and</w:t>
      </w:r>
      <w:r w:rsidRPr="00796C9E">
        <w:rPr>
          <w:b/>
          <w:i/>
        </w:rPr>
        <w:t xml:space="preserve"> same TTI on all component carriers. </w:t>
      </w:r>
      <w:r>
        <w:rPr>
          <w:b/>
          <w:i/>
        </w:rPr>
        <w:t>For each TTI where at least one DL assignment is detected, the HARQ codebook entry is a bitmap which size is given by the configured number of CC, configured maximum number of CBG, and MIMO configuration.</w:t>
      </w:r>
    </w:p>
    <w:p w14:paraId="2E6235EA" w14:textId="77777777" w:rsidR="00BE7DB5" w:rsidRPr="00BE7DB5" w:rsidRDefault="00BE7DB5" w:rsidP="00BE7DB5">
      <w:pPr>
        <w:adjustRightInd w:val="0"/>
        <w:snapToGrid w:val="0"/>
        <w:spacing w:line="240" w:lineRule="auto"/>
        <w:jc w:val="both"/>
        <w:rPr>
          <w:b/>
          <w:bCs/>
          <w:i/>
          <w:iCs/>
        </w:rPr>
      </w:pPr>
      <w:r w:rsidRPr="00BE7DB5">
        <w:rPr>
          <w:b/>
          <w:bCs/>
          <w:i/>
          <w:iCs/>
        </w:rPr>
        <w:t xml:space="preserve">Proposal: HARQ process IDs are shared between slot, and mini-slot as well as both transmission with grant and UL transmission without UL grant. </w:t>
      </w:r>
    </w:p>
    <w:p w14:paraId="6AB42FD5" w14:textId="63146FDC" w:rsidR="008C3408" w:rsidRDefault="00876002" w:rsidP="008C3408">
      <w:pPr>
        <w:pStyle w:val="Heading1"/>
      </w:pPr>
      <w:bookmarkStart w:id="7" w:name="_GoBack"/>
      <w:bookmarkEnd w:id="7"/>
      <w:r>
        <w:t>References</w:t>
      </w:r>
    </w:p>
    <w:p w14:paraId="192020C7" w14:textId="77777777" w:rsidR="00876002" w:rsidRDefault="00876002" w:rsidP="008C3408">
      <w:pPr>
        <w:pStyle w:val="Reference"/>
        <w:rPr>
          <w:lang w:val="en-GB" w:eastAsia="zh-CN"/>
        </w:rPr>
      </w:pPr>
      <w:bookmarkStart w:id="8" w:name="_Ref492309338"/>
      <w:r>
        <w:rPr>
          <w:lang w:val="en-GB" w:eastAsia="zh-CN"/>
        </w:rPr>
        <w:t>“RAN1 Chairman’s Notes”, 3GPP TSG RAN WG1 Meeting NR #1, January 2017.</w:t>
      </w:r>
      <w:bookmarkEnd w:id="8"/>
    </w:p>
    <w:p w14:paraId="6ADD66D9" w14:textId="0F4D075C" w:rsidR="00876002" w:rsidRPr="00876002" w:rsidRDefault="00876002" w:rsidP="008C3408">
      <w:pPr>
        <w:pStyle w:val="Reference"/>
        <w:rPr>
          <w:lang w:val="en-GB" w:eastAsia="zh-CN"/>
        </w:rPr>
      </w:pPr>
      <w:bookmarkStart w:id="9" w:name="_Ref492309327"/>
      <w:r w:rsidRPr="00876002">
        <w:rPr>
          <w:lang w:val="en-GB" w:eastAsia="zh-CN"/>
        </w:rPr>
        <w:t>“RAN1 Chairman’s Notes”, 3GPP TSG RAN WG1 Meeting #90, August 2017.</w:t>
      </w:r>
      <w:bookmarkEnd w:id="9"/>
    </w:p>
    <w:sectPr w:rsidR="00876002" w:rsidRPr="0087600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E8CC02" w14:textId="77777777" w:rsidR="00BE3924" w:rsidRDefault="00BE3924">
      <w:r>
        <w:separator/>
      </w:r>
    </w:p>
  </w:endnote>
  <w:endnote w:type="continuationSeparator" w:id="0">
    <w:p w14:paraId="1F220D22" w14:textId="77777777" w:rsidR="00BE3924" w:rsidRDefault="00BE3924">
      <w:r>
        <w:continuationSeparator/>
      </w:r>
    </w:p>
  </w:endnote>
  <w:endnote w:type="continuationNotice" w:id="1">
    <w:p w14:paraId="5D56E7F8" w14:textId="77777777" w:rsidR="00BE3924" w:rsidRDefault="00BE39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panose1 w:val="00000000000000000000"/>
    <w:charset w:val="80"/>
    <w:family w:val="roman"/>
    <w:notTrueType/>
    <w:pitch w:val="default"/>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C63B0C" w14:textId="77777777" w:rsidR="00BE3924" w:rsidRDefault="00BE3924">
      <w:r>
        <w:separator/>
      </w:r>
    </w:p>
  </w:footnote>
  <w:footnote w:type="continuationSeparator" w:id="0">
    <w:p w14:paraId="66BF7161" w14:textId="77777777" w:rsidR="00BE3924" w:rsidRDefault="00BE3924">
      <w:r>
        <w:continuationSeparator/>
      </w:r>
    </w:p>
  </w:footnote>
  <w:footnote w:type="continuationNotice" w:id="1">
    <w:p w14:paraId="575496B8" w14:textId="77777777" w:rsidR="00BE3924" w:rsidRDefault="00BE39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1070CC"/>
    <w:multiLevelType w:val="hybridMultilevel"/>
    <w:tmpl w:val="4516B90C"/>
    <w:lvl w:ilvl="0" w:tplc="7166BFE0">
      <w:start w:val="1"/>
      <w:numFmt w:val="bullet"/>
      <w:lvlText w:val="•"/>
      <w:lvlJc w:val="left"/>
      <w:pPr>
        <w:tabs>
          <w:tab w:val="num" w:pos="720"/>
        </w:tabs>
        <w:ind w:left="720" w:hanging="360"/>
      </w:pPr>
      <w:rPr>
        <w:rFonts w:ascii="Arial" w:hAnsi="Arial" w:hint="default"/>
      </w:rPr>
    </w:lvl>
    <w:lvl w:ilvl="1" w:tplc="9182BADA" w:tentative="1">
      <w:start w:val="1"/>
      <w:numFmt w:val="bullet"/>
      <w:lvlText w:val="•"/>
      <w:lvlJc w:val="left"/>
      <w:pPr>
        <w:tabs>
          <w:tab w:val="num" w:pos="1440"/>
        </w:tabs>
        <w:ind w:left="1440" w:hanging="360"/>
      </w:pPr>
      <w:rPr>
        <w:rFonts w:ascii="Arial" w:hAnsi="Arial" w:hint="default"/>
      </w:rPr>
    </w:lvl>
    <w:lvl w:ilvl="2" w:tplc="AB50A9A0" w:tentative="1">
      <w:start w:val="1"/>
      <w:numFmt w:val="bullet"/>
      <w:lvlText w:val="•"/>
      <w:lvlJc w:val="left"/>
      <w:pPr>
        <w:tabs>
          <w:tab w:val="num" w:pos="2160"/>
        </w:tabs>
        <w:ind w:left="2160" w:hanging="360"/>
      </w:pPr>
      <w:rPr>
        <w:rFonts w:ascii="Arial" w:hAnsi="Arial" w:hint="default"/>
      </w:rPr>
    </w:lvl>
    <w:lvl w:ilvl="3" w:tplc="1292DCA2" w:tentative="1">
      <w:start w:val="1"/>
      <w:numFmt w:val="bullet"/>
      <w:lvlText w:val="•"/>
      <w:lvlJc w:val="left"/>
      <w:pPr>
        <w:tabs>
          <w:tab w:val="num" w:pos="2880"/>
        </w:tabs>
        <w:ind w:left="2880" w:hanging="360"/>
      </w:pPr>
      <w:rPr>
        <w:rFonts w:ascii="Arial" w:hAnsi="Arial" w:hint="default"/>
      </w:rPr>
    </w:lvl>
    <w:lvl w:ilvl="4" w:tplc="DE5E79D0" w:tentative="1">
      <w:start w:val="1"/>
      <w:numFmt w:val="bullet"/>
      <w:lvlText w:val="•"/>
      <w:lvlJc w:val="left"/>
      <w:pPr>
        <w:tabs>
          <w:tab w:val="num" w:pos="3600"/>
        </w:tabs>
        <w:ind w:left="3600" w:hanging="360"/>
      </w:pPr>
      <w:rPr>
        <w:rFonts w:ascii="Arial" w:hAnsi="Arial" w:hint="default"/>
      </w:rPr>
    </w:lvl>
    <w:lvl w:ilvl="5" w:tplc="C6403890" w:tentative="1">
      <w:start w:val="1"/>
      <w:numFmt w:val="bullet"/>
      <w:lvlText w:val="•"/>
      <w:lvlJc w:val="left"/>
      <w:pPr>
        <w:tabs>
          <w:tab w:val="num" w:pos="4320"/>
        </w:tabs>
        <w:ind w:left="4320" w:hanging="360"/>
      </w:pPr>
      <w:rPr>
        <w:rFonts w:ascii="Arial" w:hAnsi="Arial" w:hint="default"/>
      </w:rPr>
    </w:lvl>
    <w:lvl w:ilvl="6" w:tplc="67D8315C" w:tentative="1">
      <w:start w:val="1"/>
      <w:numFmt w:val="bullet"/>
      <w:lvlText w:val="•"/>
      <w:lvlJc w:val="left"/>
      <w:pPr>
        <w:tabs>
          <w:tab w:val="num" w:pos="5040"/>
        </w:tabs>
        <w:ind w:left="5040" w:hanging="360"/>
      </w:pPr>
      <w:rPr>
        <w:rFonts w:ascii="Arial" w:hAnsi="Arial" w:hint="default"/>
      </w:rPr>
    </w:lvl>
    <w:lvl w:ilvl="7" w:tplc="0B9EF988" w:tentative="1">
      <w:start w:val="1"/>
      <w:numFmt w:val="bullet"/>
      <w:lvlText w:val="•"/>
      <w:lvlJc w:val="left"/>
      <w:pPr>
        <w:tabs>
          <w:tab w:val="num" w:pos="5760"/>
        </w:tabs>
        <w:ind w:left="5760" w:hanging="360"/>
      </w:pPr>
      <w:rPr>
        <w:rFonts w:ascii="Arial" w:hAnsi="Arial" w:hint="default"/>
      </w:rPr>
    </w:lvl>
    <w:lvl w:ilvl="8" w:tplc="A298542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5F72A1"/>
    <w:multiLevelType w:val="hybridMultilevel"/>
    <w:tmpl w:val="CA8CDED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1BC51D7B"/>
    <w:multiLevelType w:val="hybridMultilevel"/>
    <w:tmpl w:val="75B4D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E610E19"/>
    <w:multiLevelType w:val="hybridMultilevel"/>
    <w:tmpl w:val="3470FD22"/>
    <w:lvl w:ilvl="0" w:tplc="990246C8">
      <w:start w:val="1"/>
      <w:numFmt w:val="bullet"/>
      <w:lvlText w:val="•"/>
      <w:lvlJc w:val="left"/>
      <w:pPr>
        <w:tabs>
          <w:tab w:val="num" w:pos="720"/>
        </w:tabs>
        <w:ind w:left="720" w:hanging="360"/>
      </w:pPr>
      <w:rPr>
        <w:rFonts w:ascii="Arial" w:hAnsi="Arial" w:hint="default"/>
      </w:rPr>
    </w:lvl>
    <w:lvl w:ilvl="1" w:tplc="E3F27988">
      <w:numFmt w:val="bullet"/>
      <w:lvlText w:val="–"/>
      <w:lvlJc w:val="left"/>
      <w:pPr>
        <w:tabs>
          <w:tab w:val="num" w:pos="1440"/>
        </w:tabs>
        <w:ind w:left="1440" w:hanging="360"/>
      </w:pPr>
      <w:rPr>
        <w:rFonts w:ascii="Arial" w:hAnsi="Arial" w:hint="default"/>
      </w:rPr>
    </w:lvl>
    <w:lvl w:ilvl="2" w:tplc="D15A27C2">
      <w:numFmt w:val="bullet"/>
      <w:lvlText w:val="•"/>
      <w:lvlJc w:val="left"/>
      <w:pPr>
        <w:tabs>
          <w:tab w:val="num" w:pos="2160"/>
        </w:tabs>
        <w:ind w:left="2160" w:hanging="360"/>
      </w:pPr>
      <w:rPr>
        <w:rFonts w:ascii="Arial" w:hAnsi="Arial" w:hint="default"/>
      </w:rPr>
    </w:lvl>
    <w:lvl w:ilvl="3" w:tplc="8D2A26F8">
      <w:numFmt w:val="bullet"/>
      <w:lvlText w:val="–"/>
      <w:lvlJc w:val="left"/>
      <w:pPr>
        <w:tabs>
          <w:tab w:val="num" w:pos="2880"/>
        </w:tabs>
        <w:ind w:left="2880" w:hanging="360"/>
      </w:pPr>
      <w:rPr>
        <w:rFonts w:ascii="Arial" w:hAnsi="Arial" w:hint="default"/>
      </w:rPr>
    </w:lvl>
    <w:lvl w:ilvl="4" w:tplc="573CF760" w:tentative="1">
      <w:start w:val="1"/>
      <w:numFmt w:val="bullet"/>
      <w:lvlText w:val="•"/>
      <w:lvlJc w:val="left"/>
      <w:pPr>
        <w:tabs>
          <w:tab w:val="num" w:pos="3600"/>
        </w:tabs>
        <w:ind w:left="3600" w:hanging="360"/>
      </w:pPr>
      <w:rPr>
        <w:rFonts w:ascii="Arial" w:hAnsi="Arial" w:hint="default"/>
      </w:rPr>
    </w:lvl>
    <w:lvl w:ilvl="5" w:tplc="DDF81C6A" w:tentative="1">
      <w:start w:val="1"/>
      <w:numFmt w:val="bullet"/>
      <w:lvlText w:val="•"/>
      <w:lvlJc w:val="left"/>
      <w:pPr>
        <w:tabs>
          <w:tab w:val="num" w:pos="4320"/>
        </w:tabs>
        <w:ind w:left="4320" w:hanging="360"/>
      </w:pPr>
      <w:rPr>
        <w:rFonts w:ascii="Arial" w:hAnsi="Arial" w:hint="default"/>
      </w:rPr>
    </w:lvl>
    <w:lvl w:ilvl="6" w:tplc="590231FE" w:tentative="1">
      <w:start w:val="1"/>
      <w:numFmt w:val="bullet"/>
      <w:lvlText w:val="•"/>
      <w:lvlJc w:val="left"/>
      <w:pPr>
        <w:tabs>
          <w:tab w:val="num" w:pos="5040"/>
        </w:tabs>
        <w:ind w:left="5040" w:hanging="360"/>
      </w:pPr>
      <w:rPr>
        <w:rFonts w:ascii="Arial" w:hAnsi="Arial" w:hint="default"/>
      </w:rPr>
    </w:lvl>
    <w:lvl w:ilvl="7" w:tplc="3A8EE77C" w:tentative="1">
      <w:start w:val="1"/>
      <w:numFmt w:val="bullet"/>
      <w:lvlText w:val="•"/>
      <w:lvlJc w:val="left"/>
      <w:pPr>
        <w:tabs>
          <w:tab w:val="num" w:pos="5760"/>
        </w:tabs>
        <w:ind w:left="5760" w:hanging="360"/>
      </w:pPr>
      <w:rPr>
        <w:rFonts w:ascii="Arial" w:hAnsi="Arial" w:hint="default"/>
      </w:rPr>
    </w:lvl>
    <w:lvl w:ilvl="8" w:tplc="047ED7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271F72"/>
    <w:multiLevelType w:val="hybridMultilevel"/>
    <w:tmpl w:val="08F4F0DE"/>
    <w:lvl w:ilvl="0" w:tplc="341EF4EC">
      <w:start w:val="1"/>
      <w:numFmt w:val="bullet"/>
      <w:lvlText w:val="•"/>
      <w:lvlJc w:val="left"/>
      <w:pPr>
        <w:tabs>
          <w:tab w:val="num" w:pos="720"/>
        </w:tabs>
        <w:ind w:left="720" w:hanging="360"/>
      </w:pPr>
      <w:rPr>
        <w:rFonts w:ascii="Arial" w:hAnsi="Arial" w:hint="default"/>
      </w:rPr>
    </w:lvl>
    <w:lvl w:ilvl="1" w:tplc="AA840AA2">
      <w:numFmt w:val="bullet"/>
      <w:lvlText w:val="–"/>
      <w:lvlJc w:val="left"/>
      <w:pPr>
        <w:tabs>
          <w:tab w:val="num" w:pos="1440"/>
        </w:tabs>
        <w:ind w:left="1440" w:hanging="360"/>
      </w:pPr>
      <w:rPr>
        <w:rFonts w:ascii="Arial" w:hAnsi="Arial" w:hint="default"/>
      </w:rPr>
    </w:lvl>
    <w:lvl w:ilvl="2" w:tplc="52C6D9BC">
      <w:numFmt w:val="bullet"/>
      <w:lvlText w:val="•"/>
      <w:lvlJc w:val="left"/>
      <w:pPr>
        <w:tabs>
          <w:tab w:val="num" w:pos="2160"/>
        </w:tabs>
        <w:ind w:left="2160" w:hanging="360"/>
      </w:pPr>
      <w:rPr>
        <w:rFonts w:ascii="Arial" w:hAnsi="Arial" w:hint="default"/>
      </w:rPr>
    </w:lvl>
    <w:lvl w:ilvl="3" w:tplc="922291EA" w:tentative="1">
      <w:start w:val="1"/>
      <w:numFmt w:val="bullet"/>
      <w:lvlText w:val="•"/>
      <w:lvlJc w:val="left"/>
      <w:pPr>
        <w:tabs>
          <w:tab w:val="num" w:pos="2880"/>
        </w:tabs>
        <w:ind w:left="2880" w:hanging="360"/>
      </w:pPr>
      <w:rPr>
        <w:rFonts w:ascii="Arial" w:hAnsi="Arial" w:hint="default"/>
      </w:rPr>
    </w:lvl>
    <w:lvl w:ilvl="4" w:tplc="66125E7C" w:tentative="1">
      <w:start w:val="1"/>
      <w:numFmt w:val="bullet"/>
      <w:lvlText w:val="•"/>
      <w:lvlJc w:val="left"/>
      <w:pPr>
        <w:tabs>
          <w:tab w:val="num" w:pos="3600"/>
        </w:tabs>
        <w:ind w:left="3600" w:hanging="360"/>
      </w:pPr>
      <w:rPr>
        <w:rFonts w:ascii="Arial" w:hAnsi="Arial" w:hint="default"/>
      </w:rPr>
    </w:lvl>
    <w:lvl w:ilvl="5" w:tplc="2F24FDD8" w:tentative="1">
      <w:start w:val="1"/>
      <w:numFmt w:val="bullet"/>
      <w:lvlText w:val="•"/>
      <w:lvlJc w:val="left"/>
      <w:pPr>
        <w:tabs>
          <w:tab w:val="num" w:pos="4320"/>
        </w:tabs>
        <w:ind w:left="4320" w:hanging="360"/>
      </w:pPr>
      <w:rPr>
        <w:rFonts w:ascii="Arial" w:hAnsi="Arial" w:hint="default"/>
      </w:rPr>
    </w:lvl>
    <w:lvl w:ilvl="6" w:tplc="EAB84C12" w:tentative="1">
      <w:start w:val="1"/>
      <w:numFmt w:val="bullet"/>
      <w:lvlText w:val="•"/>
      <w:lvlJc w:val="left"/>
      <w:pPr>
        <w:tabs>
          <w:tab w:val="num" w:pos="5040"/>
        </w:tabs>
        <w:ind w:left="5040" w:hanging="360"/>
      </w:pPr>
      <w:rPr>
        <w:rFonts w:ascii="Arial" w:hAnsi="Arial" w:hint="default"/>
      </w:rPr>
    </w:lvl>
    <w:lvl w:ilvl="7" w:tplc="CDC0F8A2" w:tentative="1">
      <w:start w:val="1"/>
      <w:numFmt w:val="bullet"/>
      <w:lvlText w:val="•"/>
      <w:lvlJc w:val="left"/>
      <w:pPr>
        <w:tabs>
          <w:tab w:val="num" w:pos="5760"/>
        </w:tabs>
        <w:ind w:left="5760" w:hanging="360"/>
      </w:pPr>
      <w:rPr>
        <w:rFonts w:ascii="Arial" w:hAnsi="Arial" w:hint="default"/>
      </w:rPr>
    </w:lvl>
    <w:lvl w:ilvl="8" w:tplc="F7760DE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15" w15:restartNumberingAfterBreak="0">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364395"/>
    <w:multiLevelType w:val="hybridMultilevel"/>
    <w:tmpl w:val="C3D425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28B2EE3"/>
    <w:multiLevelType w:val="hybridMultilevel"/>
    <w:tmpl w:val="2618AA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5180500"/>
    <w:multiLevelType w:val="hybridMultilevel"/>
    <w:tmpl w:val="F6FA562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7D94D84"/>
    <w:multiLevelType w:val="hybridMultilevel"/>
    <w:tmpl w:val="1ADCBBB6"/>
    <w:lvl w:ilvl="0" w:tplc="E5AA61D0">
      <w:start w:val="1"/>
      <w:numFmt w:val="bullet"/>
      <w:lvlText w:val="•"/>
      <w:lvlJc w:val="left"/>
      <w:pPr>
        <w:tabs>
          <w:tab w:val="num" w:pos="720"/>
        </w:tabs>
        <w:ind w:left="720" w:hanging="360"/>
      </w:pPr>
      <w:rPr>
        <w:rFonts w:ascii="Arial" w:hAnsi="Arial" w:hint="default"/>
      </w:rPr>
    </w:lvl>
    <w:lvl w:ilvl="1" w:tplc="C9CE5C36">
      <w:start w:val="4101"/>
      <w:numFmt w:val="bullet"/>
      <w:lvlText w:val="–"/>
      <w:lvlJc w:val="left"/>
      <w:pPr>
        <w:tabs>
          <w:tab w:val="num" w:pos="1440"/>
        </w:tabs>
        <w:ind w:left="1440" w:hanging="360"/>
      </w:pPr>
      <w:rPr>
        <w:rFonts w:ascii="Arial" w:hAnsi="Arial" w:hint="default"/>
      </w:rPr>
    </w:lvl>
    <w:lvl w:ilvl="2" w:tplc="13ECA820">
      <w:start w:val="4101"/>
      <w:numFmt w:val="bullet"/>
      <w:lvlText w:val="•"/>
      <w:lvlJc w:val="left"/>
      <w:pPr>
        <w:tabs>
          <w:tab w:val="num" w:pos="2160"/>
        </w:tabs>
        <w:ind w:left="2160" w:hanging="360"/>
      </w:pPr>
      <w:rPr>
        <w:rFonts w:ascii="Arial" w:hAnsi="Arial" w:hint="default"/>
      </w:rPr>
    </w:lvl>
    <w:lvl w:ilvl="3" w:tplc="569ABAF4">
      <w:start w:val="1"/>
      <w:numFmt w:val="bullet"/>
      <w:lvlText w:val="•"/>
      <w:lvlJc w:val="left"/>
      <w:pPr>
        <w:tabs>
          <w:tab w:val="num" w:pos="2880"/>
        </w:tabs>
        <w:ind w:left="2880" w:hanging="360"/>
      </w:pPr>
      <w:rPr>
        <w:rFonts w:ascii="Arial" w:hAnsi="Arial" w:hint="default"/>
      </w:rPr>
    </w:lvl>
    <w:lvl w:ilvl="4" w:tplc="B2C82F34" w:tentative="1">
      <w:start w:val="1"/>
      <w:numFmt w:val="bullet"/>
      <w:lvlText w:val="•"/>
      <w:lvlJc w:val="left"/>
      <w:pPr>
        <w:tabs>
          <w:tab w:val="num" w:pos="3600"/>
        </w:tabs>
        <w:ind w:left="3600" w:hanging="360"/>
      </w:pPr>
      <w:rPr>
        <w:rFonts w:ascii="Arial" w:hAnsi="Arial" w:hint="default"/>
      </w:rPr>
    </w:lvl>
    <w:lvl w:ilvl="5" w:tplc="53100A54" w:tentative="1">
      <w:start w:val="1"/>
      <w:numFmt w:val="bullet"/>
      <w:lvlText w:val="•"/>
      <w:lvlJc w:val="left"/>
      <w:pPr>
        <w:tabs>
          <w:tab w:val="num" w:pos="4320"/>
        </w:tabs>
        <w:ind w:left="4320" w:hanging="360"/>
      </w:pPr>
      <w:rPr>
        <w:rFonts w:ascii="Arial" w:hAnsi="Arial" w:hint="default"/>
      </w:rPr>
    </w:lvl>
    <w:lvl w:ilvl="6" w:tplc="7228DEB0" w:tentative="1">
      <w:start w:val="1"/>
      <w:numFmt w:val="bullet"/>
      <w:lvlText w:val="•"/>
      <w:lvlJc w:val="left"/>
      <w:pPr>
        <w:tabs>
          <w:tab w:val="num" w:pos="5040"/>
        </w:tabs>
        <w:ind w:left="5040" w:hanging="360"/>
      </w:pPr>
      <w:rPr>
        <w:rFonts w:ascii="Arial" w:hAnsi="Arial" w:hint="default"/>
      </w:rPr>
    </w:lvl>
    <w:lvl w:ilvl="7" w:tplc="8C481594" w:tentative="1">
      <w:start w:val="1"/>
      <w:numFmt w:val="bullet"/>
      <w:lvlText w:val="•"/>
      <w:lvlJc w:val="left"/>
      <w:pPr>
        <w:tabs>
          <w:tab w:val="num" w:pos="5760"/>
        </w:tabs>
        <w:ind w:left="5760" w:hanging="360"/>
      </w:pPr>
      <w:rPr>
        <w:rFonts w:ascii="Arial" w:hAnsi="Arial" w:hint="default"/>
      </w:rPr>
    </w:lvl>
    <w:lvl w:ilvl="8" w:tplc="0E844EF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B3F1C44"/>
    <w:multiLevelType w:val="hybridMultilevel"/>
    <w:tmpl w:val="45D0C3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BED18BC"/>
    <w:multiLevelType w:val="multilevel"/>
    <w:tmpl w:val="32FEA0A4"/>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 w:numId="2">
    <w:abstractNumId w:val="13"/>
  </w:num>
  <w:num w:numId="3">
    <w:abstractNumId w:val="10"/>
  </w:num>
  <w:num w:numId="4">
    <w:abstractNumId w:val="11"/>
  </w:num>
  <w:num w:numId="5">
    <w:abstractNumId w:val="6"/>
  </w:num>
  <w:num w:numId="6">
    <w:abstractNumId w:val="12"/>
  </w:num>
  <w:num w:numId="7">
    <w:abstractNumId w:val="16"/>
  </w:num>
  <w:num w:numId="8">
    <w:abstractNumId w:val="7"/>
  </w:num>
  <w:num w:numId="9">
    <w:abstractNumId w:val="14"/>
  </w:num>
  <w:num w:numId="10">
    <w:abstractNumId w:val="4"/>
  </w:num>
  <w:num w:numId="11">
    <w:abstractNumId w:val="5"/>
  </w:num>
  <w:num w:numId="12">
    <w:abstractNumId w:val="8"/>
  </w:num>
  <w:num w:numId="13">
    <w:abstractNumId w:val="1"/>
  </w:num>
  <w:num w:numId="14">
    <w:abstractNumId w:val="15"/>
  </w:num>
  <w:num w:numId="15">
    <w:abstractNumId w:val="2"/>
  </w:num>
  <w:num w:numId="16">
    <w:abstractNumId w:val="21"/>
  </w:num>
  <w:num w:numId="17">
    <w:abstractNumId w:val="17"/>
  </w:num>
  <w:num w:numId="18">
    <w:abstractNumId w:val="20"/>
  </w:num>
  <w:num w:numId="19">
    <w:abstractNumId w:val="22"/>
  </w:num>
  <w:num w:numId="20">
    <w:abstractNumId w:val="18"/>
  </w:num>
  <w:num w:numId="21">
    <w:abstractNumId w:val="9"/>
  </w:num>
  <w:num w:numId="22">
    <w:abstractNumId w:val="19"/>
  </w:num>
  <w:num w:numId="23">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B28"/>
    <w:rsid w:val="00015154"/>
    <w:rsid w:val="00015D15"/>
    <w:rsid w:val="00015F6F"/>
    <w:rsid w:val="00020C8A"/>
    <w:rsid w:val="000211D9"/>
    <w:rsid w:val="00023A04"/>
    <w:rsid w:val="00024345"/>
    <w:rsid w:val="0002564D"/>
    <w:rsid w:val="00025ECA"/>
    <w:rsid w:val="0002662F"/>
    <w:rsid w:val="000266D4"/>
    <w:rsid w:val="0003178D"/>
    <w:rsid w:val="000325B8"/>
    <w:rsid w:val="00032982"/>
    <w:rsid w:val="000340C8"/>
    <w:rsid w:val="00034C15"/>
    <w:rsid w:val="00036BA1"/>
    <w:rsid w:val="000370CC"/>
    <w:rsid w:val="00041CAB"/>
    <w:rsid w:val="000422E2"/>
    <w:rsid w:val="00042F22"/>
    <w:rsid w:val="000444EF"/>
    <w:rsid w:val="00045529"/>
    <w:rsid w:val="000476CE"/>
    <w:rsid w:val="000506A7"/>
    <w:rsid w:val="00052A07"/>
    <w:rsid w:val="00053282"/>
    <w:rsid w:val="000534E3"/>
    <w:rsid w:val="0005606A"/>
    <w:rsid w:val="0005666E"/>
    <w:rsid w:val="00056D8D"/>
    <w:rsid w:val="00057117"/>
    <w:rsid w:val="000616E7"/>
    <w:rsid w:val="00062ACA"/>
    <w:rsid w:val="0006478A"/>
    <w:rsid w:val="0006487E"/>
    <w:rsid w:val="00065E1A"/>
    <w:rsid w:val="000701A6"/>
    <w:rsid w:val="00070F57"/>
    <w:rsid w:val="00071195"/>
    <w:rsid w:val="0007265B"/>
    <w:rsid w:val="00072D84"/>
    <w:rsid w:val="00076C39"/>
    <w:rsid w:val="00077E5F"/>
    <w:rsid w:val="0008036A"/>
    <w:rsid w:val="00081AE6"/>
    <w:rsid w:val="000821F8"/>
    <w:rsid w:val="0008411A"/>
    <w:rsid w:val="000855EB"/>
    <w:rsid w:val="00085B52"/>
    <w:rsid w:val="000866F2"/>
    <w:rsid w:val="00087092"/>
    <w:rsid w:val="0008736E"/>
    <w:rsid w:val="0009009F"/>
    <w:rsid w:val="0009012F"/>
    <w:rsid w:val="0009033B"/>
    <w:rsid w:val="00091557"/>
    <w:rsid w:val="000918DB"/>
    <w:rsid w:val="000924C1"/>
    <w:rsid w:val="000924F0"/>
    <w:rsid w:val="00092B4B"/>
    <w:rsid w:val="00093474"/>
    <w:rsid w:val="00094799"/>
    <w:rsid w:val="00094932"/>
    <w:rsid w:val="0009510F"/>
    <w:rsid w:val="00095DAC"/>
    <w:rsid w:val="000A006F"/>
    <w:rsid w:val="000A1B7B"/>
    <w:rsid w:val="000A2241"/>
    <w:rsid w:val="000A27B7"/>
    <w:rsid w:val="000A3EEC"/>
    <w:rsid w:val="000A3FE8"/>
    <w:rsid w:val="000A56F2"/>
    <w:rsid w:val="000A5FE5"/>
    <w:rsid w:val="000B121A"/>
    <w:rsid w:val="000B2719"/>
    <w:rsid w:val="000B36E8"/>
    <w:rsid w:val="000B3A8F"/>
    <w:rsid w:val="000B4AB9"/>
    <w:rsid w:val="000B58C3"/>
    <w:rsid w:val="000B61E9"/>
    <w:rsid w:val="000B66A8"/>
    <w:rsid w:val="000B7B33"/>
    <w:rsid w:val="000C0FBF"/>
    <w:rsid w:val="000C165A"/>
    <w:rsid w:val="000C2E19"/>
    <w:rsid w:val="000D0D07"/>
    <w:rsid w:val="000D1F37"/>
    <w:rsid w:val="000D4797"/>
    <w:rsid w:val="000D5ACE"/>
    <w:rsid w:val="000E0527"/>
    <w:rsid w:val="000E17AD"/>
    <w:rsid w:val="000E1A1F"/>
    <w:rsid w:val="000E1E92"/>
    <w:rsid w:val="000F06D6"/>
    <w:rsid w:val="000F0839"/>
    <w:rsid w:val="000F0EB1"/>
    <w:rsid w:val="000F1106"/>
    <w:rsid w:val="000F3BE9"/>
    <w:rsid w:val="000F3F6C"/>
    <w:rsid w:val="000F4CE5"/>
    <w:rsid w:val="000F6DF3"/>
    <w:rsid w:val="000F7070"/>
    <w:rsid w:val="001005FF"/>
    <w:rsid w:val="00100CAE"/>
    <w:rsid w:val="00101415"/>
    <w:rsid w:val="00103EEB"/>
    <w:rsid w:val="00105303"/>
    <w:rsid w:val="001062FB"/>
    <w:rsid w:val="001063E6"/>
    <w:rsid w:val="00106712"/>
    <w:rsid w:val="001079A6"/>
    <w:rsid w:val="00110A64"/>
    <w:rsid w:val="00110E51"/>
    <w:rsid w:val="00111DC7"/>
    <w:rsid w:val="00112AED"/>
    <w:rsid w:val="00113CF4"/>
    <w:rsid w:val="001153EA"/>
    <w:rsid w:val="001155DC"/>
    <w:rsid w:val="00115643"/>
    <w:rsid w:val="00116765"/>
    <w:rsid w:val="001219F5"/>
    <w:rsid w:val="00121A20"/>
    <w:rsid w:val="00122B87"/>
    <w:rsid w:val="00122EDF"/>
    <w:rsid w:val="0012377F"/>
    <w:rsid w:val="00124314"/>
    <w:rsid w:val="00124D89"/>
    <w:rsid w:val="00126B4A"/>
    <w:rsid w:val="00127B49"/>
    <w:rsid w:val="00131D77"/>
    <w:rsid w:val="00132FD0"/>
    <w:rsid w:val="001344C0"/>
    <w:rsid w:val="001346FA"/>
    <w:rsid w:val="00135252"/>
    <w:rsid w:val="00135CD5"/>
    <w:rsid w:val="00136F34"/>
    <w:rsid w:val="00137AB5"/>
    <w:rsid w:val="00137F0B"/>
    <w:rsid w:val="00140964"/>
    <w:rsid w:val="00142AA9"/>
    <w:rsid w:val="0014596D"/>
    <w:rsid w:val="00145CF2"/>
    <w:rsid w:val="00147B9C"/>
    <w:rsid w:val="001507D7"/>
    <w:rsid w:val="00151725"/>
    <w:rsid w:val="00151E23"/>
    <w:rsid w:val="001526E0"/>
    <w:rsid w:val="001551B5"/>
    <w:rsid w:val="00156F68"/>
    <w:rsid w:val="0016360E"/>
    <w:rsid w:val="00164D4A"/>
    <w:rsid w:val="001659C1"/>
    <w:rsid w:val="001668A6"/>
    <w:rsid w:val="00166E7F"/>
    <w:rsid w:val="00167763"/>
    <w:rsid w:val="001677C9"/>
    <w:rsid w:val="00170546"/>
    <w:rsid w:val="00170C0D"/>
    <w:rsid w:val="00173A8E"/>
    <w:rsid w:val="00174693"/>
    <w:rsid w:val="001748BD"/>
    <w:rsid w:val="00177795"/>
    <w:rsid w:val="0018129E"/>
    <w:rsid w:val="0018143F"/>
    <w:rsid w:val="00181547"/>
    <w:rsid w:val="00181E9F"/>
    <w:rsid w:val="00183D3A"/>
    <w:rsid w:val="0018412F"/>
    <w:rsid w:val="0018470E"/>
    <w:rsid w:val="0018507F"/>
    <w:rsid w:val="001854EE"/>
    <w:rsid w:val="00185502"/>
    <w:rsid w:val="00186775"/>
    <w:rsid w:val="00186C06"/>
    <w:rsid w:val="00190AC1"/>
    <w:rsid w:val="0019341A"/>
    <w:rsid w:val="001975FE"/>
    <w:rsid w:val="00197DF9"/>
    <w:rsid w:val="001A0FF8"/>
    <w:rsid w:val="001A1987"/>
    <w:rsid w:val="001A2564"/>
    <w:rsid w:val="001A319B"/>
    <w:rsid w:val="001A3BF5"/>
    <w:rsid w:val="001A6173"/>
    <w:rsid w:val="001A6CBA"/>
    <w:rsid w:val="001A7405"/>
    <w:rsid w:val="001B0552"/>
    <w:rsid w:val="001B089D"/>
    <w:rsid w:val="001B0D97"/>
    <w:rsid w:val="001B23E5"/>
    <w:rsid w:val="001B501F"/>
    <w:rsid w:val="001B5453"/>
    <w:rsid w:val="001B5A5D"/>
    <w:rsid w:val="001B69AE"/>
    <w:rsid w:val="001B700F"/>
    <w:rsid w:val="001C1CE5"/>
    <w:rsid w:val="001C2C68"/>
    <w:rsid w:val="001C3D2A"/>
    <w:rsid w:val="001C4491"/>
    <w:rsid w:val="001C6661"/>
    <w:rsid w:val="001C7626"/>
    <w:rsid w:val="001D51BA"/>
    <w:rsid w:val="001D6342"/>
    <w:rsid w:val="001D6D53"/>
    <w:rsid w:val="001E1C24"/>
    <w:rsid w:val="001E342D"/>
    <w:rsid w:val="001E58E2"/>
    <w:rsid w:val="001E6E7C"/>
    <w:rsid w:val="001E7AED"/>
    <w:rsid w:val="001F238A"/>
    <w:rsid w:val="001F344D"/>
    <w:rsid w:val="001F3916"/>
    <w:rsid w:val="001F54C5"/>
    <w:rsid w:val="001F662C"/>
    <w:rsid w:val="001F6E05"/>
    <w:rsid w:val="001F6F78"/>
    <w:rsid w:val="001F7074"/>
    <w:rsid w:val="00200490"/>
    <w:rsid w:val="00201F3A"/>
    <w:rsid w:val="00202C20"/>
    <w:rsid w:val="00203F96"/>
    <w:rsid w:val="00205E74"/>
    <w:rsid w:val="0020646B"/>
    <w:rsid w:val="002069B2"/>
    <w:rsid w:val="00206B13"/>
    <w:rsid w:val="00207FA3"/>
    <w:rsid w:val="0021008E"/>
    <w:rsid w:val="00210D30"/>
    <w:rsid w:val="002123EE"/>
    <w:rsid w:val="00214DA8"/>
    <w:rsid w:val="00215423"/>
    <w:rsid w:val="002158FA"/>
    <w:rsid w:val="00216D9B"/>
    <w:rsid w:val="00220600"/>
    <w:rsid w:val="002207B7"/>
    <w:rsid w:val="0022138B"/>
    <w:rsid w:val="002224DB"/>
    <w:rsid w:val="00223FCB"/>
    <w:rsid w:val="002252C3"/>
    <w:rsid w:val="00225C54"/>
    <w:rsid w:val="002260BE"/>
    <w:rsid w:val="00227817"/>
    <w:rsid w:val="00230765"/>
    <w:rsid w:val="002319E4"/>
    <w:rsid w:val="00231A9A"/>
    <w:rsid w:val="00232D4C"/>
    <w:rsid w:val="0023309C"/>
    <w:rsid w:val="002342CA"/>
    <w:rsid w:val="00235632"/>
    <w:rsid w:val="00235872"/>
    <w:rsid w:val="002371B0"/>
    <w:rsid w:val="00240B51"/>
    <w:rsid w:val="00241559"/>
    <w:rsid w:val="002432E4"/>
    <w:rsid w:val="002435B3"/>
    <w:rsid w:val="002453DB"/>
    <w:rsid w:val="002458EB"/>
    <w:rsid w:val="002500C8"/>
    <w:rsid w:val="00250FEA"/>
    <w:rsid w:val="002512D7"/>
    <w:rsid w:val="00255E86"/>
    <w:rsid w:val="00257543"/>
    <w:rsid w:val="002615AC"/>
    <w:rsid w:val="002617E7"/>
    <w:rsid w:val="00262C40"/>
    <w:rsid w:val="00263DC7"/>
    <w:rsid w:val="00264228"/>
    <w:rsid w:val="00264334"/>
    <w:rsid w:val="0026473E"/>
    <w:rsid w:val="002647AC"/>
    <w:rsid w:val="00264C44"/>
    <w:rsid w:val="00266214"/>
    <w:rsid w:val="0026742B"/>
    <w:rsid w:val="00267C83"/>
    <w:rsid w:val="00270CDB"/>
    <w:rsid w:val="0027144F"/>
    <w:rsid w:val="00271F3A"/>
    <w:rsid w:val="00272738"/>
    <w:rsid w:val="00273278"/>
    <w:rsid w:val="002737F4"/>
    <w:rsid w:val="0027486C"/>
    <w:rsid w:val="00276040"/>
    <w:rsid w:val="002805F5"/>
    <w:rsid w:val="00280751"/>
    <w:rsid w:val="0028280A"/>
    <w:rsid w:val="00286ACD"/>
    <w:rsid w:val="00287838"/>
    <w:rsid w:val="002901B1"/>
    <w:rsid w:val="002907B5"/>
    <w:rsid w:val="00290F51"/>
    <w:rsid w:val="00291E3A"/>
    <w:rsid w:val="00292EB7"/>
    <w:rsid w:val="002944FD"/>
    <w:rsid w:val="00296227"/>
    <w:rsid w:val="00296F44"/>
    <w:rsid w:val="0029745E"/>
    <w:rsid w:val="0029777D"/>
    <w:rsid w:val="002A055E"/>
    <w:rsid w:val="002A10CB"/>
    <w:rsid w:val="002A1895"/>
    <w:rsid w:val="002A18F5"/>
    <w:rsid w:val="002A1B09"/>
    <w:rsid w:val="002A1D4E"/>
    <w:rsid w:val="002A24B9"/>
    <w:rsid w:val="002A2869"/>
    <w:rsid w:val="002A5201"/>
    <w:rsid w:val="002B0227"/>
    <w:rsid w:val="002B0907"/>
    <w:rsid w:val="002B145E"/>
    <w:rsid w:val="002B24D6"/>
    <w:rsid w:val="002B4CE9"/>
    <w:rsid w:val="002B78E3"/>
    <w:rsid w:val="002B7B52"/>
    <w:rsid w:val="002B7EF1"/>
    <w:rsid w:val="002C1B68"/>
    <w:rsid w:val="002C26FE"/>
    <w:rsid w:val="002C41E6"/>
    <w:rsid w:val="002C6788"/>
    <w:rsid w:val="002C6DA9"/>
    <w:rsid w:val="002D071A"/>
    <w:rsid w:val="002D1464"/>
    <w:rsid w:val="002D34B2"/>
    <w:rsid w:val="002D4A15"/>
    <w:rsid w:val="002D4B64"/>
    <w:rsid w:val="002D565F"/>
    <w:rsid w:val="002D7225"/>
    <w:rsid w:val="002D7637"/>
    <w:rsid w:val="002E01DD"/>
    <w:rsid w:val="002E0AEC"/>
    <w:rsid w:val="002E0CF4"/>
    <w:rsid w:val="002E17F2"/>
    <w:rsid w:val="002E3F9B"/>
    <w:rsid w:val="002E6D28"/>
    <w:rsid w:val="002E6DDB"/>
    <w:rsid w:val="002E7CAE"/>
    <w:rsid w:val="002F0213"/>
    <w:rsid w:val="002F05A6"/>
    <w:rsid w:val="002F2771"/>
    <w:rsid w:val="002F37A9"/>
    <w:rsid w:val="002F3F68"/>
    <w:rsid w:val="002F49B2"/>
    <w:rsid w:val="002F57B3"/>
    <w:rsid w:val="002F5BBD"/>
    <w:rsid w:val="002F5D16"/>
    <w:rsid w:val="002F6109"/>
    <w:rsid w:val="002F70F2"/>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158C5"/>
    <w:rsid w:val="0031643E"/>
    <w:rsid w:val="0031745B"/>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4460"/>
    <w:rsid w:val="00355F21"/>
    <w:rsid w:val="00357380"/>
    <w:rsid w:val="003602D9"/>
    <w:rsid w:val="003604CE"/>
    <w:rsid w:val="003609A4"/>
    <w:rsid w:val="0036201D"/>
    <w:rsid w:val="003639EA"/>
    <w:rsid w:val="00365F79"/>
    <w:rsid w:val="00370E47"/>
    <w:rsid w:val="003742AC"/>
    <w:rsid w:val="0037574C"/>
    <w:rsid w:val="003766F3"/>
    <w:rsid w:val="00377CE1"/>
    <w:rsid w:val="00385190"/>
    <w:rsid w:val="003858E9"/>
    <w:rsid w:val="00385BF0"/>
    <w:rsid w:val="003866F1"/>
    <w:rsid w:val="0038707C"/>
    <w:rsid w:val="003939FF"/>
    <w:rsid w:val="0039565F"/>
    <w:rsid w:val="003964D9"/>
    <w:rsid w:val="003972B2"/>
    <w:rsid w:val="003A0931"/>
    <w:rsid w:val="003A1059"/>
    <w:rsid w:val="003A1EC8"/>
    <w:rsid w:val="003A2223"/>
    <w:rsid w:val="003A2A0F"/>
    <w:rsid w:val="003A3F21"/>
    <w:rsid w:val="003A45A1"/>
    <w:rsid w:val="003A596A"/>
    <w:rsid w:val="003A5B0A"/>
    <w:rsid w:val="003A5C65"/>
    <w:rsid w:val="003A5E71"/>
    <w:rsid w:val="003A6BAC"/>
    <w:rsid w:val="003A7BB9"/>
    <w:rsid w:val="003A7EF3"/>
    <w:rsid w:val="003B13F1"/>
    <w:rsid w:val="003B159C"/>
    <w:rsid w:val="003B34DC"/>
    <w:rsid w:val="003B369F"/>
    <w:rsid w:val="003B36A3"/>
    <w:rsid w:val="003B4E27"/>
    <w:rsid w:val="003B7FE5"/>
    <w:rsid w:val="003C11C8"/>
    <w:rsid w:val="003C2702"/>
    <w:rsid w:val="003C3524"/>
    <w:rsid w:val="003C39E5"/>
    <w:rsid w:val="003C7806"/>
    <w:rsid w:val="003D0CD4"/>
    <w:rsid w:val="003D109F"/>
    <w:rsid w:val="003D1D01"/>
    <w:rsid w:val="003D2478"/>
    <w:rsid w:val="003D3C45"/>
    <w:rsid w:val="003D5B1F"/>
    <w:rsid w:val="003E058F"/>
    <w:rsid w:val="003E092E"/>
    <w:rsid w:val="003E15FA"/>
    <w:rsid w:val="003E1E1D"/>
    <w:rsid w:val="003E25DB"/>
    <w:rsid w:val="003E55E4"/>
    <w:rsid w:val="003E5F40"/>
    <w:rsid w:val="003E6625"/>
    <w:rsid w:val="003E74E3"/>
    <w:rsid w:val="003F05C7"/>
    <w:rsid w:val="003F26FA"/>
    <w:rsid w:val="003F2CD4"/>
    <w:rsid w:val="003F6BBE"/>
    <w:rsid w:val="003F6CC6"/>
    <w:rsid w:val="004000E8"/>
    <w:rsid w:val="00402E2B"/>
    <w:rsid w:val="00403C51"/>
    <w:rsid w:val="0040512B"/>
    <w:rsid w:val="00405CA5"/>
    <w:rsid w:val="00406BE5"/>
    <w:rsid w:val="00407CD3"/>
    <w:rsid w:val="00410134"/>
    <w:rsid w:val="00410B72"/>
    <w:rsid w:val="00410F18"/>
    <w:rsid w:val="0041263E"/>
    <w:rsid w:val="00413AAC"/>
    <w:rsid w:val="00417B2F"/>
    <w:rsid w:val="00421105"/>
    <w:rsid w:val="00421CDA"/>
    <w:rsid w:val="0042370F"/>
    <w:rsid w:val="00424107"/>
    <w:rsid w:val="004242F4"/>
    <w:rsid w:val="004248B0"/>
    <w:rsid w:val="00425746"/>
    <w:rsid w:val="00427248"/>
    <w:rsid w:val="00427D26"/>
    <w:rsid w:val="004314DE"/>
    <w:rsid w:val="00432938"/>
    <w:rsid w:val="0043595A"/>
    <w:rsid w:val="0043738B"/>
    <w:rsid w:val="00437447"/>
    <w:rsid w:val="00441A92"/>
    <w:rsid w:val="00444F56"/>
    <w:rsid w:val="00446488"/>
    <w:rsid w:val="00447DDB"/>
    <w:rsid w:val="004516A6"/>
    <w:rsid w:val="004517AA"/>
    <w:rsid w:val="00452B53"/>
    <w:rsid w:val="00452CAC"/>
    <w:rsid w:val="00457565"/>
    <w:rsid w:val="00457B71"/>
    <w:rsid w:val="00461377"/>
    <w:rsid w:val="00466356"/>
    <w:rsid w:val="004669E2"/>
    <w:rsid w:val="00470C31"/>
    <w:rsid w:val="0047298C"/>
    <w:rsid w:val="004734D0"/>
    <w:rsid w:val="0047447B"/>
    <w:rsid w:val="00474CE8"/>
    <w:rsid w:val="0047556B"/>
    <w:rsid w:val="00476E0E"/>
    <w:rsid w:val="00477768"/>
    <w:rsid w:val="00484085"/>
    <w:rsid w:val="00484FD1"/>
    <w:rsid w:val="004903E5"/>
    <w:rsid w:val="00492BC5"/>
    <w:rsid w:val="0049619C"/>
    <w:rsid w:val="004964F1"/>
    <w:rsid w:val="004A163A"/>
    <w:rsid w:val="004A16BC"/>
    <w:rsid w:val="004A1A15"/>
    <w:rsid w:val="004A2B94"/>
    <w:rsid w:val="004B6991"/>
    <w:rsid w:val="004B7C0C"/>
    <w:rsid w:val="004C3898"/>
    <w:rsid w:val="004C4D69"/>
    <w:rsid w:val="004C6818"/>
    <w:rsid w:val="004D2A07"/>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67"/>
    <w:rsid w:val="004F29AE"/>
    <w:rsid w:val="004F4DA3"/>
    <w:rsid w:val="00500B4A"/>
    <w:rsid w:val="005011E7"/>
    <w:rsid w:val="00501BB9"/>
    <w:rsid w:val="0050591F"/>
    <w:rsid w:val="00506557"/>
    <w:rsid w:val="0050677A"/>
    <w:rsid w:val="005104C2"/>
    <w:rsid w:val="005108D8"/>
    <w:rsid w:val="005116F9"/>
    <w:rsid w:val="00513DE3"/>
    <w:rsid w:val="0051458F"/>
    <w:rsid w:val="005153A7"/>
    <w:rsid w:val="005171F9"/>
    <w:rsid w:val="005216B7"/>
    <w:rsid w:val="005219CF"/>
    <w:rsid w:val="00533C5F"/>
    <w:rsid w:val="00534B59"/>
    <w:rsid w:val="0053671B"/>
    <w:rsid w:val="00536759"/>
    <w:rsid w:val="00536F42"/>
    <w:rsid w:val="00537C62"/>
    <w:rsid w:val="00543986"/>
    <w:rsid w:val="00544D5B"/>
    <w:rsid w:val="00545895"/>
    <w:rsid w:val="005458CD"/>
    <w:rsid w:val="00545E72"/>
    <w:rsid w:val="005460DC"/>
    <w:rsid w:val="00546468"/>
    <w:rsid w:val="00546970"/>
    <w:rsid w:val="00546C74"/>
    <w:rsid w:val="00552B4A"/>
    <w:rsid w:val="00554E19"/>
    <w:rsid w:val="00555435"/>
    <w:rsid w:val="00557D7C"/>
    <w:rsid w:val="0056121F"/>
    <w:rsid w:val="00562566"/>
    <w:rsid w:val="0056281D"/>
    <w:rsid w:val="0056318C"/>
    <w:rsid w:val="00566E2B"/>
    <w:rsid w:val="0057036A"/>
    <w:rsid w:val="00572505"/>
    <w:rsid w:val="00575E73"/>
    <w:rsid w:val="00582809"/>
    <w:rsid w:val="005832F6"/>
    <w:rsid w:val="00585D35"/>
    <w:rsid w:val="0058798C"/>
    <w:rsid w:val="005900FA"/>
    <w:rsid w:val="005935A4"/>
    <w:rsid w:val="00594166"/>
    <w:rsid w:val="00594551"/>
    <w:rsid w:val="005948C2"/>
    <w:rsid w:val="005952B2"/>
    <w:rsid w:val="00595DCA"/>
    <w:rsid w:val="00595EC8"/>
    <w:rsid w:val="0059779B"/>
    <w:rsid w:val="005A0A5B"/>
    <w:rsid w:val="005A209A"/>
    <w:rsid w:val="005A453E"/>
    <w:rsid w:val="005A61E5"/>
    <w:rsid w:val="005A662D"/>
    <w:rsid w:val="005B0059"/>
    <w:rsid w:val="005B35D7"/>
    <w:rsid w:val="005B392A"/>
    <w:rsid w:val="005B3AA3"/>
    <w:rsid w:val="005B3F59"/>
    <w:rsid w:val="005B6F83"/>
    <w:rsid w:val="005B7E60"/>
    <w:rsid w:val="005C0B51"/>
    <w:rsid w:val="005C0C58"/>
    <w:rsid w:val="005C74FB"/>
    <w:rsid w:val="005D1602"/>
    <w:rsid w:val="005D22E6"/>
    <w:rsid w:val="005E0761"/>
    <w:rsid w:val="005E0F14"/>
    <w:rsid w:val="005E1A85"/>
    <w:rsid w:val="005E3240"/>
    <w:rsid w:val="005E385F"/>
    <w:rsid w:val="005E3FC3"/>
    <w:rsid w:val="005E5469"/>
    <w:rsid w:val="005E5B81"/>
    <w:rsid w:val="005F02B5"/>
    <w:rsid w:val="005F0D0E"/>
    <w:rsid w:val="005F10E8"/>
    <w:rsid w:val="005F1E91"/>
    <w:rsid w:val="005F2CB1"/>
    <w:rsid w:val="005F3025"/>
    <w:rsid w:val="005F618C"/>
    <w:rsid w:val="005F70BD"/>
    <w:rsid w:val="005F70DE"/>
    <w:rsid w:val="0060283C"/>
    <w:rsid w:val="00604F14"/>
    <w:rsid w:val="00611B83"/>
    <w:rsid w:val="00613257"/>
    <w:rsid w:val="0061380C"/>
    <w:rsid w:val="00615AEA"/>
    <w:rsid w:val="00617C2C"/>
    <w:rsid w:val="00617E44"/>
    <w:rsid w:val="00620A71"/>
    <w:rsid w:val="00620D80"/>
    <w:rsid w:val="00621B29"/>
    <w:rsid w:val="006234A6"/>
    <w:rsid w:val="0062409B"/>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739"/>
    <w:rsid w:val="0064396A"/>
    <w:rsid w:val="0064624E"/>
    <w:rsid w:val="00650AB9"/>
    <w:rsid w:val="00652612"/>
    <w:rsid w:val="00652923"/>
    <w:rsid w:val="00655733"/>
    <w:rsid w:val="00655ACD"/>
    <w:rsid w:val="006561F5"/>
    <w:rsid w:val="00656734"/>
    <w:rsid w:val="00656A92"/>
    <w:rsid w:val="00656DDE"/>
    <w:rsid w:val="00660020"/>
    <w:rsid w:val="0066011D"/>
    <w:rsid w:val="006607C0"/>
    <w:rsid w:val="006613A6"/>
    <w:rsid w:val="006620A7"/>
    <w:rsid w:val="006627A2"/>
    <w:rsid w:val="00662A10"/>
    <w:rsid w:val="00662E0C"/>
    <w:rsid w:val="006634E6"/>
    <w:rsid w:val="00664ECB"/>
    <w:rsid w:val="006655EE"/>
    <w:rsid w:val="00667EE7"/>
    <w:rsid w:val="00670922"/>
    <w:rsid w:val="00670BE1"/>
    <w:rsid w:val="006720B3"/>
    <w:rsid w:val="0067218F"/>
    <w:rsid w:val="00672E80"/>
    <w:rsid w:val="006741F2"/>
    <w:rsid w:val="00674CC3"/>
    <w:rsid w:val="00675B5F"/>
    <w:rsid w:val="00675C72"/>
    <w:rsid w:val="00676D03"/>
    <w:rsid w:val="006771F9"/>
    <w:rsid w:val="006776D7"/>
    <w:rsid w:val="00681003"/>
    <w:rsid w:val="006817C9"/>
    <w:rsid w:val="00681A58"/>
    <w:rsid w:val="00683ECE"/>
    <w:rsid w:val="00685147"/>
    <w:rsid w:val="006876D5"/>
    <w:rsid w:val="00690926"/>
    <w:rsid w:val="006912D2"/>
    <w:rsid w:val="00691E97"/>
    <w:rsid w:val="00695FC2"/>
    <w:rsid w:val="00696949"/>
    <w:rsid w:val="00697052"/>
    <w:rsid w:val="0069729E"/>
    <w:rsid w:val="006A152C"/>
    <w:rsid w:val="006A1C7C"/>
    <w:rsid w:val="006A46FB"/>
    <w:rsid w:val="006A5717"/>
    <w:rsid w:val="006A5E28"/>
    <w:rsid w:val="006A697B"/>
    <w:rsid w:val="006A7AFF"/>
    <w:rsid w:val="006B1816"/>
    <w:rsid w:val="006B2099"/>
    <w:rsid w:val="006B32FA"/>
    <w:rsid w:val="006B4B81"/>
    <w:rsid w:val="006B50CF"/>
    <w:rsid w:val="006B5BE6"/>
    <w:rsid w:val="006B6278"/>
    <w:rsid w:val="006B6CE6"/>
    <w:rsid w:val="006C03B8"/>
    <w:rsid w:val="006C3409"/>
    <w:rsid w:val="006C4C7C"/>
    <w:rsid w:val="006C5761"/>
    <w:rsid w:val="006C5EC9"/>
    <w:rsid w:val="006C6059"/>
    <w:rsid w:val="006C7522"/>
    <w:rsid w:val="006D08AD"/>
    <w:rsid w:val="006D158E"/>
    <w:rsid w:val="006D1623"/>
    <w:rsid w:val="006D20E1"/>
    <w:rsid w:val="006D2139"/>
    <w:rsid w:val="006D2CB6"/>
    <w:rsid w:val="006D4414"/>
    <w:rsid w:val="006D52E4"/>
    <w:rsid w:val="006D5CEE"/>
    <w:rsid w:val="006D6F08"/>
    <w:rsid w:val="006D6F3D"/>
    <w:rsid w:val="006E0140"/>
    <w:rsid w:val="006E062C"/>
    <w:rsid w:val="006E0D0D"/>
    <w:rsid w:val="006E23B5"/>
    <w:rsid w:val="006E28B7"/>
    <w:rsid w:val="006E3310"/>
    <w:rsid w:val="006E3F07"/>
    <w:rsid w:val="006E4E39"/>
    <w:rsid w:val="006E4EF7"/>
    <w:rsid w:val="006E565E"/>
    <w:rsid w:val="006E6348"/>
    <w:rsid w:val="006E673D"/>
    <w:rsid w:val="006E7D3B"/>
    <w:rsid w:val="006F03E4"/>
    <w:rsid w:val="006F14F2"/>
    <w:rsid w:val="006F1B70"/>
    <w:rsid w:val="006F341D"/>
    <w:rsid w:val="006F3CDE"/>
    <w:rsid w:val="006F58D4"/>
    <w:rsid w:val="006F642D"/>
    <w:rsid w:val="007032BF"/>
    <w:rsid w:val="0070346E"/>
    <w:rsid w:val="00703C66"/>
    <w:rsid w:val="00704EDB"/>
    <w:rsid w:val="00706101"/>
    <w:rsid w:val="0070655A"/>
    <w:rsid w:val="00707072"/>
    <w:rsid w:val="00707D61"/>
    <w:rsid w:val="00711B0A"/>
    <w:rsid w:val="00712287"/>
    <w:rsid w:val="00712772"/>
    <w:rsid w:val="007148D3"/>
    <w:rsid w:val="0071565A"/>
    <w:rsid w:val="00715B9A"/>
    <w:rsid w:val="007168FD"/>
    <w:rsid w:val="00716F2B"/>
    <w:rsid w:val="007204B6"/>
    <w:rsid w:val="00720D98"/>
    <w:rsid w:val="00722CB0"/>
    <w:rsid w:val="00726EA6"/>
    <w:rsid w:val="00727208"/>
    <w:rsid w:val="00727680"/>
    <w:rsid w:val="00730A5D"/>
    <w:rsid w:val="00733A19"/>
    <w:rsid w:val="007348B1"/>
    <w:rsid w:val="007362A6"/>
    <w:rsid w:val="007369A2"/>
    <w:rsid w:val="00736D7D"/>
    <w:rsid w:val="00740E58"/>
    <w:rsid w:val="00742371"/>
    <w:rsid w:val="00742DA4"/>
    <w:rsid w:val="007445A0"/>
    <w:rsid w:val="0074524B"/>
    <w:rsid w:val="0074716A"/>
    <w:rsid w:val="007471F4"/>
    <w:rsid w:val="00747D8B"/>
    <w:rsid w:val="00750455"/>
    <w:rsid w:val="00750E8F"/>
    <w:rsid w:val="00751228"/>
    <w:rsid w:val="007522DF"/>
    <w:rsid w:val="00753ABE"/>
    <w:rsid w:val="00753C5D"/>
    <w:rsid w:val="007557B4"/>
    <w:rsid w:val="007571E1"/>
    <w:rsid w:val="007604B2"/>
    <w:rsid w:val="0076267E"/>
    <w:rsid w:val="00763252"/>
    <w:rsid w:val="00763DD2"/>
    <w:rsid w:val="00765281"/>
    <w:rsid w:val="00765502"/>
    <w:rsid w:val="00766BAD"/>
    <w:rsid w:val="007679E2"/>
    <w:rsid w:val="007705B8"/>
    <w:rsid w:val="007730BD"/>
    <w:rsid w:val="007755F2"/>
    <w:rsid w:val="0077585D"/>
    <w:rsid w:val="0077643B"/>
    <w:rsid w:val="00776971"/>
    <w:rsid w:val="00777130"/>
    <w:rsid w:val="0078097F"/>
    <w:rsid w:val="0078177E"/>
    <w:rsid w:val="00782461"/>
    <w:rsid w:val="0078304C"/>
    <w:rsid w:val="00783673"/>
    <w:rsid w:val="00784FC6"/>
    <w:rsid w:val="00785490"/>
    <w:rsid w:val="0079075E"/>
    <w:rsid w:val="00791306"/>
    <w:rsid w:val="00791F34"/>
    <w:rsid w:val="007925EA"/>
    <w:rsid w:val="00793CD8"/>
    <w:rsid w:val="00794B2E"/>
    <w:rsid w:val="00795C92"/>
    <w:rsid w:val="00796231"/>
    <w:rsid w:val="00796C9E"/>
    <w:rsid w:val="00797D7F"/>
    <w:rsid w:val="007A1CB3"/>
    <w:rsid w:val="007A306F"/>
    <w:rsid w:val="007A43A6"/>
    <w:rsid w:val="007A512C"/>
    <w:rsid w:val="007A545E"/>
    <w:rsid w:val="007A58A6"/>
    <w:rsid w:val="007A7157"/>
    <w:rsid w:val="007B0111"/>
    <w:rsid w:val="007B1B75"/>
    <w:rsid w:val="007B3D2D"/>
    <w:rsid w:val="007B50AE"/>
    <w:rsid w:val="007B51DF"/>
    <w:rsid w:val="007B5283"/>
    <w:rsid w:val="007B61F5"/>
    <w:rsid w:val="007B6CF1"/>
    <w:rsid w:val="007B71A3"/>
    <w:rsid w:val="007C05DD"/>
    <w:rsid w:val="007C3D18"/>
    <w:rsid w:val="007C60BF"/>
    <w:rsid w:val="007C6A07"/>
    <w:rsid w:val="007C75A1"/>
    <w:rsid w:val="007C77A5"/>
    <w:rsid w:val="007D0083"/>
    <w:rsid w:val="007D04E5"/>
    <w:rsid w:val="007D1185"/>
    <w:rsid w:val="007D304B"/>
    <w:rsid w:val="007D386C"/>
    <w:rsid w:val="007D497F"/>
    <w:rsid w:val="007D5506"/>
    <w:rsid w:val="007D5901"/>
    <w:rsid w:val="007D7526"/>
    <w:rsid w:val="007E1602"/>
    <w:rsid w:val="007E4610"/>
    <w:rsid w:val="007E4715"/>
    <w:rsid w:val="007E505B"/>
    <w:rsid w:val="007E7091"/>
    <w:rsid w:val="007F09D8"/>
    <w:rsid w:val="007F09F7"/>
    <w:rsid w:val="007F286B"/>
    <w:rsid w:val="007F57D3"/>
    <w:rsid w:val="00800020"/>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B60"/>
    <w:rsid w:val="00827D6F"/>
    <w:rsid w:val="00830A27"/>
    <w:rsid w:val="008318CE"/>
    <w:rsid w:val="00834F76"/>
    <w:rsid w:val="00836B3D"/>
    <w:rsid w:val="008376AC"/>
    <w:rsid w:val="00840358"/>
    <w:rsid w:val="0084127B"/>
    <w:rsid w:val="00843378"/>
    <w:rsid w:val="0084390D"/>
    <w:rsid w:val="008444E8"/>
    <w:rsid w:val="00844E80"/>
    <w:rsid w:val="008457DE"/>
    <w:rsid w:val="00846FE7"/>
    <w:rsid w:val="00850D82"/>
    <w:rsid w:val="0085128C"/>
    <w:rsid w:val="00851771"/>
    <w:rsid w:val="008526EF"/>
    <w:rsid w:val="00852D00"/>
    <w:rsid w:val="0085562C"/>
    <w:rsid w:val="00856911"/>
    <w:rsid w:val="00860091"/>
    <w:rsid w:val="00860E7F"/>
    <w:rsid w:val="00860F1D"/>
    <w:rsid w:val="0086172A"/>
    <w:rsid w:val="008632AD"/>
    <w:rsid w:val="008641A8"/>
    <w:rsid w:val="00864766"/>
    <w:rsid w:val="008648B3"/>
    <w:rsid w:val="008649AD"/>
    <w:rsid w:val="00866538"/>
    <w:rsid w:val="008677FD"/>
    <w:rsid w:val="008706D4"/>
    <w:rsid w:val="00870F8A"/>
    <w:rsid w:val="008719A4"/>
    <w:rsid w:val="00871D23"/>
    <w:rsid w:val="008723DE"/>
    <w:rsid w:val="00873E24"/>
    <w:rsid w:val="00874312"/>
    <w:rsid w:val="0087437C"/>
    <w:rsid w:val="00875CD7"/>
    <w:rsid w:val="00876002"/>
    <w:rsid w:val="00876B4D"/>
    <w:rsid w:val="00877F18"/>
    <w:rsid w:val="00883405"/>
    <w:rsid w:val="008903FE"/>
    <w:rsid w:val="00894A88"/>
    <w:rsid w:val="00894D03"/>
    <w:rsid w:val="00895386"/>
    <w:rsid w:val="00895561"/>
    <w:rsid w:val="00895AD9"/>
    <w:rsid w:val="008967DC"/>
    <w:rsid w:val="00897C22"/>
    <w:rsid w:val="008A21FF"/>
    <w:rsid w:val="008A28AC"/>
    <w:rsid w:val="008A2CE2"/>
    <w:rsid w:val="008A30AC"/>
    <w:rsid w:val="008A3F2A"/>
    <w:rsid w:val="008A44B8"/>
    <w:rsid w:val="008A51A8"/>
    <w:rsid w:val="008A54C7"/>
    <w:rsid w:val="008A77D8"/>
    <w:rsid w:val="008A7A95"/>
    <w:rsid w:val="008B0483"/>
    <w:rsid w:val="008B120C"/>
    <w:rsid w:val="008B168C"/>
    <w:rsid w:val="008B16A8"/>
    <w:rsid w:val="008B3562"/>
    <w:rsid w:val="008B51A0"/>
    <w:rsid w:val="008B592A"/>
    <w:rsid w:val="008B65BC"/>
    <w:rsid w:val="008B73A9"/>
    <w:rsid w:val="008B7B5C"/>
    <w:rsid w:val="008C0C99"/>
    <w:rsid w:val="008C2017"/>
    <w:rsid w:val="008C26B4"/>
    <w:rsid w:val="008C3408"/>
    <w:rsid w:val="008C48E6"/>
    <w:rsid w:val="008C4958"/>
    <w:rsid w:val="008C4BAA"/>
    <w:rsid w:val="008C5A7F"/>
    <w:rsid w:val="008C6AE8"/>
    <w:rsid w:val="008C7573"/>
    <w:rsid w:val="008D1A14"/>
    <w:rsid w:val="008D1E5D"/>
    <w:rsid w:val="008D34F1"/>
    <w:rsid w:val="008D39D8"/>
    <w:rsid w:val="008D6D1A"/>
    <w:rsid w:val="008E065E"/>
    <w:rsid w:val="008E0927"/>
    <w:rsid w:val="008E1909"/>
    <w:rsid w:val="008E5110"/>
    <w:rsid w:val="008F1EAB"/>
    <w:rsid w:val="008F33DC"/>
    <w:rsid w:val="008F477F"/>
    <w:rsid w:val="008F4E55"/>
    <w:rsid w:val="00902350"/>
    <w:rsid w:val="009032DD"/>
    <w:rsid w:val="0090336B"/>
    <w:rsid w:val="00903554"/>
    <w:rsid w:val="00903B34"/>
    <w:rsid w:val="009053AA"/>
    <w:rsid w:val="00906939"/>
    <w:rsid w:val="00907D51"/>
    <w:rsid w:val="00910B7D"/>
    <w:rsid w:val="00911DFB"/>
    <w:rsid w:val="00912C6A"/>
    <w:rsid w:val="009139D9"/>
    <w:rsid w:val="00914AD8"/>
    <w:rsid w:val="009157FD"/>
    <w:rsid w:val="00916079"/>
    <w:rsid w:val="00917194"/>
    <w:rsid w:val="00917CE9"/>
    <w:rsid w:val="00920BF2"/>
    <w:rsid w:val="00922010"/>
    <w:rsid w:val="00924943"/>
    <w:rsid w:val="00930D49"/>
    <w:rsid w:val="00931BD9"/>
    <w:rsid w:val="009346C2"/>
    <w:rsid w:val="009368F3"/>
    <w:rsid w:val="009413F8"/>
    <w:rsid w:val="009414E8"/>
    <w:rsid w:val="00941636"/>
    <w:rsid w:val="00942756"/>
    <w:rsid w:val="00943742"/>
    <w:rsid w:val="00943F21"/>
    <w:rsid w:val="00945C05"/>
    <w:rsid w:val="009468C8"/>
    <w:rsid w:val="00946945"/>
    <w:rsid w:val="00947713"/>
    <w:rsid w:val="00950DE7"/>
    <w:rsid w:val="009525B1"/>
    <w:rsid w:val="00953920"/>
    <w:rsid w:val="00953D47"/>
    <w:rsid w:val="00954FEF"/>
    <w:rsid w:val="0095681E"/>
    <w:rsid w:val="009572D4"/>
    <w:rsid w:val="009579E2"/>
    <w:rsid w:val="00960017"/>
    <w:rsid w:val="009618B2"/>
    <w:rsid w:val="00961921"/>
    <w:rsid w:val="00962CA5"/>
    <w:rsid w:val="0096430A"/>
    <w:rsid w:val="0096518D"/>
    <w:rsid w:val="0096554B"/>
    <w:rsid w:val="0096584A"/>
    <w:rsid w:val="009670B2"/>
    <w:rsid w:val="009675F4"/>
    <w:rsid w:val="00970D83"/>
    <w:rsid w:val="00971F08"/>
    <w:rsid w:val="00972D12"/>
    <w:rsid w:val="00974A1C"/>
    <w:rsid w:val="00974AB9"/>
    <w:rsid w:val="009757D3"/>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2D06"/>
    <w:rsid w:val="00994DCA"/>
    <w:rsid w:val="00995A19"/>
    <w:rsid w:val="009960EC"/>
    <w:rsid w:val="00996B7F"/>
    <w:rsid w:val="009970DD"/>
    <w:rsid w:val="009A0FBA"/>
    <w:rsid w:val="009A1601"/>
    <w:rsid w:val="009A462D"/>
    <w:rsid w:val="009A5835"/>
    <w:rsid w:val="009A5CBA"/>
    <w:rsid w:val="009B1F30"/>
    <w:rsid w:val="009B3409"/>
    <w:rsid w:val="009B3AC2"/>
    <w:rsid w:val="009B4DF4"/>
    <w:rsid w:val="009B4FF0"/>
    <w:rsid w:val="009B564E"/>
    <w:rsid w:val="009B7E87"/>
    <w:rsid w:val="009C11C1"/>
    <w:rsid w:val="009C2D17"/>
    <w:rsid w:val="009C3017"/>
    <w:rsid w:val="009C403E"/>
    <w:rsid w:val="009C5D6A"/>
    <w:rsid w:val="009D2E98"/>
    <w:rsid w:val="009D3D14"/>
    <w:rsid w:val="009D4FF0"/>
    <w:rsid w:val="009D60A6"/>
    <w:rsid w:val="009D6B9B"/>
    <w:rsid w:val="009D6F94"/>
    <w:rsid w:val="009D703C"/>
    <w:rsid w:val="009D718F"/>
    <w:rsid w:val="009E068F"/>
    <w:rsid w:val="009E14E0"/>
    <w:rsid w:val="009E1BA8"/>
    <w:rsid w:val="009E35DB"/>
    <w:rsid w:val="009E47A3"/>
    <w:rsid w:val="009E6849"/>
    <w:rsid w:val="009F08F3"/>
    <w:rsid w:val="009F18A9"/>
    <w:rsid w:val="009F344F"/>
    <w:rsid w:val="00A02E75"/>
    <w:rsid w:val="00A048A8"/>
    <w:rsid w:val="00A04F49"/>
    <w:rsid w:val="00A069B7"/>
    <w:rsid w:val="00A06F52"/>
    <w:rsid w:val="00A06F75"/>
    <w:rsid w:val="00A13E54"/>
    <w:rsid w:val="00A15A57"/>
    <w:rsid w:val="00A17F63"/>
    <w:rsid w:val="00A207DD"/>
    <w:rsid w:val="00A20BBC"/>
    <w:rsid w:val="00A2193B"/>
    <w:rsid w:val="00A220BC"/>
    <w:rsid w:val="00A2351A"/>
    <w:rsid w:val="00A243AC"/>
    <w:rsid w:val="00A25FF3"/>
    <w:rsid w:val="00A264A9"/>
    <w:rsid w:val="00A275C6"/>
    <w:rsid w:val="00A27785"/>
    <w:rsid w:val="00A30187"/>
    <w:rsid w:val="00A3146F"/>
    <w:rsid w:val="00A314B8"/>
    <w:rsid w:val="00A3170D"/>
    <w:rsid w:val="00A3352C"/>
    <w:rsid w:val="00A3448A"/>
    <w:rsid w:val="00A36297"/>
    <w:rsid w:val="00A40019"/>
    <w:rsid w:val="00A40234"/>
    <w:rsid w:val="00A41B97"/>
    <w:rsid w:val="00A41E2B"/>
    <w:rsid w:val="00A45B74"/>
    <w:rsid w:val="00A46896"/>
    <w:rsid w:val="00A470CF"/>
    <w:rsid w:val="00A52E1D"/>
    <w:rsid w:val="00A54210"/>
    <w:rsid w:val="00A54B08"/>
    <w:rsid w:val="00A551A4"/>
    <w:rsid w:val="00A570F2"/>
    <w:rsid w:val="00A5758B"/>
    <w:rsid w:val="00A61499"/>
    <w:rsid w:val="00A62A77"/>
    <w:rsid w:val="00A63483"/>
    <w:rsid w:val="00A653DB"/>
    <w:rsid w:val="00A657D7"/>
    <w:rsid w:val="00A660AC"/>
    <w:rsid w:val="00A67E6C"/>
    <w:rsid w:val="00A71B99"/>
    <w:rsid w:val="00A724C3"/>
    <w:rsid w:val="00A7315F"/>
    <w:rsid w:val="00A739D0"/>
    <w:rsid w:val="00A761D4"/>
    <w:rsid w:val="00A77441"/>
    <w:rsid w:val="00A77EC4"/>
    <w:rsid w:val="00A8033B"/>
    <w:rsid w:val="00A80920"/>
    <w:rsid w:val="00A916A7"/>
    <w:rsid w:val="00A92879"/>
    <w:rsid w:val="00A9367F"/>
    <w:rsid w:val="00A93F55"/>
    <w:rsid w:val="00A93FC2"/>
    <w:rsid w:val="00A9442A"/>
    <w:rsid w:val="00A94AD8"/>
    <w:rsid w:val="00A95CF5"/>
    <w:rsid w:val="00A967B9"/>
    <w:rsid w:val="00AA016F"/>
    <w:rsid w:val="00AA1ED6"/>
    <w:rsid w:val="00AA3BFA"/>
    <w:rsid w:val="00AA4801"/>
    <w:rsid w:val="00AA51D6"/>
    <w:rsid w:val="00AB0BC8"/>
    <w:rsid w:val="00AB11CA"/>
    <w:rsid w:val="00AB14D9"/>
    <w:rsid w:val="00AB1598"/>
    <w:rsid w:val="00AB1BD9"/>
    <w:rsid w:val="00AB4AB8"/>
    <w:rsid w:val="00AB655E"/>
    <w:rsid w:val="00AB78B5"/>
    <w:rsid w:val="00AC007F"/>
    <w:rsid w:val="00AC0E50"/>
    <w:rsid w:val="00AC2ECD"/>
    <w:rsid w:val="00AC3119"/>
    <w:rsid w:val="00AC49FB"/>
    <w:rsid w:val="00AC4B2B"/>
    <w:rsid w:val="00AC4DFF"/>
    <w:rsid w:val="00AC5A10"/>
    <w:rsid w:val="00AD0AA3"/>
    <w:rsid w:val="00AD2D64"/>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514"/>
    <w:rsid w:val="00AF1C5D"/>
    <w:rsid w:val="00AF42D7"/>
    <w:rsid w:val="00B006FE"/>
    <w:rsid w:val="00B007CB"/>
    <w:rsid w:val="00B02AA9"/>
    <w:rsid w:val="00B02FA3"/>
    <w:rsid w:val="00B05084"/>
    <w:rsid w:val="00B05920"/>
    <w:rsid w:val="00B067AE"/>
    <w:rsid w:val="00B07227"/>
    <w:rsid w:val="00B10020"/>
    <w:rsid w:val="00B119E8"/>
    <w:rsid w:val="00B131CE"/>
    <w:rsid w:val="00B1337F"/>
    <w:rsid w:val="00B13F98"/>
    <w:rsid w:val="00B157F9"/>
    <w:rsid w:val="00B160F5"/>
    <w:rsid w:val="00B16428"/>
    <w:rsid w:val="00B20256"/>
    <w:rsid w:val="00B20D09"/>
    <w:rsid w:val="00B250EA"/>
    <w:rsid w:val="00B2763F"/>
    <w:rsid w:val="00B27AAC"/>
    <w:rsid w:val="00B30929"/>
    <w:rsid w:val="00B322A9"/>
    <w:rsid w:val="00B3245E"/>
    <w:rsid w:val="00B35B1C"/>
    <w:rsid w:val="00B36A91"/>
    <w:rsid w:val="00B372AA"/>
    <w:rsid w:val="00B40445"/>
    <w:rsid w:val="00B4086D"/>
    <w:rsid w:val="00B41888"/>
    <w:rsid w:val="00B4408D"/>
    <w:rsid w:val="00B45A52"/>
    <w:rsid w:val="00B45E5C"/>
    <w:rsid w:val="00B46175"/>
    <w:rsid w:val="00B47E43"/>
    <w:rsid w:val="00B5198C"/>
    <w:rsid w:val="00B52376"/>
    <w:rsid w:val="00B52EA8"/>
    <w:rsid w:val="00B5335A"/>
    <w:rsid w:val="00B5723B"/>
    <w:rsid w:val="00B5724B"/>
    <w:rsid w:val="00B60EF1"/>
    <w:rsid w:val="00B6188F"/>
    <w:rsid w:val="00B64E41"/>
    <w:rsid w:val="00B664C7"/>
    <w:rsid w:val="00B66CEC"/>
    <w:rsid w:val="00B719C2"/>
    <w:rsid w:val="00B736AF"/>
    <w:rsid w:val="00B739F6"/>
    <w:rsid w:val="00B74A88"/>
    <w:rsid w:val="00B81687"/>
    <w:rsid w:val="00B81A6C"/>
    <w:rsid w:val="00B81BE4"/>
    <w:rsid w:val="00B81D3A"/>
    <w:rsid w:val="00B842A0"/>
    <w:rsid w:val="00B85DE5"/>
    <w:rsid w:val="00B90F73"/>
    <w:rsid w:val="00B9371D"/>
    <w:rsid w:val="00B93B59"/>
    <w:rsid w:val="00B9406A"/>
    <w:rsid w:val="00B9570E"/>
    <w:rsid w:val="00B95B33"/>
    <w:rsid w:val="00BA01B1"/>
    <w:rsid w:val="00BA2280"/>
    <w:rsid w:val="00BA2A08"/>
    <w:rsid w:val="00BA56D2"/>
    <w:rsid w:val="00BA62FA"/>
    <w:rsid w:val="00BA6C49"/>
    <w:rsid w:val="00BA76E0"/>
    <w:rsid w:val="00BB0976"/>
    <w:rsid w:val="00BB16B5"/>
    <w:rsid w:val="00BB207A"/>
    <w:rsid w:val="00BB2A25"/>
    <w:rsid w:val="00BB51E9"/>
    <w:rsid w:val="00BB5C77"/>
    <w:rsid w:val="00BB6592"/>
    <w:rsid w:val="00BB6E0C"/>
    <w:rsid w:val="00BC0C27"/>
    <w:rsid w:val="00BC0FDC"/>
    <w:rsid w:val="00BC3053"/>
    <w:rsid w:val="00BC4BEA"/>
    <w:rsid w:val="00BC4D2E"/>
    <w:rsid w:val="00BC5E44"/>
    <w:rsid w:val="00BC7064"/>
    <w:rsid w:val="00BD13F2"/>
    <w:rsid w:val="00BD227E"/>
    <w:rsid w:val="00BD351C"/>
    <w:rsid w:val="00BD48AC"/>
    <w:rsid w:val="00BD53A6"/>
    <w:rsid w:val="00BD5C65"/>
    <w:rsid w:val="00BD5F1A"/>
    <w:rsid w:val="00BD762E"/>
    <w:rsid w:val="00BE1234"/>
    <w:rsid w:val="00BE17CD"/>
    <w:rsid w:val="00BE2FA6"/>
    <w:rsid w:val="00BE333F"/>
    <w:rsid w:val="00BE3924"/>
    <w:rsid w:val="00BE7406"/>
    <w:rsid w:val="00BE7603"/>
    <w:rsid w:val="00BE7DB5"/>
    <w:rsid w:val="00BF3279"/>
    <w:rsid w:val="00BF3D22"/>
    <w:rsid w:val="00BF4143"/>
    <w:rsid w:val="00BF5237"/>
    <w:rsid w:val="00BF74C7"/>
    <w:rsid w:val="00C01293"/>
    <w:rsid w:val="00C015F1"/>
    <w:rsid w:val="00C01F33"/>
    <w:rsid w:val="00C02CC6"/>
    <w:rsid w:val="00C040F7"/>
    <w:rsid w:val="00C041B0"/>
    <w:rsid w:val="00C044AB"/>
    <w:rsid w:val="00C04F0A"/>
    <w:rsid w:val="00C054F7"/>
    <w:rsid w:val="00C05706"/>
    <w:rsid w:val="00C05726"/>
    <w:rsid w:val="00C07377"/>
    <w:rsid w:val="00C07E87"/>
    <w:rsid w:val="00C10478"/>
    <w:rsid w:val="00C1093B"/>
    <w:rsid w:val="00C12107"/>
    <w:rsid w:val="00C14D4B"/>
    <w:rsid w:val="00C154BB"/>
    <w:rsid w:val="00C16147"/>
    <w:rsid w:val="00C20166"/>
    <w:rsid w:val="00C21EE9"/>
    <w:rsid w:val="00C231D0"/>
    <w:rsid w:val="00C244FD"/>
    <w:rsid w:val="00C25F2F"/>
    <w:rsid w:val="00C27565"/>
    <w:rsid w:val="00C27624"/>
    <w:rsid w:val="00C279B5"/>
    <w:rsid w:val="00C27C45"/>
    <w:rsid w:val="00C3719D"/>
    <w:rsid w:val="00C44578"/>
    <w:rsid w:val="00C5028B"/>
    <w:rsid w:val="00C52D9B"/>
    <w:rsid w:val="00C54995"/>
    <w:rsid w:val="00C54D41"/>
    <w:rsid w:val="00C57B03"/>
    <w:rsid w:val="00C60783"/>
    <w:rsid w:val="00C64672"/>
    <w:rsid w:val="00C6602E"/>
    <w:rsid w:val="00C66FD4"/>
    <w:rsid w:val="00C704D9"/>
    <w:rsid w:val="00C70697"/>
    <w:rsid w:val="00C72EF4"/>
    <w:rsid w:val="00C75D2F"/>
    <w:rsid w:val="00C767BE"/>
    <w:rsid w:val="00C76E3C"/>
    <w:rsid w:val="00C77721"/>
    <w:rsid w:val="00C7775C"/>
    <w:rsid w:val="00C80444"/>
    <w:rsid w:val="00C80973"/>
    <w:rsid w:val="00C81568"/>
    <w:rsid w:val="00C829AD"/>
    <w:rsid w:val="00C9027A"/>
    <w:rsid w:val="00C9068E"/>
    <w:rsid w:val="00C93C4B"/>
    <w:rsid w:val="00C944AB"/>
    <w:rsid w:val="00C95B40"/>
    <w:rsid w:val="00CA1B65"/>
    <w:rsid w:val="00CA1ED8"/>
    <w:rsid w:val="00CA2D38"/>
    <w:rsid w:val="00CA2FB1"/>
    <w:rsid w:val="00CA424B"/>
    <w:rsid w:val="00CA4F77"/>
    <w:rsid w:val="00CA5B83"/>
    <w:rsid w:val="00CB1BFB"/>
    <w:rsid w:val="00CB1F63"/>
    <w:rsid w:val="00CB456D"/>
    <w:rsid w:val="00CB462A"/>
    <w:rsid w:val="00CB4675"/>
    <w:rsid w:val="00CB4793"/>
    <w:rsid w:val="00CB6DFE"/>
    <w:rsid w:val="00CB7170"/>
    <w:rsid w:val="00CC040E"/>
    <w:rsid w:val="00CC111F"/>
    <w:rsid w:val="00CC2011"/>
    <w:rsid w:val="00CC3DA8"/>
    <w:rsid w:val="00CC3EA0"/>
    <w:rsid w:val="00CC5691"/>
    <w:rsid w:val="00CC6F59"/>
    <w:rsid w:val="00CC6FEF"/>
    <w:rsid w:val="00CC7B45"/>
    <w:rsid w:val="00CD1188"/>
    <w:rsid w:val="00CD2ED1"/>
    <w:rsid w:val="00CD30D5"/>
    <w:rsid w:val="00CD337B"/>
    <w:rsid w:val="00CD4BD7"/>
    <w:rsid w:val="00CD582F"/>
    <w:rsid w:val="00CD60E3"/>
    <w:rsid w:val="00CD676E"/>
    <w:rsid w:val="00CD7A35"/>
    <w:rsid w:val="00CE0424"/>
    <w:rsid w:val="00CE1295"/>
    <w:rsid w:val="00CE227E"/>
    <w:rsid w:val="00CE2C58"/>
    <w:rsid w:val="00CE36CF"/>
    <w:rsid w:val="00CE657E"/>
    <w:rsid w:val="00CE6967"/>
    <w:rsid w:val="00CE7561"/>
    <w:rsid w:val="00CE7B38"/>
    <w:rsid w:val="00CF010C"/>
    <w:rsid w:val="00CF1354"/>
    <w:rsid w:val="00CF1E0D"/>
    <w:rsid w:val="00CF3493"/>
    <w:rsid w:val="00CF3B1F"/>
    <w:rsid w:val="00CF3BF6"/>
    <w:rsid w:val="00CF476F"/>
    <w:rsid w:val="00CF625B"/>
    <w:rsid w:val="00CF687E"/>
    <w:rsid w:val="00D00035"/>
    <w:rsid w:val="00D030AB"/>
    <w:rsid w:val="00D033AF"/>
    <w:rsid w:val="00D0344F"/>
    <w:rsid w:val="00D0349B"/>
    <w:rsid w:val="00D05E1C"/>
    <w:rsid w:val="00D0776E"/>
    <w:rsid w:val="00D10249"/>
    <w:rsid w:val="00D115C3"/>
    <w:rsid w:val="00D11897"/>
    <w:rsid w:val="00D13135"/>
    <w:rsid w:val="00D13E4E"/>
    <w:rsid w:val="00D15170"/>
    <w:rsid w:val="00D1644A"/>
    <w:rsid w:val="00D17D6A"/>
    <w:rsid w:val="00D20472"/>
    <w:rsid w:val="00D2323C"/>
    <w:rsid w:val="00D239A7"/>
    <w:rsid w:val="00D23F47"/>
    <w:rsid w:val="00D2450E"/>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46FF"/>
    <w:rsid w:val="00D55AD5"/>
    <w:rsid w:val="00D576CA"/>
    <w:rsid w:val="00D61AF5"/>
    <w:rsid w:val="00D61F8F"/>
    <w:rsid w:val="00D622F8"/>
    <w:rsid w:val="00D64104"/>
    <w:rsid w:val="00D644C1"/>
    <w:rsid w:val="00D64519"/>
    <w:rsid w:val="00D652B5"/>
    <w:rsid w:val="00D65797"/>
    <w:rsid w:val="00D66155"/>
    <w:rsid w:val="00D708B0"/>
    <w:rsid w:val="00D71D2F"/>
    <w:rsid w:val="00D7207E"/>
    <w:rsid w:val="00D76A8B"/>
    <w:rsid w:val="00D77211"/>
    <w:rsid w:val="00D77B1D"/>
    <w:rsid w:val="00D8021F"/>
    <w:rsid w:val="00D80383"/>
    <w:rsid w:val="00D81081"/>
    <w:rsid w:val="00D823C6"/>
    <w:rsid w:val="00D85F48"/>
    <w:rsid w:val="00D86CA3"/>
    <w:rsid w:val="00D871CE"/>
    <w:rsid w:val="00D9196D"/>
    <w:rsid w:val="00D92982"/>
    <w:rsid w:val="00DA305E"/>
    <w:rsid w:val="00DA43D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4E79"/>
    <w:rsid w:val="00DD55B9"/>
    <w:rsid w:val="00DD5680"/>
    <w:rsid w:val="00DD6CB5"/>
    <w:rsid w:val="00DE306E"/>
    <w:rsid w:val="00DE5608"/>
    <w:rsid w:val="00DE58D0"/>
    <w:rsid w:val="00DE654F"/>
    <w:rsid w:val="00DF011A"/>
    <w:rsid w:val="00DF0447"/>
    <w:rsid w:val="00DF0B6E"/>
    <w:rsid w:val="00DF15E0"/>
    <w:rsid w:val="00DF1CE4"/>
    <w:rsid w:val="00DF31B7"/>
    <w:rsid w:val="00DF37A0"/>
    <w:rsid w:val="00DF4917"/>
    <w:rsid w:val="00DF5998"/>
    <w:rsid w:val="00E01EF3"/>
    <w:rsid w:val="00E110E7"/>
    <w:rsid w:val="00E11A7C"/>
    <w:rsid w:val="00E11B20"/>
    <w:rsid w:val="00E17984"/>
    <w:rsid w:val="00E17FA2"/>
    <w:rsid w:val="00E20741"/>
    <w:rsid w:val="00E211A4"/>
    <w:rsid w:val="00E21714"/>
    <w:rsid w:val="00E22330"/>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4E5D"/>
    <w:rsid w:val="00E45919"/>
    <w:rsid w:val="00E466DA"/>
    <w:rsid w:val="00E46886"/>
    <w:rsid w:val="00E46F51"/>
    <w:rsid w:val="00E47AEF"/>
    <w:rsid w:val="00E52716"/>
    <w:rsid w:val="00E53B75"/>
    <w:rsid w:val="00E54E3B"/>
    <w:rsid w:val="00E55DFA"/>
    <w:rsid w:val="00E57565"/>
    <w:rsid w:val="00E606D4"/>
    <w:rsid w:val="00E62CF0"/>
    <w:rsid w:val="00E63838"/>
    <w:rsid w:val="00E64434"/>
    <w:rsid w:val="00E665C4"/>
    <w:rsid w:val="00E67C51"/>
    <w:rsid w:val="00E700FB"/>
    <w:rsid w:val="00E71CF8"/>
    <w:rsid w:val="00E71E34"/>
    <w:rsid w:val="00E72EFC"/>
    <w:rsid w:val="00E758EC"/>
    <w:rsid w:val="00E76E18"/>
    <w:rsid w:val="00E80385"/>
    <w:rsid w:val="00E81674"/>
    <w:rsid w:val="00E81C64"/>
    <w:rsid w:val="00E8234C"/>
    <w:rsid w:val="00E8262B"/>
    <w:rsid w:val="00E82C4D"/>
    <w:rsid w:val="00E83AA9"/>
    <w:rsid w:val="00E85928"/>
    <w:rsid w:val="00E87822"/>
    <w:rsid w:val="00E90395"/>
    <w:rsid w:val="00E90E49"/>
    <w:rsid w:val="00E917F9"/>
    <w:rsid w:val="00E9291C"/>
    <w:rsid w:val="00E93FFE"/>
    <w:rsid w:val="00E94F8A"/>
    <w:rsid w:val="00EA2530"/>
    <w:rsid w:val="00EA41B8"/>
    <w:rsid w:val="00EA43F7"/>
    <w:rsid w:val="00EA4A9E"/>
    <w:rsid w:val="00EA7A41"/>
    <w:rsid w:val="00EA7CE5"/>
    <w:rsid w:val="00EB077B"/>
    <w:rsid w:val="00EB3AF5"/>
    <w:rsid w:val="00EB4EA2"/>
    <w:rsid w:val="00EB4ED2"/>
    <w:rsid w:val="00EB5722"/>
    <w:rsid w:val="00EB6CA0"/>
    <w:rsid w:val="00EC24C5"/>
    <w:rsid w:val="00EC27C6"/>
    <w:rsid w:val="00EC2FDD"/>
    <w:rsid w:val="00EC4207"/>
    <w:rsid w:val="00EC5653"/>
    <w:rsid w:val="00EC7041"/>
    <w:rsid w:val="00EC71CE"/>
    <w:rsid w:val="00EC78F2"/>
    <w:rsid w:val="00EC7D11"/>
    <w:rsid w:val="00ED1006"/>
    <w:rsid w:val="00ED23E2"/>
    <w:rsid w:val="00ED3BA3"/>
    <w:rsid w:val="00ED4531"/>
    <w:rsid w:val="00EE3A7B"/>
    <w:rsid w:val="00EE4928"/>
    <w:rsid w:val="00EE6210"/>
    <w:rsid w:val="00EE66C7"/>
    <w:rsid w:val="00EE7DBF"/>
    <w:rsid w:val="00EF0684"/>
    <w:rsid w:val="00EF18FE"/>
    <w:rsid w:val="00EF191A"/>
    <w:rsid w:val="00EF1EA9"/>
    <w:rsid w:val="00EF5787"/>
    <w:rsid w:val="00EF5838"/>
    <w:rsid w:val="00EF59D2"/>
    <w:rsid w:val="00EF60D0"/>
    <w:rsid w:val="00EF7623"/>
    <w:rsid w:val="00F02322"/>
    <w:rsid w:val="00F02DB2"/>
    <w:rsid w:val="00F02EAC"/>
    <w:rsid w:val="00F0320F"/>
    <w:rsid w:val="00F03A3B"/>
    <w:rsid w:val="00F03D6C"/>
    <w:rsid w:val="00F0528D"/>
    <w:rsid w:val="00F06C67"/>
    <w:rsid w:val="00F06DFD"/>
    <w:rsid w:val="00F071D1"/>
    <w:rsid w:val="00F07533"/>
    <w:rsid w:val="00F078E5"/>
    <w:rsid w:val="00F10629"/>
    <w:rsid w:val="00F1318F"/>
    <w:rsid w:val="00F15FA5"/>
    <w:rsid w:val="00F209B7"/>
    <w:rsid w:val="00F2376F"/>
    <w:rsid w:val="00F23E57"/>
    <w:rsid w:val="00F243D8"/>
    <w:rsid w:val="00F30828"/>
    <w:rsid w:val="00F313D6"/>
    <w:rsid w:val="00F32B3E"/>
    <w:rsid w:val="00F337F9"/>
    <w:rsid w:val="00F40F0C"/>
    <w:rsid w:val="00F44643"/>
    <w:rsid w:val="00F465F6"/>
    <w:rsid w:val="00F4766C"/>
    <w:rsid w:val="00F507D1"/>
    <w:rsid w:val="00F519CE"/>
    <w:rsid w:val="00F51ADA"/>
    <w:rsid w:val="00F56BBD"/>
    <w:rsid w:val="00F577DD"/>
    <w:rsid w:val="00F607C5"/>
    <w:rsid w:val="00F60DEA"/>
    <w:rsid w:val="00F61CF3"/>
    <w:rsid w:val="00F6302A"/>
    <w:rsid w:val="00F63775"/>
    <w:rsid w:val="00F64C2B"/>
    <w:rsid w:val="00F651BE"/>
    <w:rsid w:val="00F66EB7"/>
    <w:rsid w:val="00F67F53"/>
    <w:rsid w:val="00F703BE"/>
    <w:rsid w:val="00F71F69"/>
    <w:rsid w:val="00F72B72"/>
    <w:rsid w:val="00F72F59"/>
    <w:rsid w:val="00F74BB9"/>
    <w:rsid w:val="00F75582"/>
    <w:rsid w:val="00F76CA5"/>
    <w:rsid w:val="00F76EFA"/>
    <w:rsid w:val="00F77783"/>
    <w:rsid w:val="00F804BE"/>
    <w:rsid w:val="00F80C72"/>
    <w:rsid w:val="00F817CE"/>
    <w:rsid w:val="00F81EE0"/>
    <w:rsid w:val="00F82AC9"/>
    <w:rsid w:val="00F82C86"/>
    <w:rsid w:val="00F84440"/>
    <w:rsid w:val="00F8456C"/>
    <w:rsid w:val="00F859D8"/>
    <w:rsid w:val="00F868F5"/>
    <w:rsid w:val="00F9056A"/>
    <w:rsid w:val="00F90F8D"/>
    <w:rsid w:val="00F92782"/>
    <w:rsid w:val="00F93AA9"/>
    <w:rsid w:val="00F96985"/>
    <w:rsid w:val="00F97838"/>
    <w:rsid w:val="00FA2BB3"/>
    <w:rsid w:val="00FA46B8"/>
    <w:rsid w:val="00FA5448"/>
    <w:rsid w:val="00FA6F0B"/>
    <w:rsid w:val="00FA7657"/>
    <w:rsid w:val="00FB00EE"/>
    <w:rsid w:val="00FB0938"/>
    <w:rsid w:val="00FB40B5"/>
    <w:rsid w:val="00FB4C80"/>
    <w:rsid w:val="00FB5C1B"/>
    <w:rsid w:val="00FB6A6A"/>
    <w:rsid w:val="00FC7429"/>
    <w:rsid w:val="00FD0620"/>
    <w:rsid w:val="00FD07F6"/>
    <w:rsid w:val="00FD1EC8"/>
    <w:rsid w:val="00FD2256"/>
    <w:rsid w:val="00FD47ED"/>
    <w:rsid w:val="00FD5DD1"/>
    <w:rsid w:val="00FD74DB"/>
    <w:rsid w:val="00FD7660"/>
    <w:rsid w:val="00FE0278"/>
    <w:rsid w:val="00FE0393"/>
    <w:rsid w:val="00FE0655"/>
    <w:rsid w:val="00FE142B"/>
    <w:rsid w:val="00FE1D5E"/>
    <w:rsid w:val="00FE2365"/>
    <w:rsid w:val="00FE4C7B"/>
    <w:rsid w:val="00FE6989"/>
    <w:rsid w:val="00FE7336"/>
    <w:rsid w:val="00FE787C"/>
    <w:rsid w:val="00FF0FF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94551"/>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5945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4551"/>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hAnsi="Times New Roman"/>
      <w:sz w:val="22"/>
      <w:szCs w:val="22"/>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
    <w:basedOn w:val="Normal"/>
    <w:link w:val="ListParagraphChar"/>
    <w:uiPriority w:val="34"/>
    <w:qFormat/>
    <w:rsid w:val="000211D9"/>
    <w:pPr>
      <w:spacing w:after="0"/>
      <w:ind w:left="720"/>
    </w:pPr>
    <w:rPr>
      <w:rFonts w:ascii="Calibri" w:hAnsi="Calibri"/>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styleId="PlaceholderText">
    <w:name w:val="Placeholder Text"/>
    <w:basedOn w:val="DefaultParagraphFont"/>
    <w:uiPriority w:val="99"/>
    <w:semiHidden/>
    <w:rsid w:val="00C054F7"/>
    <w:rPr>
      <w:color w:val="808080"/>
    </w:rPr>
  </w:style>
  <w:style w:type="character" w:customStyle="1" w:styleId="ListParagraphChar">
    <w:name w:val="List Paragraph Char"/>
    <w:aliases w:val="- Bullets Char"/>
    <w:link w:val="ListParagraph"/>
    <w:uiPriority w:val="34"/>
    <w:qFormat/>
    <w:rsid w:val="00513DE3"/>
    <w:rPr>
      <w:rFonts w:ascii="Calibri" w:hAnsi="Calibr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677268454">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D3A50-3715-4974-9418-AF8EB4F22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3727</Words>
  <Characters>21244</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2017-09-01T11:45:00Z</dcterms:created>
  <dcterms:modified xsi:type="dcterms:W3CDTF">2017-10-02T21:25:00Z</dcterms:modified>
</cp:coreProperties>
</file>