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CD4522" w14:textId="18EFA6B1" w:rsidR="00F577AA" w:rsidRPr="00DA12F7" w:rsidRDefault="00F577AA" w:rsidP="00F577AA">
      <w:pPr>
        <w:tabs>
          <w:tab w:val="right" w:pos="9630"/>
        </w:tabs>
        <w:spacing w:after="0"/>
      </w:pPr>
      <w:bookmarkStart w:id="0" w:name="Source"/>
      <w:bookmarkEnd w:id="0"/>
      <w:r>
        <w:rPr>
          <w:rFonts w:ascii="Arial" w:hAnsi="Arial" w:cs="Arial"/>
          <w:b/>
          <w:sz w:val="24"/>
        </w:rPr>
        <w:t xml:space="preserve">3GPP TSG RAN WG1 </w:t>
      </w:r>
      <w:r w:rsidR="00747A6D">
        <w:rPr>
          <w:rFonts w:ascii="Arial" w:hAnsi="Arial" w:cs="Arial"/>
          <w:b/>
          <w:sz w:val="24"/>
        </w:rPr>
        <w:t>Meeting #90bis</w:t>
      </w:r>
      <w:r w:rsidRPr="00DA12F7">
        <w:rPr>
          <w:rFonts w:ascii="Arial" w:hAnsi="Arial" w:cs="Arial"/>
          <w:b/>
          <w:sz w:val="24"/>
        </w:rPr>
        <w:tab/>
        <w:t>R1-</w:t>
      </w:r>
      <w:r>
        <w:rPr>
          <w:rFonts w:ascii="Arial" w:hAnsi="Arial" w:cs="Arial"/>
          <w:b/>
          <w:sz w:val="24"/>
        </w:rPr>
        <w:t>171</w:t>
      </w:r>
      <w:r w:rsidR="009339F6">
        <w:rPr>
          <w:rFonts w:ascii="Arial" w:hAnsi="Arial" w:cs="Arial"/>
          <w:b/>
          <w:sz w:val="24"/>
        </w:rPr>
        <w:t>8568</w:t>
      </w:r>
    </w:p>
    <w:p w14:paraId="48E20D88" w14:textId="7C0531C8" w:rsidR="00F577AA" w:rsidRPr="00DA12F7" w:rsidRDefault="00F14E1F" w:rsidP="00F577AA">
      <w:pPr>
        <w:tabs>
          <w:tab w:val="right" w:pos="9630"/>
        </w:tabs>
        <w:spacing w:after="0"/>
        <w:rPr>
          <w:rFonts w:ascii="Arial" w:hAnsi="Arial" w:cs="Arial"/>
          <w:b/>
          <w:sz w:val="24"/>
          <w:szCs w:val="24"/>
        </w:rPr>
      </w:pPr>
      <w:r>
        <w:rPr>
          <w:rFonts w:ascii="Arial" w:hAnsi="Arial" w:cs="Arial"/>
          <w:b/>
          <w:sz w:val="24"/>
          <w:szCs w:val="24"/>
        </w:rPr>
        <w:t xml:space="preserve">Oct </w:t>
      </w:r>
      <w:r w:rsidR="00747A6D">
        <w:rPr>
          <w:rFonts w:ascii="Arial" w:hAnsi="Arial" w:cs="Arial"/>
          <w:b/>
          <w:sz w:val="24"/>
          <w:szCs w:val="24"/>
        </w:rPr>
        <w:t>9</w:t>
      </w:r>
      <w:r w:rsidR="00F577AA" w:rsidRPr="006D1460">
        <w:rPr>
          <w:rFonts w:ascii="Arial" w:hAnsi="Arial" w:cs="Arial"/>
          <w:b/>
          <w:sz w:val="24"/>
          <w:szCs w:val="24"/>
          <w:vertAlign w:val="superscript"/>
        </w:rPr>
        <w:t>th</w:t>
      </w:r>
      <w:r w:rsidR="00F577AA">
        <w:rPr>
          <w:rFonts w:ascii="Arial" w:hAnsi="Arial" w:cs="Arial"/>
          <w:b/>
          <w:sz w:val="24"/>
          <w:szCs w:val="24"/>
        </w:rPr>
        <w:t xml:space="preserve"> – </w:t>
      </w:r>
      <w:r>
        <w:rPr>
          <w:rFonts w:ascii="Arial" w:hAnsi="Arial" w:cs="Arial"/>
          <w:b/>
          <w:sz w:val="24"/>
          <w:szCs w:val="24"/>
        </w:rPr>
        <w:t>Oct</w:t>
      </w:r>
      <w:r w:rsidR="00F577AA">
        <w:rPr>
          <w:rFonts w:ascii="Arial" w:hAnsi="Arial" w:cs="Arial"/>
          <w:b/>
          <w:sz w:val="24"/>
          <w:szCs w:val="24"/>
        </w:rPr>
        <w:t xml:space="preserve"> </w:t>
      </w:r>
      <w:r w:rsidR="00747A6D">
        <w:rPr>
          <w:rFonts w:ascii="Arial" w:hAnsi="Arial" w:cs="Arial"/>
          <w:b/>
          <w:sz w:val="24"/>
          <w:szCs w:val="24"/>
        </w:rPr>
        <w:t>13</w:t>
      </w:r>
      <w:r w:rsidR="00747A6D">
        <w:rPr>
          <w:rFonts w:ascii="Arial" w:hAnsi="Arial" w:cs="Arial"/>
          <w:b/>
          <w:sz w:val="24"/>
          <w:szCs w:val="24"/>
          <w:vertAlign w:val="superscript"/>
        </w:rPr>
        <w:t>th</w:t>
      </w:r>
      <w:r w:rsidR="00F577AA" w:rsidRPr="00DA12F7">
        <w:rPr>
          <w:rFonts w:ascii="Arial" w:hAnsi="Arial" w:cs="Arial"/>
          <w:b/>
          <w:sz w:val="24"/>
          <w:szCs w:val="24"/>
        </w:rPr>
        <w:t>, 201</w:t>
      </w:r>
      <w:r w:rsidR="00F577AA">
        <w:rPr>
          <w:rFonts w:ascii="Arial" w:hAnsi="Arial" w:cs="Arial"/>
          <w:b/>
          <w:sz w:val="24"/>
          <w:szCs w:val="24"/>
        </w:rPr>
        <w:t>7</w:t>
      </w:r>
    </w:p>
    <w:p w14:paraId="232DEEA1" w14:textId="6B784CF1" w:rsidR="00F577AA" w:rsidRPr="00A27BBB" w:rsidRDefault="00747A6D" w:rsidP="00F577AA">
      <w:pPr>
        <w:rPr>
          <w:rFonts w:ascii="Arial" w:hAnsi="Arial" w:cs="Arial"/>
          <w:b/>
          <w:sz w:val="24"/>
          <w:szCs w:val="24"/>
        </w:rPr>
      </w:pPr>
      <w:r>
        <w:rPr>
          <w:rFonts w:ascii="Arial" w:hAnsi="Arial" w:cs="Arial"/>
          <w:b/>
          <w:sz w:val="24"/>
          <w:szCs w:val="24"/>
        </w:rPr>
        <w:t>Prague</w:t>
      </w:r>
      <w:r w:rsidR="00F577AA">
        <w:rPr>
          <w:rFonts w:ascii="Arial" w:hAnsi="Arial" w:cs="Arial"/>
          <w:b/>
          <w:sz w:val="24"/>
          <w:szCs w:val="24"/>
        </w:rPr>
        <w:t xml:space="preserve">, </w:t>
      </w:r>
      <w:r>
        <w:rPr>
          <w:rFonts w:ascii="Arial" w:hAnsi="Arial" w:cs="Arial"/>
          <w:b/>
          <w:sz w:val="24"/>
          <w:szCs w:val="24"/>
        </w:rPr>
        <w:t>Czech Republic</w:t>
      </w:r>
    </w:p>
    <w:p w14:paraId="34285042" w14:textId="01A9D025" w:rsidR="00F577AA" w:rsidRPr="00ED3068" w:rsidRDefault="00F577AA" w:rsidP="00F577AA">
      <w:pPr>
        <w:tabs>
          <w:tab w:val="left" w:pos="1985"/>
        </w:tabs>
        <w:rPr>
          <w:rFonts w:ascii="Arial" w:hAnsi="Arial"/>
          <w:color w:val="FF0000"/>
          <w:sz w:val="24"/>
        </w:rPr>
      </w:pPr>
      <w:r w:rsidRPr="00E624D8">
        <w:rPr>
          <w:rFonts w:ascii="Arial" w:hAnsi="Arial"/>
          <w:b/>
          <w:sz w:val="24"/>
        </w:rPr>
        <w:t>Agenda item:</w:t>
      </w:r>
      <w:r w:rsidRPr="00E624D8">
        <w:rPr>
          <w:rFonts w:ascii="Arial" w:hAnsi="Arial"/>
          <w:sz w:val="24"/>
        </w:rPr>
        <w:tab/>
      </w:r>
      <w:r w:rsidR="00F14E1F">
        <w:rPr>
          <w:rFonts w:ascii="Arial" w:hAnsi="Arial"/>
          <w:sz w:val="24"/>
        </w:rPr>
        <w:t>7</w:t>
      </w:r>
      <w:r w:rsidRPr="00CA3DF3">
        <w:rPr>
          <w:rFonts w:ascii="Arial" w:hAnsi="Arial"/>
          <w:sz w:val="24"/>
        </w:rPr>
        <w:t>.</w:t>
      </w:r>
      <w:r>
        <w:rPr>
          <w:rFonts w:ascii="Arial" w:hAnsi="Arial"/>
          <w:sz w:val="24"/>
        </w:rPr>
        <w:t>3.3.1</w:t>
      </w:r>
    </w:p>
    <w:p w14:paraId="099BCF8B" w14:textId="77777777" w:rsidR="00F577AA" w:rsidRPr="00CC27F5" w:rsidRDefault="00F577AA" w:rsidP="00F577AA">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3975B9A0" w14:textId="1845DE24" w:rsidR="00F577AA" w:rsidRPr="0044166C" w:rsidRDefault="00F577AA" w:rsidP="00F577AA">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50E8C">
        <w:rPr>
          <w:rFonts w:ascii="Arial" w:hAnsi="Arial"/>
          <w:sz w:val="24"/>
          <w:szCs w:val="24"/>
        </w:rPr>
        <w:t>DL/UL Resource Allocation</w:t>
      </w:r>
    </w:p>
    <w:p w14:paraId="745EF674" w14:textId="77777777" w:rsidR="00F577AA" w:rsidRPr="00CC27F5" w:rsidRDefault="00F577AA" w:rsidP="00F577AA">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A21BD58" w14:textId="77777777" w:rsidR="00F577AA" w:rsidRDefault="00F577AA" w:rsidP="00084E73">
      <w:pPr>
        <w:pStyle w:val="Heading1"/>
      </w:pPr>
      <w:r w:rsidRPr="00183CB7">
        <w:t>Introduction</w:t>
      </w:r>
    </w:p>
    <w:p w14:paraId="51643956" w14:textId="6B403716" w:rsidR="00F577AA" w:rsidRDefault="00866D2F" w:rsidP="00F577AA">
      <w:pPr>
        <w:rPr>
          <w:lang w:val="en-GB"/>
        </w:rPr>
      </w:pPr>
      <w:r>
        <w:rPr>
          <w:lang w:val="en-GB"/>
        </w:rPr>
        <w:t xml:space="preserve">In this contribution, we </w:t>
      </w:r>
      <w:r w:rsidR="00776A97">
        <w:rPr>
          <w:lang w:val="en-GB"/>
        </w:rPr>
        <w:t xml:space="preserve">discuss several </w:t>
      </w:r>
      <w:r>
        <w:rPr>
          <w:lang w:val="en-GB"/>
        </w:rPr>
        <w:t>aspects related to DL/UL resource allocation in NR. For the first case, we consider a VRB-to-PRB mapping which can provide additional frequency diversity, which can be particularly beneficial in wideband cases. For the second case, we consider the TB size determination in light of the flexibilities provided in NR as well as the channel coding schemes which have been adopted.</w:t>
      </w:r>
      <w:r w:rsidR="00776A97">
        <w:rPr>
          <w:lang w:val="en-GB"/>
        </w:rPr>
        <w:t xml:space="preserve"> For the third part, we discuss further considerations needed for slot aggregation.</w:t>
      </w:r>
      <w:bookmarkStart w:id="2" w:name="_GoBack"/>
      <w:bookmarkEnd w:id="2"/>
    </w:p>
    <w:p w14:paraId="198E2927" w14:textId="44269009" w:rsidR="00776A97" w:rsidRDefault="00776A97" w:rsidP="00F577AA">
      <w:pPr>
        <w:rPr>
          <w:lang w:val="en-GB"/>
        </w:rPr>
      </w:pPr>
      <w:r>
        <w:rPr>
          <w:lang w:val="en-GB"/>
        </w:rPr>
        <w:t>This contribution is a modification upon earlier submissio</w:t>
      </w:r>
      <w:r w:rsidR="00633ED1">
        <w:rPr>
          <w:lang w:val="en-GB"/>
        </w:rPr>
        <w:t>ns of R1-1716428 and R1-1716433 from last RAN1 NR AdHoc #3.</w:t>
      </w:r>
    </w:p>
    <w:p w14:paraId="760E399F" w14:textId="67D1E891" w:rsidR="00084E73" w:rsidRPr="00866D2F" w:rsidRDefault="00866D2F" w:rsidP="00084E73">
      <w:pPr>
        <w:pStyle w:val="Heading1"/>
        <w:ind w:left="360" w:hanging="360"/>
      </w:pPr>
      <w:r>
        <w:rPr>
          <w:rStyle w:val="Style1Char"/>
        </w:rPr>
        <w:t>VRB-to-</w:t>
      </w:r>
      <w:r w:rsidR="00F577AA" w:rsidRPr="00F577AA">
        <w:rPr>
          <w:rStyle w:val="Style1Char"/>
        </w:rPr>
        <w:t>PRB mapping</w:t>
      </w:r>
    </w:p>
    <w:p w14:paraId="3193C8EF" w14:textId="0B814689" w:rsidR="00F577AA" w:rsidRDefault="00866D2F" w:rsidP="00F577AA">
      <w:pPr>
        <w:pStyle w:val="Heading2"/>
        <w:rPr>
          <w:rStyle w:val="Style1Char"/>
        </w:rPr>
      </w:pPr>
      <w:r>
        <w:rPr>
          <w:rStyle w:val="Style1Char"/>
        </w:rPr>
        <w:t>Background</w:t>
      </w:r>
    </w:p>
    <w:p w14:paraId="64984887" w14:textId="6B2B33C4" w:rsidR="00866D2F" w:rsidRDefault="00776A97" w:rsidP="00776A97">
      <w:pPr>
        <w:rPr>
          <w:lang w:val="en-GB"/>
        </w:rPr>
      </w:pPr>
      <w:r>
        <w:rPr>
          <w:lang w:val="en-GB"/>
        </w:rPr>
        <w:t>Support for frequency diversity, especially when available for wideband systems and wideband devices, is an important aspect which can be enabled as part of the resource allocation mechanisms. For instance, i</w:t>
      </w:r>
      <w:r w:rsidR="00866D2F">
        <w:rPr>
          <w:lang w:val="en-GB"/>
        </w:rPr>
        <w:t>n RAN1 #89, the following agreement was made to provide frequency diversity on PUSCH.</w:t>
      </w:r>
    </w:p>
    <w:p w14:paraId="20D39150" w14:textId="77777777" w:rsidR="00866D2F" w:rsidRDefault="00866D2F" w:rsidP="00084E73">
      <w:pPr>
        <w:pStyle w:val="ListParagraph"/>
        <w:ind w:left="0"/>
        <w:jc w:val="both"/>
        <w:rPr>
          <w:sz w:val="20"/>
          <w:szCs w:val="20"/>
          <w:lang w:val="en-GB"/>
        </w:rPr>
      </w:pPr>
    </w:p>
    <w:p w14:paraId="022A3286" w14:textId="77777777" w:rsidR="00866D2F" w:rsidRPr="00E525B6" w:rsidRDefault="00866D2F" w:rsidP="00866D2F">
      <w:pPr>
        <w:rPr>
          <w:b/>
          <w:u w:val="single"/>
        </w:rPr>
      </w:pPr>
      <w:r w:rsidRPr="00E6560A">
        <w:rPr>
          <w:rFonts w:hint="eastAsia"/>
          <w:b/>
          <w:highlight w:val="green"/>
          <w:u w:val="single"/>
        </w:rPr>
        <w:t>Agreements:</w:t>
      </w:r>
    </w:p>
    <w:p w14:paraId="27E0DD2D" w14:textId="77777777" w:rsidR="00866D2F" w:rsidRDefault="00866D2F" w:rsidP="00866D2F">
      <w:pPr>
        <w:numPr>
          <w:ilvl w:val="0"/>
          <w:numId w:val="17"/>
        </w:numPr>
        <w:overflowPunct/>
        <w:autoSpaceDE/>
        <w:autoSpaceDN/>
        <w:adjustRightInd/>
        <w:spacing w:after="0"/>
        <w:textAlignment w:val="auto"/>
      </w:pPr>
      <w:r w:rsidRPr="000C329D">
        <w:t>For DFT-s-OFDM based NR-PUSCH transmissi</w:t>
      </w:r>
      <w:r>
        <w:t xml:space="preserve">on, contiguous RB allocation </w:t>
      </w:r>
      <w:r>
        <w:rPr>
          <w:rFonts w:hint="eastAsia"/>
        </w:rPr>
        <w:t>with/without</w:t>
      </w:r>
      <w:r w:rsidRPr="000C329D">
        <w:t xml:space="preserve"> frequency hopping are supported</w:t>
      </w:r>
    </w:p>
    <w:p w14:paraId="7891DE6A" w14:textId="77777777" w:rsidR="00866D2F" w:rsidRPr="000C329D" w:rsidRDefault="00866D2F" w:rsidP="00866D2F">
      <w:pPr>
        <w:numPr>
          <w:ilvl w:val="1"/>
          <w:numId w:val="17"/>
        </w:numPr>
        <w:overflowPunct/>
        <w:autoSpaceDE/>
        <w:autoSpaceDN/>
        <w:adjustRightInd/>
        <w:spacing w:after="0"/>
        <w:textAlignment w:val="auto"/>
      </w:pPr>
      <w:r>
        <w:rPr>
          <w:rFonts w:hint="eastAsia"/>
        </w:rPr>
        <w:t>At least intra-slot frequency hopping is supported for 14 symbol slot case</w:t>
      </w:r>
    </w:p>
    <w:p w14:paraId="0F0E7BE7" w14:textId="77777777" w:rsidR="00866D2F" w:rsidRPr="000C329D" w:rsidRDefault="00866D2F" w:rsidP="00866D2F">
      <w:pPr>
        <w:numPr>
          <w:ilvl w:val="1"/>
          <w:numId w:val="17"/>
        </w:numPr>
        <w:overflowPunct/>
        <w:autoSpaceDE/>
        <w:autoSpaceDN/>
        <w:adjustRightInd/>
        <w:spacing w:after="0"/>
        <w:textAlignment w:val="auto"/>
      </w:pPr>
      <w:r w:rsidRPr="000C329D">
        <w:t>FFS on detailed resource allocation</w:t>
      </w:r>
    </w:p>
    <w:p w14:paraId="39B3F5E8" w14:textId="77777777" w:rsidR="00866D2F" w:rsidRPr="000C329D" w:rsidRDefault="00866D2F" w:rsidP="00866D2F">
      <w:pPr>
        <w:numPr>
          <w:ilvl w:val="1"/>
          <w:numId w:val="17"/>
        </w:numPr>
        <w:overflowPunct/>
        <w:autoSpaceDE/>
        <w:autoSpaceDN/>
        <w:adjustRightInd/>
        <w:spacing w:after="0"/>
        <w:textAlignment w:val="auto"/>
      </w:pPr>
      <w:r w:rsidRPr="000C329D">
        <w:t>FFS on detailed frequency hopping for PUSCH</w:t>
      </w:r>
    </w:p>
    <w:p w14:paraId="2CD7BD8C" w14:textId="77777777" w:rsidR="00866D2F" w:rsidRDefault="00866D2F" w:rsidP="00084E73">
      <w:pPr>
        <w:pStyle w:val="ListParagraph"/>
        <w:ind w:left="0"/>
        <w:jc w:val="both"/>
        <w:rPr>
          <w:sz w:val="20"/>
          <w:szCs w:val="20"/>
          <w:lang w:val="en-GB"/>
        </w:rPr>
      </w:pPr>
    </w:p>
    <w:p w14:paraId="434DC544" w14:textId="68A387A9" w:rsidR="00084E73" w:rsidRPr="00084E73" w:rsidRDefault="00084E73" w:rsidP="00084E73">
      <w:pPr>
        <w:pStyle w:val="ListParagraph"/>
        <w:ind w:left="0"/>
        <w:jc w:val="both"/>
        <w:rPr>
          <w:sz w:val="20"/>
          <w:szCs w:val="20"/>
          <w:lang w:val="en-GB"/>
        </w:rPr>
      </w:pPr>
      <w:r w:rsidRPr="00084E73">
        <w:rPr>
          <w:sz w:val="20"/>
          <w:szCs w:val="20"/>
          <w:lang w:val="en-GB"/>
        </w:rPr>
        <w:t xml:space="preserve">In RAN1 #90, the following agreement was reached regarding </w:t>
      </w:r>
      <w:r>
        <w:rPr>
          <w:sz w:val="20"/>
          <w:szCs w:val="20"/>
          <w:lang w:val="en-GB"/>
        </w:rPr>
        <w:t>control channel structure and interleaving to provide frequency diversity.</w:t>
      </w:r>
    </w:p>
    <w:p w14:paraId="60B16AA7" w14:textId="77777777" w:rsidR="00084E73" w:rsidRPr="00084E73" w:rsidRDefault="00084E73" w:rsidP="00084E73">
      <w:pPr>
        <w:pStyle w:val="ListParagraph"/>
        <w:ind w:hanging="840"/>
        <w:jc w:val="both"/>
        <w:rPr>
          <w:rFonts w:eastAsia="MS Mincho"/>
          <w:b/>
          <w:sz w:val="20"/>
          <w:szCs w:val="20"/>
          <w:highlight w:val="green"/>
          <w:u w:val="single"/>
          <w:lang w:eastAsia="ja-JP"/>
        </w:rPr>
      </w:pPr>
    </w:p>
    <w:p w14:paraId="4DDC3AEF" w14:textId="07158C3B" w:rsidR="00084E73" w:rsidRPr="00084E73" w:rsidRDefault="00084E73" w:rsidP="00866D2F">
      <w:pPr>
        <w:pStyle w:val="ListParagraph"/>
        <w:ind w:hanging="720"/>
        <w:jc w:val="both"/>
        <w:rPr>
          <w:rFonts w:eastAsia="MS Mincho"/>
          <w:b/>
          <w:sz w:val="20"/>
          <w:szCs w:val="20"/>
          <w:u w:val="single"/>
          <w:lang w:eastAsia="ja-JP"/>
        </w:rPr>
      </w:pPr>
      <w:r w:rsidRPr="00084E73">
        <w:rPr>
          <w:rFonts w:eastAsia="MS Mincho" w:hint="eastAsia"/>
          <w:b/>
          <w:sz w:val="20"/>
          <w:szCs w:val="20"/>
          <w:highlight w:val="green"/>
          <w:u w:val="single"/>
          <w:lang w:eastAsia="ja-JP"/>
        </w:rPr>
        <w:t>Agreements:</w:t>
      </w:r>
    </w:p>
    <w:p w14:paraId="14CDB818" w14:textId="77777777" w:rsidR="00084E73" w:rsidRPr="00084E73" w:rsidRDefault="00084E73" w:rsidP="00866D2F">
      <w:pPr>
        <w:pStyle w:val="ListParagraph"/>
        <w:numPr>
          <w:ilvl w:val="0"/>
          <w:numId w:val="16"/>
        </w:numPr>
        <w:contextualSpacing w:val="0"/>
        <w:jc w:val="both"/>
        <w:rPr>
          <w:rFonts w:eastAsia="MS Mincho"/>
          <w:sz w:val="20"/>
          <w:szCs w:val="20"/>
        </w:rPr>
      </w:pPr>
      <w:r w:rsidRPr="00084E73">
        <w:rPr>
          <w:rFonts w:eastAsia="MS Mincho" w:hint="eastAsia"/>
          <w:sz w:val="20"/>
          <w:szCs w:val="20"/>
          <w:lang w:eastAsia="ja-JP"/>
        </w:rPr>
        <w:t>For interleaving CORESET, the interleaving pattern is derived by the CORESET configuration</w:t>
      </w:r>
      <w:r w:rsidRPr="00084E73">
        <w:rPr>
          <w:rFonts w:eastAsia="MS Mincho"/>
          <w:sz w:val="20"/>
          <w:szCs w:val="20"/>
          <w:lang w:eastAsia="ja-JP"/>
        </w:rPr>
        <w:t xml:space="preserve"> and is not dependent on other CORESET configuration</w:t>
      </w:r>
      <w:r w:rsidRPr="00084E73">
        <w:rPr>
          <w:rFonts w:eastAsia="MS Mincho" w:hint="eastAsia"/>
          <w:sz w:val="20"/>
          <w:szCs w:val="20"/>
          <w:lang w:eastAsia="ja-JP"/>
        </w:rPr>
        <w:t>.</w:t>
      </w:r>
    </w:p>
    <w:p w14:paraId="331C3F52" w14:textId="77777777" w:rsidR="00084E73" w:rsidRPr="00084E73" w:rsidRDefault="00084E73" w:rsidP="00866D2F">
      <w:pPr>
        <w:pStyle w:val="ListParagraph"/>
        <w:numPr>
          <w:ilvl w:val="0"/>
          <w:numId w:val="16"/>
        </w:numPr>
        <w:contextualSpacing w:val="0"/>
        <w:jc w:val="both"/>
        <w:rPr>
          <w:rFonts w:eastAsia="MS Mincho"/>
          <w:sz w:val="20"/>
          <w:szCs w:val="20"/>
        </w:rPr>
      </w:pPr>
      <w:r w:rsidRPr="00084E73">
        <w:rPr>
          <w:rFonts w:eastAsia="MS Mincho"/>
          <w:sz w:val="20"/>
          <w:szCs w:val="20"/>
        </w:rPr>
        <w:t xml:space="preserve">Note: </w:t>
      </w:r>
    </w:p>
    <w:p w14:paraId="5DB5F505" w14:textId="77777777" w:rsidR="00084E73" w:rsidRPr="00084E73" w:rsidRDefault="00084E73" w:rsidP="00866D2F">
      <w:pPr>
        <w:pStyle w:val="ListParagraph"/>
        <w:numPr>
          <w:ilvl w:val="2"/>
          <w:numId w:val="16"/>
        </w:numPr>
        <w:contextualSpacing w:val="0"/>
        <w:jc w:val="both"/>
        <w:rPr>
          <w:rFonts w:eastAsia="MS Mincho"/>
          <w:sz w:val="20"/>
          <w:szCs w:val="20"/>
        </w:rPr>
      </w:pPr>
      <w:r w:rsidRPr="00084E73">
        <w:rPr>
          <w:rFonts w:eastAsia="MS Mincho"/>
          <w:sz w:val="20"/>
          <w:szCs w:val="20"/>
        </w:rPr>
        <w:t>Following metrics can be considered</w:t>
      </w:r>
    </w:p>
    <w:p w14:paraId="28859E8E" w14:textId="77777777" w:rsidR="00084E73" w:rsidRP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Good frequency distribution of REG bundles within the CORESET</w:t>
      </w:r>
    </w:p>
    <w:p w14:paraId="292069FB" w14:textId="77777777" w:rsidR="00084E73" w:rsidRP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Blocking probability for potential overlapped CORESET(s)</w:t>
      </w:r>
    </w:p>
    <w:p w14:paraId="5B8E8518" w14:textId="253E734C" w:rsid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Inter-cell/inter-TRP interference randomization</w:t>
      </w:r>
    </w:p>
    <w:p w14:paraId="306DEC59" w14:textId="77777777" w:rsidR="00EE6884" w:rsidRDefault="00EE6884" w:rsidP="00866D2F">
      <w:pPr>
        <w:jc w:val="both"/>
      </w:pPr>
    </w:p>
    <w:p w14:paraId="1D553C25" w14:textId="5F6924C9" w:rsidR="00EE6884" w:rsidRPr="00866D2F" w:rsidRDefault="00EE6884" w:rsidP="00866D2F">
      <w:pPr>
        <w:jc w:val="both"/>
      </w:pPr>
      <w:r>
        <w:t>From the above, it is clear that resource allocations for physical channels should consider the benefits from frequency diversity. Moreover, with the appropriate virtual RB to physical RB mappings, such mappings can be introduced in the case of the data channel of both the uplink and the downlink. This can benefit both wideband contiguous allocations as well as frequency hopped narrowband allocations in NR.</w:t>
      </w:r>
    </w:p>
    <w:p w14:paraId="62DF21AC" w14:textId="5E5AA6F8" w:rsidR="00084E73" w:rsidRPr="00866D2F" w:rsidRDefault="00866D2F" w:rsidP="00084E73">
      <w:pPr>
        <w:pStyle w:val="Heading2"/>
        <w:rPr>
          <w:sz w:val="36"/>
        </w:rPr>
      </w:pPr>
      <w:r>
        <w:rPr>
          <w:rStyle w:val="Style1Char"/>
        </w:rPr>
        <w:lastRenderedPageBreak/>
        <w:t>Discussion</w:t>
      </w:r>
    </w:p>
    <w:p w14:paraId="0D9038D1" w14:textId="05BB6B74" w:rsidR="00F577AA" w:rsidRDefault="00F577AA" w:rsidP="00F577AA">
      <w:pPr>
        <w:shd w:val="clear" w:color="auto" w:fill="FFFFFF"/>
        <w:spacing w:before="100" w:beforeAutospacing="1" w:after="100" w:afterAutospacing="1"/>
        <w:jc w:val="both"/>
      </w:pPr>
      <w:r w:rsidRPr="00211C6C">
        <w:t xml:space="preserve">The mapping from virtual RBs (VRBs) to physical RBs (PRBs) was introduced in LTE to allow for downlink distributed transmissions in frequency domain in case of resource allocation type 2 and </w:t>
      </w:r>
      <w:r>
        <w:t xml:space="preserve">to split each resource-block pair such that two resources blocks are transmitted with a certain frequency gap in between (the </w:t>
      </w:r>
      <w:r w:rsidR="00E7469B">
        <w:t>latter</w:t>
      </w:r>
      <w:r>
        <w:t xml:space="preserve"> can be seen as a frequency hopping on a slot basis in LTE). </w:t>
      </w:r>
    </w:p>
    <w:p w14:paraId="59C80678" w14:textId="0F528CB6" w:rsidR="00617BFD" w:rsidRDefault="00F577AA" w:rsidP="00F577AA">
      <w:pPr>
        <w:shd w:val="clear" w:color="auto" w:fill="FFFFFF"/>
        <w:spacing w:before="100" w:beforeAutospacing="1" w:after="100" w:afterAutospacing="1"/>
        <w:jc w:val="both"/>
      </w:pPr>
      <w:r>
        <w:t xml:space="preserve">For NR, the VRB to PRB mapping </w:t>
      </w:r>
      <w:r w:rsidR="00E7469B">
        <w:t>should at least</w:t>
      </w:r>
      <w:r>
        <w:t xml:space="preserve"> be used to provide additional frequency domain diversity to the transmitted codeblocks, which may be very beneficial </w:t>
      </w:r>
      <w:r w:rsidR="00E7469B">
        <w:t>at least in</w:t>
      </w:r>
      <w:r>
        <w:t xml:space="preserve"> scenarios of large allocations and large MCS. </w:t>
      </w:r>
      <w:r w:rsidR="00617BFD">
        <w:t>Note that for PDCCH, interleaving has</w:t>
      </w:r>
      <w:r w:rsidR="00E7469B">
        <w:t xml:space="preserve"> already</w:t>
      </w:r>
      <w:r w:rsidR="00617BFD">
        <w:t xml:space="preserve"> been agreed to be supported in NR </w:t>
      </w:r>
      <w:r w:rsidR="00E7469B">
        <w:t xml:space="preserve">which to </w:t>
      </w:r>
      <w:r w:rsidR="00617BFD">
        <w:t>exploit</w:t>
      </w:r>
      <w:r w:rsidR="00E7469B">
        <w:t>, through interleaved CORESETs,</w:t>
      </w:r>
      <w:r w:rsidR="00617BFD">
        <w:t xml:space="preserve"> the gains of </w:t>
      </w:r>
      <w:r w:rsidR="00E7469B">
        <w:t>additional frequency diversity.</w:t>
      </w:r>
    </w:p>
    <w:p w14:paraId="70E0620B" w14:textId="6B556E31" w:rsidR="00F577AA" w:rsidRDefault="00E7469B" w:rsidP="00F577AA">
      <w:pPr>
        <w:shd w:val="clear" w:color="auto" w:fill="FFFFFF"/>
        <w:spacing w:before="100" w:beforeAutospacing="1" w:after="100" w:afterAutospacing="1"/>
        <w:jc w:val="both"/>
      </w:pPr>
      <w:r>
        <w:t xml:space="preserve">In the MIMO AI in the previous meeting, it was agreed that </w:t>
      </w:r>
      <w:r w:rsidR="00617BFD">
        <w:t>only frequency first mapping is supported for the</w:t>
      </w:r>
      <w:r w:rsidR="00957337">
        <w:t xml:space="preserve"> CP-OFDM</w:t>
      </w:r>
      <w:r w:rsidR="00617BFD">
        <w:t xml:space="preserve"> PDSCH</w:t>
      </w:r>
      <w:r w:rsidR="00957337">
        <w:t xml:space="preserve"> and PUSCH</w:t>
      </w:r>
      <w:r w:rsidR="00617BFD">
        <w:t xml:space="preserve"> channel</w:t>
      </w:r>
      <w:r w:rsidR="00957337">
        <w:t>s</w:t>
      </w:r>
      <w:r w:rsidR="00617BFD">
        <w:t xml:space="preserve"> and</w:t>
      </w:r>
      <w:r w:rsidR="00957337">
        <w:t xml:space="preserve"> that</w:t>
      </w:r>
      <w:r w:rsidR="00617BFD">
        <w:t xml:space="preserve"> frequency domain interleaving during the </w:t>
      </w:r>
      <w:r w:rsidR="00957337">
        <w:t xml:space="preserve">codeword to </w:t>
      </w:r>
      <w:r w:rsidR="00617BFD">
        <w:t>layer mapping procedure is not supported</w:t>
      </w:r>
      <w:r w:rsidR="00957337">
        <w:t xml:space="preserve"> in Rel-15</w:t>
      </w:r>
      <w:r w:rsidR="00617BFD">
        <w:t xml:space="preserve">. </w:t>
      </w:r>
      <w:r w:rsidR="00957337">
        <w:t>However, due to the lac</w:t>
      </w:r>
      <w:r w:rsidR="00617BFD">
        <w:t>k of</w:t>
      </w:r>
      <w:r w:rsidR="00957337">
        <w:t xml:space="preserve"> full</w:t>
      </w:r>
      <w:r w:rsidR="00617BFD">
        <w:t xml:space="preserve"> </w:t>
      </w:r>
      <w:r w:rsidR="00957337">
        <w:t xml:space="preserve">frequency-domain </w:t>
      </w:r>
      <w:r w:rsidR="00617BFD">
        <w:t xml:space="preserve">interleaving during the </w:t>
      </w:r>
      <w:r w:rsidR="00957337">
        <w:t xml:space="preserve">codeword to </w:t>
      </w:r>
      <w:r w:rsidR="00617BFD">
        <w:t xml:space="preserve">layer mapping procedure, in scenarios of large spectral efficiency (e.g., </w:t>
      </w:r>
      <w:r w:rsidR="00957337">
        <w:t>SU-MIMO rank 2 and 4</w:t>
      </w:r>
      <w:r w:rsidR="00617BFD">
        <w:t xml:space="preserve"> </w:t>
      </w:r>
      <w:r w:rsidR="00957337">
        <w:t>with</w:t>
      </w:r>
      <w:r w:rsidR="00617BFD">
        <w:t xml:space="preserve"> large MCS), a codeblock will only span a limited set of PRBs unless an interleaved VRB to PRB mapping is introduced</w:t>
      </w:r>
      <w:r w:rsidR="00957337">
        <w:t xml:space="preserve"> in NR</w:t>
      </w:r>
      <w:r w:rsidR="00617BFD">
        <w:t xml:space="preserve">. </w:t>
      </w:r>
      <w:r w:rsidR="00957337">
        <w:t>To see this</w:t>
      </w:r>
      <w:r w:rsidR="00617BFD">
        <w:t xml:space="preserve">, it can be easily </w:t>
      </w:r>
      <w:r w:rsidR="00957337">
        <w:t>observed</w:t>
      </w:r>
      <w:r w:rsidR="00617BFD">
        <w:t xml:space="preserve"> that one OFDM symbol in scenarios of peak throughput may carry </w:t>
      </w:r>
      <w:r w:rsidR="00342AFC">
        <w:t>up to</w:t>
      </w:r>
      <w:r w:rsidR="00617BFD">
        <w:t xml:space="preserve"> 1</w:t>
      </w:r>
      <w:r w:rsidR="001E6D8E">
        <w:t>1</w:t>
      </w:r>
      <w:r w:rsidR="00617BFD">
        <w:t xml:space="preserve"> codeblocks</w:t>
      </w:r>
      <w:r w:rsidR="00957337">
        <w:t xml:space="preserve">, as shown in the Figures below. </w:t>
      </w:r>
    </w:p>
    <w:p w14:paraId="6E425F91" w14:textId="255D8B5C" w:rsidR="00342AFC" w:rsidRDefault="00342AFC" w:rsidP="008514AA">
      <w:pPr>
        <w:spacing w:after="0"/>
        <w:jc w:val="center"/>
      </w:pPr>
      <w:r>
        <w:rPr>
          <w:noProof/>
        </w:rPr>
        <w:drawing>
          <wp:inline distT="0" distB="0" distL="0" distR="0" wp14:anchorId="10F64DF8" wp14:editId="584107DC">
            <wp:extent cx="5429250" cy="2513442"/>
            <wp:effectExtent l="0" t="0" r="0" b="1270"/>
            <wp:docPr id="33" name="Picture 33" descr="C:\Users\amanolak\Desktop\PentNew\OLLA\pentariLink\wilt_infra\run\test\FreqInt\Rank4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PentNew\OLLA\pentariLink\wilt_infra\run\test\FreqInt\Rank4NumCB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4243" cy="2562048"/>
                    </a:xfrm>
                    <a:prstGeom prst="rect">
                      <a:avLst/>
                    </a:prstGeom>
                    <a:noFill/>
                    <a:ln>
                      <a:noFill/>
                    </a:ln>
                  </pic:spPr>
                </pic:pic>
              </a:graphicData>
            </a:graphic>
          </wp:inline>
        </w:drawing>
      </w:r>
    </w:p>
    <w:p w14:paraId="10B80857" w14:textId="77777777" w:rsidR="008514AA" w:rsidRDefault="008514AA" w:rsidP="00342AFC">
      <w:pPr>
        <w:spacing w:after="0"/>
      </w:pPr>
    </w:p>
    <w:p w14:paraId="3433EDD6" w14:textId="77777777" w:rsidR="008514AA" w:rsidRDefault="008514AA" w:rsidP="00342AFC">
      <w:pPr>
        <w:keepNext/>
        <w:spacing w:after="0"/>
        <w:jc w:val="center"/>
      </w:pPr>
      <w:r>
        <w:rPr>
          <w:noProof/>
        </w:rPr>
        <w:lastRenderedPageBreak/>
        <w:drawing>
          <wp:inline distT="0" distB="0" distL="0" distR="0" wp14:anchorId="49AD9C49" wp14:editId="7CA346AD">
            <wp:extent cx="5328875" cy="2466975"/>
            <wp:effectExtent l="0" t="0" r="5715" b="0"/>
            <wp:docPr id="32" name="Picture 32" descr="C:\Users\amanolak\Desktop\PentNew\OLLA\pentariLink\wilt_infra\run\test\FreqInt\Rank2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anolak\Desktop\PentNew\OLLA\pentariLink\wilt_infra\run\test\FreqInt\Rank2NumCB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6980" cy="2489245"/>
                    </a:xfrm>
                    <a:prstGeom prst="rect">
                      <a:avLst/>
                    </a:prstGeom>
                    <a:noFill/>
                    <a:ln>
                      <a:noFill/>
                    </a:ln>
                  </pic:spPr>
                </pic:pic>
              </a:graphicData>
            </a:graphic>
          </wp:inline>
        </w:drawing>
      </w:r>
    </w:p>
    <w:p w14:paraId="03593963" w14:textId="38FF462D" w:rsidR="00342AFC" w:rsidRDefault="00342AFC" w:rsidP="00342AFC">
      <w:pPr>
        <w:keepNext/>
        <w:spacing w:after="0"/>
        <w:jc w:val="center"/>
      </w:pPr>
      <w:r>
        <w:rPr>
          <w:noProof/>
        </w:rPr>
        <w:drawing>
          <wp:inline distT="0" distB="0" distL="0" distR="0" wp14:anchorId="633F1CEE" wp14:editId="7D806A18">
            <wp:extent cx="5267154" cy="2438400"/>
            <wp:effectExtent l="0" t="0" r="0" b="0"/>
            <wp:docPr id="31" name="Picture 31" descr="C:\Users\amanolak\Desktop\PentNew\OLLA\pentariLink\wilt_infra\run\test\FreqInt\Rank1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anolak\Desktop\PentNew\OLLA\pentariLink\wilt_infra\run\test\FreqInt\Rank1NumCB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0601" cy="2444625"/>
                    </a:xfrm>
                    <a:prstGeom prst="rect">
                      <a:avLst/>
                    </a:prstGeom>
                    <a:noFill/>
                    <a:ln>
                      <a:noFill/>
                    </a:ln>
                  </pic:spPr>
                </pic:pic>
              </a:graphicData>
            </a:graphic>
          </wp:inline>
        </w:drawing>
      </w:r>
    </w:p>
    <w:p w14:paraId="10FB3A3F" w14:textId="0D5E0600" w:rsidR="00342AFC" w:rsidRDefault="00342AFC" w:rsidP="00342AFC">
      <w:pPr>
        <w:pStyle w:val="Caption"/>
      </w:pPr>
      <w:r>
        <w:t>Number of codeblocks per OFDM symbol for different MCS and rank</w:t>
      </w:r>
      <w:r w:rsidR="009C5F95">
        <w:t xml:space="preserve"> 4 (top) to 1 (bottom)</w:t>
      </w:r>
    </w:p>
    <w:p w14:paraId="7C6E4105" w14:textId="0AFFD4BB" w:rsidR="00342AFC" w:rsidRPr="008514AA" w:rsidRDefault="001E6D8E" w:rsidP="00342AFC">
      <w:pPr>
        <w:shd w:val="clear" w:color="auto" w:fill="FFFFFF"/>
        <w:spacing w:before="100" w:beforeAutospacing="1" w:after="100" w:afterAutospacing="1"/>
        <w:rPr>
          <w:b/>
        </w:rPr>
      </w:pPr>
      <w:r w:rsidRPr="008514AA">
        <w:rPr>
          <w:b/>
        </w:rPr>
        <w:t>Observation 1: Depending on the allocation, MCS and rank, the number of codeblocks for NR may be up to approximately 11 codeblocks per OFDM symbol.</w:t>
      </w:r>
    </w:p>
    <w:p w14:paraId="558108FD" w14:textId="375EEA5B" w:rsidR="001E6D8E" w:rsidRDefault="00957337" w:rsidP="001E6D8E">
      <w:pPr>
        <w:shd w:val="clear" w:color="auto" w:fill="FFFFFF"/>
        <w:spacing w:before="100" w:beforeAutospacing="1" w:after="100" w:afterAutospacing="1"/>
        <w:jc w:val="both"/>
      </w:pPr>
      <w:r>
        <w:t>Introducing an interleaved</w:t>
      </w:r>
      <w:r w:rsidR="001E6D8E">
        <w:t xml:space="preserve"> VRB to PRB mapping using a PRG-based step would allow codeblocks that occupy only a few RBs to be spread over a large allocation which </w:t>
      </w:r>
      <w:r>
        <w:t>may</w:t>
      </w:r>
      <w:r w:rsidR="001E6D8E">
        <w:t xml:space="preserve"> </w:t>
      </w:r>
      <w:r>
        <w:t>lead</w:t>
      </w:r>
      <w:r w:rsidR="001E6D8E">
        <w:t xml:space="preserve"> to </w:t>
      </w:r>
      <w:r>
        <w:t>very significant</w:t>
      </w:r>
      <w:r w:rsidR="001E6D8E">
        <w:t xml:space="preserve"> performance gains. </w:t>
      </w:r>
      <w:r>
        <w:t>As an example</w:t>
      </w:r>
      <w:r w:rsidR="001E6D8E">
        <w:t>, in the next plot we present the TBLER performance of rank 4, 170 PRBs allocation with 64-QAM and 8/9 code-rate, and observe that around 3-4 dB of gain</w:t>
      </w:r>
      <w:r>
        <w:t>s</w:t>
      </w:r>
      <w:r w:rsidR="001E6D8E">
        <w:t xml:space="preserve"> may be expected by introducing </w:t>
      </w:r>
      <w:r w:rsidR="004C32F3">
        <w:t>a</w:t>
      </w:r>
      <w:r w:rsidR="001E6D8E">
        <w:t xml:space="preserve"> 2-PRB-based</w:t>
      </w:r>
      <w:r>
        <w:t xml:space="preserve"> interleaved VRB-to-</w:t>
      </w:r>
      <w:r w:rsidR="001E6D8E">
        <w:t xml:space="preserve">PRB mapping in NR compared to the case of </w:t>
      </w:r>
      <w:r w:rsidR="004C32F3">
        <w:t xml:space="preserve">supporting only a localized </w:t>
      </w:r>
      <w:r>
        <w:t xml:space="preserve">VRB-to-PRB </w:t>
      </w:r>
      <w:r w:rsidR="004C32F3">
        <w:t>mapping.</w:t>
      </w:r>
      <w:r>
        <w:t xml:space="preserve"> </w:t>
      </w:r>
    </w:p>
    <w:p w14:paraId="1B4D9953" w14:textId="5695966E" w:rsidR="001E6D8E" w:rsidRDefault="001E6D8E" w:rsidP="001E6D8E">
      <w:pPr>
        <w:shd w:val="clear" w:color="auto" w:fill="FFFFFF"/>
        <w:spacing w:before="100" w:beforeAutospacing="1" w:after="100" w:afterAutospacing="1"/>
        <w:jc w:val="both"/>
      </w:pPr>
      <w:r>
        <w:rPr>
          <w:noProof/>
        </w:rPr>
        <w:lastRenderedPageBreak/>
        <w:drawing>
          <wp:inline distT="0" distB="0" distL="0" distR="0" wp14:anchorId="2F7FD380" wp14:editId="4EDE0C13">
            <wp:extent cx="6109970" cy="2927350"/>
            <wp:effectExtent l="0" t="0" r="5080" b="6350"/>
            <wp:docPr id="2" name="Picture 2" descr="C:\Users\amanolak\Desktop\PentNew\OLLA\pentariLink\wilt_infra\run\test\PRG-level Freq Interleaver\TDLA_30nsec_Rank4_64QAM_170PRBs_revi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manolak\Desktop\PentNew\OLLA\pentariLink\wilt_infra\run\test\PRG-level Freq Interleaver\TDLA_30nsec_Rank4_64QAM_170PRBs_revised.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9970" cy="2927350"/>
                    </a:xfrm>
                    <a:prstGeom prst="rect">
                      <a:avLst/>
                    </a:prstGeom>
                    <a:noFill/>
                    <a:ln>
                      <a:noFill/>
                    </a:ln>
                  </pic:spPr>
                </pic:pic>
              </a:graphicData>
            </a:graphic>
          </wp:inline>
        </w:drawing>
      </w:r>
    </w:p>
    <w:p w14:paraId="0D2766BF" w14:textId="372FA1AE" w:rsidR="004C32F3" w:rsidRDefault="004C32F3" w:rsidP="001E6D8E">
      <w:pPr>
        <w:shd w:val="clear" w:color="auto" w:fill="FFFFFF"/>
        <w:spacing w:before="100" w:beforeAutospacing="1" w:after="100" w:afterAutospacing="1"/>
        <w:jc w:val="both"/>
        <w:rPr>
          <w:b/>
        </w:rPr>
      </w:pPr>
      <w:r w:rsidRPr="008514AA">
        <w:rPr>
          <w:b/>
        </w:rPr>
        <w:t xml:space="preserve">Observation 2: In regimes of high spectral efficiency, an interleaved VRB-to-PRB mapping using a PRG-based granularity may provide multi-dB performance gains over a non-interleaved PRB mapping. </w:t>
      </w:r>
    </w:p>
    <w:p w14:paraId="395A64E1" w14:textId="283D913E" w:rsidR="00776A97" w:rsidRPr="008514AA" w:rsidRDefault="00776A97" w:rsidP="001E6D8E">
      <w:pPr>
        <w:shd w:val="clear" w:color="auto" w:fill="FFFFFF"/>
        <w:spacing w:before="100" w:beforeAutospacing="1" w:after="100" w:afterAutospacing="1"/>
        <w:jc w:val="both"/>
        <w:rPr>
          <w:b/>
        </w:rPr>
      </w:pPr>
      <w:r>
        <w:t>Therefore, in NR two use cases should be supported as part of the VRB-to-PRB mapping. First, for narrowband allocations for UEs which can support a wideband (i.e., wide BWP configuration), the VRB-to-PRB mapping should be such that the precoded REs on adjacent PRGs in the VRB domain get mapped to distributed locations in the PRB domain. Second, for wideband allocations, the same VRB-to-PRB mapping should allow the distribution of multiple narrowband allocations in the VRB domain to be distributed and interleaved in the PRB domain, so that wideband allocations can benefit from the frequency domain diversity noted in the above observation.</w:t>
      </w:r>
    </w:p>
    <w:p w14:paraId="28D4BBFF" w14:textId="538BA487" w:rsidR="00776A97" w:rsidRDefault="004C32F3" w:rsidP="00776A97">
      <w:pPr>
        <w:shd w:val="clear" w:color="auto" w:fill="FFFFFF"/>
        <w:spacing w:before="100" w:beforeAutospacing="1" w:after="100" w:afterAutospacing="1"/>
        <w:jc w:val="both"/>
        <w:rPr>
          <w:b/>
        </w:rPr>
      </w:pPr>
      <w:r w:rsidRPr="008514AA">
        <w:rPr>
          <w:b/>
        </w:rPr>
        <w:t>Proposal 1: NR supports an interleaved VRB-to-PRB mapping on a PRG-based granularity for the PDSC</w:t>
      </w:r>
      <w:r w:rsidR="00776A97">
        <w:rPr>
          <w:b/>
        </w:rPr>
        <w:t xml:space="preserve">H and PUSCH resource allocation with the following properties: (1) narrow-band allocations are distributed across the supported bandwidth with PRG-based granularity, and (2) wide-band allocations </w:t>
      </w:r>
      <w:r w:rsidR="00735B77">
        <w:rPr>
          <w:b/>
        </w:rPr>
        <w:t>in which CBs spanning adjacently encoded REs in the VRB domain are distributed across the supported bandwidth in the PRB domain with the same PRG-based granularity.</w:t>
      </w:r>
    </w:p>
    <w:p w14:paraId="6B1E4212" w14:textId="3474F07C" w:rsidR="00F577AA" w:rsidRDefault="00F577AA" w:rsidP="00F577AA">
      <w:pPr>
        <w:pStyle w:val="Heading1"/>
        <w:ind w:left="360" w:hanging="360"/>
        <w:rPr>
          <w:rStyle w:val="Style1Char"/>
        </w:rPr>
      </w:pPr>
      <w:r>
        <w:rPr>
          <w:rStyle w:val="Style1Char"/>
        </w:rPr>
        <w:t>TBS size determination</w:t>
      </w:r>
    </w:p>
    <w:p w14:paraId="053A9034" w14:textId="77D2C333" w:rsidR="00084E73" w:rsidRPr="00084E73" w:rsidRDefault="00084E73" w:rsidP="00084E73">
      <w:pPr>
        <w:pStyle w:val="Heading2"/>
      </w:pPr>
      <w:r>
        <w:rPr>
          <w:rStyle w:val="Style1Char"/>
          <w:sz w:val="32"/>
        </w:rPr>
        <w:t>Background</w:t>
      </w:r>
    </w:p>
    <w:p w14:paraId="2C7FAFA0" w14:textId="77777777" w:rsidR="00084E73" w:rsidRPr="00084E73" w:rsidRDefault="00084E73" w:rsidP="00084E73">
      <w:pPr>
        <w:jc w:val="both"/>
        <w:rPr>
          <w:rFonts w:eastAsia="Times New Roman"/>
          <w:lang w:val="en-GB"/>
        </w:rPr>
      </w:pPr>
      <w:r w:rsidRPr="00084E73">
        <w:rPr>
          <w:rFonts w:eastAsia="Times New Roman"/>
          <w:lang w:val="en-GB"/>
        </w:rPr>
        <w:t>In RAN1 #90, the following agreement was reached regarding TB Size determination:</w:t>
      </w:r>
    </w:p>
    <w:p w14:paraId="398145EC" w14:textId="77777777" w:rsidR="00084E73" w:rsidRPr="00B14BA1" w:rsidRDefault="00084E73" w:rsidP="00084E73">
      <w:pPr>
        <w:rPr>
          <w:rFonts w:eastAsia="MS Mincho"/>
          <w:b/>
          <w:u w:val="single"/>
          <w:lang w:eastAsia="ja-JP"/>
        </w:rPr>
      </w:pPr>
      <w:r w:rsidRPr="00B14BA1">
        <w:rPr>
          <w:rFonts w:eastAsia="MS Mincho" w:hint="eastAsia"/>
          <w:b/>
          <w:highlight w:val="green"/>
          <w:u w:val="single"/>
          <w:lang w:eastAsia="ja-JP"/>
        </w:rPr>
        <w:t>Agreements:</w:t>
      </w:r>
    </w:p>
    <w:p w14:paraId="2F643C70" w14:textId="77777777" w:rsidR="00084E73" w:rsidRPr="00B14BA1" w:rsidRDefault="00084E73" w:rsidP="00084E73">
      <w:pPr>
        <w:numPr>
          <w:ilvl w:val="0"/>
          <w:numId w:val="8"/>
        </w:numPr>
        <w:overflowPunct/>
        <w:autoSpaceDE/>
        <w:autoSpaceDN/>
        <w:adjustRightInd/>
        <w:spacing w:after="0"/>
        <w:textAlignment w:val="auto"/>
        <w:rPr>
          <w:rFonts w:eastAsia="MS Mincho"/>
          <w:lang w:eastAsia="ja-JP"/>
        </w:rPr>
      </w:pPr>
      <w:r w:rsidRPr="00B14BA1">
        <w:rPr>
          <w:rFonts w:eastAsia="MS Mincho" w:hint="eastAsia"/>
          <w:lang w:eastAsia="ja-JP"/>
        </w:rPr>
        <w:t xml:space="preserve">RAN1 strives for </w:t>
      </w:r>
      <w:r w:rsidRPr="00B14BA1">
        <w:rPr>
          <w:rFonts w:eastAsia="MS Mincho"/>
          <w:lang w:eastAsia="ja-JP"/>
        </w:rPr>
        <w:t>finding TBS determination by using a formula</w:t>
      </w:r>
    </w:p>
    <w:p w14:paraId="336F5607"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hint="eastAsia"/>
          <w:lang w:eastAsia="ja-JP"/>
        </w:rPr>
        <w:t xml:space="preserve">The </w:t>
      </w:r>
      <w:r w:rsidRPr="00B14BA1">
        <w:rPr>
          <w:rFonts w:eastAsia="MS Mincho"/>
          <w:lang w:eastAsia="ja-JP"/>
        </w:rPr>
        <w:t>formula has following as parameters:</w:t>
      </w:r>
    </w:p>
    <w:p w14:paraId="51440D01"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The number of layers the codeword is mapped onto</w:t>
      </w:r>
    </w:p>
    <w:p w14:paraId="3AB3BDA0"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hint="eastAsia"/>
          <w:lang w:eastAsia="ja-JP"/>
        </w:rPr>
        <w:t>Time/frequency resource the PDSCH/PUSCH is scheduled</w:t>
      </w:r>
    </w:p>
    <w:p w14:paraId="1C7E69EF"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t>Opt.1: The total number of REs available for the PDSCH/PUSCH</w:t>
      </w:r>
    </w:p>
    <w:p w14:paraId="38B2C240"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t>Opt.2: Reference number of REs per slot/mini-slot per PRB and the number of PRB(s) for carrying the PDSCH/PUSCH</w:t>
      </w:r>
    </w:p>
    <w:p w14:paraId="3CD2F594" w14:textId="77777777" w:rsidR="00084E73" w:rsidRPr="00B14BA1" w:rsidRDefault="00084E73" w:rsidP="00084E73">
      <w:pPr>
        <w:numPr>
          <w:ilvl w:val="4"/>
          <w:numId w:val="8"/>
        </w:numPr>
        <w:overflowPunct/>
        <w:autoSpaceDE/>
        <w:autoSpaceDN/>
        <w:adjustRightInd/>
        <w:spacing w:after="0"/>
        <w:textAlignment w:val="auto"/>
        <w:rPr>
          <w:rFonts w:eastAsia="MS Mincho"/>
          <w:lang w:eastAsia="ja-JP"/>
        </w:rPr>
      </w:pPr>
      <w:r w:rsidRPr="00B14BA1">
        <w:rPr>
          <w:rFonts w:eastAsia="MS Mincho"/>
          <w:lang w:eastAsia="ja-JP"/>
        </w:rPr>
        <w:t>FFS: Details of reference number</w:t>
      </w:r>
    </w:p>
    <w:p w14:paraId="042410ED" w14:textId="77777777" w:rsidR="00084E73" w:rsidRPr="00B14BA1" w:rsidRDefault="00084E73" w:rsidP="00084E73">
      <w:pPr>
        <w:numPr>
          <w:ilvl w:val="4"/>
          <w:numId w:val="8"/>
        </w:numPr>
        <w:overflowPunct/>
        <w:autoSpaceDE/>
        <w:autoSpaceDN/>
        <w:adjustRightInd/>
        <w:spacing w:after="0"/>
        <w:textAlignment w:val="auto"/>
        <w:rPr>
          <w:rFonts w:eastAsia="MS Mincho"/>
          <w:lang w:eastAsia="ja-JP"/>
        </w:rPr>
      </w:pPr>
      <w:r w:rsidRPr="00B14BA1">
        <w:rPr>
          <w:rFonts w:eastAsia="MS Mincho"/>
          <w:lang w:eastAsia="ja-JP"/>
        </w:rPr>
        <w:t>FFS: for the case of more than one slot</w:t>
      </w:r>
    </w:p>
    <w:p w14:paraId="76AA059F"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Modulation order</w:t>
      </w:r>
    </w:p>
    <w:p w14:paraId="73A6A76F"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Coding rate</w:t>
      </w:r>
    </w:p>
    <w:p w14:paraId="5B724522"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RAN1 should also consider at least the following:</w:t>
      </w:r>
    </w:p>
    <w:p w14:paraId="49D31446"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Whether the system can work without ensuring to enable giving the knowledge for decoding the re-transmission without the knowledge of initial transmission</w:t>
      </w:r>
    </w:p>
    <w:p w14:paraId="41BDA2FD"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lastRenderedPageBreak/>
        <w:t>Ensuring to enable the same TBS between initial transmission and re-transmission with the same/different number of PRBs or the same/different number of symbols in some cases</w:t>
      </w:r>
    </w:p>
    <w:p w14:paraId="23228A6B"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Code-block segmentation</w:t>
      </w:r>
    </w:p>
    <w:p w14:paraId="7F2501C9"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TBS determination for specific packet sizes (e.g., VoIP, etc)</w:t>
      </w:r>
    </w:p>
    <w:p w14:paraId="49C270D5"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TBS determination for specific services (e.g., URLLC, etc)</w:t>
      </w:r>
    </w:p>
    <w:p w14:paraId="436F7C1D"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Possibility of decoupling the coding rate and modulation order for some cases</w:t>
      </w:r>
    </w:p>
    <w:p w14:paraId="26F92B1F"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Note: Byte alignment is required</w:t>
      </w:r>
    </w:p>
    <w:p w14:paraId="3FF7FBC9"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Note: in addition to the formula, table(s) may be needed to determine the TBS value</w:t>
      </w:r>
    </w:p>
    <w:p w14:paraId="18BE2DD3" w14:textId="77777777" w:rsidR="00084E73" w:rsidRPr="00084E73" w:rsidRDefault="00084E73" w:rsidP="00084E73">
      <w:pPr>
        <w:rPr>
          <w:lang w:val="en-GB"/>
        </w:rPr>
      </w:pPr>
    </w:p>
    <w:p w14:paraId="02D992F8" w14:textId="77777777" w:rsidR="00F577AA" w:rsidRPr="00084E73" w:rsidRDefault="00F577AA" w:rsidP="00084E73">
      <w:pPr>
        <w:pStyle w:val="Heading2"/>
        <w:rPr>
          <w:rStyle w:val="Style1Char"/>
          <w:sz w:val="32"/>
        </w:rPr>
      </w:pPr>
      <w:r w:rsidRPr="00084E73">
        <w:rPr>
          <w:rStyle w:val="Style1Char"/>
          <w:sz w:val="32"/>
        </w:rPr>
        <w:t>Discussion</w:t>
      </w:r>
    </w:p>
    <w:p w14:paraId="7FABF5F5" w14:textId="1B23BE3C" w:rsidR="00A04156" w:rsidRDefault="00A04156" w:rsidP="00F577AA">
      <w:pPr>
        <w:jc w:val="both"/>
        <w:rPr>
          <w:lang w:val="en-GB"/>
        </w:rPr>
      </w:pPr>
      <w:r>
        <w:rPr>
          <w:lang w:val="en-GB"/>
        </w:rPr>
        <w:t xml:space="preserve">For the number of REs used to determine TBS for PDSCH/PUSCH, </w:t>
      </w:r>
      <w:r w:rsidR="00F577AA">
        <w:rPr>
          <w:lang w:val="en-GB"/>
        </w:rPr>
        <w:t xml:space="preserve">the two options </w:t>
      </w:r>
      <w:r>
        <w:rPr>
          <w:lang w:val="en-GB"/>
        </w:rPr>
        <w:t xml:space="preserve">are available </w:t>
      </w:r>
      <w:r w:rsidR="00F577AA">
        <w:rPr>
          <w:lang w:val="en-GB"/>
        </w:rPr>
        <w:t xml:space="preserve">in </w:t>
      </w:r>
      <w:r>
        <w:rPr>
          <w:lang w:val="en-GB"/>
        </w:rPr>
        <w:t>the agreement, repeated below.</w:t>
      </w:r>
    </w:p>
    <w:p w14:paraId="2DE9B16C" w14:textId="77777777" w:rsidR="00A04156" w:rsidRPr="00A04156" w:rsidRDefault="00A04156" w:rsidP="00A04156">
      <w:pPr>
        <w:pStyle w:val="bullet"/>
        <w:rPr>
          <w:lang w:eastAsia="ja-JP"/>
        </w:rPr>
      </w:pPr>
      <w:r w:rsidRPr="00A04156">
        <w:rPr>
          <w:lang w:eastAsia="ja-JP"/>
        </w:rPr>
        <w:t>Opt.1: The total number of REs available for the PDSCH/PUSCH</w:t>
      </w:r>
    </w:p>
    <w:p w14:paraId="79484DAE" w14:textId="77777777" w:rsidR="00A04156" w:rsidRPr="00A04156" w:rsidRDefault="00A04156" w:rsidP="00A04156">
      <w:pPr>
        <w:pStyle w:val="bullet"/>
        <w:rPr>
          <w:lang w:eastAsia="ja-JP"/>
        </w:rPr>
      </w:pPr>
      <w:r w:rsidRPr="00A04156">
        <w:rPr>
          <w:lang w:eastAsia="ja-JP"/>
        </w:rPr>
        <w:t>Opt.2: Reference number of REs per slot/mini-slot per PRB and the number of PRB(s) for carrying the PDSCH/PUSCH</w:t>
      </w:r>
    </w:p>
    <w:p w14:paraId="6FE7F341" w14:textId="3B45FABC" w:rsidR="00F577AA" w:rsidRDefault="00A04156" w:rsidP="00F577AA">
      <w:pPr>
        <w:jc w:val="both"/>
        <w:rPr>
          <w:lang w:val="en-GB"/>
        </w:rPr>
      </w:pPr>
      <w:r>
        <w:rPr>
          <w:lang w:val="en-GB"/>
        </w:rPr>
        <w:t>O</w:t>
      </w:r>
      <w:r w:rsidR="00F577AA">
        <w:rPr>
          <w:lang w:val="en-GB"/>
        </w:rPr>
        <w:t xml:space="preserve">ption 1 has the benefit of </w:t>
      </w:r>
      <w:r>
        <w:rPr>
          <w:lang w:val="en-GB"/>
        </w:rPr>
        <w:t xml:space="preserve">better coding rate </w:t>
      </w:r>
      <w:r w:rsidR="00F577AA">
        <w:rPr>
          <w:lang w:val="en-GB"/>
        </w:rPr>
        <w:t>acc</w:t>
      </w:r>
      <w:r>
        <w:rPr>
          <w:lang w:val="en-GB"/>
        </w:rPr>
        <w:t>uracy as the TBS can be determined using the intended coding rate, subject some quantization error</w:t>
      </w:r>
      <w:r w:rsidR="00F577AA">
        <w:rPr>
          <w:lang w:val="en-GB"/>
        </w:rPr>
        <w:t xml:space="preserve">, while option 2 </w:t>
      </w:r>
      <w:r>
        <w:rPr>
          <w:lang w:val="en-GB"/>
        </w:rPr>
        <w:t>has the benefit of easier scheduler operation as the scheduler does not need to carefully plan the RB allocation and MCS combination to find a matching TBS for retransmission. Comparing these two, we consider the schedu</w:t>
      </w:r>
      <w:r w:rsidR="00504F17">
        <w:rPr>
          <w:lang w:val="en-GB"/>
        </w:rPr>
        <w:t>ler flexibility more important, as the retransmission capability is always needed, and the overhead affects the actual number of REs is typically quite dynamic, and it will be very hard for the scheduler to find the right MCS/RB allocation pairing to match the TBS to the original transmission. In order to partially fix the problem of variable number of REs per RB, we can make the reference number of REs per PRB configurable from a set of values, so the gNB can pick the proper value for better coding rate control.</w:t>
      </w:r>
    </w:p>
    <w:p w14:paraId="6CCEBEC7" w14:textId="6E306751" w:rsidR="00F577AA" w:rsidRPr="009C6DAC" w:rsidRDefault="00F577AA" w:rsidP="00F577AA">
      <w:pPr>
        <w:jc w:val="both"/>
        <w:rPr>
          <w:b/>
        </w:rPr>
      </w:pPr>
      <w:bookmarkStart w:id="3" w:name="p1"/>
      <w:r w:rsidRPr="009C6DAC">
        <w:rPr>
          <w:b/>
        </w:rPr>
        <w:t xml:space="preserve">Proposal </w:t>
      </w:r>
      <w:r w:rsidR="00966907">
        <w:rPr>
          <w:b/>
        </w:rPr>
        <w:t>2</w:t>
      </w:r>
      <w:r w:rsidRPr="009C6DAC">
        <w:rPr>
          <w:b/>
        </w:rPr>
        <w:t xml:space="preserve">. For TBS determination for PDSCH/PUSCH, use </w:t>
      </w:r>
      <w:r w:rsidR="00A04156">
        <w:rPr>
          <w:b/>
        </w:rPr>
        <w:t>a configurable reference</w:t>
      </w:r>
      <w:r w:rsidRPr="009C6DAC">
        <w:rPr>
          <w:b/>
        </w:rPr>
        <w:t xml:space="preserve"> number of REs available for PDSCH/PUSCH</w:t>
      </w:r>
      <w:r w:rsidR="00A04156">
        <w:rPr>
          <w:b/>
        </w:rPr>
        <w:t xml:space="preserve"> per RB.</w:t>
      </w:r>
    </w:p>
    <w:bookmarkEnd w:id="3"/>
    <w:p w14:paraId="5279D31A" w14:textId="77777777" w:rsidR="00F577AA" w:rsidRDefault="00F577AA" w:rsidP="00F577AA">
      <w:pPr>
        <w:jc w:val="both"/>
      </w:pPr>
      <w:r>
        <w:t>For TBS determination, we will need to use</w:t>
      </w:r>
    </w:p>
    <w:p w14:paraId="26A45B32" w14:textId="77777777" w:rsidR="00F577AA" w:rsidRDefault="00F577AA" w:rsidP="00F577AA">
      <w:pPr>
        <w:pStyle w:val="bullet"/>
        <w:spacing w:after="0"/>
        <w:jc w:val="both"/>
      </w:pPr>
      <w:r>
        <w:t>M – Modulation order from MCS</w:t>
      </w:r>
    </w:p>
    <w:p w14:paraId="0A4B6356" w14:textId="77777777" w:rsidR="00F577AA" w:rsidRDefault="00F577AA" w:rsidP="00F577AA">
      <w:pPr>
        <w:pStyle w:val="bullet"/>
        <w:spacing w:after="0"/>
        <w:jc w:val="both"/>
      </w:pPr>
      <w:r>
        <w:t>R – Coding rate from MCS</w:t>
      </w:r>
    </w:p>
    <w:p w14:paraId="092E8960" w14:textId="77777777" w:rsidR="00F577AA" w:rsidRDefault="00F577AA" w:rsidP="00F577AA">
      <w:pPr>
        <w:pStyle w:val="bullet"/>
        <w:spacing w:after="0"/>
        <w:jc w:val="both"/>
      </w:pPr>
      <w:r>
        <w:t>L – Number of spatial layers</w:t>
      </w:r>
    </w:p>
    <w:p w14:paraId="5958E504" w14:textId="62C773C8" w:rsidR="00F577AA" w:rsidRDefault="00F577AA" w:rsidP="00F577AA">
      <w:pPr>
        <w:pStyle w:val="bullet"/>
        <w:spacing w:after="0"/>
        <w:jc w:val="both"/>
      </w:pPr>
      <w:r>
        <w:t xml:space="preserve">N – </w:t>
      </w:r>
      <w:r w:rsidR="00A04156">
        <w:t>Reference n</w:t>
      </w:r>
      <w:r>
        <w:t>umber of R</w:t>
      </w:r>
      <w:r w:rsidR="00A04156">
        <w:t>Es over all allocated RBs</w:t>
      </w:r>
    </w:p>
    <w:p w14:paraId="3CEA24C6" w14:textId="77777777" w:rsidR="00504F17" w:rsidRDefault="00504F17" w:rsidP="00F577AA">
      <w:pPr>
        <w:pStyle w:val="bullet"/>
        <w:numPr>
          <w:ilvl w:val="0"/>
          <w:numId w:val="0"/>
        </w:numPr>
        <w:ind w:left="360" w:hanging="360"/>
        <w:jc w:val="both"/>
      </w:pPr>
    </w:p>
    <w:p w14:paraId="122B9470" w14:textId="6649EBDB" w:rsidR="00F577AA" w:rsidRDefault="00F577AA" w:rsidP="00F577AA">
      <w:pPr>
        <w:pStyle w:val="bullet"/>
        <w:numPr>
          <w:ilvl w:val="0"/>
          <w:numId w:val="0"/>
        </w:numPr>
        <w:ind w:left="360" w:hanging="360"/>
        <w:jc w:val="both"/>
      </w:pPr>
      <w:r>
        <w:t xml:space="preserve">Then the payload size can be </w:t>
      </w:r>
    </w:p>
    <w:p w14:paraId="2CEA3E84" w14:textId="77777777" w:rsidR="00F577AA" w:rsidRDefault="00F577AA" w:rsidP="00F577AA">
      <w:pPr>
        <w:pStyle w:val="bullet"/>
        <w:numPr>
          <w:ilvl w:val="0"/>
          <w:numId w:val="0"/>
        </w:numPr>
        <w:ind w:left="360" w:hanging="360"/>
        <w:jc w:val="both"/>
      </w:pPr>
      <w:r>
        <w:t>P=floor(N×L×M×R)</w:t>
      </w:r>
    </w:p>
    <w:p w14:paraId="316D1FC7" w14:textId="4A4A6428" w:rsidR="00F577AA" w:rsidRDefault="00F577AA" w:rsidP="00CD659B">
      <w:r>
        <w:t>Note that it was agreed that the TBS size will be byte aligned. Then TBS size can be determined as</w:t>
      </w:r>
    </w:p>
    <w:p w14:paraId="4268D642" w14:textId="73EA1BFF" w:rsidR="00F577AA" w:rsidRDefault="00F577AA" w:rsidP="00F577AA">
      <w:pPr>
        <w:pStyle w:val="bullet"/>
        <w:numPr>
          <w:ilvl w:val="0"/>
          <w:numId w:val="0"/>
        </w:numPr>
        <w:ind w:left="360" w:hanging="360"/>
        <w:jc w:val="both"/>
      </w:pPr>
      <w:r>
        <w:t>TBS=</w:t>
      </w:r>
      <w:r w:rsidR="00CD659B">
        <w:t>floor(</w:t>
      </w:r>
      <w:r>
        <w:t>P/8)×8</w:t>
      </w:r>
    </w:p>
    <w:p w14:paraId="4AF067F6" w14:textId="77777777" w:rsidR="00F577AA" w:rsidRDefault="00F577AA" w:rsidP="00F577AA">
      <w:pPr>
        <w:pStyle w:val="bullet"/>
        <w:numPr>
          <w:ilvl w:val="0"/>
          <w:numId w:val="0"/>
        </w:numPr>
        <w:ind w:left="360" w:hanging="360"/>
        <w:jc w:val="both"/>
      </w:pPr>
      <w:r>
        <w:t xml:space="preserve">Very fine TBS resolution may not be necessary, especially when the TBS size is large. </w:t>
      </w:r>
    </w:p>
    <w:p w14:paraId="03D114DF" w14:textId="77777777" w:rsidR="00F577AA" w:rsidRDefault="00F577AA" w:rsidP="00F577AA">
      <w:pPr>
        <w:pStyle w:val="bullet"/>
        <w:numPr>
          <w:ilvl w:val="0"/>
          <w:numId w:val="0"/>
        </w:numPr>
        <w:ind w:left="360" w:hanging="360"/>
        <w:jc w:val="both"/>
      </w:pPr>
      <w:r>
        <w:t>Then we can define a quantization step size S, where S is a multiple of 8, and</w:t>
      </w:r>
    </w:p>
    <w:p w14:paraId="071A73F3" w14:textId="77777777" w:rsidR="00F577AA" w:rsidRDefault="00F577AA" w:rsidP="00F577AA">
      <w:pPr>
        <w:pStyle w:val="bullet"/>
        <w:numPr>
          <w:ilvl w:val="0"/>
          <w:numId w:val="0"/>
        </w:numPr>
        <w:ind w:left="360" w:hanging="360"/>
        <w:jc w:val="both"/>
      </w:pPr>
      <w:r>
        <w:t>TBS=floor(P/S)×S</w:t>
      </w:r>
    </w:p>
    <w:p w14:paraId="1CDEE8F4" w14:textId="77777777" w:rsidR="00F577AA" w:rsidRDefault="00F577AA" w:rsidP="00F577AA">
      <w:pPr>
        <w:jc w:val="both"/>
      </w:pPr>
      <w:r>
        <w:t>Note that in order to achieve the effect that the TBS resolution is higher when TBS is larger, we can select S as a function of P and when P is larger, S is larger as well.</w:t>
      </w:r>
    </w:p>
    <w:p w14:paraId="2E9B8A8B" w14:textId="46C3300B" w:rsidR="00F577AA" w:rsidRPr="00E632B7" w:rsidRDefault="00F577AA" w:rsidP="00F577AA">
      <w:pPr>
        <w:jc w:val="both"/>
        <w:rPr>
          <w:b/>
        </w:rPr>
      </w:pPr>
      <w:bookmarkStart w:id="4" w:name="p2"/>
      <w:r w:rsidRPr="00E632B7">
        <w:rPr>
          <w:b/>
        </w:rPr>
        <w:t xml:space="preserve">Proposal </w:t>
      </w:r>
      <w:r w:rsidR="00966907">
        <w:rPr>
          <w:b/>
        </w:rPr>
        <w:t>3</w:t>
      </w:r>
      <w:r w:rsidRPr="00E632B7">
        <w:rPr>
          <w:b/>
        </w:rPr>
        <w:t xml:space="preserve">. For TBS determination, TBS is computed as TBS=floor(P/S)×S, where P= floor(N×L×M×R), and M is modulation order from MCS, R is coding rate from MCS, L is number of spatial layers from DCI, and N is </w:t>
      </w:r>
      <w:r w:rsidR="00F77EC9">
        <w:rPr>
          <w:b/>
        </w:rPr>
        <w:t xml:space="preserve">the reference </w:t>
      </w:r>
      <w:r w:rsidRPr="00E632B7">
        <w:rPr>
          <w:b/>
        </w:rPr>
        <w:t>number of REs used for PDSCH/PUSCH.</w:t>
      </w:r>
    </w:p>
    <w:p w14:paraId="201ECF4A" w14:textId="77777777" w:rsidR="00F577AA" w:rsidRDefault="00F577AA" w:rsidP="00F577AA">
      <w:pPr>
        <w:jc w:val="both"/>
      </w:pPr>
      <w:bookmarkStart w:id="5" w:name="_Hlk492675808"/>
      <w:bookmarkEnd w:id="4"/>
      <w:r>
        <w:t xml:space="preserve">For the slot aggregation use case, where the same TB is retransmitted in multiple slots potentially with different RVID, we need to determine which total number of REs is used. If we literally follow the agreement, the total number of REs over all slots will be used for the TBS calculation. However, this is obviously not the proper choice for coverage extension purpose. Instead, we should clarify that the agreement is not for slot aggregation use case, and for that use case, the total number of REs in one slot should be used in the TBS calculation. When there are multiple slots in the slot aggregation and potentially the number of REs for PDSCH/PUSCH can be different for each slot. We need to decide on which number </w:t>
      </w:r>
      <w:r>
        <w:lastRenderedPageBreak/>
        <w:t>of REs is used for TBS calculation. A few example choices can be, the number of REs in the first slot, the average number of REs in all slots, or the maximum/minimum number of REs in all slots. For simplicity, we propose to use the total number of REs in the first slot for the TBS calculation.</w:t>
      </w:r>
    </w:p>
    <w:p w14:paraId="590306B9" w14:textId="102670ED" w:rsidR="00F577AA" w:rsidRPr="00A31404" w:rsidRDefault="00F577AA" w:rsidP="00F577AA">
      <w:pPr>
        <w:jc w:val="both"/>
        <w:rPr>
          <w:b/>
        </w:rPr>
      </w:pPr>
      <w:bookmarkStart w:id="6" w:name="p21"/>
      <w:r w:rsidRPr="00A31404">
        <w:rPr>
          <w:b/>
        </w:rPr>
        <w:t xml:space="preserve">Proposal </w:t>
      </w:r>
      <w:r w:rsidR="00966907">
        <w:rPr>
          <w:b/>
        </w:rPr>
        <w:t>4</w:t>
      </w:r>
      <w:r w:rsidRPr="00A31404">
        <w:rPr>
          <w:b/>
        </w:rPr>
        <w:t>. In slot aggregation case, the total number of REs in the first slot is used for TBS calculation.</w:t>
      </w:r>
    </w:p>
    <w:bookmarkEnd w:id="5"/>
    <w:bookmarkEnd w:id="6"/>
    <w:p w14:paraId="6425D3ED" w14:textId="77777777" w:rsidR="00F577AA" w:rsidRDefault="00F577AA" w:rsidP="00F577AA">
      <w:pPr>
        <w:jc w:val="both"/>
      </w:pPr>
      <w:r>
        <w:t>TBS size has implication on the LDPC code base graph selection. Per the current agreement</w:t>
      </w:r>
    </w:p>
    <w:p w14:paraId="1A401A72" w14:textId="77777777" w:rsidR="00F577AA" w:rsidRDefault="00F577AA" w:rsidP="00D5100B">
      <w:pPr>
        <w:pStyle w:val="bullet"/>
        <w:spacing w:after="0"/>
        <w:ind w:firstLine="0"/>
        <w:jc w:val="both"/>
      </w:pPr>
      <w:r>
        <w:t>For R</w:t>
      </w:r>
      <w:r w:rsidRPr="000857E0">
        <w:rPr>
          <w:vertAlign w:val="subscript"/>
        </w:rPr>
        <w:t>init</w:t>
      </w:r>
      <w:r>
        <w:t>&lt;=1/4, BG2 will always be used, no matter that TBS is.</w:t>
      </w:r>
    </w:p>
    <w:p w14:paraId="284337BF" w14:textId="77777777" w:rsidR="00F577AA" w:rsidRDefault="00F577AA" w:rsidP="00D5100B">
      <w:pPr>
        <w:pStyle w:val="bullet"/>
        <w:spacing w:after="0"/>
        <w:ind w:firstLine="0"/>
        <w:jc w:val="both"/>
      </w:pPr>
      <w:r>
        <w:t>For R</w:t>
      </w:r>
      <w:r w:rsidRPr="000857E0">
        <w:rPr>
          <w:vertAlign w:val="subscript"/>
        </w:rPr>
        <w:t>init</w:t>
      </w:r>
      <w:r>
        <w:t>&gt;1/4</w:t>
      </w:r>
    </w:p>
    <w:p w14:paraId="35BE53EF" w14:textId="77777777" w:rsidR="00F577AA" w:rsidRDefault="00F577AA" w:rsidP="00D5100B">
      <w:pPr>
        <w:pStyle w:val="bullet"/>
        <w:numPr>
          <w:ilvl w:val="1"/>
          <w:numId w:val="2"/>
        </w:numPr>
        <w:spacing w:after="0"/>
        <w:ind w:left="720" w:firstLine="0"/>
        <w:jc w:val="both"/>
      </w:pPr>
      <w:r>
        <w:t>If TBS&gt;3840, BG1 will be used</w:t>
      </w:r>
    </w:p>
    <w:p w14:paraId="61A6BE7B" w14:textId="77777777" w:rsidR="00F577AA" w:rsidRDefault="00F577AA" w:rsidP="00D5100B">
      <w:pPr>
        <w:pStyle w:val="bullet"/>
        <w:numPr>
          <w:ilvl w:val="1"/>
          <w:numId w:val="2"/>
        </w:numPr>
        <w:spacing w:after="0"/>
        <w:ind w:left="720" w:firstLine="0"/>
        <w:jc w:val="both"/>
      </w:pPr>
      <w:r>
        <w:t xml:space="preserve">If TBS&lt;3840 </w:t>
      </w:r>
    </w:p>
    <w:p w14:paraId="54E65989" w14:textId="77777777" w:rsidR="00F577AA" w:rsidRDefault="00F577AA" w:rsidP="00D5100B">
      <w:pPr>
        <w:pStyle w:val="bullet"/>
        <w:numPr>
          <w:ilvl w:val="2"/>
          <w:numId w:val="2"/>
        </w:numPr>
        <w:spacing w:after="0"/>
        <w:ind w:left="1080" w:firstLine="0"/>
        <w:jc w:val="both"/>
      </w:pPr>
      <w:r>
        <w:t>If R</w:t>
      </w:r>
      <w:r w:rsidRPr="000857E0">
        <w:rPr>
          <w:vertAlign w:val="subscript"/>
        </w:rPr>
        <w:t>init</w:t>
      </w:r>
      <w:r>
        <w:t>&gt;2/3, use BG1</w:t>
      </w:r>
    </w:p>
    <w:p w14:paraId="2405C958" w14:textId="77777777" w:rsidR="00F577AA" w:rsidRDefault="00F577AA" w:rsidP="00D5100B">
      <w:pPr>
        <w:pStyle w:val="bullet"/>
        <w:numPr>
          <w:ilvl w:val="2"/>
          <w:numId w:val="2"/>
        </w:numPr>
        <w:spacing w:after="0"/>
        <w:ind w:left="1080" w:firstLine="0"/>
        <w:jc w:val="both"/>
      </w:pPr>
      <w:r>
        <w:t>If R</w:t>
      </w:r>
      <w:r w:rsidRPr="000857E0">
        <w:rPr>
          <w:vertAlign w:val="subscript"/>
        </w:rPr>
        <w:t>init</w:t>
      </w:r>
      <w:r>
        <w:t>&lt;=2/3, use BG2</w:t>
      </w:r>
    </w:p>
    <w:p w14:paraId="533DF591" w14:textId="77777777" w:rsidR="00D5100B" w:rsidRDefault="00D5100B" w:rsidP="00F577AA">
      <w:pPr>
        <w:jc w:val="both"/>
      </w:pPr>
    </w:p>
    <w:p w14:paraId="0D09F004" w14:textId="3AD9DE9D" w:rsidR="00F577AA" w:rsidRDefault="00F577AA" w:rsidP="00F577AA">
      <w:pPr>
        <w:jc w:val="both"/>
      </w:pPr>
      <w:r>
        <w:t>This can be captured in the next figure.</w:t>
      </w:r>
    </w:p>
    <w:p w14:paraId="51498206" w14:textId="05C8987C" w:rsidR="00F577AA" w:rsidRDefault="00617BFD" w:rsidP="00617BFD">
      <w:pPr>
        <w:keepNext/>
        <w:jc w:val="center"/>
      </w:pPr>
      <w:r>
        <w:object w:dxaOrig="7245" w:dyaOrig="4365" w14:anchorId="1C28E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75pt" o:ole="">
            <v:imagedata r:id="rId17" o:title=""/>
          </v:shape>
          <o:OLEObject Type="Embed" ProgID="Visio.Drawing.11" ShapeID="_x0000_i1025" DrawAspect="Content" ObjectID="_1568489108" r:id="rId18"/>
        </w:object>
      </w:r>
    </w:p>
    <w:p w14:paraId="0C0DFF58" w14:textId="074F223F" w:rsidR="00F577AA" w:rsidRDefault="00F577AA" w:rsidP="00617BFD">
      <w:pPr>
        <w:pStyle w:val="Caption"/>
      </w:pPr>
      <w:r>
        <w:t xml:space="preserve">Figure </w:t>
      </w:r>
      <w:r w:rsidR="00A731CF">
        <w:fldChar w:fldCharType="begin"/>
      </w:r>
      <w:r w:rsidR="00A731CF">
        <w:instrText xml:space="preserve"> SEQ Figure \* ARABIC </w:instrText>
      </w:r>
      <w:r w:rsidR="00A731CF">
        <w:fldChar w:fldCharType="separate"/>
      </w:r>
      <w:r w:rsidR="00F77EC9">
        <w:rPr>
          <w:noProof/>
        </w:rPr>
        <w:t>1</w:t>
      </w:r>
      <w:r w:rsidR="00A731CF">
        <w:rPr>
          <w:noProof/>
        </w:rPr>
        <w:fldChar w:fldCharType="end"/>
      </w:r>
      <w:r>
        <w:t>. BG determination as a function of R</w:t>
      </w:r>
      <w:r w:rsidRPr="000857E0">
        <w:rPr>
          <w:vertAlign w:val="subscript"/>
        </w:rPr>
        <w:t>init</w:t>
      </w:r>
      <w:r>
        <w:t xml:space="preserve"> and TBS</w:t>
      </w:r>
    </w:p>
    <w:p w14:paraId="10097A4F" w14:textId="7E74941B" w:rsidR="00F577AA" w:rsidRDefault="00F577AA" w:rsidP="00F577AA">
      <w:pPr>
        <w:overflowPunct/>
        <w:autoSpaceDE/>
        <w:autoSpaceDN/>
        <w:adjustRightInd/>
        <w:spacing w:after="0"/>
        <w:jc w:val="both"/>
        <w:textAlignment w:val="auto"/>
        <w:rPr>
          <w:rFonts w:eastAsia="Times New Roman"/>
          <w:color w:val="000000" w:themeColor="text1"/>
        </w:rPr>
      </w:pPr>
      <w:r>
        <w:t xml:space="preserve">Here </w:t>
      </w:r>
      <w:r w:rsidRPr="00D853BE">
        <w:rPr>
          <w:rFonts w:eastAsia="Times New Roman"/>
          <w:color w:val="000000" w:themeColor="text1"/>
        </w:rPr>
        <w:t>R</w:t>
      </w:r>
      <w:r w:rsidRPr="00D853BE">
        <w:rPr>
          <w:rFonts w:eastAsia="Times New Roman"/>
          <w:color w:val="000000" w:themeColor="text1"/>
          <w:vertAlign w:val="subscript"/>
        </w:rPr>
        <w:t>init</w:t>
      </w:r>
      <w:r w:rsidRPr="00D853BE">
        <w:rPr>
          <w:rFonts w:eastAsia="Times New Roman"/>
          <w:color w:val="000000" w:themeColor="text1"/>
        </w:rPr>
        <w:t xml:space="preserve"> is the effective code rate at initial transmission of the transport block, taking into account: </w:t>
      </w:r>
    </w:p>
    <w:p w14:paraId="5962C6CB" w14:textId="77777777" w:rsidR="00D5100B" w:rsidRPr="00D853BE" w:rsidRDefault="00D5100B" w:rsidP="00F577AA">
      <w:pPr>
        <w:overflowPunct/>
        <w:autoSpaceDE/>
        <w:autoSpaceDN/>
        <w:adjustRightInd/>
        <w:spacing w:after="0"/>
        <w:jc w:val="both"/>
        <w:textAlignment w:val="auto"/>
        <w:rPr>
          <w:rFonts w:eastAsia="Times New Roman"/>
          <w:color w:val="000000" w:themeColor="text1"/>
          <w:lang w:eastAsia="zh-CN"/>
        </w:rPr>
      </w:pPr>
    </w:p>
    <w:p w14:paraId="56A5EA09" w14:textId="77777777" w:rsidR="00F577AA" w:rsidRPr="00D853BE" w:rsidRDefault="00F577AA" w:rsidP="00D5100B">
      <w:pPr>
        <w:spacing w:after="0"/>
        <w:ind w:left="360"/>
        <w:jc w:val="both"/>
        <w:rPr>
          <w:rFonts w:eastAsiaTheme="minorEastAsia"/>
          <w:color w:val="000000" w:themeColor="text1"/>
        </w:rPr>
      </w:pPr>
      <w:r w:rsidRPr="00D853BE">
        <w:rPr>
          <w:color w:val="000000" w:themeColor="text1"/>
        </w:rPr>
        <w:t>(a)</w:t>
      </w:r>
      <w:r w:rsidRPr="00D853BE">
        <w:rPr>
          <w:color w:val="000000" w:themeColor="text1"/>
          <w:sz w:val="14"/>
          <w:szCs w:val="14"/>
        </w:rPr>
        <w:t xml:space="preserve">    </w:t>
      </w:r>
      <w:r w:rsidRPr="00D853BE">
        <w:rPr>
          <w:color w:val="000000" w:themeColor="text1"/>
        </w:rPr>
        <w:t xml:space="preserve">the nominal code rate, as signaled in or derived based on control information, where the control information is used to schedule the initial transmission of the transport block; and </w:t>
      </w:r>
    </w:p>
    <w:p w14:paraId="36104418" w14:textId="77777777" w:rsidR="00F577AA" w:rsidRPr="00D853BE" w:rsidRDefault="00F577AA" w:rsidP="00D5100B">
      <w:pPr>
        <w:spacing w:after="0"/>
        <w:ind w:left="1080"/>
        <w:jc w:val="both"/>
        <w:rPr>
          <w:color w:val="000000" w:themeColor="text1"/>
        </w:rPr>
      </w:pPr>
      <w:r w:rsidRPr="00D853BE">
        <w:rPr>
          <w:rFonts w:ascii="Wingdings" w:hAnsi="Wingdings"/>
          <w:color w:val="000000" w:themeColor="text1"/>
        </w:rPr>
        <w:t></w:t>
      </w:r>
      <w:r w:rsidRPr="00D853BE">
        <w:rPr>
          <w:color w:val="000000" w:themeColor="text1"/>
          <w:sz w:val="14"/>
          <w:szCs w:val="14"/>
        </w:rPr>
        <w:t xml:space="preserve">  </w:t>
      </w:r>
      <w:r w:rsidRPr="00D853BE">
        <w:rPr>
          <w:color w:val="000000" w:themeColor="text1"/>
        </w:rPr>
        <w:t xml:space="preserve">FFS: details of how the nominal code rate is obtained from the control information </w:t>
      </w:r>
    </w:p>
    <w:p w14:paraId="29112AFB" w14:textId="696C66BE" w:rsidR="00F577AA" w:rsidRDefault="00F577AA" w:rsidP="00D5100B">
      <w:pPr>
        <w:spacing w:after="0"/>
        <w:ind w:left="360"/>
        <w:jc w:val="both"/>
        <w:rPr>
          <w:color w:val="000000" w:themeColor="text1"/>
        </w:rPr>
      </w:pPr>
      <w:r w:rsidRPr="00D853BE">
        <w:rPr>
          <w:color w:val="000000" w:themeColor="text1"/>
        </w:rPr>
        <w:t>(b)</w:t>
      </w:r>
      <w:r w:rsidRPr="00D853BE">
        <w:rPr>
          <w:color w:val="000000" w:themeColor="text1"/>
          <w:sz w:val="14"/>
          <w:szCs w:val="14"/>
        </w:rPr>
        <w:t xml:space="preserve">   </w:t>
      </w:r>
      <w:r w:rsidRPr="00D853BE">
        <w:rPr>
          <w:color w:val="000000" w:themeColor="text1"/>
        </w:rPr>
        <w:t xml:space="preserve">LBRM (if applied) </w:t>
      </w:r>
    </w:p>
    <w:p w14:paraId="7EAE84F9" w14:textId="77777777" w:rsidR="00D5100B" w:rsidRPr="00D853BE" w:rsidRDefault="00D5100B" w:rsidP="00F577AA">
      <w:pPr>
        <w:spacing w:after="0"/>
        <w:ind w:left="360" w:hanging="360"/>
        <w:jc w:val="both"/>
        <w:rPr>
          <w:color w:val="000000" w:themeColor="text1"/>
        </w:rPr>
      </w:pPr>
    </w:p>
    <w:p w14:paraId="12AAA5FE" w14:textId="77777777" w:rsidR="00F577AA" w:rsidRDefault="00F577AA" w:rsidP="00F577AA">
      <w:pPr>
        <w:jc w:val="both"/>
      </w:pPr>
      <w:r>
        <w:t>To determine nominal code rate, for simplicity, it can be directed mapped from MCS in the DCI. However, for slot aggregation case, the MCS typically indicates the modulation order and nominal coding rate for one slot. For slot aggregation, the same TB will be retransmitted in multiple slots, and the coding rate should consider the retransmissions.</w:t>
      </w:r>
    </w:p>
    <w:p w14:paraId="37AECDB3" w14:textId="7B94A0B7" w:rsidR="00F577AA" w:rsidRPr="000857E0" w:rsidRDefault="00F577AA" w:rsidP="00F577AA">
      <w:pPr>
        <w:jc w:val="both"/>
        <w:rPr>
          <w:b/>
        </w:rPr>
      </w:pPr>
      <w:bookmarkStart w:id="7" w:name="p3"/>
      <w:r w:rsidRPr="000857E0">
        <w:rPr>
          <w:b/>
        </w:rPr>
        <w:t xml:space="preserve">Proposal </w:t>
      </w:r>
      <w:r w:rsidR="00216770">
        <w:rPr>
          <w:b/>
        </w:rPr>
        <w:t>5</w:t>
      </w:r>
      <w:r w:rsidRPr="000857E0">
        <w:rPr>
          <w:b/>
        </w:rPr>
        <w:t>. Code rate derived from MCS is used as nominal code rate to determine base graph for LDPC code.</w:t>
      </w:r>
      <w:r>
        <w:rPr>
          <w:b/>
        </w:rPr>
        <w:t xml:space="preserve"> For slot aggregation case, the code rate from MCS is further divided by the number of slots to compute the nominal code rate for base graph determination.</w:t>
      </w:r>
    </w:p>
    <w:bookmarkEnd w:id="7"/>
    <w:p w14:paraId="4816305B" w14:textId="77777777" w:rsidR="00F577AA" w:rsidRDefault="00F577AA" w:rsidP="00F577AA">
      <w:pPr>
        <w:jc w:val="both"/>
      </w:pPr>
      <w:r>
        <w:t xml:space="preserve">In LTE, retransmission with different MCS and resource allocations is supported when the resulting TBS is the same. We consider that as a useful feature to be supported in NR as well. But since we have two base graphs in NR, if the initial transmission and retransmissions end up with same TBS but different BG, the UE decoding will be wrong if the initial transmission grant was not received. To avoid such error case, gNB needs to make sure when scheduling, the retransmission can use different MCS and resource allocation with the same TBS size, but the implied base graph should be the same as the initial transmission. This is a gNB scheduling restriction. </w:t>
      </w:r>
    </w:p>
    <w:p w14:paraId="77E74552" w14:textId="2B3C4F20" w:rsidR="00F577AA" w:rsidRDefault="00F577AA" w:rsidP="00617BFD">
      <w:pPr>
        <w:jc w:val="both"/>
        <w:rPr>
          <w:b/>
        </w:rPr>
      </w:pPr>
      <w:bookmarkStart w:id="8" w:name="p4"/>
      <w:r w:rsidRPr="000857E0">
        <w:rPr>
          <w:b/>
        </w:rPr>
        <w:t xml:space="preserve">Proposal </w:t>
      </w:r>
      <w:r w:rsidR="00216770">
        <w:rPr>
          <w:b/>
        </w:rPr>
        <w:t>6</w:t>
      </w:r>
      <w:r w:rsidRPr="000857E0">
        <w:rPr>
          <w:b/>
        </w:rPr>
        <w:t>. For retransmission, different MCS and resource allocation can be used as long as the resulting TBS is the same. However, the base graph should be maintained to be the same.</w:t>
      </w:r>
      <w:bookmarkEnd w:id="8"/>
    </w:p>
    <w:p w14:paraId="26D12481" w14:textId="4AADA9F3" w:rsidR="00850624" w:rsidRDefault="00440739" w:rsidP="00850624">
      <w:pPr>
        <w:pStyle w:val="Heading1"/>
      </w:pPr>
      <w:r>
        <w:t>Slot aggregation</w:t>
      </w:r>
    </w:p>
    <w:p w14:paraId="035DB6C2" w14:textId="27772B39" w:rsidR="00440739" w:rsidRDefault="00440739" w:rsidP="00440739">
      <w:pPr>
        <w:rPr>
          <w:lang w:val="en-GB"/>
        </w:rPr>
      </w:pPr>
      <w:r>
        <w:rPr>
          <w:lang w:val="en-GB"/>
        </w:rPr>
        <w:t>In the general sense, slot aggregation was agreed to be supported back in RAN1 #86bis:</w:t>
      </w:r>
    </w:p>
    <w:p w14:paraId="046AC990" w14:textId="77777777" w:rsidR="00440739" w:rsidRPr="00DD162C" w:rsidRDefault="00440739" w:rsidP="00440739">
      <w:pPr>
        <w:rPr>
          <w:rFonts w:eastAsia="MS Mincho"/>
          <w:b/>
          <w:u w:val="single"/>
          <w:lang w:eastAsia="ja-JP"/>
        </w:rPr>
      </w:pPr>
      <w:r w:rsidRPr="00D35A7B">
        <w:rPr>
          <w:rFonts w:eastAsia="MS Mincho" w:hint="eastAsia"/>
          <w:b/>
          <w:highlight w:val="green"/>
          <w:u w:val="single"/>
          <w:lang w:eastAsia="ja-JP"/>
        </w:rPr>
        <w:t>Agreements:</w:t>
      </w:r>
    </w:p>
    <w:p w14:paraId="0FC347C5" w14:textId="77777777" w:rsidR="00440739" w:rsidRPr="00E20FF6" w:rsidRDefault="00440739" w:rsidP="00440739">
      <w:pPr>
        <w:numPr>
          <w:ilvl w:val="0"/>
          <w:numId w:val="21"/>
        </w:numPr>
        <w:overflowPunct/>
        <w:autoSpaceDE/>
        <w:autoSpaceDN/>
        <w:adjustRightInd/>
        <w:spacing w:after="0"/>
        <w:textAlignment w:val="auto"/>
        <w:rPr>
          <w:rFonts w:eastAsia="MS Mincho"/>
          <w:lang w:eastAsia="ja-JP"/>
        </w:rPr>
      </w:pPr>
      <w:r>
        <w:rPr>
          <w:rFonts w:eastAsia="MS Mincho" w:hint="eastAsia"/>
          <w:lang w:eastAsia="ja-JP"/>
        </w:rPr>
        <w:lastRenderedPageBreak/>
        <w:t>S</w:t>
      </w:r>
      <w:r w:rsidRPr="00467096">
        <w:rPr>
          <w:rFonts w:eastAsia="MS Mincho"/>
          <w:lang w:eastAsia="ja-JP"/>
        </w:rPr>
        <w:t>lot aggregation</w:t>
      </w:r>
      <w:r>
        <w:rPr>
          <w:rFonts w:eastAsia="MS Mincho"/>
          <w:lang w:eastAsia="ja-JP"/>
        </w:rPr>
        <w:t xml:space="preserve"> is </w:t>
      </w:r>
      <w:r>
        <w:rPr>
          <w:rFonts w:eastAsia="MS Mincho" w:hint="eastAsia"/>
          <w:lang w:eastAsia="ja-JP"/>
        </w:rPr>
        <w:t>supported</w:t>
      </w:r>
    </w:p>
    <w:p w14:paraId="51A51BB8" w14:textId="77777777" w:rsidR="00440739" w:rsidRPr="00D35A7B" w:rsidRDefault="00440739" w:rsidP="00440739">
      <w:pPr>
        <w:numPr>
          <w:ilvl w:val="0"/>
          <w:numId w:val="21"/>
        </w:numPr>
        <w:overflowPunct/>
        <w:autoSpaceDE/>
        <w:autoSpaceDN/>
        <w:adjustRightInd/>
        <w:spacing w:after="0"/>
        <w:textAlignment w:val="auto"/>
        <w:rPr>
          <w:rFonts w:eastAsia="MS Mincho"/>
          <w:lang w:eastAsia="ja-JP"/>
        </w:rPr>
      </w:pPr>
      <w:r>
        <w:rPr>
          <w:rFonts w:eastAsia="MS Mincho" w:hint="eastAsia"/>
          <w:lang w:eastAsia="ja-JP"/>
        </w:rPr>
        <w:t xml:space="preserve">Data transmission can be scheduled to </w:t>
      </w:r>
      <w:r>
        <w:rPr>
          <w:rFonts w:eastAsia="MS Mincho"/>
          <w:lang w:eastAsia="ja-JP"/>
        </w:rPr>
        <w:t>span</w:t>
      </w:r>
      <w:r>
        <w:rPr>
          <w:rFonts w:eastAsia="MS Mincho" w:hint="eastAsia"/>
          <w:lang w:eastAsia="ja-JP"/>
        </w:rPr>
        <w:t xml:space="preserve"> one or multiple slots</w:t>
      </w:r>
    </w:p>
    <w:p w14:paraId="3882C472" w14:textId="1CB83D41" w:rsidR="00440739" w:rsidRDefault="00440739" w:rsidP="00440739">
      <w:pPr>
        <w:rPr>
          <w:lang w:val="en-GB"/>
        </w:rPr>
      </w:pPr>
    </w:p>
    <w:p w14:paraId="6A3FB2B2" w14:textId="6B88A8A9" w:rsidR="00440739" w:rsidRDefault="00440739" w:rsidP="00440739">
      <w:pPr>
        <w:rPr>
          <w:lang w:val="en-GB"/>
        </w:rPr>
      </w:pPr>
      <w:r>
        <w:rPr>
          <w:lang w:val="en-GB"/>
        </w:rPr>
        <w:t xml:space="preserve">There are basically two use cases to be further discussed here, the low rate use case and the </w:t>
      </w:r>
      <w:r w:rsidR="00636223">
        <w:rPr>
          <w:lang w:val="en-GB"/>
        </w:rPr>
        <w:t>high</w:t>
      </w:r>
      <w:r>
        <w:rPr>
          <w:lang w:val="en-GB"/>
        </w:rPr>
        <w:t xml:space="preserve"> rate use case.</w:t>
      </w:r>
    </w:p>
    <w:p w14:paraId="6A7E41D7" w14:textId="3D898E32" w:rsidR="00440739" w:rsidRDefault="00440739" w:rsidP="00440739">
      <w:pPr>
        <w:pStyle w:val="Heading2"/>
      </w:pPr>
      <w:r>
        <w:t>Low rate use cases</w:t>
      </w:r>
    </w:p>
    <w:p w14:paraId="6120DD4B" w14:textId="32A5FCA2" w:rsidR="00440739" w:rsidRDefault="00440739" w:rsidP="00440739">
      <w:pPr>
        <w:rPr>
          <w:lang w:val="en-GB"/>
        </w:rPr>
      </w:pPr>
      <w:r>
        <w:rPr>
          <w:lang w:val="en-GB"/>
        </w:rPr>
        <w:t>In the previous RAN1 NR AdHoc#3 meeting, the following agreement was reached</w:t>
      </w:r>
      <w:r w:rsidR="00365A19">
        <w:rPr>
          <w:lang w:val="en-GB"/>
        </w:rPr>
        <w:t>.</w:t>
      </w:r>
    </w:p>
    <w:p w14:paraId="7A3553A5" w14:textId="10EB59E3" w:rsidR="00440739" w:rsidRPr="00440739" w:rsidRDefault="00440739" w:rsidP="00440739">
      <w:pPr>
        <w:rPr>
          <w:rFonts w:eastAsia="MS Mincho"/>
          <w:b/>
          <w:u w:val="single"/>
          <w:lang w:eastAsia="ja-JP"/>
        </w:rPr>
      </w:pPr>
      <w:r w:rsidRPr="00D35A7B">
        <w:rPr>
          <w:rFonts w:eastAsia="MS Mincho" w:hint="eastAsia"/>
          <w:b/>
          <w:highlight w:val="green"/>
          <w:u w:val="single"/>
          <w:lang w:eastAsia="ja-JP"/>
        </w:rPr>
        <w:t>Agreements:</w:t>
      </w:r>
    </w:p>
    <w:p w14:paraId="4141AD3C" w14:textId="77777777" w:rsidR="00440739" w:rsidRPr="00274F56" w:rsidRDefault="00440739" w:rsidP="00440739">
      <w:pPr>
        <w:numPr>
          <w:ilvl w:val="0"/>
          <w:numId w:val="20"/>
        </w:numPr>
        <w:overflowPunct/>
        <w:autoSpaceDE/>
        <w:autoSpaceDN/>
        <w:adjustRightInd/>
        <w:spacing w:after="0"/>
        <w:textAlignment w:val="auto"/>
        <w:rPr>
          <w:rFonts w:eastAsia="Times New Roman"/>
        </w:rPr>
      </w:pPr>
      <w:r w:rsidRPr="00274F56">
        <w:rPr>
          <w:rFonts w:eastAsia="Times New Roman"/>
        </w:rPr>
        <w:t>For grant-based DL or UL, transmissions where a TB spans multiple slots or mini-slots can be composed of repetitions of the TB</w:t>
      </w:r>
    </w:p>
    <w:p w14:paraId="0F9F9CDC" w14:textId="77777777" w:rsidR="00440739" w:rsidRPr="00274F56" w:rsidRDefault="00440739" w:rsidP="00440739">
      <w:pPr>
        <w:numPr>
          <w:ilvl w:val="1"/>
          <w:numId w:val="20"/>
        </w:numPr>
        <w:overflowPunct/>
        <w:autoSpaceDE/>
        <w:autoSpaceDN/>
        <w:adjustRightInd/>
        <w:spacing w:after="0"/>
        <w:textAlignment w:val="auto"/>
        <w:rPr>
          <w:rFonts w:eastAsia="Times New Roman"/>
        </w:rPr>
      </w:pPr>
      <w:r w:rsidRPr="00274F56">
        <w:rPr>
          <w:rFonts w:eastAsia="Times New Roman"/>
        </w:rPr>
        <w:t xml:space="preserve">The repetitions follow an RV sequence </w:t>
      </w:r>
    </w:p>
    <w:p w14:paraId="79515107" w14:textId="77777777" w:rsidR="00440739" w:rsidRPr="00274F56" w:rsidRDefault="00440739" w:rsidP="00440739">
      <w:pPr>
        <w:numPr>
          <w:ilvl w:val="2"/>
          <w:numId w:val="20"/>
        </w:numPr>
        <w:overflowPunct/>
        <w:autoSpaceDE/>
        <w:autoSpaceDN/>
        <w:adjustRightInd/>
        <w:spacing w:after="0"/>
        <w:textAlignment w:val="auto"/>
        <w:rPr>
          <w:rFonts w:eastAsia="Times New Roman"/>
        </w:rPr>
      </w:pPr>
      <w:r w:rsidRPr="00274F56">
        <w:rPr>
          <w:rFonts w:eastAsia="Times New Roman"/>
        </w:rPr>
        <w:t>FFS how the sequence is defined in specification</w:t>
      </w:r>
    </w:p>
    <w:p w14:paraId="3F9E60B8" w14:textId="77777777" w:rsidR="00440739" w:rsidRPr="00274F56" w:rsidRDefault="00440739" w:rsidP="00440739">
      <w:pPr>
        <w:numPr>
          <w:ilvl w:val="1"/>
          <w:numId w:val="20"/>
        </w:numPr>
        <w:overflowPunct/>
        <w:autoSpaceDE/>
        <w:autoSpaceDN/>
        <w:adjustRightInd/>
        <w:spacing w:after="0"/>
        <w:textAlignment w:val="auto"/>
        <w:rPr>
          <w:rFonts w:eastAsia="Times New Roman"/>
        </w:rPr>
      </w:pPr>
      <w:r w:rsidRPr="00274F56">
        <w:rPr>
          <w:rFonts w:eastAsia="Times New Roman"/>
        </w:rPr>
        <w:t>FFS if there is one repetition of the TB per slot in the case of repetitions using mini-slots</w:t>
      </w:r>
    </w:p>
    <w:p w14:paraId="39F15154" w14:textId="77777777" w:rsidR="00440739" w:rsidRPr="00274F56" w:rsidRDefault="00440739" w:rsidP="00440739">
      <w:pPr>
        <w:numPr>
          <w:ilvl w:val="1"/>
          <w:numId w:val="20"/>
        </w:numPr>
        <w:overflowPunct/>
        <w:autoSpaceDE/>
        <w:autoSpaceDN/>
        <w:adjustRightInd/>
        <w:spacing w:after="0"/>
        <w:textAlignment w:val="auto"/>
        <w:rPr>
          <w:rFonts w:eastAsia="Times New Roman"/>
        </w:rPr>
      </w:pPr>
      <w:r w:rsidRPr="00274F56">
        <w:rPr>
          <w:rFonts w:eastAsia="Times New Roman"/>
        </w:rPr>
        <w:t>FFS for grant-based DL or UL transmissions, if a TB can span multiple slots without repetitions</w:t>
      </w:r>
    </w:p>
    <w:p w14:paraId="285FF806" w14:textId="77777777" w:rsidR="00580284" w:rsidRDefault="00580284" w:rsidP="00850624">
      <w:pPr>
        <w:rPr>
          <w:lang w:val="en-GB"/>
        </w:rPr>
      </w:pPr>
    </w:p>
    <w:p w14:paraId="16C3B1C5" w14:textId="682F05F2" w:rsidR="00850624" w:rsidRDefault="00580284" w:rsidP="00850624">
      <w:pPr>
        <w:rPr>
          <w:lang w:val="en-GB"/>
        </w:rPr>
      </w:pPr>
      <w:r>
        <w:rPr>
          <w:lang w:val="en-GB"/>
        </w:rPr>
        <w:t xml:space="preserve">For the low rate use case, </w:t>
      </w:r>
      <w:r w:rsidR="00850624">
        <w:rPr>
          <w:lang w:val="en-GB"/>
        </w:rPr>
        <w:t>we can compare the results of combining RVs generated from the circular buffer versus the case where a single RV is used to code across the aggregated slots. This is shown in the figure below. Here we see that for point provided, there is good overlap in performance. Note that all RVs (and combined sets of RVs) are subject to repetition when achieving nominal code rates below 1/3, since the LDPC basegraph used in this simulation was basegraph 1 with a minimum effective code rate of 1/3. For basegraph 2, the joint in the performance curves around R=1/3 can be reduced further since code rates of 1/5 are supported.</w:t>
      </w:r>
    </w:p>
    <w:p w14:paraId="6C879733" w14:textId="77777777" w:rsidR="00850624" w:rsidRPr="00EA317A" w:rsidRDefault="00850624" w:rsidP="00850624">
      <w:pPr>
        <w:jc w:val="center"/>
        <w:rPr>
          <w:lang w:val="en-GB"/>
        </w:rPr>
      </w:pPr>
      <w:r>
        <w:rPr>
          <w:noProof/>
        </w:rPr>
        <w:drawing>
          <wp:inline distT="0" distB="0" distL="0" distR="0" wp14:anchorId="7864A38B" wp14:editId="47E3101E">
            <wp:extent cx="5010150" cy="265781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22472" cy="2664348"/>
                    </a:xfrm>
                    <a:prstGeom prst="rect">
                      <a:avLst/>
                    </a:prstGeom>
                  </pic:spPr>
                </pic:pic>
              </a:graphicData>
            </a:graphic>
          </wp:inline>
        </w:drawing>
      </w:r>
    </w:p>
    <w:p w14:paraId="1A1EAC69" w14:textId="05A26837" w:rsidR="00580284" w:rsidRPr="0041251F" w:rsidRDefault="00580284" w:rsidP="00580284">
      <w:pPr>
        <w:rPr>
          <w:lang w:val="en-GB"/>
        </w:rPr>
      </w:pPr>
      <w:r>
        <w:rPr>
          <w:lang w:val="en-GB"/>
        </w:rPr>
        <w:t xml:space="preserve">In the case of slot-based scheduling with IR HARQ, there is always one TB sent per slot. When there are retransmissions, then multiples slots have the same TB with redundancy versions, and the decoder recovers the TB by combining the RVs across the slots. By supporting IR HARQ, this allows the TB to be sent across multiple slots at a lower effective code rate. From an implementation standpoint, it is quite beneficial to re-use this framework to improve link budget with slot aggregation. In such a case, a set of slots would be aggregated by having RVs cycled through the slots for the same TB, without need for NAK to trigger the different RV transmissions. </w:t>
      </w:r>
    </w:p>
    <w:p w14:paraId="1A4E0C58" w14:textId="6C11A3C9" w:rsidR="00580284" w:rsidRDefault="00580284" w:rsidP="00850624">
      <w:pPr>
        <w:rPr>
          <w:lang w:val="en-GB"/>
        </w:rPr>
      </w:pPr>
      <w:r w:rsidRPr="00580284">
        <w:rPr>
          <w:b/>
          <w:u w:val="single"/>
          <w:lang w:val="en-GB"/>
        </w:rPr>
        <w:t>Observation 1:</w:t>
      </w:r>
      <w:r>
        <w:rPr>
          <w:lang w:val="en-GB"/>
        </w:rPr>
        <w:t xml:space="preserve"> Supporting lower code rate through TB repetition provides good hardware re-use with IR-HARQ and negligible loss in performance.</w:t>
      </w:r>
    </w:p>
    <w:p w14:paraId="7BC53540" w14:textId="31194341" w:rsidR="00580284" w:rsidRDefault="00580284" w:rsidP="00850624">
      <w:pPr>
        <w:rPr>
          <w:lang w:val="en-GB"/>
        </w:rPr>
      </w:pPr>
      <w:r>
        <w:rPr>
          <w:lang w:val="en-GB"/>
        </w:rPr>
        <w:t>Additionally, by employing a TB repetition, we have the benefit of self-decodability within each aggregated slot (or mini-slot) since the TB is self-contained within each slot. This can provide further robustness to the system which is not necessarily the case for low rate coding.</w:t>
      </w:r>
    </w:p>
    <w:p w14:paraId="28C0680E" w14:textId="3A820492" w:rsidR="00850624" w:rsidRPr="00B53CAF" w:rsidRDefault="00580284" w:rsidP="00850624">
      <w:pPr>
        <w:rPr>
          <w:b/>
          <w:u w:val="single"/>
          <w:lang w:val="en-GB"/>
        </w:rPr>
      </w:pPr>
      <w:r w:rsidRPr="00580284">
        <w:rPr>
          <w:b/>
          <w:u w:val="single"/>
          <w:lang w:val="en-GB"/>
        </w:rPr>
        <w:t xml:space="preserve">Observation </w:t>
      </w:r>
      <w:r>
        <w:rPr>
          <w:b/>
          <w:u w:val="single"/>
          <w:lang w:val="en-GB"/>
        </w:rPr>
        <w:t>2</w:t>
      </w:r>
      <w:r w:rsidRPr="00580284">
        <w:rPr>
          <w:b/>
          <w:u w:val="single"/>
          <w:lang w:val="en-GB"/>
        </w:rPr>
        <w:t>:</w:t>
      </w:r>
      <w:r>
        <w:rPr>
          <w:lang w:val="en-GB"/>
        </w:rPr>
        <w:t xml:space="preserve"> Supporting lower code rate through TB repetition provides better robustness for the system.</w:t>
      </w:r>
    </w:p>
    <w:p w14:paraId="089736D4" w14:textId="76F90DAD" w:rsidR="0082220E" w:rsidRDefault="00365A19" w:rsidP="00365A19">
      <w:pPr>
        <w:pStyle w:val="Heading2"/>
      </w:pPr>
      <w:r>
        <w:lastRenderedPageBreak/>
        <w:t>High rate use cases</w:t>
      </w:r>
    </w:p>
    <w:p w14:paraId="4B8EA53A" w14:textId="57046186" w:rsidR="00365A19" w:rsidRDefault="00365A19" w:rsidP="00365A19">
      <w:pPr>
        <w:rPr>
          <w:lang w:val="en-GB"/>
        </w:rPr>
      </w:pPr>
      <w:r>
        <w:rPr>
          <w:lang w:val="en-GB"/>
        </w:rPr>
        <w:t xml:space="preserve">In the alternative case, where the data rate with slot aggregation is the same as the peak rate, </w:t>
      </w:r>
      <w:r w:rsidR="00580284">
        <w:rPr>
          <w:lang w:val="en-GB"/>
        </w:rPr>
        <w:t>there can be</w:t>
      </w:r>
      <w:r>
        <w:rPr>
          <w:lang w:val="en-GB"/>
        </w:rPr>
        <w:t xml:space="preserve"> complications TB sizes now scale up with the number of slots which can be aggregated. These larger TB sizes across the same number of HARQ processes provide no appreciable benefit, other than allowing for less ACK bits, although this use case is unclear since peak rate implies that the feedback link also supports a high data or control rate. One drawback of this, is that since a single acknowledgement is only available for an even larger TB, more data is subject to loss from burst interference. Additionally, for a given number of reference HARQ processes, this form of slot aggregation leads to a larger soft buffer </w:t>
      </w:r>
      <w:r w:rsidR="00CF599E">
        <w:rPr>
          <w:lang w:val="en-GB"/>
        </w:rPr>
        <w:t>dimensioning</w:t>
      </w:r>
      <w:r>
        <w:rPr>
          <w:lang w:val="en-GB"/>
        </w:rPr>
        <w:t>.</w:t>
      </w:r>
    </w:p>
    <w:p w14:paraId="03E590A1" w14:textId="6EA6F9B3" w:rsidR="00322E2F" w:rsidRDefault="00580284" w:rsidP="00365A19">
      <w:pPr>
        <w:rPr>
          <w:rFonts w:eastAsia="Times New Roman"/>
        </w:rPr>
      </w:pPr>
      <w:r w:rsidRPr="0041251F">
        <w:rPr>
          <w:b/>
          <w:u w:val="single"/>
          <w:lang w:val="en-GB"/>
        </w:rPr>
        <w:t xml:space="preserve">Proposal </w:t>
      </w:r>
      <w:r>
        <w:rPr>
          <w:b/>
          <w:u w:val="single"/>
          <w:lang w:val="en-GB"/>
        </w:rPr>
        <w:t>1</w:t>
      </w:r>
      <w:r w:rsidRPr="0041251F">
        <w:rPr>
          <w:b/>
          <w:u w:val="single"/>
          <w:lang w:val="en-GB"/>
        </w:rPr>
        <w:t>:</w:t>
      </w:r>
      <w:r>
        <w:rPr>
          <w:lang w:val="en-GB"/>
        </w:rPr>
        <w:t xml:space="preserve"> </w:t>
      </w:r>
      <w:r>
        <w:rPr>
          <w:rFonts w:eastAsia="Times New Roman"/>
        </w:rPr>
        <w:t>F</w:t>
      </w:r>
      <w:r w:rsidRPr="00274F56">
        <w:rPr>
          <w:rFonts w:eastAsia="Times New Roman"/>
        </w:rPr>
        <w:t>or grant-ba</w:t>
      </w:r>
      <w:r>
        <w:rPr>
          <w:rFonts w:eastAsia="Times New Roman"/>
        </w:rPr>
        <w:t xml:space="preserve">sed DL or UL transmissions, NR specification </w:t>
      </w:r>
      <w:r w:rsidR="00CF599E">
        <w:rPr>
          <w:rFonts w:eastAsia="Times New Roman"/>
        </w:rPr>
        <w:t>(</w:t>
      </w:r>
      <w:r>
        <w:rPr>
          <w:rFonts w:eastAsia="Times New Roman"/>
        </w:rPr>
        <w:t>at least for Release 15</w:t>
      </w:r>
      <w:r w:rsidR="00CF599E">
        <w:rPr>
          <w:rFonts w:eastAsia="Times New Roman"/>
        </w:rPr>
        <w:t>)</w:t>
      </w:r>
      <w:r>
        <w:rPr>
          <w:rFonts w:eastAsia="Times New Roman"/>
        </w:rPr>
        <w:t xml:space="preserve"> does not support having a</w:t>
      </w:r>
      <w:r w:rsidRPr="00274F56">
        <w:rPr>
          <w:rFonts w:eastAsia="Times New Roman"/>
        </w:rPr>
        <w:t xml:space="preserve"> TB span</w:t>
      </w:r>
      <w:r>
        <w:rPr>
          <w:rFonts w:eastAsia="Times New Roman"/>
        </w:rPr>
        <w:t>ning</w:t>
      </w:r>
      <w:r w:rsidRPr="00274F56">
        <w:rPr>
          <w:rFonts w:eastAsia="Times New Roman"/>
        </w:rPr>
        <w:t xml:space="preserve"> multiple slots without repetitions</w:t>
      </w:r>
      <w:r>
        <w:rPr>
          <w:rFonts w:eastAsia="Times New Roman"/>
        </w:rPr>
        <w:t xml:space="preserve">. Every TB must be </w:t>
      </w:r>
      <w:r w:rsidR="00CF599E">
        <w:rPr>
          <w:rFonts w:eastAsia="Times New Roman"/>
        </w:rPr>
        <w:t>contain</w:t>
      </w:r>
      <w:r w:rsidR="0009178E">
        <w:rPr>
          <w:rFonts w:eastAsia="Times New Roman"/>
        </w:rPr>
        <w:t>able</w:t>
      </w:r>
      <w:r w:rsidR="00CF599E">
        <w:rPr>
          <w:rFonts w:eastAsia="Times New Roman"/>
        </w:rPr>
        <w:t xml:space="preserve"> within a slot.</w:t>
      </w:r>
    </w:p>
    <w:p w14:paraId="16C63414" w14:textId="15194911" w:rsidR="00322E2F" w:rsidRPr="00322E2F" w:rsidRDefault="00322E2F" w:rsidP="00365A19">
      <w:pPr>
        <w:rPr>
          <w:rFonts w:eastAsia="Times New Roman"/>
        </w:rPr>
      </w:pPr>
      <w:r>
        <w:rPr>
          <w:rFonts w:eastAsia="Times New Roman"/>
        </w:rPr>
        <w:t xml:space="preserve">Finally, there is also the potential for a having a single TB per slot, but then having one scheduling grant indicate the transmission parameters for multiple TBs across multiple slots. </w:t>
      </w:r>
      <w:r w:rsidR="005D493A">
        <w:rPr>
          <w:rFonts w:eastAsia="Times New Roman"/>
        </w:rPr>
        <w:t>It is unclear whether this needs to be supported, given there will be CORESET reuse for PDSCH and narrowband PDCCH allocation when operating at the peak rate. The overhead savings may not warrant the complexity.</w:t>
      </w:r>
    </w:p>
    <w:p w14:paraId="7E5B5299" w14:textId="77777777" w:rsidR="00F577AA" w:rsidRDefault="00F577AA" w:rsidP="00F577AA">
      <w:pPr>
        <w:pStyle w:val="Heading1"/>
        <w:ind w:left="360" w:hanging="360"/>
        <w:rPr>
          <w:rStyle w:val="Style1Char"/>
        </w:rPr>
      </w:pPr>
      <w:r>
        <w:rPr>
          <w:rStyle w:val="Style1Char"/>
        </w:rPr>
        <w:t>Conclusions</w:t>
      </w:r>
    </w:p>
    <w:p w14:paraId="107CA282" w14:textId="72D2471A" w:rsidR="00F577AA" w:rsidRDefault="00F577AA" w:rsidP="00F577AA">
      <w:pPr>
        <w:rPr>
          <w:lang w:val="en-GB"/>
        </w:rPr>
      </w:pPr>
      <w:r>
        <w:rPr>
          <w:lang w:val="en-GB"/>
        </w:rPr>
        <w:t xml:space="preserve">On </w:t>
      </w:r>
      <w:r w:rsidRPr="006271BC">
        <w:rPr>
          <w:b/>
          <w:lang w:val="en-GB"/>
        </w:rPr>
        <w:t>VRB to PRB mapping</w:t>
      </w:r>
      <w:r>
        <w:rPr>
          <w:lang w:val="en-GB"/>
        </w:rPr>
        <w:t>, we have the following</w:t>
      </w:r>
      <w:r w:rsidR="006271BC">
        <w:rPr>
          <w:lang w:val="en-GB"/>
        </w:rPr>
        <w:t xml:space="preserve"> observations and</w:t>
      </w:r>
      <w:r>
        <w:rPr>
          <w:lang w:val="en-GB"/>
        </w:rPr>
        <w:t xml:space="preserve"> proposals:</w:t>
      </w:r>
    </w:p>
    <w:p w14:paraId="1873107F" w14:textId="4F901419" w:rsidR="00F577AA" w:rsidRPr="00216770" w:rsidRDefault="006271BC" w:rsidP="00084E73">
      <w:pPr>
        <w:shd w:val="clear" w:color="auto" w:fill="FFFFFF"/>
        <w:spacing w:before="100" w:beforeAutospacing="1" w:after="100" w:afterAutospacing="1"/>
        <w:ind w:left="720"/>
        <w:rPr>
          <w:b/>
        </w:rPr>
      </w:pPr>
      <w:r w:rsidRPr="00216770">
        <w:rPr>
          <w:b/>
        </w:rPr>
        <w:t>Observation 1: Depending on the allocation, MCS and rank, the number of codeblocks for NR may be up to approximately 11 codeblocks per OFDM symbol.</w:t>
      </w:r>
    </w:p>
    <w:p w14:paraId="1DB86E4B" w14:textId="77777777" w:rsidR="006271BC" w:rsidRPr="00216770" w:rsidRDefault="006271BC" w:rsidP="00084E73">
      <w:pPr>
        <w:shd w:val="clear" w:color="auto" w:fill="FFFFFF"/>
        <w:spacing w:before="100" w:beforeAutospacing="1" w:after="100" w:afterAutospacing="1"/>
        <w:ind w:left="720"/>
        <w:jc w:val="both"/>
        <w:rPr>
          <w:b/>
        </w:rPr>
      </w:pPr>
      <w:r w:rsidRPr="00216770">
        <w:rPr>
          <w:b/>
        </w:rPr>
        <w:t xml:space="preserve">Observation 2: In regimes of high spectral efficiency, an interleaved VRB-to-PRB mapping using a PRG-based granularity may provide multi-dB performance gains over a non-interleaved PRB mapping. </w:t>
      </w:r>
    </w:p>
    <w:p w14:paraId="4EA27B1B" w14:textId="23762400" w:rsidR="00D16BAE" w:rsidRPr="00866D2F" w:rsidRDefault="00001B47" w:rsidP="00866D2F">
      <w:pPr>
        <w:shd w:val="clear" w:color="auto" w:fill="FFFFFF"/>
        <w:spacing w:before="100" w:beforeAutospacing="1" w:after="100" w:afterAutospacing="1"/>
        <w:ind w:left="720"/>
        <w:jc w:val="both"/>
        <w:rPr>
          <w:b/>
        </w:rPr>
      </w:pPr>
      <w:r w:rsidRPr="00001B47">
        <w:rPr>
          <w:b/>
        </w:rPr>
        <w:t>Proposal 1: NR supports an interleaved VRB-to-PRB mapping on a PRG-based granularity for the PDSCH and PUSCH resource allocation with the following properties: (1) narrow-band allocations are distributed across the supported bandwidth with PRG-based granularity, and (2) wide-band allocations in which CBs spanning adjacently encoded REs in the VRB domain are distributed across the supported bandwidth in the PRB domain with</w:t>
      </w:r>
      <w:r>
        <w:rPr>
          <w:b/>
        </w:rPr>
        <w:t xml:space="preserve"> the same PRG-based granularity</w:t>
      </w:r>
      <w:r w:rsidR="006271BC" w:rsidRPr="00216770">
        <w:rPr>
          <w:b/>
        </w:rPr>
        <w:t>.</w:t>
      </w:r>
    </w:p>
    <w:p w14:paraId="447A4AD5" w14:textId="5A3225E1" w:rsidR="00F577AA" w:rsidRDefault="006271BC" w:rsidP="00F577AA">
      <w:pPr>
        <w:jc w:val="both"/>
        <w:rPr>
          <w:lang w:val="en-GB"/>
        </w:rPr>
      </w:pPr>
      <w:r>
        <w:rPr>
          <w:lang w:val="en-GB"/>
        </w:rPr>
        <w:t>On</w:t>
      </w:r>
      <w:r w:rsidR="00F577AA">
        <w:rPr>
          <w:lang w:val="en-GB"/>
        </w:rPr>
        <w:t xml:space="preserve"> </w:t>
      </w:r>
      <w:r w:rsidR="00F577AA" w:rsidRPr="006271BC">
        <w:rPr>
          <w:b/>
          <w:lang w:val="en-GB"/>
        </w:rPr>
        <w:t>TBS determination</w:t>
      </w:r>
      <w:r w:rsidR="00F577AA">
        <w:rPr>
          <w:lang w:val="en-GB"/>
        </w:rPr>
        <w:t>, we have the following proposals:</w:t>
      </w:r>
    </w:p>
    <w:p w14:paraId="4733455C" w14:textId="77777777" w:rsidR="00F77EC9" w:rsidRPr="009C6DAC" w:rsidRDefault="00F577AA" w:rsidP="00F77EC9">
      <w:pPr>
        <w:ind w:left="720"/>
        <w:jc w:val="both"/>
        <w:rPr>
          <w:b/>
        </w:rPr>
      </w:pPr>
      <w:r>
        <w:rPr>
          <w:lang w:val="en-GB"/>
        </w:rPr>
        <w:fldChar w:fldCharType="begin"/>
      </w:r>
      <w:r>
        <w:rPr>
          <w:lang w:val="en-GB"/>
        </w:rPr>
        <w:instrText xml:space="preserve"> REF p1 \h  \* MERGEFORMAT </w:instrText>
      </w:r>
      <w:r>
        <w:rPr>
          <w:lang w:val="en-GB"/>
        </w:rPr>
      </w:r>
      <w:r>
        <w:rPr>
          <w:lang w:val="en-GB"/>
        </w:rPr>
        <w:fldChar w:fldCharType="separate"/>
      </w:r>
      <w:r w:rsidR="00F77EC9" w:rsidRPr="009C6DAC">
        <w:rPr>
          <w:b/>
        </w:rPr>
        <w:t xml:space="preserve">Proposal </w:t>
      </w:r>
      <w:r w:rsidR="00F77EC9">
        <w:rPr>
          <w:b/>
          <w:noProof/>
        </w:rPr>
        <w:t>2</w:t>
      </w:r>
      <w:r w:rsidR="00F77EC9" w:rsidRPr="009C6DAC">
        <w:rPr>
          <w:b/>
          <w:noProof/>
        </w:rPr>
        <w:t>.</w:t>
      </w:r>
      <w:r w:rsidR="00F77EC9" w:rsidRPr="009C6DAC">
        <w:rPr>
          <w:b/>
        </w:rPr>
        <w:t xml:space="preserve"> For TBS determination for PDSCH/PUSCH, use </w:t>
      </w:r>
      <w:r w:rsidR="00F77EC9">
        <w:rPr>
          <w:b/>
        </w:rPr>
        <w:t>a configurable reference</w:t>
      </w:r>
      <w:r w:rsidR="00F77EC9" w:rsidRPr="009C6DAC">
        <w:rPr>
          <w:b/>
        </w:rPr>
        <w:t xml:space="preserve"> number of REs available for PDSCH/PUSCH</w:t>
      </w:r>
      <w:r w:rsidR="00F77EC9">
        <w:rPr>
          <w:b/>
        </w:rPr>
        <w:t xml:space="preserve"> per RB.</w:t>
      </w:r>
    </w:p>
    <w:p w14:paraId="253673DB" w14:textId="77777777" w:rsidR="00F77EC9" w:rsidRPr="00E632B7" w:rsidRDefault="00F577AA" w:rsidP="00F77EC9">
      <w:pPr>
        <w:ind w:left="720"/>
        <w:jc w:val="both"/>
        <w:rPr>
          <w:b/>
        </w:rPr>
      </w:pPr>
      <w:r>
        <w:rPr>
          <w:lang w:val="en-GB"/>
        </w:rPr>
        <w:fldChar w:fldCharType="end"/>
      </w:r>
      <w:r>
        <w:rPr>
          <w:lang w:val="en-GB"/>
        </w:rPr>
        <w:fldChar w:fldCharType="begin"/>
      </w:r>
      <w:r>
        <w:rPr>
          <w:lang w:val="en-GB"/>
        </w:rPr>
        <w:instrText xml:space="preserve"> REF p2 \h  \* MERGEFORMAT </w:instrText>
      </w:r>
      <w:r>
        <w:rPr>
          <w:lang w:val="en-GB"/>
        </w:rPr>
      </w:r>
      <w:r>
        <w:rPr>
          <w:lang w:val="en-GB"/>
        </w:rPr>
        <w:fldChar w:fldCharType="separate"/>
      </w:r>
      <w:r w:rsidR="00F77EC9" w:rsidRPr="00E632B7">
        <w:rPr>
          <w:b/>
        </w:rPr>
        <w:t xml:space="preserve">Proposal </w:t>
      </w:r>
      <w:r w:rsidR="00F77EC9">
        <w:rPr>
          <w:b/>
          <w:noProof/>
        </w:rPr>
        <w:t>3</w:t>
      </w:r>
      <w:r w:rsidR="00F77EC9" w:rsidRPr="00E632B7">
        <w:rPr>
          <w:b/>
          <w:noProof/>
        </w:rPr>
        <w:t>.</w:t>
      </w:r>
      <w:r w:rsidR="00F77EC9" w:rsidRPr="00E632B7">
        <w:rPr>
          <w:b/>
        </w:rPr>
        <w:t xml:space="preserve"> For TBS determination, TBS is computed as TBS=floor(P/S)×S, where P= floor(N×L×M×R), and M is modulation order from MCS, R is coding rate from MCS, L is number of spatial layers from DCI, and N is </w:t>
      </w:r>
      <w:r w:rsidR="00F77EC9">
        <w:rPr>
          <w:b/>
        </w:rPr>
        <w:t xml:space="preserve">the reference </w:t>
      </w:r>
      <w:r w:rsidR="00F77EC9" w:rsidRPr="00E632B7">
        <w:rPr>
          <w:b/>
        </w:rPr>
        <w:t>number of REs used for PDSCH/PUSCH.</w:t>
      </w:r>
    </w:p>
    <w:p w14:paraId="791B8BF7" w14:textId="77777777" w:rsidR="00F77EC9" w:rsidRPr="00A31404" w:rsidRDefault="00F577AA" w:rsidP="00F77EC9">
      <w:pPr>
        <w:ind w:left="720"/>
        <w:jc w:val="both"/>
        <w:rPr>
          <w:b/>
        </w:rPr>
      </w:pPr>
      <w:r>
        <w:rPr>
          <w:lang w:val="en-GB"/>
        </w:rPr>
        <w:fldChar w:fldCharType="end"/>
      </w:r>
      <w:r>
        <w:rPr>
          <w:lang w:val="en-GB"/>
        </w:rPr>
        <w:fldChar w:fldCharType="begin"/>
      </w:r>
      <w:r>
        <w:rPr>
          <w:lang w:val="en-GB"/>
        </w:rPr>
        <w:instrText xml:space="preserve"> REF p21 \h  \* MERGEFORMAT </w:instrText>
      </w:r>
      <w:r>
        <w:rPr>
          <w:lang w:val="en-GB"/>
        </w:rPr>
      </w:r>
      <w:r>
        <w:rPr>
          <w:lang w:val="en-GB"/>
        </w:rPr>
        <w:fldChar w:fldCharType="separate"/>
      </w:r>
      <w:r w:rsidR="00F77EC9" w:rsidRPr="00A31404">
        <w:rPr>
          <w:b/>
        </w:rPr>
        <w:t xml:space="preserve">Proposal </w:t>
      </w:r>
      <w:r w:rsidR="00F77EC9">
        <w:rPr>
          <w:b/>
          <w:noProof/>
        </w:rPr>
        <w:t>4</w:t>
      </w:r>
      <w:r w:rsidR="00F77EC9" w:rsidRPr="00A31404">
        <w:rPr>
          <w:b/>
          <w:noProof/>
        </w:rPr>
        <w:t>.</w:t>
      </w:r>
      <w:r w:rsidR="00F77EC9" w:rsidRPr="00A31404">
        <w:rPr>
          <w:b/>
        </w:rPr>
        <w:t xml:space="preserve"> In slot aggregation case, the total number of REs in the first slot is used for TBS calculation.</w:t>
      </w:r>
    </w:p>
    <w:p w14:paraId="0A129C51" w14:textId="77777777" w:rsidR="00F77EC9" w:rsidRPr="000857E0" w:rsidRDefault="00F577AA" w:rsidP="00F77EC9">
      <w:pPr>
        <w:ind w:left="720"/>
        <w:jc w:val="both"/>
        <w:rPr>
          <w:b/>
        </w:rPr>
      </w:pPr>
      <w:r>
        <w:rPr>
          <w:lang w:val="en-GB"/>
        </w:rPr>
        <w:fldChar w:fldCharType="end"/>
      </w:r>
      <w:r>
        <w:rPr>
          <w:lang w:val="en-GB"/>
        </w:rPr>
        <w:fldChar w:fldCharType="begin"/>
      </w:r>
      <w:r>
        <w:rPr>
          <w:lang w:val="en-GB"/>
        </w:rPr>
        <w:instrText xml:space="preserve"> REF p3 \h  \* MERGEFORMAT </w:instrText>
      </w:r>
      <w:r>
        <w:rPr>
          <w:lang w:val="en-GB"/>
        </w:rPr>
      </w:r>
      <w:r>
        <w:rPr>
          <w:lang w:val="en-GB"/>
        </w:rPr>
        <w:fldChar w:fldCharType="separate"/>
      </w:r>
      <w:r w:rsidR="00F77EC9" w:rsidRPr="000857E0">
        <w:rPr>
          <w:b/>
        </w:rPr>
        <w:t xml:space="preserve">Proposal </w:t>
      </w:r>
      <w:r w:rsidR="00F77EC9">
        <w:rPr>
          <w:b/>
          <w:noProof/>
        </w:rPr>
        <w:t>5</w:t>
      </w:r>
      <w:r w:rsidR="00F77EC9" w:rsidRPr="000857E0">
        <w:rPr>
          <w:b/>
          <w:noProof/>
        </w:rPr>
        <w:t>.</w:t>
      </w:r>
      <w:r w:rsidR="00F77EC9" w:rsidRPr="000857E0">
        <w:rPr>
          <w:b/>
        </w:rPr>
        <w:t xml:space="preserve"> Code rate derived from MCS is used as nominal code rate to determine base graph for LDPC code.</w:t>
      </w:r>
      <w:r w:rsidR="00F77EC9">
        <w:rPr>
          <w:b/>
        </w:rPr>
        <w:t xml:space="preserve"> For slot aggregation case, the code rate from MCS is further divided by the number of slots to compute the nominal code rate for base graph determination.</w:t>
      </w:r>
    </w:p>
    <w:p w14:paraId="169ED6AD" w14:textId="61D36441" w:rsidR="005D493A" w:rsidRDefault="00F577AA" w:rsidP="005D493A">
      <w:pPr>
        <w:ind w:left="720"/>
        <w:rPr>
          <w:rStyle w:val="Style1Char"/>
        </w:rPr>
      </w:pPr>
      <w:r>
        <w:rPr>
          <w:lang w:val="en-GB"/>
        </w:rPr>
        <w:fldChar w:fldCharType="end"/>
      </w:r>
      <w:r>
        <w:rPr>
          <w:lang w:val="en-GB"/>
        </w:rPr>
        <w:fldChar w:fldCharType="begin"/>
      </w:r>
      <w:r>
        <w:rPr>
          <w:lang w:val="en-GB"/>
        </w:rPr>
        <w:instrText xml:space="preserve"> REF p4 \h  \* MERGEFORMAT </w:instrText>
      </w:r>
      <w:r>
        <w:rPr>
          <w:lang w:val="en-GB"/>
        </w:rPr>
      </w:r>
      <w:r>
        <w:rPr>
          <w:lang w:val="en-GB"/>
        </w:rPr>
        <w:fldChar w:fldCharType="separate"/>
      </w:r>
      <w:r w:rsidR="00F77EC9" w:rsidRPr="000857E0">
        <w:rPr>
          <w:b/>
        </w:rPr>
        <w:t xml:space="preserve">Proposal </w:t>
      </w:r>
      <w:r w:rsidR="00F77EC9">
        <w:rPr>
          <w:b/>
          <w:noProof/>
        </w:rPr>
        <w:t>6</w:t>
      </w:r>
      <w:r w:rsidR="00F77EC9" w:rsidRPr="000857E0">
        <w:rPr>
          <w:b/>
          <w:noProof/>
        </w:rPr>
        <w:t>.</w:t>
      </w:r>
      <w:r w:rsidR="00F77EC9" w:rsidRPr="000857E0">
        <w:rPr>
          <w:b/>
        </w:rPr>
        <w:t xml:space="preserve"> For retransmission, different MCS and resource allocation can be used as long as the resulting TBS is the same. However, the base graph should be maintained to be the same.</w:t>
      </w:r>
      <w:r>
        <w:fldChar w:fldCharType="end"/>
      </w:r>
      <w:r w:rsidRPr="00A27BBB">
        <w:rPr>
          <w:rStyle w:val="Style1Char"/>
        </w:rPr>
        <w:t xml:space="preserve"> </w:t>
      </w:r>
    </w:p>
    <w:p w14:paraId="7E4CAEB4" w14:textId="27DB0007" w:rsidR="005D493A" w:rsidRDefault="005D493A" w:rsidP="005D493A">
      <w:pPr>
        <w:jc w:val="both"/>
        <w:rPr>
          <w:lang w:val="en-GB"/>
        </w:rPr>
      </w:pPr>
      <w:r>
        <w:rPr>
          <w:lang w:val="en-GB"/>
        </w:rPr>
        <w:t xml:space="preserve">On </w:t>
      </w:r>
      <w:r>
        <w:rPr>
          <w:b/>
          <w:lang w:val="en-GB"/>
        </w:rPr>
        <w:t>Slot aggregation</w:t>
      </w:r>
      <w:r>
        <w:rPr>
          <w:lang w:val="en-GB"/>
        </w:rPr>
        <w:t>, we have the following observations and proposals:</w:t>
      </w:r>
    </w:p>
    <w:p w14:paraId="05BA00BC" w14:textId="64F44917" w:rsidR="005D493A" w:rsidRPr="005D493A" w:rsidRDefault="005D493A" w:rsidP="005D493A">
      <w:pPr>
        <w:ind w:left="720"/>
        <w:rPr>
          <w:rStyle w:val="Style1Char"/>
          <w:b/>
        </w:rPr>
      </w:pPr>
      <w:r w:rsidRPr="005D493A">
        <w:rPr>
          <w:b/>
          <w:lang w:val="en-GB"/>
        </w:rPr>
        <w:t>Proposal 1: For grant-based DL or UL transmissions, NR specification (at least for Release 15) does not support having a TB spanning multiple slots without repetitions. Every TB must be containable within a slot.</w:t>
      </w:r>
    </w:p>
    <w:p w14:paraId="160C8FAF" w14:textId="7DA25110" w:rsidR="00F577AA" w:rsidRDefault="00F577AA" w:rsidP="00F577AA">
      <w:pPr>
        <w:pStyle w:val="Heading1"/>
        <w:ind w:left="360" w:hanging="360"/>
        <w:jc w:val="both"/>
        <w:rPr>
          <w:rStyle w:val="Style1Char"/>
        </w:rPr>
      </w:pPr>
      <w:r>
        <w:rPr>
          <w:rStyle w:val="Style1Char"/>
        </w:rPr>
        <w:lastRenderedPageBreak/>
        <w:t>References</w:t>
      </w:r>
    </w:p>
    <w:p w14:paraId="7AF0DE2C" w14:textId="70667CE1" w:rsidR="00F577AA" w:rsidRDefault="00F577AA" w:rsidP="00F577AA">
      <w:pPr>
        <w:numPr>
          <w:ilvl w:val="0"/>
          <w:numId w:val="3"/>
        </w:numPr>
        <w:spacing w:before="100" w:beforeAutospacing="1" w:after="100" w:afterAutospacing="1"/>
        <w:ind w:left="562" w:hanging="562"/>
        <w:rPr>
          <w:rFonts w:eastAsia="Times New Roman"/>
          <w:lang w:val="en-GB"/>
        </w:rPr>
      </w:pPr>
      <w:bookmarkStart w:id="9" w:name="_Ref474112695"/>
      <w:r w:rsidRPr="00084E73">
        <w:rPr>
          <w:rFonts w:eastAsia="Times New Roman"/>
          <w:lang w:val="en-GB"/>
        </w:rPr>
        <w:t>Chairman’s Notes, RAN1 #90, August 2017, Prague, Czech.</w:t>
      </w:r>
      <w:bookmarkEnd w:id="9"/>
    </w:p>
    <w:p w14:paraId="0117461B" w14:textId="30A3906D" w:rsidR="00C77113" w:rsidRDefault="000C4A20" w:rsidP="00F577AA">
      <w:pPr>
        <w:numPr>
          <w:ilvl w:val="0"/>
          <w:numId w:val="3"/>
        </w:numPr>
        <w:spacing w:before="100" w:beforeAutospacing="1" w:after="100" w:afterAutospacing="1"/>
        <w:ind w:left="562" w:hanging="562"/>
        <w:rPr>
          <w:rFonts w:eastAsia="Times New Roman"/>
          <w:lang w:val="en-GB"/>
        </w:rPr>
      </w:pPr>
      <w:r w:rsidRPr="00084E73">
        <w:rPr>
          <w:rFonts w:eastAsia="Times New Roman"/>
          <w:lang w:val="en-GB"/>
        </w:rPr>
        <w:t>Chairman’s Notes, RAN1 #</w:t>
      </w:r>
      <w:r>
        <w:rPr>
          <w:rFonts w:eastAsia="Times New Roman"/>
          <w:lang w:val="en-GB"/>
        </w:rPr>
        <w:t>89</w:t>
      </w:r>
      <w:r w:rsidRPr="00084E73">
        <w:rPr>
          <w:rFonts w:eastAsia="Times New Roman"/>
          <w:lang w:val="en-GB"/>
        </w:rPr>
        <w:t>,</w:t>
      </w:r>
      <w:r>
        <w:rPr>
          <w:rFonts w:eastAsia="Times New Roman"/>
          <w:lang w:val="en-GB"/>
        </w:rPr>
        <w:t xml:space="preserve"> May</w:t>
      </w:r>
      <w:r w:rsidRPr="00084E73">
        <w:rPr>
          <w:rFonts w:eastAsia="Times New Roman"/>
          <w:lang w:val="en-GB"/>
        </w:rPr>
        <w:t xml:space="preserve"> 2017, </w:t>
      </w:r>
      <w:r>
        <w:rPr>
          <w:rFonts w:eastAsia="Times New Roman"/>
          <w:lang w:val="en-GB"/>
        </w:rPr>
        <w:t>Hangzhou</w:t>
      </w:r>
      <w:r w:rsidRPr="00084E73">
        <w:rPr>
          <w:rFonts w:eastAsia="Times New Roman"/>
          <w:lang w:val="en-GB"/>
        </w:rPr>
        <w:t xml:space="preserve">, </w:t>
      </w:r>
      <w:r>
        <w:rPr>
          <w:rFonts w:eastAsia="Times New Roman"/>
          <w:lang w:val="en-GB"/>
        </w:rPr>
        <w:t>China</w:t>
      </w:r>
      <w:r w:rsidRPr="00084E73">
        <w:rPr>
          <w:rFonts w:eastAsia="Times New Roman"/>
          <w:lang w:val="en-GB"/>
        </w:rPr>
        <w:t>.</w:t>
      </w:r>
    </w:p>
    <w:p w14:paraId="0DE87CE3" w14:textId="57188350" w:rsidR="00440739" w:rsidRDefault="00440739" w:rsidP="00F577AA">
      <w:pPr>
        <w:numPr>
          <w:ilvl w:val="0"/>
          <w:numId w:val="3"/>
        </w:numPr>
        <w:spacing w:before="100" w:beforeAutospacing="1" w:after="100" w:afterAutospacing="1"/>
        <w:ind w:left="562" w:hanging="562"/>
        <w:rPr>
          <w:rFonts w:eastAsia="Times New Roman"/>
          <w:lang w:val="en-GB"/>
        </w:rPr>
      </w:pPr>
      <w:r>
        <w:rPr>
          <w:rFonts w:eastAsia="Times New Roman"/>
          <w:lang w:val="en-GB"/>
        </w:rPr>
        <w:t>Chairman’s Notes, RAN1 #86bis, October 2016, Lisbon, Portugal.</w:t>
      </w:r>
    </w:p>
    <w:p w14:paraId="62727F22" w14:textId="2C3E1FBF" w:rsidR="00440739" w:rsidRPr="00440739" w:rsidRDefault="00440739" w:rsidP="00440739">
      <w:pPr>
        <w:numPr>
          <w:ilvl w:val="0"/>
          <w:numId w:val="3"/>
        </w:numPr>
        <w:spacing w:before="100" w:beforeAutospacing="1" w:after="100" w:afterAutospacing="1"/>
        <w:ind w:left="562" w:hanging="562"/>
        <w:rPr>
          <w:rFonts w:eastAsia="Times New Roman"/>
          <w:lang w:val="en-GB"/>
        </w:rPr>
      </w:pPr>
      <w:r>
        <w:rPr>
          <w:rFonts w:eastAsia="Times New Roman"/>
          <w:lang w:val="en-GB"/>
        </w:rPr>
        <w:t>Chairman’s Notes, RAN1 NR AdHoc #3, October 2017, Nagoya, Japan.</w:t>
      </w:r>
    </w:p>
    <w:sectPr w:rsidR="00440739" w:rsidRPr="00440739"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68D10" w14:textId="77777777" w:rsidR="00A731CF" w:rsidRDefault="00A731CF">
      <w:r>
        <w:separator/>
      </w:r>
    </w:p>
  </w:endnote>
  <w:endnote w:type="continuationSeparator" w:id="0">
    <w:p w14:paraId="31F626B7" w14:textId="77777777" w:rsidR="00A731CF" w:rsidRDefault="00A731CF">
      <w:r>
        <w:continuationSeparator/>
      </w:r>
    </w:p>
  </w:endnote>
  <w:endnote w:type="continuationNotice" w:id="1">
    <w:p w14:paraId="3EFADBC9" w14:textId="77777777" w:rsidR="00A731CF" w:rsidRDefault="00A73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D860597"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355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355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1348D" w14:textId="77777777" w:rsidR="00A731CF" w:rsidRDefault="00A731CF">
      <w:r>
        <w:separator/>
      </w:r>
    </w:p>
  </w:footnote>
  <w:footnote w:type="continuationSeparator" w:id="0">
    <w:p w14:paraId="44BA2EEF" w14:textId="77777777" w:rsidR="00A731CF" w:rsidRDefault="00A731CF">
      <w:r>
        <w:continuationSeparator/>
      </w:r>
    </w:p>
  </w:footnote>
  <w:footnote w:type="continuationNotice" w:id="1">
    <w:p w14:paraId="71FA8281" w14:textId="77777777" w:rsidR="00A731CF" w:rsidRDefault="00A73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6441D"/>
    <w:multiLevelType w:val="hybridMultilevel"/>
    <w:tmpl w:val="663ED4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8845036">
      <w:start w:val="4"/>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70103E"/>
    <w:multiLevelType w:val="hybridMultilevel"/>
    <w:tmpl w:val="8C36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C17E5"/>
    <w:multiLevelType w:val="hybridMultilevel"/>
    <w:tmpl w:val="D0D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6"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4C2A69"/>
    <w:multiLevelType w:val="hybridMultilevel"/>
    <w:tmpl w:val="5950D9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97B1FE7"/>
    <w:multiLevelType w:val="multilevel"/>
    <w:tmpl w:val="5B02CCA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790F2C"/>
    <w:multiLevelType w:val="hybridMultilevel"/>
    <w:tmpl w:val="6CE05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E769C7"/>
    <w:multiLevelType w:val="hybridMultilevel"/>
    <w:tmpl w:val="87265796"/>
    <w:lvl w:ilvl="0" w:tplc="53AAFDFC">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6D6D11"/>
    <w:multiLevelType w:val="hybridMultilevel"/>
    <w:tmpl w:val="E87C84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EC22E5"/>
    <w:multiLevelType w:val="hybridMultilevel"/>
    <w:tmpl w:val="BA7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1D5786C"/>
    <w:multiLevelType w:val="hybridMultilevel"/>
    <w:tmpl w:val="22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B63D8"/>
    <w:multiLevelType w:val="hybridMultilevel"/>
    <w:tmpl w:val="A99C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8329C3"/>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101168"/>
    <w:multiLevelType w:val="hybridMultilevel"/>
    <w:tmpl w:val="D64E2448"/>
    <w:lvl w:ilvl="0" w:tplc="32343DA8">
      <w:start w:val="1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4"/>
  </w:num>
  <w:num w:numId="5">
    <w:abstractNumId w:val="3"/>
  </w:num>
  <w:num w:numId="6">
    <w:abstractNumId w:val="7"/>
  </w:num>
  <w:num w:numId="7">
    <w:abstractNumId w:val="18"/>
  </w:num>
  <w:num w:numId="8">
    <w:abstractNumId w:val="13"/>
  </w:num>
  <w:num w:numId="9">
    <w:abstractNumId w:val="20"/>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10"/>
  </w:num>
  <w:num w:numId="14">
    <w:abstractNumId w:val="14"/>
  </w:num>
  <w:num w:numId="15">
    <w:abstractNumId w:val="17"/>
  </w:num>
  <w:num w:numId="16">
    <w:abstractNumId w:val="2"/>
  </w:num>
  <w:num w:numId="17">
    <w:abstractNumId w:val="1"/>
  </w:num>
  <w:num w:numId="18">
    <w:abstractNumId w:val="15"/>
  </w:num>
  <w:num w:numId="19">
    <w:abstractNumId w:val="19"/>
  </w:num>
  <w:num w:numId="20">
    <w:abstractNumId w:val="16"/>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B47"/>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4E73"/>
    <w:rsid w:val="00085465"/>
    <w:rsid w:val="000857E0"/>
    <w:rsid w:val="00085C0B"/>
    <w:rsid w:val="00086602"/>
    <w:rsid w:val="00086864"/>
    <w:rsid w:val="00086B50"/>
    <w:rsid w:val="00087085"/>
    <w:rsid w:val="00087E29"/>
    <w:rsid w:val="00090323"/>
    <w:rsid w:val="000913D5"/>
    <w:rsid w:val="0009178E"/>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4A20"/>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1D7"/>
    <w:rsid w:val="000F1313"/>
    <w:rsid w:val="000F15E6"/>
    <w:rsid w:val="000F1CF3"/>
    <w:rsid w:val="000F2944"/>
    <w:rsid w:val="000F2AD9"/>
    <w:rsid w:val="000F4734"/>
    <w:rsid w:val="000F4F44"/>
    <w:rsid w:val="000F6974"/>
    <w:rsid w:val="000F6AFA"/>
    <w:rsid w:val="000F7452"/>
    <w:rsid w:val="000F794D"/>
    <w:rsid w:val="000F7ABE"/>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D22"/>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0458"/>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A90"/>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17A"/>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6D8E"/>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B3E"/>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6770"/>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7EC"/>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B33"/>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9C9"/>
    <w:rsid w:val="00280B1C"/>
    <w:rsid w:val="00282055"/>
    <w:rsid w:val="00283CB6"/>
    <w:rsid w:val="002841AB"/>
    <w:rsid w:val="00284796"/>
    <w:rsid w:val="00284B31"/>
    <w:rsid w:val="0028506E"/>
    <w:rsid w:val="00285894"/>
    <w:rsid w:val="002859F7"/>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0A0E"/>
    <w:rsid w:val="002D13B7"/>
    <w:rsid w:val="002D20FC"/>
    <w:rsid w:val="002D26FA"/>
    <w:rsid w:val="002D2B4E"/>
    <w:rsid w:val="002D4746"/>
    <w:rsid w:val="002D47AE"/>
    <w:rsid w:val="002D4E37"/>
    <w:rsid w:val="002D52E0"/>
    <w:rsid w:val="002D5A7E"/>
    <w:rsid w:val="002D68CF"/>
    <w:rsid w:val="002E042F"/>
    <w:rsid w:val="002E0AA1"/>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68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2E2F"/>
    <w:rsid w:val="003230B0"/>
    <w:rsid w:val="00324457"/>
    <w:rsid w:val="00325F5C"/>
    <w:rsid w:val="003268CF"/>
    <w:rsid w:val="00326974"/>
    <w:rsid w:val="00327A0A"/>
    <w:rsid w:val="0033007D"/>
    <w:rsid w:val="0033027D"/>
    <w:rsid w:val="003308C4"/>
    <w:rsid w:val="00330DE8"/>
    <w:rsid w:val="00331EDC"/>
    <w:rsid w:val="003323F3"/>
    <w:rsid w:val="0033306E"/>
    <w:rsid w:val="00333DC8"/>
    <w:rsid w:val="00335250"/>
    <w:rsid w:val="00335802"/>
    <w:rsid w:val="0033592C"/>
    <w:rsid w:val="00335B9C"/>
    <w:rsid w:val="00336164"/>
    <w:rsid w:val="0034150F"/>
    <w:rsid w:val="0034298C"/>
    <w:rsid w:val="00342AFC"/>
    <w:rsid w:val="0034305B"/>
    <w:rsid w:val="00343E84"/>
    <w:rsid w:val="003444EB"/>
    <w:rsid w:val="00344778"/>
    <w:rsid w:val="00344F78"/>
    <w:rsid w:val="0034511B"/>
    <w:rsid w:val="00345740"/>
    <w:rsid w:val="00347508"/>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5A19"/>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D2"/>
    <w:rsid w:val="003E0CE4"/>
    <w:rsid w:val="003E15BE"/>
    <w:rsid w:val="003E1966"/>
    <w:rsid w:val="003E1CF4"/>
    <w:rsid w:val="003E2489"/>
    <w:rsid w:val="003E29F9"/>
    <w:rsid w:val="003E2FAF"/>
    <w:rsid w:val="003E3524"/>
    <w:rsid w:val="003E3B02"/>
    <w:rsid w:val="003E46DB"/>
    <w:rsid w:val="003E4CDB"/>
    <w:rsid w:val="003E6050"/>
    <w:rsid w:val="003E6581"/>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0739"/>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25"/>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65"/>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1C0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2F3"/>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8A6"/>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17"/>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2A94"/>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284"/>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6F9"/>
    <w:rsid w:val="005A2832"/>
    <w:rsid w:val="005A320D"/>
    <w:rsid w:val="005A3468"/>
    <w:rsid w:val="005A35EA"/>
    <w:rsid w:val="005A36E3"/>
    <w:rsid w:val="005A45E4"/>
    <w:rsid w:val="005A4A64"/>
    <w:rsid w:val="005A50FE"/>
    <w:rsid w:val="005A56E0"/>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3A"/>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7BCF"/>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219"/>
    <w:rsid w:val="00611C83"/>
    <w:rsid w:val="00612015"/>
    <w:rsid w:val="006122CF"/>
    <w:rsid w:val="0061286E"/>
    <w:rsid w:val="00612C73"/>
    <w:rsid w:val="00613095"/>
    <w:rsid w:val="006135B2"/>
    <w:rsid w:val="006144BB"/>
    <w:rsid w:val="00614CB4"/>
    <w:rsid w:val="00614EE6"/>
    <w:rsid w:val="006151F5"/>
    <w:rsid w:val="00615BDB"/>
    <w:rsid w:val="00615EE8"/>
    <w:rsid w:val="00616A04"/>
    <w:rsid w:val="0061717F"/>
    <w:rsid w:val="006179B1"/>
    <w:rsid w:val="00617BFD"/>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1BC"/>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3ED1"/>
    <w:rsid w:val="0063405E"/>
    <w:rsid w:val="00634B95"/>
    <w:rsid w:val="00635175"/>
    <w:rsid w:val="006352B0"/>
    <w:rsid w:val="00635CC3"/>
    <w:rsid w:val="00636041"/>
    <w:rsid w:val="00636094"/>
    <w:rsid w:val="00636223"/>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13F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13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460"/>
    <w:rsid w:val="006D16A5"/>
    <w:rsid w:val="006D1F1A"/>
    <w:rsid w:val="006D21FF"/>
    <w:rsid w:val="006D493C"/>
    <w:rsid w:val="006D5FEE"/>
    <w:rsid w:val="006D5FEF"/>
    <w:rsid w:val="006D64D6"/>
    <w:rsid w:val="006D6A4C"/>
    <w:rsid w:val="006D6FC8"/>
    <w:rsid w:val="006E0240"/>
    <w:rsid w:val="006E0B10"/>
    <w:rsid w:val="006E0B16"/>
    <w:rsid w:val="006E22CC"/>
    <w:rsid w:val="006E265E"/>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466"/>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2FB"/>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B7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A6D"/>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A97"/>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038"/>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2A6"/>
    <w:rsid w:val="00821737"/>
    <w:rsid w:val="00821B0B"/>
    <w:rsid w:val="00821D34"/>
    <w:rsid w:val="00821D40"/>
    <w:rsid w:val="0082220E"/>
    <w:rsid w:val="00822F39"/>
    <w:rsid w:val="008237B2"/>
    <w:rsid w:val="00827A8A"/>
    <w:rsid w:val="00830D11"/>
    <w:rsid w:val="008314F0"/>
    <w:rsid w:val="008319D3"/>
    <w:rsid w:val="00832C18"/>
    <w:rsid w:val="00832F67"/>
    <w:rsid w:val="0083388D"/>
    <w:rsid w:val="00833E6C"/>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0624"/>
    <w:rsid w:val="008514AA"/>
    <w:rsid w:val="0085172A"/>
    <w:rsid w:val="008517E2"/>
    <w:rsid w:val="00852004"/>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491"/>
    <w:rsid w:val="00864A2A"/>
    <w:rsid w:val="00865DE1"/>
    <w:rsid w:val="00866D2F"/>
    <w:rsid w:val="0086711C"/>
    <w:rsid w:val="00870793"/>
    <w:rsid w:val="00871EED"/>
    <w:rsid w:val="00872B3F"/>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2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AE4"/>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9F6"/>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337"/>
    <w:rsid w:val="00957679"/>
    <w:rsid w:val="009576C5"/>
    <w:rsid w:val="00957C19"/>
    <w:rsid w:val="00957D41"/>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907"/>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44C"/>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B7AD9"/>
    <w:rsid w:val="009C00EF"/>
    <w:rsid w:val="009C064F"/>
    <w:rsid w:val="009C073E"/>
    <w:rsid w:val="009C1566"/>
    <w:rsid w:val="009C245B"/>
    <w:rsid w:val="009C281C"/>
    <w:rsid w:val="009C3440"/>
    <w:rsid w:val="009C424B"/>
    <w:rsid w:val="009C4E6E"/>
    <w:rsid w:val="009C520B"/>
    <w:rsid w:val="009C5874"/>
    <w:rsid w:val="009C5F95"/>
    <w:rsid w:val="009C6768"/>
    <w:rsid w:val="009C6894"/>
    <w:rsid w:val="009C68C6"/>
    <w:rsid w:val="009C6B3B"/>
    <w:rsid w:val="009C6B7B"/>
    <w:rsid w:val="009C6DA9"/>
    <w:rsid w:val="009C6DAC"/>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C8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721"/>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156"/>
    <w:rsid w:val="00A04447"/>
    <w:rsid w:val="00A04C15"/>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4E3"/>
    <w:rsid w:val="00A26883"/>
    <w:rsid w:val="00A30BAE"/>
    <w:rsid w:val="00A30C48"/>
    <w:rsid w:val="00A30D43"/>
    <w:rsid w:val="00A31404"/>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67A"/>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1CF"/>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55A"/>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8B0"/>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4FA"/>
    <w:rsid w:val="00B46FB7"/>
    <w:rsid w:val="00B477AA"/>
    <w:rsid w:val="00B4783F"/>
    <w:rsid w:val="00B47CEF"/>
    <w:rsid w:val="00B50D90"/>
    <w:rsid w:val="00B52A20"/>
    <w:rsid w:val="00B52D01"/>
    <w:rsid w:val="00B53CAF"/>
    <w:rsid w:val="00B54CD5"/>
    <w:rsid w:val="00B553CF"/>
    <w:rsid w:val="00B553DB"/>
    <w:rsid w:val="00B558AB"/>
    <w:rsid w:val="00B55957"/>
    <w:rsid w:val="00B560F8"/>
    <w:rsid w:val="00B566E0"/>
    <w:rsid w:val="00B5685D"/>
    <w:rsid w:val="00B57861"/>
    <w:rsid w:val="00B57897"/>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3836"/>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2904"/>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2E"/>
    <w:rsid w:val="00B972EA"/>
    <w:rsid w:val="00B977E6"/>
    <w:rsid w:val="00BA0841"/>
    <w:rsid w:val="00BA0FFB"/>
    <w:rsid w:val="00BA1903"/>
    <w:rsid w:val="00BA1E65"/>
    <w:rsid w:val="00BA2642"/>
    <w:rsid w:val="00BA2729"/>
    <w:rsid w:val="00BA283C"/>
    <w:rsid w:val="00BA2AEB"/>
    <w:rsid w:val="00BA2BCA"/>
    <w:rsid w:val="00BA3558"/>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311"/>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02A"/>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AF8"/>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766"/>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0E8C"/>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0D9"/>
    <w:rsid w:val="00C65F58"/>
    <w:rsid w:val="00C66571"/>
    <w:rsid w:val="00C667F6"/>
    <w:rsid w:val="00C66941"/>
    <w:rsid w:val="00C66B7F"/>
    <w:rsid w:val="00C66C4B"/>
    <w:rsid w:val="00C66E0C"/>
    <w:rsid w:val="00C67420"/>
    <w:rsid w:val="00C679BA"/>
    <w:rsid w:val="00C70551"/>
    <w:rsid w:val="00C71CB1"/>
    <w:rsid w:val="00C71CE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DF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59B"/>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E27"/>
    <w:rsid w:val="00CF3F01"/>
    <w:rsid w:val="00CF538D"/>
    <w:rsid w:val="00CF557C"/>
    <w:rsid w:val="00CF599E"/>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82E"/>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16BAE"/>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0B"/>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BA3"/>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489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128D"/>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184"/>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70"/>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2B7"/>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25F9"/>
    <w:rsid w:val="00E7370D"/>
    <w:rsid w:val="00E73E01"/>
    <w:rsid w:val="00E745BF"/>
    <w:rsid w:val="00E74697"/>
    <w:rsid w:val="00E7469B"/>
    <w:rsid w:val="00E74F1D"/>
    <w:rsid w:val="00E758C0"/>
    <w:rsid w:val="00E763A8"/>
    <w:rsid w:val="00E765F5"/>
    <w:rsid w:val="00E82560"/>
    <w:rsid w:val="00E825E3"/>
    <w:rsid w:val="00E828B0"/>
    <w:rsid w:val="00E8318B"/>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45F"/>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4F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00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E688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4E1F"/>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7A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77EC9"/>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3D0"/>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49A"/>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qFormat/>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 w:type="paragraph" w:customStyle="1" w:styleId="Style1">
    <w:name w:val="Style1"/>
    <w:basedOn w:val="Heading1"/>
    <w:link w:val="Style1Char"/>
    <w:qFormat/>
    <w:rsid w:val="00F577AA"/>
    <w:pPr>
      <w:numPr>
        <w:numId w:val="11"/>
      </w:numPr>
    </w:pPr>
  </w:style>
  <w:style w:type="character" w:customStyle="1" w:styleId="Heading1Char1">
    <w:name w:val="Heading 1 Char1"/>
    <w:basedOn w:val="DefaultParagraphFont"/>
    <w:link w:val="Heading1"/>
    <w:rsid w:val="00F577AA"/>
    <w:rPr>
      <w:rFonts w:ascii="Arial" w:hAnsi="Arial"/>
      <w:sz w:val="36"/>
      <w:lang w:val="en-GB" w:eastAsia="en-US"/>
    </w:rPr>
  </w:style>
  <w:style w:type="character" w:customStyle="1" w:styleId="Style1Char">
    <w:name w:val="Style1 Char"/>
    <w:basedOn w:val="Heading1Char1"/>
    <w:link w:val="Style1"/>
    <w:rsid w:val="00F57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1185961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HR33RHYHUWRF-4-5885</_dlc_DocId>
    <_dlc_DocIdUrl xmlns="c06861ca-3f08-4d07-bff7-bb15bac121f4">
      <Url>https://projects.qualcomm.com/sites/pentari/_layouts/15/DocIdRedir.aspx?ID=HR33RHYHUWRF-4-5885</Url>
      <Description>HR33RHYHUWRF-4-5885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F7B393-9170-4637-ADFC-E72ECFA2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9</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Qualcomm</cp:lastModifiedBy>
  <cp:revision>63</cp:revision>
  <cp:lastPrinted>2010-10-04T23:31:00Z</cp:lastPrinted>
  <dcterms:created xsi:type="dcterms:W3CDTF">2017-08-08T19:48:00Z</dcterms:created>
  <dcterms:modified xsi:type="dcterms:W3CDTF">2017-10-03T05:34:00Z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c316b80d-fdba-4c81-b68a-b98dc287aa68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