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BEB" w:rsidRPr="00A01BA6" w:rsidRDefault="00950BEB" w:rsidP="00950BEB">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Pr>
          <w:rFonts w:eastAsia="宋体" w:cs="Arial"/>
          <w:bCs/>
          <w:sz w:val="22"/>
          <w:szCs w:val="22"/>
          <w:lang w:eastAsia="zh-CN"/>
        </w:rPr>
        <w:t>ng #90bis</w:t>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Pr>
          <w:rFonts w:cs="Arial"/>
          <w:bCs/>
          <w:sz w:val="22"/>
          <w:szCs w:val="22"/>
          <w:lang w:eastAsia="ja-JP"/>
        </w:rPr>
        <w:t>1</w:t>
      </w:r>
      <w:r w:rsidR="00D42B15">
        <w:rPr>
          <w:rFonts w:cs="Arial"/>
          <w:bCs/>
          <w:sz w:val="22"/>
          <w:szCs w:val="22"/>
          <w:lang w:eastAsia="ja-JP"/>
        </w:rPr>
        <w:t>78</w:t>
      </w:r>
      <w:r w:rsidR="00C91F11">
        <w:rPr>
          <w:rFonts w:cs="Arial"/>
          <w:bCs/>
          <w:sz w:val="22"/>
          <w:szCs w:val="22"/>
          <w:lang w:eastAsia="ja-JP"/>
        </w:rPr>
        <w:t>50</w:t>
      </w:r>
    </w:p>
    <w:p w:rsidR="00950BEB" w:rsidRPr="00AA5F74" w:rsidRDefault="00950BEB" w:rsidP="00950BEB">
      <w:pPr>
        <w:pStyle w:val="a4"/>
        <w:tabs>
          <w:tab w:val="left" w:pos="1800"/>
        </w:tabs>
        <w:ind w:left="1800" w:hanging="1800"/>
        <w:rPr>
          <w:bCs/>
          <w:sz w:val="22"/>
          <w:szCs w:val="22"/>
        </w:rPr>
      </w:pPr>
      <w:r>
        <w:rPr>
          <w:bCs/>
          <w:sz w:val="22"/>
          <w:szCs w:val="22"/>
        </w:rPr>
        <w:t>Prague, Czech Republic</w:t>
      </w:r>
      <w:r w:rsidRPr="00AA5F74">
        <w:rPr>
          <w:bCs/>
          <w:sz w:val="22"/>
          <w:szCs w:val="22"/>
        </w:rPr>
        <w:t xml:space="preserve">, </w:t>
      </w:r>
      <w:r>
        <w:rPr>
          <w:bCs/>
          <w:sz w:val="22"/>
          <w:szCs w:val="22"/>
        </w:rPr>
        <w:t>9</w:t>
      </w:r>
      <w:r w:rsidRPr="00AA5F74">
        <w:rPr>
          <w:bCs/>
          <w:sz w:val="22"/>
          <w:szCs w:val="22"/>
          <w:vertAlign w:val="superscript"/>
        </w:rPr>
        <w:t>th</w:t>
      </w:r>
      <w:r w:rsidRPr="00AA5F74">
        <w:rPr>
          <w:bCs/>
          <w:sz w:val="22"/>
          <w:szCs w:val="22"/>
        </w:rPr>
        <w:t xml:space="preserve"> – </w:t>
      </w:r>
      <w:r>
        <w:rPr>
          <w:bCs/>
          <w:sz w:val="22"/>
          <w:szCs w:val="22"/>
        </w:rPr>
        <w:t>13</w:t>
      </w:r>
      <w:r w:rsidRPr="00836C8C">
        <w:rPr>
          <w:bCs/>
          <w:sz w:val="22"/>
          <w:szCs w:val="22"/>
          <w:vertAlign w:val="superscript"/>
        </w:rPr>
        <w:t>th</w:t>
      </w:r>
      <w:r>
        <w:rPr>
          <w:bCs/>
          <w:sz w:val="22"/>
          <w:szCs w:val="22"/>
        </w:rPr>
        <w:t>, October</w:t>
      </w:r>
      <w:r w:rsidRPr="00AA5F74">
        <w:rPr>
          <w:bCs/>
          <w:sz w:val="22"/>
          <w:szCs w:val="22"/>
        </w:rPr>
        <w:t xml:space="preserve"> 2017</w:t>
      </w: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C91F11" w:rsidRPr="00C91F11">
        <w:rPr>
          <w:rFonts w:eastAsia="宋体" w:cs="Arial"/>
          <w:sz w:val="22"/>
          <w:szCs w:val="22"/>
          <w:lang w:val="en-GB" w:eastAsia="zh-CN"/>
        </w:rPr>
        <w:t>FDD Related Aspects</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2B5322">
        <w:rPr>
          <w:rFonts w:eastAsia="宋体" w:cs="Arial"/>
          <w:sz w:val="22"/>
          <w:szCs w:val="22"/>
          <w:lang w:eastAsia="zh-CN"/>
        </w:rPr>
        <w:t>7.</w:t>
      </w:r>
      <w:r w:rsidR="002B5322">
        <w:rPr>
          <w:rFonts w:eastAsia="宋体" w:cs="Arial" w:hint="eastAsia"/>
          <w:sz w:val="22"/>
          <w:szCs w:val="22"/>
          <w:lang w:eastAsia="zh-CN"/>
        </w:rPr>
        <w:t>7</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Default="00160514" w:rsidP="0085641B">
      <w:pPr>
        <w:rPr>
          <w:szCs w:val="20"/>
          <w:highlight w:val="green"/>
        </w:rPr>
      </w:pPr>
      <w:bookmarkStart w:id="0" w:name="_Ref398821160"/>
    </w:p>
    <w:p w:rsidR="00160514" w:rsidRDefault="00160514" w:rsidP="0085641B">
      <w:pPr>
        <w:rPr>
          <w:szCs w:val="20"/>
          <w:highlight w:val="green"/>
          <w:lang w:val="en-GB"/>
        </w:rPr>
      </w:pPr>
      <w:r>
        <w:rPr>
          <w:rFonts w:eastAsia="宋体"/>
          <w:lang w:val="en-GB" w:eastAsia="zh-CN"/>
        </w:rPr>
        <w:t xml:space="preserve">NR </w:t>
      </w:r>
      <w:r w:rsidR="007B18B3">
        <w:rPr>
          <w:rFonts w:eastAsia="宋体"/>
          <w:lang w:val="en-GB" w:eastAsia="zh-CN"/>
        </w:rPr>
        <w:t xml:space="preserve">system is designed with lots of flexibility to support dynamic TDD operation.  The general view of NR FDD operation is the subset of TDD operation with full set of resource utilization.   However, we need to address the general aspects of NR FDD operation to fully optimize the system performance and resource utilization.   </w:t>
      </w:r>
      <w:r>
        <w:rPr>
          <w:rFonts w:eastAsia="宋体"/>
          <w:lang w:val="en-GB" w:eastAsia="zh-CN"/>
        </w:rPr>
        <w:t xml:space="preserve"> </w:t>
      </w:r>
    </w:p>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7B18B3">
        <w:rPr>
          <w:rFonts w:eastAsia="宋体"/>
          <w:lang w:val="en-GB" w:eastAsia="zh-CN"/>
        </w:rPr>
        <w:t>general aspects of FDD operations</w:t>
      </w:r>
      <w:r w:rsidR="00912738" w:rsidRPr="000B1156">
        <w:rPr>
          <w:rFonts w:eastAsia="宋体" w:hint="eastAsia"/>
          <w:lang w:val="en-GB" w:eastAsia="zh-CN"/>
        </w:rPr>
        <w:t xml:space="preserve">. </w:t>
      </w:r>
    </w:p>
    <w:p w:rsidR="007D4D7D" w:rsidRDefault="00C91F11" w:rsidP="007D4D7D">
      <w:pPr>
        <w:pStyle w:val="1"/>
        <w:tabs>
          <w:tab w:val="clear" w:pos="612"/>
          <w:tab w:val="num" w:pos="567"/>
        </w:tabs>
        <w:ind w:left="567" w:hanging="567"/>
      </w:pPr>
      <w:r>
        <w:t>Discussion of NR FDD Operation</w:t>
      </w:r>
    </w:p>
    <w:p w:rsidR="009B7BD4" w:rsidRDefault="009B7BD4" w:rsidP="00DD5746">
      <w:pPr>
        <w:rPr>
          <w:rFonts w:eastAsia="MS Mincho"/>
          <w:lang w:eastAsia="ja-JP"/>
        </w:rPr>
      </w:pPr>
    </w:p>
    <w:p w:rsidR="005704D8" w:rsidRDefault="00323531" w:rsidP="005704D8">
      <w:pPr>
        <w:widowControl w:val="0"/>
        <w:tabs>
          <w:tab w:val="left" w:pos="1190"/>
        </w:tabs>
        <w:autoSpaceDE w:val="0"/>
        <w:autoSpaceDN w:val="0"/>
        <w:adjustRightInd w:val="0"/>
        <w:rPr>
          <w:color w:val="000000"/>
        </w:rPr>
      </w:pPr>
      <w:r>
        <w:rPr>
          <w:rFonts w:eastAsia="MS Mincho"/>
          <w:lang w:eastAsia="ja-JP"/>
        </w:rPr>
        <w:t xml:space="preserve">In RAN#77, the FDD operation gap analysis was discussed based on contribution in </w:t>
      </w:r>
      <w:r w:rsidR="00644462">
        <w:rPr>
          <w:rFonts w:eastAsia="MS Mincho"/>
          <w:lang w:eastAsia="ja-JP"/>
        </w:rPr>
        <w:fldChar w:fldCharType="begin"/>
      </w:r>
      <w:r>
        <w:rPr>
          <w:rFonts w:eastAsia="MS Mincho"/>
          <w:lang w:eastAsia="ja-JP"/>
        </w:rPr>
        <w:instrText xml:space="preserve"> REF _Ref494700498 \r \h </w:instrText>
      </w:r>
      <w:r w:rsidR="00644462">
        <w:rPr>
          <w:rFonts w:eastAsia="MS Mincho"/>
          <w:lang w:eastAsia="ja-JP"/>
        </w:rPr>
      </w:r>
      <w:r w:rsidR="00644462">
        <w:rPr>
          <w:rFonts w:eastAsia="MS Mincho"/>
          <w:lang w:eastAsia="ja-JP"/>
        </w:rPr>
        <w:fldChar w:fldCharType="separate"/>
      </w:r>
      <w:r>
        <w:rPr>
          <w:rFonts w:eastAsia="MS Mincho"/>
          <w:lang w:eastAsia="ja-JP"/>
        </w:rPr>
        <w:t>[2]</w:t>
      </w:r>
      <w:r w:rsidR="00644462">
        <w:rPr>
          <w:rFonts w:eastAsia="MS Mincho"/>
          <w:lang w:eastAsia="ja-JP"/>
        </w:rPr>
        <w:fldChar w:fldCharType="end"/>
      </w:r>
      <w:r>
        <w:rPr>
          <w:rFonts w:eastAsia="MS Mincho"/>
          <w:lang w:eastAsia="ja-JP"/>
        </w:rPr>
        <w:t>.</w:t>
      </w:r>
      <w:r w:rsidR="00441C5E">
        <w:rPr>
          <w:rFonts w:eastAsia="MS Mincho"/>
          <w:lang w:eastAsia="ja-JP"/>
        </w:rPr>
        <w:t xml:space="preserve">  The general perspective is that FDD operation is the subset of TDD operation with fle</w:t>
      </w:r>
      <w:r w:rsidR="005704D8">
        <w:rPr>
          <w:rFonts w:eastAsia="MS Mincho"/>
          <w:lang w:eastAsia="ja-JP"/>
        </w:rPr>
        <w:t xml:space="preserve">xible resource allocation.  The discussion of FDD operation is to support TDD type self-contained structure with similar latency and HARQ operation.   Additional consideration is the resource utilization.    </w:t>
      </w:r>
      <w:r w:rsidR="005704D8">
        <w:rPr>
          <w:color w:val="000000"/>
          <w:szCs w:val="20"/>
        </w:rPr>
        <w:t>The general requirements for the FDD operation are commonality with TDD slot structures</w:t>
      </w:r>
      <w:r w:rsidR="005704D8">
        <w:rPr>
          <w:color w:val="000000"/>
        </w:rPr>
        <w:t xml:space="preserve">, </w:t>
      </w:r>
      <w:r w:rsidR="005704D8">
        <w:rPr>
          <w:color w:val="000000"/>
          <w:szCs w:val="20"/>
        </w:rPr>
        <w:t>comparable achievable minimum latency</w:t>
      </w:r>
      <w:r w:rsidR="009E4DDC">
        <w:rPr>
          <w:color w:val="000000"/>
          <w:szCs w:val="20"/>
        </w:rPr>
        <w:t xml:space="preserve"> to TDD self-contained frame structure, and e</w:t>
      </w:r>
      <w:r w:rsidR="005704D8">
        <w:rPr>
          <w:color w:val="000000"/>
          <w:szCs w:val="20"/>
        </w:rPr>
        <w:t>fficient half-duplex operation</w:t>
      </w:r>
      <w:r w:rsidR="009E4DDC">
        <w:rPr>
          <w:color w:val="000000"/>
        </w:rPr>
        <w:t xml:space="preserve">.  </w:t>
      </w:r>
    </w:p>
    <w:p w:rsidR="005704D8" w:rsidRDefault="005704D8" w:rsidP="005704D8">
      <w:pPr>
        <w:widowControl w:val="0"/>
        <w:tabs>
          <w:tab w:val="left" w:pos="1190"/>
        </w:tabs>
        <w:autoSpaceDE w:val="0"/>
        <w:autoSpaceDN w:val="0"/>
        <w:adjustRightInd w:val="0"/>
        <w:rPr>
          <w:color w:val="000000"/>
        </w:rPr>
      </w:pPr>
      <w:r>
        <w:rPr>
          <w:rFonts w:ascii="Arial" w:hAnsi="Arial" w:cs="Arial"/>
          <w:sz w:val="24"/>
        </w:rPr>
        <w:tab/>
      </w:r>
    </w:p>
    <w:p w:rsidR="001446AC" w:rsidRDefault="005704D8" w:rsidP="005704D8">
      <w:pPr>
        <w:rPr>
          <w:color w:val="000000"/>
        </w:rPr>
      </w:pPr>
      <w:r>
        <w:rPr>
          <w:rFonts w:eastAsia="MS Mincho"/>
          <w:lang w:eastAsia="ja-JP"/>
        </w:rPr>
        <w:t xml:space="preserve">The proposal of FDD operation in </w:t>
      </w:r>
      <w:r w:rsidR="00644462">
        <w:rPr>
          <w:rFonts w:eastAsia="MS Mincho"/>
          <w:lang w:eastAsia="ja-JP"/>
        </w:rPr>
        <w:fldChar w:fldCharType="begin"/>
      </w:r>
      <w:r>
        <w:rPr>
          <w:rFonts w:eastAsia="MS Mincho"/>
          <w:lang w:eastAsia="ja-JP"/>
        </w:rPr>
        <w:instrText xml:space="preserve"> REF _Ref494700498 \r \h </w:instrText>
      </w:r>
      <w:r w:rsidR="00644462">
        <w:rPr>
          <w:rFonts w:eastAsia="MS Mincho"/>
          <w:lang w:eastAsia="ja-JP"/>
        </w:rPr>
      </w:r>
      <w:r w:rsidR="00644462">
        <w:rPr>
          <w:rFonts w:eastAsia="MS Mincho"/>
          <w:lang w:eastAsia="ja-JP"/>
        </w:rPr>
        <w:fldChar w:fldCharType="separate"/>
      </w:r>
      <w:r>
        <w:rPr>
          <w:rFonts w:eastAsia="MS Mincho"/>
          <w:lang w:eastAsia="ja-JP"/>
        </w:rPr>
        <w:t>[2]</w:t>
      </w:r>
      <w:r w:rsidR="00644462">
        <w:rPr>
          <w:rFonts w:eastAsia="MS Mincho"/>
          <w:lang w:eastAsia="ja-JP"/>
        </w:rPr>
        <w:fldChar w:fldCharType="end"/>
      </w:r>
      <w:r>
        <w:rPr>
          <w:rFonts w:eastAsia="MS Mincho"/>
          <w:lang w:eastAsia="ja-JP"/>
        </w:rPr>
        <w:t xml:space="preserve"> is t</w:t>
      </w:r>
      <w:r w:rsidR="009E4DDC">
        <w:rPr>
          <w:rFonts w:eastAsia="MS Mincho"/>
          <w:lang w:eastAsia="ja-JP"/>
        </w:rPr>
        <w:t xml:space="preserve">o utilize partial resource allocation similar to the TDD frame structure and flexible mechanism </w:t>
      </w:r>
      <w:r>
        <w:rPr>
          <w:rFonts w:eastAsia="MS Mincho"/>
          <w:lang w:eastAsia="ja-JP"/>
        </w:rPr>
        <w:t xml:space="preserve">to recover the blanking loss as frame structure option 3 in </w:t>
      </w:r>
      <w:r w:rsidR="00644462">
        <w:rPr>
          <w:rFonts w:eastAsia="MS Mincho"/>
          <w:lang w:eastAsia="ja-JP"/>
        </w:rPr>
        <w:fldChar w:fldCharType="begin"/>
      </w:r>
      <w:r>
        <w:rPr>
          <w:rFonts w:eastAsia="MS Mincho"/>
          <w:lang w:eastAsia="ja-JP"/>
        </w:rPr>
        <w:instrText xml:space="preserve"> REF _Ref494700498 \r \h </w:instrText>
      </w:r>
      <w:r w:rsidR="00644462">
        <w:rPr>
          <w:rFonts w:eastAsia="MS Mincho"/>
          <w:lang w:eastAsia="ja-JP"/>
        </w:rPr>
      </w:r>
      <w:r w:rsidR="00644462">
        <w:rPr>
          <w:rFonts w:eastAsia="MS Mincho"/>
          <w:lang w:eastAsia="ja-JP"/>
        </w:rPr>
        <w:fldChar w:fldCharType="separate"/>
      </w:r>
      <w:r>
        <w:rPr>
          <w:rFonts w:eastAsia="MS Mincho"/>
          <w:lang w:eastAsia="ja-JP"/>
        </w:rPr>
        <w:t>[2]</w:t>
      </w:r>
      <w:r w:rsidR="00644462">
        <w:rPr>
          <w:rFonts w:eastAsia="MS Mincho"/>
          <w:lang w:eastAsia="ja-JP"/>
        </w:rPr>
        <w:fldChar w:fldCharType="end"/>
      </w:r>
      <w:r w:rsidR="009E4DDC">
        <w:rPr>
          <w:rFonts w:eastAsia="MS Mincho"/>
          <w:lang w:eastAsia="ja-JP"/>
        </w:rPr>
        <w:t xml:space="preserve"> as the baseline.  The proposed baseline option is the addition of</w:t>
      </w:r>
      <w:r>
        <w:rPr>
          <w:rFonts w:eastAsia="MS Mincho"/>
          <w:lang w:eastAsia="ja-JP"/>
        </w:rPr>
        <w:t xml:space="preserve"> </w:t>
      </w:r>
      <w:r w:rsidR="00CB5FA8">
        <w:rPr>
          <w:rFonts w:eastAsia="MS Mincho"/>
          <w:lang w:eastAsia="ja-JP"/>
        </w:rPr>
        <w:t>utiliz</w:t>
      </w:r>
      <w:r w:rsidR="009E4DDC">
        <w:rPr>
          <w:rFonts w:eastAsia="MS Mincho"/>
          <w:lang w:eastAsia="ja-JP"/>
        </w:rPr>
        <w:t>ing</w:t>
      </w:r>
      <w:r>
        <w:rPr>
          <w:color w:val="000000"/>
          <w:szCs w:val="20"/>
        </w:rPr>
        <w:t xml:space="preserve"> full </w:t>
      </w:r>
      <w:r w:rsidR="00CB5FA8">
        <w:rPr>
          <w:color w:val="000000"/>
          <w:szCs w:val="20"/>
        </w:rPr>
        <w:t xml:space="preserve">radio </w:t>
      </w:r>
      <w:r>
        <w:rPr>
          <w:color w:val="000000"/>
          <w:szCs w:val="20"/>
        </w:rPr>
        <w:t>resource</w:t>
      </w:r>
      <w:r w:rsidR="00CB5FA8">
        <w:rPr>
          <w:color w:val="000000"/>
          <w:szCs w:val="20"/>
        </w:rPr>
        <w:t>s</w:t>
      </w:r>
      <w:r w:rsidR="00D00052">
        <w:rPr>
          <w:color w:val="000000"/>
          <w:szCs w:val="20"/>
        </w:rPr>
        <w:t xml:space="preserve"> of the</w:t>
      </w:r>
      <w:r>
        <w:rPr>
          <w:color w:val="000000"/>
          <w:szCs w:val="20"/>
        </w:rPr>
        <w:t xml:space="preserve"> DL and UL slots.   </w:t>
      </w:r>
      <w:r w:rsidR="00D00052">
        <w:rPr>
          <w:color w:val="000000"/>
        </w:rPr>
        <w:t>The proposed partial resource allocation in DL and UL</w:t>
      </w:r>
      <w:r w:rsidR="00315346">
        <w:rPr>
          <w:color w:val="000000"/>
        </w:rPr>
        <w:t xml:space="preserve"> </w:t>
      </w:r>
      <w:r w:rsidR="00644462">
        <w:rPr>
          <w:color w:val="000000"/>
        </w:rPr>
        <w:fldChar w:fldCharType="begin"/>
      </w:r>
      <w:r w:rsidR="00315346">
        <w:rPr>
          <w:color w:val="000000"/>
        </w:rPr>
        <w:instrText xml:space="preserve"> REF _Ref494700498 \r \h </w:instrText>
      </w:r>
      <w:r w:rsidR="00644462">
        <w:rPr>
          <w:color w:val="000000"/>
        </w:rPr>
      </w:r>
      <w:r w:rsidR="00644462">
        <w:rPr>
          <w:color w:val="000000"/>
        </w:rPr>
        <w:fldChar w:fldCharType="separate"/>
      </w:r>
      <w:r w:rsidR="00315346">
        <w:rPr>
          <w:color w:val="000000"/>
        </w:rPr>
        <w:t>[2]</w:t>
      </w:r>
      <w:r w:rsidR="00644462">
        <w:rPr>
          <w:color w:val="000000"/>
        </w:rPr>
        <w:fldChar w:fldCharType="end"/>
      </w:r>
      <w:r w:rsidR="00315346">
        <w:rPr>
          <w:color w:val="000000"/>
        </w:rPr>
        <w:t xml:space="preserve"> </w:t>
      </w:r>
      <w:r w:rsidR="00D00052">
        <w:rPr>
          <w:color w:val="000000"/>
        </w:rPr>
        <w:t xml:space="preserve">is shown in </w:t>
      </w:r>
      <w:r w:rsidR="00644462">
        <w:rPr>
          <w:color w:val="000000"/>
        </w:rPr>
        <w:fldChar w:fldCharType="begin"/>
      </w:r>
      <w:r w:rsidR="00D00052">
        <w:rPr>
          <w:color w:val="000000"/>
        </w:rPr>
        <w:instrText xml:space="preserve"> REF _Ref494748629 \h </w:instrText>
      </w:r>
      <w:r w:rsidR="00644462">
        <w:rPr>
          <w:color w:val="000000"/>
        </w:rPr>
      </w:r>
      <w:r w:rsidR="00644462">
        <w:rPr>
          <w:color w:val="000000"/>
        </w:rPr>
        <w:fldChar w:fldCharType="separate"/>
      </w:r>
      <w:r w:rsidR="00D00052">
        <w:t xml:space="preserve">Figure </w:t>
      </w:r>
      <w:r w:rsidR="00D00052">
        <w:rPr>
          <w:noProof/>
        </w:rPr>
        <w:t>1</w:t>
      </w:r>
      <w:r w:rsidR="00644462">
        <w:rPr>
          <w:color w:val="000000"/>
        </w:rPr>
        <w:fldChar w:fldCharType="end"/>
      </w:r>
      <w:r w:rsidR="00D00052">
        <w:rPr>
          <w:color w:val="000000"/>
        </w:rPr>
        <w:t>.  Partial resource utilization emulates the operation of</w:t>
      </w:r>
      <w:r w:rsidR="000B700F">
        <w:rPr>
          <w:color w:val="000000"/>
        </w:rPr>
        <w:t xml:space="preserve"> TDD</w:t>
      </w:r>
      <w:r w:rsidR="00D00052">
        <w:rPr>
          <w:color w:val="000000"/>
        </w:rPr>
        <w:t xml:space="preserve"> self contained structure</w:t>
      </w:r>
      <w:r w:rsidR="000B700F">
        <w:rPr>
          <w:color w:val="000000"/>
        </w:rPr>
        <w:t xml:space="preserve"> with some DL/UL resources not utilized as the gap period as shown in</w:t>
      </w:r>
      <w:r w:rsidR="00315346">
        <w:rPr>
          <w:color w:val="000000"/>
        </w:rPr>
        <w:t xml:space="preserve"> </w:t>
      </w:r>
      <w:r w:rsidR="00644462">
        <w:rPr>
          <w:color w:val="000000"/>
        </w:rPr>
        <w:fldChar w:fldCharType="begin"/>
      </w:r>
      <w:r w:rsidR="00315346">
        <w:rPr>
          <w:color w:val="000000"/>
        </w:rPr>
        <w:instrText xml:space="preserve"> REF _Ref494748629 \h </w:instrText>
      </w:r>
      <w:r w:rsidR="00644462">
        <w:rPr>
          <w:color w:val="000000"/>
        </w:rPr>
      </w:r>
      <w:r w:rsidR="00644462">
        <w:rPr>
          <w:color w:val="000000"/>
        </w:rPr>
        <w:fldChar w:fldCharType="separate"/>
      </w:r>
      <w:r w:rsidR="00315346">
        <w:t xml:space="preserve">Figure </w:t>
      </w:r>
      <w:r w:rsidR="00315346">
        <w:rPr>
          <w:noProof/>
        </w:rPr>
        <w:t>1</w:t>
      </w:r>
      <w:r w:rsidR="00644462">
        <w:rPr>
          <w:color w:val="000000"/>
        </w:rPr>
        <w:fldChar w:fldCharType="end"/>
      </w:r>
      <w:r w:rsidR="000B700F">
        <w:rPr>
          <w:color w:val="000000"/>
        </w:rPr>
        <w:t>.  The proposed partial slot structure for FDD would reduce the required number of HARQ processes.  However, the unused DL and UL resources will reduce the resource utilization and the peak data rate.   The alternative solution of partial slot based solution for FDD is the full slot solution with the N-symbol shift of the UL slot to meet both N1 and N2 processing time requirements (N &gt;= N1, N&gt;= N2)</w:t>
      </w:r>
      <w:r w:rsidR="001446AC">
        <w:rPr>
          <w:color w:val="000000"/>
        </w:rPr>
        <w:t>.   The alternative solution would have common frame structure for FDD and TDD but fully utilize DL and UL resources.</w:t>
      </w:r>
    </w:p>
    <w:p w:rsidR="005704D8" w:rsidRDefault="00323531" w:rsidP="005704D8">
      <w:pPr>
        <w:widowControl w:val="0"/>
        <w:tabs>
          <w:tab w:val="left" w:pos="1190"/>
        </w:tabs>
        <w:autoSpaceDE w:val="0"/>
        <w:autoSpaceDN w:val="0"/>
        <w:adjustRightInd w:val="0"/>
        <w:rPr>
          <w:color w:val="000000"/>
          <w:szCs w:val="20"/>
        </w:rPr>
      </w:pPr>
      <w:r>
        <w:rPr>
          <w:rFonts w:ascii="Arial" w:hAnsi="Arial" w:cs="Arial"/>
          <w:sz w:val="24"/>
        </w:rPr>
        <w:tab/>
      </w:r>
    </w:p>
    <w:p w:rsidR="00323531" w:rsidRDefault="00323531" w:rsidP="005704D8">
      <w:pPr>
        <w:widowControl w:val="0"/>
        <w:tabs>
          <w:tab w:val="left" w:pos="1190"/>
        </w:tabs>
        <w:autoSpaceDE w:val="0"/>
        <w:autoSpaceDN w:val="0"/>
        <w:adjustRightInd w:val="0"/>
        <w:rPr>
          <w:color w:val="000000"/>
        </w:rPr>
      </w:pPr>
      <w:r>
        <w:rPr>
          <w:rFonts w:ascii="Arial" w:hAnsi="Arial" w:cs="Arial"/>
          <w:sz w:val="24"/>
        </w:rPr>
        <w:tab/>
      </w:r>
    </w:p>
    <w:p w:rsidR="00282505" w:rsidRDefault="00282505" w:rsidP="00D00052">
      <w:pPr>
        <w:widowControl w:val="0"/>
        <w:tabs>
          <w:tab w:val="left" w:pos="1190"/>
        </w:tabs>
        <w:autoSpaceDE w:val="0"/>
        <w:autoSpaceDN w:val="0"/>
        <w:adjustRightInd w:val="0"/>
        <w:jc w:val="center"/>
        <w:rPr>
          <w:color w:val="000000"/>
        </w:rPr>
      </w:pPr>
      <w:r w:rsidRPr="00282505">
        <w:rPr>
          <w:noProof/>
          <w:color w:val="000000"/>
          <w:lang w:eastAsia="zh-CN"/>
        </w:rPr>
        <w:drawing>
          <wp:inline distT="0" distB="0" distL="0" distR="0">
            <wp:extent cx="4223766" cy="1170432"/>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95388" cy="2286000"/>
                      <a:chOff x="4584192" y="1885188"/>
                      <a:chExt cx="7295388" cy="2286000"/>
                    </a:xfrm>
                  </a:grpSpPr>
                  <a:sp>
                    <a:nvSpPr>
                      <a:cNvPr id="12" name="object 12"/>
                      <a:cNvSpPr/>
                    </a:nvSpPr>
                    <a:spPr>
                      <a:xfrm>
                        <a:off x="4584192" y="1885188"/>
                        <a:ext cx="7295388" cy="2286000"/>
                      </a:xfrm>
                      <a:prstGeom prst="rect">
                        <a:avLst/>
                      </a:prstGeom>
                      <a:blipFill>
                        <a:blip r:embed="rId8" cstate="print"/>
                        <a:stretch>
                          <a:fillRect/>
                        </a:stretch>
                      </a:blipFill>
                    </a:spPr>
                    <a:txSp>
                      <a:txBody>
                        <a:bodyPr wrap="square" lIns="0" tIns="0" rIns="0" bIns="0" rtlCol="0">
                          <a:no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a:p>
                      </a:txBody>
                      <a:useSpRect/>
                    </a:txSp>
                  </a:sp>
                </lc:lockedCanvas>
              </a:graphicData>
            </a:graphic>
          </wp:inline>
        </w:drawing>
      </w:r>
    </w:p>
    <w:p w:rsidR="00282505" w:rsidRDefault="00282505" w:rsidP="005704D8">
      <w:pPr>
        <w:widowControl w:val="0"/>
        <w:tabs>
          <w:tab w:val="left" w:pos="1190"/>
        </w:tabs>
        <w:autoSpaceDE w:val="0"/>
        <w:autoSpaceDN w:val="0"/>
        <w:adjustRightInd w:val="0"/>
        <w:rPr>
          <w:color w:val="000000"/>
        </w:rPr>
      </w:pPr>
    </w:p>
    <w:p w:rsidR="00D00052" w:rsidRDefault="00D00052" w:rsidP="00D00052">
      <w:pPr>
        <w:keepNext/>
        <w:widowControl w:val="0"/>
        <w:tabs>
          <w:tab w:val="left" w:pos="1190"/>
        </w:tabs>
        <w:autoSpaceDE w:val="0"/>
        <w:autoSpaceDN w:val="0"/>
        <w:adjustRightInd w:val="0"/>
        <w:jc w:val="center"/>
        <w:outlineLvl w:val="0"/>
      </w:pPr>
      <w:r w:rsidRPr="00D00052">
        <w:rPr>
          <w:rFonts w:ascii="Arial" w:hAnsi="Arial" w:cs="Arial"/>
          <w:noProof/>
          <w:sz w:val="24"/>
          <w:lang w:eastAsia="zh-CN"/>
        </w:rPr>
        <w:drawing>
          <wp:inline distT="0" distB="0" distL="0" distR="0">
            <wp:extent cx="4176979" cy="1404519"/>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48144" cy="2281428"/>
                      <a:chOff x="4608576" y="4460746"/>
                      <a:chExt cx="7248144" cy="2281428"/>
                    </a:xfrm>
                  </a:grpSpPr>
                  <a:sp>
                    <a:nvSpPr>
                      <a:cNvPr id="13" name="object 13"/>
                      <a:cNvSpPr/>
                    </a:nvSpPr>
                    <a:spPr>
                      <a:xfrm>
                        <a:off x="4608576" y="4460746"/>
                        <a:ext cx="7248144" cy="2281428"/>
                      </a:xfrm>
                      <a:prstGeom prst="rect">
                        <a:avLst/>
                      </a:prstGeom>
                      <a:blipFill>
                        <a:blip r:embed="rId9" cstate="print"/>
                        <a:stretch>
                          <a:fillRect/>
                        </a:stretch>
                      </a:blipFill>
                    </a:spPr>
                    <a:txSp>
                      <a:txBody>
                        <a:bodyPr wrap="square" lIns="0" tIns="0" rIns="0" bIns="0" rtlCol="0">
                          <a:no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a:p>
                      </a:txBody>
                      <a:useSpRect/>
                    </a:txSp>
                  </a:sp>
                </lc:lockedCanvas>
              </a:graphicData>
            </a:graphic>
          </wp:inline>
        </w:drawing>
      </w:r>
    </w:p>
    <w:p w:rsidR="00D00052" w:rsidRDefault="00D00052" w:rsidP="00D00052">
      <w:pPr>
        <w:pStyle w:val="a5"/>
        <w:jc w:val="center"/>
        <w:rPr>
          <w:rFonts w:ascii="Arial" w:hAnsi="Arial" w:cs="Arial"/>
          <w:sz w:val="24"/>
        </w:rPr>
      </w:pPr>
      <w:bookmarkStart w:id="1" w:name="_Ref494748629"/>
      <w:bookmarkStart w:id="2" w:name="_Ref494748941"/>
      <w:r>
        <w:t xml:space="preserve">Figure </w:t>
      </w:r>
      <w:fldSimple w:instr=" SEQ Figure \* ARABIC ">
        <w:r>
          <w:rPr>
            <w:noProof/>
          </w:rPr>
          <w:t>1</w:t>
        </w:r>
      </w:fldSimple>
      <w:bookmarkEnd w:id="1"/>
      <w:r>
        <w:t>: The proposed partial resource allocation DL/UL slots</w:t>
      </w:r>
      <w:bookmarkEnd w:id="2"/>
    </w:p>
    <w:p w:rsidR="00D00052" w:rsidRPr="001446AC" w:rsidRDefault="001446AC" w:rsidP="00323531">
      <w:pPr>
        <w:widowControl w:val="0"/>
        <w:tabs>
          <w:tab w:val="left" w:pos="1190"/>
        </w:tabs>
        <w:autoSpaceDE w:val="0"/>
        <w:autoSpaceDN w:val="0"/>
        <w:adjustRightInd w:val="0"/>
        <w:outlineLvl w:val="0"/>
        <w:rPr>
          <w:b/>
          <w:szCs w:val="20"/>
        </w:rPr>
      </w:pPr>
      <w:r>
        <w:rPr>
          <w:b/>
          <w:szCs w:val="20"/>
        </w:rPr>
        <w:lastRenderedPageBreak/>
        <w:t xml:space="preserve">Proposal 1:  The solution of FDD structure for self-contained operation should have common structure with TDD and fully resource utilization.  </w:t>
      </w:r>
    </w:p>
    <w:p w:rsidR="00335A6A" w:rsidRPr="001446AC" w:rsidRDefault="00335A6A" w:rsidP="00DD5746">
      <w:pPr>
        <w:rPr>
          <w:rFonts w:eastAsia="MS Mincho"/>
          <w:b/>
          <w:lang w:eastAsia="ja-JP"/>
        </w:rPr>
      </w:pPr>
    </w:p>
    <w:p w:rsidR="00335A6A" w:rsidRDefault="00335A6A" w:rsidP="00DD5746">
      <w:pPr>
        <w:rPr>
          <w:rFonts w:eastAsia="MS Mincho"/>
          <w:lang w:eastAsia="ja-JP"/>
        </w:rPr>
      </w:pPr>
    </w:p>
    <w:p w:rsidR="00335A6A" w:rsidRDefault="001446AC" w:rsidP="00DD5746">
      <w:pPr>
        <w:rPr>
          <w:rFonts w:eastAsia="MS Mincho"/>
          <w:lang w:eastAsia="ja-JP"/>
        </w:rPr>
      </w:pPr>
      <w:r>
        <w:rPr>
          <w:rFonts w:eastAsia="MS Mincho"/>
          <w:lang w:eastAsia="ja-JP"/>
        </w:rPr>
        <w:t xml:space="preserve">Since NR supports the flexible timing of DL/UL data transmission after receiving DL/UL grant, HARQ-ACK timing, and flexible resource allocation in both frequency and time domain in the slot-based scheduling, the alternative solution </w:t>
      </w:r>
      <w:r w:rsidR="00F32EEA">
        <w:rPr>
          <w:rFonts w:eastAsia="MS Mincho"/>
          <w:lang w:eastAsia="ja-JP"/>
        </w:rPr>
        <w:t xml:space="preserve">is to have slot-based solution with two DL/UL bursts as shown in </w:t>
      </w:r>
      <w:r w:rsidR="00644462">
        <w:rPr>
          <w:rFonts w:eastAsia="MS Mincho"/>
          <w:lang w:eastAsia="ja-JP"/>
        </w:rPr>
        <w:fldChar w:fldCharType="begin"/>
      </w:r>
      <w:r w:rsidR="00F32EEA">
        <w:rPr>
          <w:rFonts w:eastAsia="MS Mincho"/>
          <w:lang w:eastAsia="ja-JP"/>
        </w:rPr>
        <w:instrText xml:space="preserve"> REF _Ref494750456 \h </w:instrText>
      </w:r>
      <w:r w:rsidR="00644462">
        <w:rPr>
          <w:rFonts w:eastAsia="MS Mincho"/>
          <w:lang w:eastAsia="ja-JP"/>
        </w:rPr>
      </w:r>
      <w:r w:rsidR="00644462">
        <w:rPr>
          <w:rFonts w:eastAsia="MS Mincho"/>
          <w:lang w:eastAsia="ja-JP"/>
        </w:rPr>
        <w:fldChar w:fldCharType="separate"/>
      </w:r>
      <w:r w:rsidR="00F32EEA">
        <w:t xml:space="preserve">Figure </w:t>
      </w:r>
      <w:r w:rsidR="00F32EEA">
        <w:rPr>
          <w:noProof/>
        </w:rPr>
        <w:t>2</w:t>
      </w:r>
      <w:r w:rsidR="00644462">
        <w:rPr>
          <w:rFonts w:eastAsia="MS Mincho"/>
          <w:lang w:eastAsia="ja-JP"/>
        </w:rPr>
        <w:fldChar w:fldCharType="end"/>
      </w:r>
      <w:r w:rsidR="00F32EEA">
        <w:rPr>
          <w:rFonts w:eastAsia="MS Mincho"/>
          <w:lang w:eastAsia="ja-JP"/>
        </w:rPr>
        <w:t xml:space="preserve">.   The alternative is to have another DL/UL bursts in place of “empty” resource allocation in the partial slot based solution.   </w:t>
      </w:r>
      <w:r w:rsidR="000B201E">
        <w:rPr>
          <w:rFonts w:eastAsia="MS Mincho"/>
          <w:lang w:eastAsia="ja-JP"/>
        </w:rPr>
        <w:t xml:space="preserve">The additional DL/UL bursts could be scheduled by the same CORESET in the slot-based scheduling or additional CORESET for the mini-slot based scheduling.    Both would meet the timing requirements of HARQ-ACK transmission and UL data transmission.   </w:t>
      </w:r>
    </w:p>
    <w:p w:rsidR="00F32EEA" w:rsidRDefault="00F32EEA" w:rsidP="00DD5746">
      <w:pPr>
        <w:rPr>
          <w:rFonts w:eastAsia="MS Mincho"/>
          <w:lang w:eastAsia="ja-JP"/>
        </w:rPr>
      </w:pPr>
    </w:p>
    <w:p w:rsidR="00F32EEA" w:rsidRDefault="00F32EEA" w:rsidP="00DD5746">
      <w:pPr>
        <w:rPr>
          <w:rFonts w:eastAsia="MS Mincho"/>
          <w:lang w:eastAsia="ja-JP"/>
        </w:rPr>
      </w:pPr>
    </w:p>
    <w:p w:rsidR="00F32EEA" w:rsidRDefault="00F32EEA" w:rsidP="00DD5746">
      <w:pPr>
        <w:rPr>
          <w:rFonts w:eastAsia="MS Mincho"/>
          <w:lang w:eastAsia="ja-JP"/>
        </w:rPr>
      </w:pPr>
    </w:p>
    <w:p w:rsidR="004F0549" w:rsidRDefault="00D00052" w:rsidP="004F0549">
      <w:pPr>
        <w:keepNext/>
        <w:jc w:val="center"/>
      </w:pPr>
      <w:r>
        <w:object w:dxaOrig="9208" w:dyaOrig="5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5pt;height:220.05pt" o:ole="">
            <v:imagedata r:id="rId10" o:title=""/>
          </v:shape>
          <o:OLEObject Type="Embed" ProgID="Visio.Drawing.11" ShapeID="_x0000_i1025" DrawAspect="Content" ObjectID="_1568537716" r:id="rId11"/>
        </w:object>
      </w:r>
    </w:p>
    <w:p w:rsidR="00335A6A" w:rsidRDefault="004F0549" w:rsidP="004F0549">
      <w:pPr>
        <w:pStyle w:val="a5"/>
        <w:jc w:val="center"/>
        <w:rPr>
          <w:rFonts w:eastAsia="MS Mincho"/>
          <w:lang w:eastAsia="ja-JP"/>
        </w:rPr>
      </w:pPr>
      <w:bookmarkStart w:id="3" w:name="_Ref494750456"/>
      <w:r>
        <w:t xml:space="preserve">Figure </w:t>
      </w:r>
      <w:fldSimple w:instr=" SEQ Figure \* ARABIC ">
        <w:r w:rsidR="00D00052">
          <w:rPr>
            <w:noProof/>
          </w:rPr>
          <w:t>2</w:t>
        </w:r>
      </w:fldSimple>
      <w:bookmarkEnd w:id="3"/>
      <w:r>
        <w:rPr>
          <w:noProof/>
        </w:rPr>
        <w:t>: Illustration of FDD/TDD self contained operation and HARQ timing</w:t>
      </w:r>
    </w:p>
    <w:p w:rsidR="00335A6A" w:rsidRPr="009F53E7" w:rsidRDefault="00335A6A" w:rsidP="009F53E7">
      <w:pPr>
        <w:pStyle w:val="a0"/>
        <w:ind w:left="1440" w:hanging="1440"/>
        <w:rPr>
          <w:rFonts w:eastAsia="SimSun" w:cs="Arial"/>
          <w:iCs/>
          <w:lang w:eastAsia="zh-CN"/>
        </w:rPr>
      </w:pPr>
      <w:bookmarkStart w:id="4" w:name="Source"/>
      <w:bookmarkStart w:id="5" w:name="DocumentFor"/>
      <w:bookmarkEnd w:id="4"/>
      <w:bookmarkEnd w:id="5"/>
    </w:p>
    <w:p w:rsidR="00335A6A" w:rsidRDefault="00335A6A" w:rsidP="00DA0CDD">
      <w:pPr>
        <w:pStyle w:val="a0"/>
        <w:rPr>
          <w:rFonts w:eastAsia="SimSun" w:cs="Arial"/>
          <w:b/>
          <w:iCs/>
          <w:lang w:eastAsia="zh-CN"/>
        </w:rPr>
      </w:pPr>
    </w:p>
    <w:p w:rsidR="000F2E74" w:rsidRPr="000F2E74" w:rsidRDefault="001446AC" w:rsidP="00107F8E">
      <w:pPr>
        <w:pStyle w:val="a0"/>
        <w:rPr>
          <w:b/>
          <w:lang w:eastAsia="zh-CN"/>
        </w:rPr>
      </w:pPr>
      <w:r>
        <w:rPr>
          <w:b/>
          <w:lang w:eastAsia="zh-CN"/>
        </w:rPr>
        <w:t>Proposal 2</w:t>
      </w:r>
      <w:r w:rsidR="000F2E74">
        <w:rPr>
          <w:b/>
          <w:lang w:eastAsia="zh-CN"/>
        </w:rPr>
        <w:t xml:space="preserve">: </w:t>
      </w:r>
      <w:r w:rsidR="009F53E7">
        <w:rPr>
          <w:b/>
          <w:lang w:eastAsia="zh-CN"/>
        </w:rPr>
        <w:t>FDD could reuse TDD slot format with interlace structure to fully utilize DL/UL resource.</w:t>
      </w: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E50D21">
        <w:rPr>
          <w:rFonts w:eastAsia="宋体"/>
          <w:lang w:eastAsia="zh-CN"/>
        </w:rPr>
        <w:t xml:space="preserve">the </w:t>
      </w:r>
      <w:r w:rsidR="009F53E7">
        <w:rPr>
          <w:rFonts w:eastAsia="宋体"/>
          <w:lang w:eastAsia="zh-CN"/>
        </w:rPr>
        <w:t xml:space="preserve">alternative of using TDD slot structure for FDD </w:t>
      </w:r>
      <w:proofErr w:type="spellStart"/>
      <w:r w:rsidR="009F53E7">
        <w:rPr>
          <w:rFonts w:eastAsia="宋体"/>
          <w:lang w:eastAsia="zh-CN"/>
        </w:rPr>
        <w:t>operaton</w:t>
      </w:r>
      <w:proofErr w:type="spellEnd"/>
      <w:r w:rsidR="00E50D21">
        <w:rPr>
          <w:rFonts w:eastAsia="宋体"/>
          <w:lang w:eastAsia="zh-CN"/>
        </w:rPr>
        <w:t xml:space="preserve">.  </w:t>
      </w:r>
      <w:r w:rsidR="00CF163B">
        <w:rPr>
          <w:rFonts w:eastAsia="宋体"/>
          <w:lang w:eastAsia="zh-CN"/>
        </w:rPr>
        <w:t xml:space="preserve"> We have the following proposals,</w:t>
      </w:r>
      <w:r w:rsidR="00CF163B" w:rsidRPr="00CF163B">
        <w:rPr>
          <w:rFonts w:eastAsia="宋体"/>
          <w:lang w:val="en-GB" w:eastAsia="zh-CN"/>
        </w:rPr>
        <w:t xml:space="preserve">  </w:t>
      </w:r>
    </w:p>
    <w:p w:rsidR="009F53E7" w:rsidRPr="009F53E7" w:rsidRDefault="009F53E7" w:rsidP="009F53E7">
      <w:pPr>
        <w:pStyle w:val="af3"/>
        <w:widowControl w:val="0"/>
        <w:numPr>
          <w:ilvl w:val="0"/>
          <w:numId w:val="6"/>
        </w:numPr>
        <w:tabs>
          <w:tab w:val="left" w:pos="1190"/>
        </w:tabs>
        <w:autoSpaceDE w:val="0"/>
        <w:autoSpaceDN w:val="0"/>
        <w:adjustRightInd w:val="0"/>
        <w:ind w:firstLineChars="0"/>
        <w:outlineLvl w:val="0"/>
        <w:rPr>
          <w:rFonts w:ascii="Times New Roman" w:hAnsi="Times New Roman" w:cs="Times New Roman"/>
          <w:sz w:val="20"/>
          <w:szCs w:val="20"/>
        </w:rPr>
      </w:pPr>
      <w:r w:rsidRPr="009F53E7">
        <w:rPr>
          <w:rFonts w:ascii="Times New Roman" w:hAnsi="Times New Roman" w:cs="Times New Roman"/>
          <w:sz w:val="20"/>
          <w:szCs w:val="20"/>
        </w:rPr>
        <w:t xml:space="preserve">Proposal 1:  The solution of FDD structure for self-contained operation should have common structure with TDD and fully resource utilization.  </w:t>
      </w:r>
    </w:p>
    <w:p w:rsidR="009F53E7" w:rsidRPr="009F53E7" w:rsidRDefault="009F53E7" w:rsidP="009F53E7">
      <w:pPr>
        <w:pStyle w:val="a0"/>
        <w:numPr>
          <w:ilvl w:val="0"/>
          <w:numId w:val="6"/>
        </w:numPr>
        <w:rPr>
          <w:szCs w:val="20"/>
          <w:lang w:eastAsia="zh-CN"/>
        </w:rPr>
      </w:pPr>
      <w:r w:rsidRPr="009F53E7">
        <w:rPr>
          <w:szCs w:val="20"/>
          <w:lang w:eastAsia="zh-CN"/>
        </w:rPr>
        <w:t>Proposal 2: FDD could reuse TDD slot format with interlace structure to fully utilize DL/UL resource.</w:t>
      </w:r>
    </w:p>
    <w:p w:rsidR="0072068B" w:rsidRPr="00874672" w:rsidRDefault="0072068B" w:rsidP="005F2421">
      <w:pPr>
        <w:pStyle w:val="a0"/>
        <w:rPr>
          <w:rFonts w:eastAsia="宋体"/>
          <w:lang w:eastAsia="zh-CN"/>
        </w:rPr>
      </w:pPr>
    </w:p>
    <w:bookmarkEnd w:id="0"/>
    <w:p w:rsidR="00BA3CBF" w:rsidRDefault="00BA3CBF" w:rsidP="00BA3CBF">
      <w:pPr>
        <w:pStyle w:val="1"/>
      </w:pPr>
      <w:r>
        <w:rPr>
          <w:rFonts w:hint="eastAsia"/>
        </w:rPr>
        <w:t>References</w:t>
      </w:r>
    </w:p>
    <w:p w:rsidR="00C91F11" w:rsidRDefault="007A4DC8" w:rsidP="00C91F11">
      <w:pPr>
        <w:pStyle w:val="af3"/>
        <w:numPr>
          <w:ilvl w:val="0"/>
          <w:numId w:val="24"/>
        </w:numPr>
        <w:ind w:firstLineChars="0"/>
        <w:rPr>
          <w:rFonts w:ascii="Times New Roman" w:hAnsi="Times New Roman" w:cs="Times New Roman"/>
          <w:sz w:val="20"/>
          <w:szCs w:val="20"/>
        </w:rPr>
      </w:pPr>
      <w:r w:rsidRPr="00980DCB">
        <w:rPr>
          <w:rFonts w:ascii="Times New Roman" w:hAnsi="Times New Roman" w:cs="Times New Roman"/>
          <w:sz w:val="20"/>
          <w:szCs w:val="20"/>
        </w:rPr>
        <w:t>RP-170847</w:t>
      </w:r>
      <w:r w:rsidR="002A35EB" w:rsidRPr="00980DCB">
        <w:rPr>
          <w:rFonts w:ascii="Times New Roman" w:hAnsi="Times New Roman" w:cs="Times New Roman"/>
          <w:sz w:val="20"/>
          <w:szCs w:val="20"/>
        </w:rPr>
        <w:t>, New WID on New Radio Access Technology</w:t>
      </w:r>
    </w:p>
    <w:p w:rsidR="000F2E74" w:rsidRPr="00C91F11" w:rsidRDefault="00C91F11" w:rsidP="00C91F11">
      <w:pPr>
        <w:pStyle w:val="af3"/>
        <w:numPr>
          <w:ilvl w:val="0"/>
          <w:numId w:val="24"/>
        </w:numPr>
        <w:ind w:firstLineChars="0"/>
        <w:rPr>
          <w:rFonts w:ascii="Times New Roman" w:hAnsi="Times New Roman" w:cs="Times New Roman"/>
          <w:sz w:val="20"/>
          <w:szCs w:val="20"/>
        </w:rPr>
      </w:pPr>
      <w:bookmarkStart w:id="6" w:name="_Ref494700498"/>
      <w:r>
        <w:rPr>
          <w:rFonts w:ascii="Times New Roman" w:hAnsi="Times New Roman" w:cs="Times New Roman"/>
          <w:sz w:val="20"/>
          <w:szCs w:val="20"/>
        </w:rPr>
        <w:t>RP-172022</w:t>
      </w:r>
      <w:r w:rsidR="000F2E74" w:rsidRPr="00C91F11">
        <w:rPr>
          <w:rFonts w:ascii="Times New Roman" w:hAnsi="Times New Roman" w:cs="Times New Roman"/>
          <w:sz w:val="20"/>
          <w:szCs w:val="20"/>
        </w:rPr>
        <w:t>, “</w:t>
      </w:r>
      <w:r w:rsidRPr="00C91F11">
        <w:rPr>
          <w:rFonts w:ascii="Times New Roman" w:hAnsi="Times New Roman" w:cs="Times New Roman"/>
          <w:sz w:val="20"/>
          <w:szCs w:val="20"/>
        </w:rPr>
        <w:t>NR FDD gap analysis</w:t>
      </w:r>
      <w:r>
        <w:rPr>
          <w:rFonts w:ascii="Times New Roman" w:hAnsi="Times New Roman" w:cs="Times New Roman"/>
          <w:sz w:val="20"/>
          <w:szCs w:val="20"/>
        </w:rPr>
        <w:t>”, Qualcomm</w:t>
      </w:r>
      <w:bookmarkEnd w:id="6"/>
    </w:p>
    <w:p w:rsidR="008249A3" w:rsidRPr="00980DCB" w:rsidRDefault="008249A3" w:rsidP="00913577">
      <w:pPr>
        <w:pStyle w:val="a0"/>
        <w:suppressAutoHyphens/>
        <w:ind w:left="720" w:hanging="432"/>
        <w:rPr>
          <w:rFonts w:eastAsia="宋体"/>
          <w:iCs/>
          <w:szCs w:val="20"/>
          <w:lang w:eastAsia="zh-CN"/>
        </w:rPr>
      </w:pPr>
    </w:p>
    <w:sectPr w:rsidR="008249A3" w:rsidRPr="00980DCB" w:rsidSect="00C170F8">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D77" w:rsidRDefault="00501D77">
      <w:r>
        <w:separator/>
      </w:r>
    </w:p>
  </w:endnote>
  <w:endnote w:type="continuationSeparator" w:id="0">
    <w:p w:rsidR="00501D77" w:rsidRDefault="00501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ahom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44462"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D77" w:rsidRDefault="00501D77">
      <w:r>
        <w:separator/>
      </w:r>
    </w:p>
  </w:footnote>
  <w:footnote w:type="continuationSeparator" w:id="0">
    <w:p w:rsidR="00501D77" w:rsidRDefault="00501D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979A7AA8"/>
    <w:lvl w:ilvl="0" w:tplc="1B1C79C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4">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9">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10">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11">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2">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4">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5">
    <w:nsid w:val="4C2D14E4"/>
    <w:multiLevelType w:val="hybridMultilevel"/>
    <w:tmpl w:val="2C285DE0"/>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FD1E58"/>
    <w:multiLevelType w:val="hybridMultilevel"/>
    <w:tmpl w:val="21D2EC82"/>
    <w:lvl w:ilvl="0" w:tplc="B89E3D1E">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21">
    <w:nsid w:val="7B3F7083"/>
    <w:multiLevelType w:val="hybridMultilevel"/>
    <w:tmpl w:val="3E4EBE1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18"/>
  </w:num>
  <w:num w:numId="3">
    <w:abstractNumId w:val="22"/>
  </w:num>
  <w:num w:numId="4">
    <w:abstractNumId w:val="6"/>
  </w:num>
  <w:num w:numId="5">
    <w:abstractNumId w:val="17"/>
  </w:num>
  <w:num w:numId="6">
    <w:abstractNumId w:val="19"/>
  </w:num>
  <w:num w:numId="7">
    <w:abstractNumId w:val="4"/>
  </w:num>
  <w:num w:numId="8">
    <w:abstractNumId w:val="12"/>
  </w:num>
  <w:num w:numId="9">
    <w:abstractNumId w:val="10"/>
  </w:num>
  <w:num w:numId="10">
    <w:abstractNumId w:val="2"/>
  </w:num>
  <w:num w:numId="11">
    <w:abstractNumId w:val="7"/>
  </w:num>
  <w:num w:numId="12">
    <w:abstractNumId w:val="0"/>
  </w:num>
  <w:num w:numId="13">
    <w:abstractNumId w:val="3"/>
  </w:num>
  <w:num w:numId="14">
    <w:abstractNumId w:val="20"/>
  </w:num>
  <w:num w:numId="15">
    <w:abstractNumId w:val="11"/>
  </w:num>
  <w:num w:numId="16">
    <w:abstractNumId w:val="9"/>
  </w:num>
  <w:num w:numId="17">
    <w:abstractNumId w:val="13"/>
  </w:num>
  <w:num w:numId="18">
    <w:abstractNumId w:val="14"/>
  </w:num>
  <w:num w:numId="19">
    <w:abstractNumId w:val="8"/>
  </w:num>
  <w:num w:numId="20">
    <w:abstractNumId w:val="1"/>
  </w:num>
  <w:num w:numId="21">
    <w:abstractNumId w:val="5"/>
  </w:num>
  <w:num w:numId="22">
    <w:abstractNumId w:val="21"/>
  </w:num>
  <w:num w:numId="23">
    <w:abstractNumId w:val="15"/>
  </w:num>
  <w:num w:numId="24">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61442"/>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4F78"/>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01E"/>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00F"/>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2E74"/>
    <w:rsid w:val="000F365B"/>
    <w:rsid w:val="000F3A3E"/>
    <w:rsid w:val="000F3C01"/>
    <w:rsid w:val="000F3E8D"/>
    <w:rsid w:val="000F3F70"/>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271"/>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6AC"/>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477"/>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5FAB"/>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ED2"/>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DB6"/>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505"/>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7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3DF"/>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46A"/>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22"/>
    <w:rsid w:val="002B5344"/>
    <w:rsid w:val="002B56A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8A"/>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3AF"/>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346"/>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31"/>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A6A"/>
    <w:rsid w:val="00335EA1"/>
    <w:rsid w:val="00336268"/>
    <w:rsid w:val="003366D2"/>
    <w:rsid w:val="00336926"/>
    <w:rsid w:val="00336A06"/>
    <w:rsid w:val="00336B07"/>
    <w:rsid w:val="00336ED3"/>
    <w:rsid w:val="00336F4B"/>
    <w:rsid w:val="003371BA"/>
    <w:rsid w:val="00337BEC"/>
    <w:rsid w:val="00337CF2"/>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6F12"/>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771"/>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AA3"/>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821"/>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C5E"/>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076"/>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49"/>
    <w:rsid w:val="004F0552"/>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1D77"/>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4D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363"/>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E26"/>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462"/>
    <w:rsid w:val="00644611"/>
    <w:rsid w:val="00644CD2"/>
    <w:rsid w:val="006453FD"/>
    <w:rsid w:val="00645BA5"/>
    <w:rsid w:val="00645FA6"/>
    <w:rsid w:val="006461E7"/>
    <w:rsid w:val="0064629F"/>
    <w:rsid w:val="00646396"/>
    <w:rsid w:val="00646A62"/>
    <w:rsid w:val="00646C40"/>
    <w:rsid w:val="00646F58"/>
    <w:rsid w:val="00647004"/>
    <w:rsid w:val="00647232"/>
    <w:rsid w:val="0064762A"/>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408"/>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0FA"/>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2BC"/>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8B3"/>
    <w:rsid w:val="007B1A8A"/>
    <w:rsid w:val="007B1D15"/>
    <w:rsid w:val="007B1D22"/>
    <w:rsid w:val="007B2022"/>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4D7D"/>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E6B"/>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E5D"/>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672"/>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41B"/>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7FC"/>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2ED7"/>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3577"/>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6E0"/>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BEB"/>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0DCB"/>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4FA7"/>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BD4"/>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0AB4"/>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199E"/>
    <w:rsid w:val="009E254A"/>
    <w:rsid w:val="009E2C97"/>
    <w:rsid w:val="009E3075"/>
    <w:rsid w:val="009E307C"/>
    <w:rsid w:val="009E38F4"/>
    <w:rsid w:val="009E3999"/>
    <w:rsid w:val="009E39A2"/>
    <w:rsid w:val="009E414B"/>
    <w:rsid w:val="009E41E5"/>
    <w:rsid w:val="009E4823"/>
    <w:rsid w:val="009E494E"/>
    <w:rsid w:val="009E4C7B"/>
    <w:rsid w:val="009E4DDC"/>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3E7"/>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677E6"/>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948"/>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1FB"/>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6E4"/>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95D"/>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5D89"/>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0FA"/>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11"/>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A8"/>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052"/>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C30"/>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15"/>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1D3"/>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7F"/>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0CDD"/>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698"/>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746"/>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6D2"/>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611"/>
    <w:rsid w:val="00ED5ADD"/>
    <w:rsid w:val="00ED5BB7"/>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2EEA"/>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0E4"/>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2E"/>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6FE"/>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 w:type="character" w:styleId="af4">
    <w:name w:val="Intense Reference"/>
    <w:basedOn w:val="a1"/>
    <w:uiPriority w:val="32"/>
    <w:qFormat/>
    <w:rsid w:val="008B37FC"/>
    <w:rPr>
      <w:rFonts w:ascii="Times New Roman" w:hAnsi="Times New Roman"/>
      <w:bCs/>
      <w:smallCaps/>
      <w:color w:val="auto"/>
      <w:spacing w:val="5"/>
      <w:sz w:val="20"/>
      <w:u w:val="none"/>
    </w:rPr>
  </w:style>
  <w:style w:type="character" w:styleId="af5">
    <w:name w:val="Book Title"/>
    <w:basedOn w:val="a1"/>
    <w:uiPriority w:val="33"/>
    <w:qFormat/>
    <w:rsid w:val="008B37FC"/>
    <w:rPr>
      <w:b/>
      <w:bCs/>
      <w:smallCaps/>
      <w:spacing w:val="5"/>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8F5114-2E5C-47CD-94DC-C6C99E086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2007-08-30T15:45:00Z</cp:lastPrinted>
  <dcterms:created xsi:type="dcterms:W3CDTF">2017-06-12T13:10:00Z</dcterms:created>
  <dcterms:modified xsi:type="dcterms:W3CDTF">2017-10-03T04:09:00Z</dcterms:modified>
</cp:coreProperties>
</file>