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47E5" w:rsidRPr="0052548E" w:rsidRDefault="002747E5" w:rsidP="002747E5">
      <w:pPr>
        <w:tabs>
          <w:tab w:val="center" w:pos="4536"/>
          <w:tab w:val="right" w:pos="8280"/>
          <w:tab w:val="right" w:pos="9639"/>
        </w:tabs>
        <w:spacing w:after="0"/>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90bis</w:t>
      </w:r>
      <w:r w:rsidRPr="0052548E">
        <w:rPr>
          <w:rFonts w:ascii="Arial" w:hAnsi="Arial" w:cs="Arial"/>
          <w:b/>
          <w:bCs/>
          <w:sz w:val="28"/>
        </w:rPr>
        <w:t xml:space="preserve"> </w:t>
      </w:r>
      <w:r>
        <w:rPr>
          <w:rFonts w:ascii="Arial" w:eastAsia="MS Mincho" w:hAnsi="Arial" w:cs="Arial"/>
          <w:b/>
          <w:bCs/>
          <w:sz w:val="28"/>
          <w:lang w:eastAsia="ja-JP"/>
        </w:rPr>
        <w:tab/>
      </w:r>
      <w:r>
        <w:rPr>
          <w:rFonts w:ascii="Arial" w:hAnsi="Arial" w:cs="Arial"/>
          <w:b/>
          <w:bCs/>
          <w:sz w:val="28"/>
        </w:rPr>
        <w:tab/>
      </w:r>
      <w:r w:rsidRPr="00E74131">
        <w:rPr>
          <w:rFonts w:ascii="Arial" w:hAnsi="Arial" w:cs="Arial"/>
          <w:b/>
          <w:bCs/>
          <w:sz w:val="28"/>
        </w:rPr>
        <w:t>R1-1717</w:t>
      </w:r>
      <w:r>
        <w:rPr>
          <w:rFonts w:ascii="Arial" w:hAnsi="Arial" w:cs="Arial"/>
          <w:b/>
          <w:bCs/>
          <w:sz w:val="28"/>
        </w:rPr>
        <w:t>397</w:t>
      </w:r>
    </w:p>
    <w:p w:rsidR="002747E5" w:rsidRPr="009513AC" w:rsidRDefault="002747E5" w:rsidP="002747E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Prague, CZ, 9</w:t>
      </w:r>
      <w:r w:rsidRPr="00FD61E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13</w:t>
      </w:r>
      <w:r w:rsidRPr="00FD61EB">
        <w:rPr>
          <w:rFonts w:ascii="Arial" w:eastAsia="MS Mincho" w:hAnsi="Arial" w:cs="Arial"/>
          <w:b/>
          <w:bCs/>
          <w:sz w:val="28"/>
          <w:vertAlign w:val="superscript"/>
          <w:lang w:eastAsia="ja-JP"/>
        </w:rPr>
        <w:t>th</w:t>
      </w:r>
      <w:r>
        <w:rPr>
          <w:rFonts w:ascii="Arial" w:eastAsia="MS Mincho" w:hAnsi="Arial" w:cs="Arial" w:hint="eastAsia"/>
          <w:b/>
          <w:bCs/>
          <w:sz w:val="28"/>
          <w:lang w:eastAsia="ja-JP"/>
        </w:rPr>
        <w:t xml:space="preserve">, </w:t>
      </w:r>
      <w:r>
        <w:rPr>
          <w:rFonts w:ascii="Arial" w:hAnsi="Arial" w:cs="Arial"/>
          <w:b/>
          <w:bCs/>
          <w:sz w:val="28"/>
        </w:rPr>
        <w:t>October 201</w:t>
      </w:r>
      <w:r w:rsidRPr="009513AC">
        <w:rPr>
          <w:rFonts w:ascii="Arial" w:eastAsia="MS Mincho" w:hAnsi="Arial" w:cs="Arial" w:hint="eastAsia"/>
          <w:b/>
          <w:bCs/>
          <w:sz w:val="28"/>
          <w:lang w:eastAsia="ja-JP"/>
        </w:rPr>
        <w:t>7</w:t>
      </w:r>
    </w:p>
    <w:p w:rsidR="002747E5" w:rsidRPr="009C718A" w:rsidRDefault="002747E5" w:rsidP="002747E5">
      <w:pPr>
        <w:tabs>
          <w:tab w:val="left" w:pos="1701"/>
          <w:tab w:val="right" w:pos="9072"/>
          <w:tab w:val="right" w:pos="10206"/>
        </w:tabs>
        <w:spacing w:after="80"/>
        <w:jc w:val="both"/>
        <w:rPr>
          <w:rFonts w:ascii="Arial" w:hAnsi="Arial"/>
          <w:b/>
          <w:sz w:val="24"/>
          <w:szCs w:val="24"/>
        </w:rPr>
      </w:pPr>
      <w:r>
        <w:rPr>
          <w:rFonts w:ascii="Arial" w:hAnsi="Arial"/>
          <w:b/>
          <w:sz w:val="24"/>
          <w:szCs w:val="24"/>
        </w:rPr>
        <w:t>Agenda Item:</w:t>
      </w:r>
      <w:r>
        <w:rPr>
          <w:rFonts w:ascii="Arial" w:hAnsi="Arial"/>
          <w:b/>
          <w:sz w:val="24"/>
          <w:szCs w:val="24"/>
        </w:rPr>
        <w:tab/>
        <w:t>7</w:t>
      </w:r>
      <w:r w:rsidRPr="00F01ABB">
        <w:rPr>
          <w:rFonts w:ascii="Arial" w:hAnsi="Arial"/>
          <w:b/>
          <w:sz w:val="24"/>
          <w:szCs w:val="24"/>
        </w:rPr>
        <w:t>.</w:t>
      </w:r>
      <w:r>
        <w:rPr>
          <w:rFonts w:ascii="Arial" w:hAnsi="Arial"/>
          <w:b/>
          <w:sz w:val="24"/>
          <w:szCs w:val="24"/>
        </w:rPr>
        <w:t>3.3.5</w:t>
      </w:r>
    </w:p>
    <w:p w:rsidR="002747E5" w:rsidRPr="009C718A" w:rsidRDefault="002747E5" w:rsidP="002747E5">
      <w:pPr>
        <w:tabs>
          <w:tab w:val="left" w:pos="1701"/>
          <w:tab w:val="right" w:pos="9072"/>
          <w:tab w:val="right" w:pos="10206"/>
        </w:tabs>
        <w:spacing w:after="80"/>
        <w:jc w:val="both"/>
        <w:rPr>
          <w:rFonts w:ascii="Arial" w:hAnsi="Arial"/>
          <w:b/>
          <w:sz w:val="24"/>
          <w:szCs w:val="24"/>
        </w:rPr>
      </w:pPr>
      <w:r w:rsidRPr="009C718A">
        <w:rPr>
          <w:rFonts w:ascii="Arial" w:hAnsi="Arial"/>
          <w:b/>
          <w:sz w:val="24"/>
          <w:szCs w:val="24"/>
        </w:rPr>
        <w:t xml:space="preserve">Source: </w:t>
      </w:r>
      <w:r w:rsidRPr="009C718A">
        <w:rPr>
          <w:rFonts w:ascii="Arial" w:hAnsi="Arial"/>
          <w:b/>
          <w:sz w:val="24"/>
          <w:szCs w:val="24"/>
        </w:rPr>
        <w:tab/>
        <w:t>Intel Corporation</w:t>
      </w:r>
    </w:p>
    <w:p w:rsidR="002747E5" w:rsidRPr="009C718A" w:rsidRDefault="002747E5" w:rsidP="002747E5">
      <w:pPr>
        <w:tabs>
          <w:tab w:val="left" w:pos="1701"/>
          <w:tab w:val="right" w:pos="9072"/>
          <w:tab w:val="right" w:pos="10206"/>
        </w:tabs>
        <w:spacing w:after="80"/>
        <w:jc w:val="both"/>
        <w:rPr>
          <w:rFonts w:ascii="Arial" w:hAnsi="Arial"/>
          <w:b/>
          <w:sz w:val="24"/>
          <w:szCs w:val="24"/>
        </w:rPr>
      </w:pPr>
      <w:r w:rsidRPr="009C718A">
        <w:rPr>
          <w:rFonts w:ascii="Arial" w:hAnsi="Arial"/>
          <w:b/>
          <w:sz w:val="24"/>
          <w:szCs w:val="24"/>
        </w:rPr>
        <w:t>Title:</w:t>
      </w:r>
      <w:bookmarkStart w:id="0" w:name="Title"/>
      <w:bookmarkEnd w:id="0"/>
      <w:r w:rsidRPr="009C718A">
        <w:rPr>
          <w:rFonts w:ascii="Arial" w:hAnsi="Arial"/>
          <w:b/>
          <w:sz w:val="24"/>
          <w:szCs w:val="24"/>
        </w:rPr>
        <w:tab/>
      </w:r>
      <w:r>
        <w:rPr>
          <w:rFonts w:ascii="Arial" w:hAnsi="Arial"/>
          <w:b/>
          <w:sz w:val="24"/>
          <w:szCs w:val="24"/>
        </w:rPr>
        <w:t>Soft-buffer management in NR</w:t>
      </w:r>
    </w:p>
    <w:p w:rsidR="002747E5" w:rsidRPr="009C718A" w:rsidRDefault="002747E5" w:rsidP="002747E5">
      <w:pPr>
        <w:tabs>
          <w:tab w:val="left" w:pos="1701"/>
          <w:tab w:val="right" w:pos="9072"/>
          <w:tab w:val="right" w:pos="10206"/>
        </w:tabs>
        <w:spacing w:after="80"/>
        <w:jc w:val="both"/>
        <w:rPr>
          <w:rFonts w:ascii="Arial" w:hAnsi="Arial"/>
          <w:b/>
          <w:sz w:val="24"/>
          <w:szCs w:val="24"/>
        </w:rPr>
      </w:pPr>
      <w:r w:rsidRPr="009C718A">
        <w:rPr>
          <w:rFonts w:ascii="Arial" w:hAnsi="Arial"/>
          <w:b/>
          <w:sz w:val="24"/>
          <w:szCs w:val="24"/>
        </w:rPr>
        <w:t>Document for:</w:t>
      </w:r>
      <w:r w:rsidRPr="009C718A">
        <w:rPr>
          <w:rFonts w:ascii="Arial" w:hAnsi="Arial"/>
          <w:b/>
          <w:sz w:val="24"/>
          <w:szCs w:val="24"/>
        </w:rPr>
        <w:tab/>
        <w:t>Discussion/Decision</w:t>
      </w:r>
    </w:p>
    <w:p w:rsidR="002747E5" w:rsidRPr="002B5BBB" w:rsidRDefault="002747E5" w:rsidP="002747E5">
      <w:pPr>
        <w:pStyle w:val="Heading1"/>
        <w:numPr>
          <w:ilvl w:val="0"/>
          <w:numId w:val="2"/>
        </w:numPr>
        <w:ind w:left="360"/>
        <w:textAlignment w:val="auto"/>
        <w:rPr>
          <w:sz w:val="32"/>
        </w:rPr>
      </w:pPr>
      <w:r w:rsidRPr="002B5BBB">
        <w:rPr>
          <w:sz w:val="32"/>
        </w:rPr>
        <w:t>Introduction</w:t>
      </w:r>
    </w:p>
    <w:p w:rsidR="002747E5" w:rsidRDefault="002747E5" w:rsidP="002747E5">
      <w:pPr>
        <w:spacing w:before="240"/>
        <w:jc w:val="both"/>
        <w:rPr>
          <w:sz w:val="22"/>
          <w:szCs w:val="22"/>
        </w:rPr>
      </w:pPr>
      <w:r>
        <w:rPr>
          <w:sz w:val="22"/>
          <w:szCs w:val="22"/>
        </w:rPr>
        <w:t>In previous RAN1 meeting, following was agreed with respect to the soft buffer dimensioning.</w:t>
      </w:r>
    </w:p>
    <w:p w:rsidR="002747E5" w:rsidRPr="00D612C5" w:rsidRDefault="002747E5" w:rsidP="002747E5">
      <w:pPr>
        <w:rPr>
          <w:rFonts w:eastAsia="Yu Mincho"/>
          <w:b/>
          <w:iCs/>
          <w:u w:val="single"/>
          <w:lang w:eastAsia="ja-JP"/>
        </w:rPr>
      </w:pPr>
      <w:r w:rsidRPr="00190FD7">
        <w:rPr>
          <w:rFonts w:eastAsia="Yu Mincho" w:hint="eastAsia"/>
          <w:b/>
          <w:iCs/>
          <w:highlight w:val="green"/>
          <w:u w:val="single"/>
          <w:lang w:eastAsia="ja-JP"/>
        </w:rPr>
        <w:t>Agreements:</w:t>
      </w:r>
    </w:p>
    <w:p w:rsidR="002747E5" w:rsidRPr="00D612C5" w:rsidRDefault="002747E5" w:rsidP="002747E5">
      <w:pPr>
        <w:numPr>
          <w:ilvl w:val="0"/>
          <w:numId w:val="4"/>
        </w:numPr>
        <w:tabs>
          <w:tab w:val="left" w:pos="0"/>
        </w:tabs>
        <w:overflowPunct/>
        <w:autoSpaceDE/>
        <w:autoSpaceDN/>
        <w:adjustRightInd/>
        <w:spacing w:after="0"/>
        <w:textAlignment w:val="auto"/>
        <w:rPr>
          <w:rFonts w:eastAsia="MS Mincho"/>
          <w:iCs/>
          <w:lang w:eastAsia="ja-JP"/>
        </w:rPr>
      </w:pPr>
      <w:r w:rsidRPr="00D612C5">
        <w:rPr>
          <w:rFonts w:eastAsia="MS Mincho"/>
          <w:iCs/>
          <w:lang w:eastAsia="ja-JP"/>
        </w:rPr>
        <w:t>NR specification should decouple the transmit (or RV) buffer from soft buffer size of the UE receiver.</w:t>
      </w:r>
    </w:p>
    <w:p w:rsidR="002747E5" w:rsidRPr="00D612C5" w:rsidRDefault="002747E5" w:rsidP="002747E5">
      <w:pPr>
        <w:numPr>
          <w:ilvl w:val="1"/>
          <w:numId w:val="4"/>
        </w:numPr>
        <w:tabs>
          <w:tab w:val="left" w:pos="0"/>
        </w:tabs>
        <w:overflowPunct/>
        <w:autoSpaceDE/>
        <w:autoSpaceDN/>
        <w:adjustRightInd/>
        <w:spacing w:after="0"/>
        <w:textAlignment w:val="auto"/>
        <w:rPr>
          <w:rFonts w:eastAsia="MS Mincho"/>
          <w:iCs/>
          <w:lang w:eastAsia="ja-JP"/>
        </w:rPr>
      </w:pPr>
      <w:r w:rsidRPr="00D612C5">
        <w:rPr>
          <w:rFonts w:eastAsia="MS Mincho" w:hint="eastAsia"/>
          <w:iCs/>
          <w:lang w:eastAsia="ja-JP"/>
        </w:rPr>
        <w:t>Note: transmit (</w:t>
      </w:r>
      <w:r w:rsidRPr="00D612C5">
        <w:rPr>
          <w:rFonts w:eastAsia="MS Mincho"/>
          <w:iCs/>
          <w:lang w:eastAsia="ja-JP"/>
        </w:rPr>
        <w:t>or RV</w:t>
      </w:r>
      <w:r w:rsidRPr="00D612C5">
        <w:rPr>
          <w:rFonts w:eastAsia="MS Mincho" w:hint="eastAsia"/>
          <w:iCs/>
          <w:lang w:eastAsia="ja-JP"/>
        </w:rPr>
        <w:t>)</w:t>
      </w:r>
      <w:r w:rsidRPr="00D612C5">
        <w:rPr>
          <w:rFonts w:eastAsia="MS Mincho"/>
          <w:iCs/>
          <w:lang w:eastAsia="ja-JP"/>
        </w:rPr>
        <w:t xml:space="preserve"> buffer refers to the PDSCH rate-matching buffer</w:t>
      </w:r>
    </w:p>
    <w:p w:rsidR="002747E5" w:rsidRDefault="002747E5" w:rsidP="002747E5">
      <w:pPr>
        <w:spacing w:before="240"/>
        <w:jc w:val="both"/>
        <w:rPr>
          <w:sz w:val="22"/>
          <w:szCs w:val="22"/>
        </w:rPr>
      </w:pPr>
      <w:r>
        <w:rPr>
          <w:sz w:val="22"/>
          <w:szCs w:val="22"/>
        </w:rPr>
        <w:t xml:space="preserve">RAN1 further concluded the following in NR#AH3. </w:t>
      </w:r>
    </w:p>
    <w:p w:rsidR="002747E5" w:rsidRPr="00520B7A" w:rsidRDefault="002747E5" w:rsidP="002747E5">
      <w:r w:rsidRPr="00520B7A">
        <w:rPr>
          <w:u w:val="single"/>
        </w:rPr>
        <w:t>Conclusion</w:t>
      </w:r>
      <w:r w:rsidRPr="00520B7A">
        <w:t>:</w:t>
      </w:r>
    </w:p>
    <w:p w:rsidR="002747E5" w:rsidRPr="00520B7A" w:rsidRDefault="002747E5" w:rsidP="002747E5">
      <w:pPr>
        <w:numPr>
          <w:ilvl w:val="0"/>
          <w:numId w:val="6"/>
        </w:numPr>
        <w:tabs>
          <w:tab w:val="left" w:pos="720"/>
        </w:tabs>
        <w:overflowPunct/>
        <w:autoSpaceDE/>
        <w:autoSpaceDN/>
        <w:adjustRightInd/>
        <w:spacing w:after="0"/>
        <w:textAlignment w:val="auto"/>
      </w:pPr>
      <w:r w:rsidRPr="00520B7A">
        <w:t>RAN1 aims to finalize details of transmit buffer rate-matching (for PDSCH/PUSCH) in RAN1#90bis</w:t>
      </w:r>
    </w:p>
    <w:p w:rsidR="002747E5" w:rsidRPr="00520B7A" w:rsidRDefault="002747E5" w:rsidP="002747E5">
      <w:pPr>
        <w:numPr>
          <w:ilvl w:val="0"/>
          <w:numId w:val="6"/>
        </w:numPr>
        <w:tabs>
          <w:tab w:val="left" w:pos="720"/>
        </w:tabs>
        <w:overflowPunct/>
        <w:autoSpaceDE/>
        <w:autoSpaceDN/>
        <w:adjustRightInd/>
        <w:spacing w:after="0"/>
        <w:textAlignment w:val="auto"/>
      </w:pPr>
      <w:r w:rsidRPr="00520B7A">
        <w:t>FFS UE soft buffer dimensioning especially in relation to UE capability/category</w:t>
      </w:r>
    </w:p>
    <w:p w:rsidR="002747E5" w:rsidRPr="00520B7A" w:rsidRDefault="002747E5" w:rsidP="002747E5">
      <w:pPr>
        <w:numPr>
          <w:ilvl w:val="0"/>
          <w:numId w:val="6"/>
        </w:numPr>
        <w:tabs>
          <w:tab w:val="left" w:pos="720"/>
        </w:tabs>
        <w:overflowPunct/>
        <w:autoSpaceDE/>
        <w:autoSpaceDN/>
        <w:adjustRightInd/>
        <w:spacing w:after="0"/>
        <w:textAlignment w:val="auto"/>
      </w:pPr>
      <w:r w:rsidRPr="00520B7A">
        <w:t>FFS NR soft buffer management</w:t>
      </w:r>
    </w:p>
    <w:p w:rsidR="002747E5" w:rsidRPr="00520B7A" w:rsidRDefault="002747E5" w:rsidP="002747E5">
      <w:pPr>
        <w:numPr>
          <w:ilvl w:val="0"/>
          <w:numId w:val="6"/>
        </w:numPr>
        <w:tabs>
          <w:tab w:val="left" w:pos="720"/>
        </w:tabs>
        <w:overflowPunct/>
        <w:autoSpaceDE/>
        <w:autoSpaceDN/>
        <w:adjustRightInd/>
        <w:spacing w:after="0"/>
        <w:textAlignment w:val="auto"/>
      </w:pPr>
      <w:r w:rsidRPr="00520B7A">
        <w:t>FFS LTE-NR soft buffer dimensioning and management, especially in relation of UE capability/category</w:t>
      </w:r>
    </w:p>
    <w:p w:rsidR="002747E5" w:rsidRDefault="002747E5" w:rsidP="002747E5">
      <w:pPr>
        <w:spacing w:before="240"/>
        <w:jc w:val="both"/>
        <w:rPr>
          <w:sz w:val="22"/>
          <w:szCs w:val="22"/>
        </w:rPr>
      </w:pPr>
      <w:r>
        <w:rPr>
          <w:sz w:val="22"/>
          <w:szCs w:val="22"/>
        </w:rPr>
        <w:t xml:space="preserve">In this contribution, we discuss the following. </w:t>
      </w:r>
    </w:p>
    <w:p w:rsidR="002747E5" w:rsidRDefault="002747E5" w:rsidP="002747E5">
      <w:pPr>
        <w:pStyle w:val="ListParagraph"/>
        <w:numPr>
          <w:ilvl w:val="0"/>
          <w:numId w:val="7"/>
        </w:numPr>
        <w:spacing w:before="240"/>
        <w:jc w:val="both"/>
        <w:rPr>
          <w:sz w:val="22"/>
          <w:szCs w:val="22"/>
        </w:rPr>
      </w:pPr>
      <w:r w:rsidRPr="00EC5453">
        <w:rPr>
          <w:sz w:val="22"/>
          <w:szCs w:val="22"/>
        </w:rPr>
        <w:t xml:space="preserve">Transmit buffer rate-matching (for PDSCH/PUSCH) </w:t>
      </w:r>
    </w:p>
    <w:p w:rsidR="002747E5" w:rsidRDefault="002747E5" w:rsidP="002747E5">
      <w:pPr>
        <w:pStyle w:val="ListParagraph"/>
        <w:numPr>
          <w:ilvl w:val="0"/>
          <w:numId w:val="7"/>
        </w:numPr>
        <w:spacing w:before="240"/>
        <w:jc w:val="both"/>
        <w:rPr>
          <w:sz w:val="22"/>
          <w:szCs w:val="22"/>
        </w:rPr>
      </w:pPr>
      <w:r>
        <w:rPr>
          <w:sz w:val="22"/>
          <w:szCs w:val="22"/>
        </w:rPr>
        <w:t>UE soft buffer dimensioning in relation to UE capability/category (also for LTE-NR DC)</w:t>
      </w:r>
    </w:p>
    <w:p w:rsidR="002747E5" w:rsidRPr="00A446BE" w:rsidRDefault="002747E5" w:rsidP="002747E5">
      <w:pPr>
        <w:pStyle w:val="ListParagraph"/>
        <w:numPr>
          <w:ilvl w:val="0"/>
          <w:numId w:val="7"/>
        </w:numPr>
        <w:spacing w:before="240"/>
        <w:jc w:val="both"/>
        <w:rPr>
          <w:sz w:val="22"/>
          <w:szCs w:val="22"/>
        </w:rPr>
      </w:pPr>
      <w:r>
        <w:rPr>
          <w:sz w:val="22"/>
          <w:szCs w:val="22"/>
        </w:rPr>
        <w:t>Soft buffer management</w:t>
      </w:r>
    </w:p>
    <w:p w:rsidR="002747E5" w:rsidRPr="007920F7" w:rsidRDefault="002747E5" w:rsidP="002747E5">
      <w:pPr>
        <w:keepNext/>
        <w:keepLines/>
        <w:numPr>
          <w:ilvl w:val="0"/>
          <w:numId w:val="2"/>
        </w:numPr>
        <w:pBdr>
          <w:top w:val="single" w:sz="12" w:space="3" w:color="auto"/>
        </w:pBdr>
        <w:spacing w:before="240"/>
        <w:ind w:left="360"/>
        <w:textAlignment w:val="auto"/>
        <w:outlineLvl w:val="0"/>
        <w:rPr>
          <w:rFonts w:ascii="Arial" w:hAnsi="Arial"/>
          <w:sz w:val="32"/>
          <w:lang w:val="en-GB"/>
        </w:rPr>
      </w:pPr>
      <w:r>
        <w:rPr>
          <w:rFonts w:ascii="Arial" w:hAnsi="Arial"/>
          <w:sz w:val="32"/>
          <w:lang w:val="en-GB"/>
        </w:rPr>
        <w:t>Transmit buffer rate-matching in NR</w:t>
      </w:r>
      <w:r w:rsidRPr="007920F7">
        <w:rPr>
          <w:rFonts w:ascii="Arial" w:hAnsi="Arial"/>
          <w:sz w:val="32"/>
          <w:lang w:val="en-GB"/>
        </w:rPr>
        <w:t xml:space="preserve"> </w:t>
      </w:r>
    </w:p>
    <w:p w:rsidR="002747E5" w:rsidRDefault="002747E5" w:rsidP="002747E5">
      <w:pPr>
        <w:jc w:val="both"/>
        <w:rPr>
          <w:lang w:val="en-GB"/>
        </w:rPr>
      </w:pPr>
      <w:r>
        <w:rPr>
          <w:lang w:val="en-GB"/>
        </w:rPr>
        <w:t xml:space="preserve">Limited buffer rate-matching support for LDPC has been considered since the NR SI, including the discussions related to Area/throughput comparisons, decoding latency, etc. In particular the LDPC matrix design, including the base graph structure, took into account the decoding latency savings by enabling base matrix design composed of single-parity-check based extension for supported of lower code rates. This structure enables a LDPC decoder to operate on a smaller base graph at higher code rates, thereby reducing latency, which is important for cases such as peak throughput where typically the UE is operating at relatively high MCS at initial transmissions. Some of the relevant agreements for LBRM from NR are shown below. </w:t>
      </w:r>
    </w:p>
    <w:p w:rsidR="002747E5" w:rsidRDefault="002747E5" w:rsidP="002747E5">
      <w:pPr>
        <w:jc w:val="both"/>
        <w:rPr>
          <w:lang w:val="en-GB"/>
        </w:rPr>
      </w:pPr>
    </w:p>
    <w:p w:rsidR="002747E5" w:rsidRDefault="002747E5" w:rsidP="002747E5">
      <w:pPr>
        <w:jc w:val="both"/>
        <w:rPr>
          <w:lang w:val="en-GB"/>
        </w:rPr>
      </w:pPr>
      <w:r w:rsidRPr="00AE45EC">
        <w:rPr>
          <w:noProof/>
        </w:rPr>
        <w:lastRenderedPageBreak/>
        <mc:AlternateContent>
          <mc:Choice Requires="wps">
            <w:drawing>
              <wp:inline distT="0" distB="0" distL="0" distR="0" wp14:anchorId="6831FCEF" wp14:editId="60C14DF7">
                <wp:extent cx="5821680" cy="795528"/>
                <wp:effectExtent l="0" t="0" r="26670"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1680" cy="795528"/>
                        </a:xfrm>
                        <a:prstGeom prst="rect">
                          <a:avLst/>
                        </a:prstGeom>
                        <a:solidFill>
                          <a:srgbClr val="FFFFFF"/>
                        </a:solidFill>
                        <a:ln w="9525">
                          <a:solidFill>
                            <a:srgbClr val="000000"/>
                          </a:solidFill>
                          <a:miter lim="800000"/>
                          <a:headEnd/>
                          <a:tailEnd/>
                        </a:ln>
                      </wps:spPr>
                      <wps:txbx>
                        <w:txbxContent>
                          <w:p w:rsidR="002747E5" w:rsidRDefault="002747E5" w:rsidP="002747E5">
                            <w:pPr>
                              <w:jc w:val="both"/>
                              <w:rPr>
                                <w:lang w:val="en-GB"/>
                              </w:rPr>
                            </w:pPr>
                            <w:r>
                              <w:rPr>
                                <w:lang w:val="en-GB"/>
                              </w:rPr>
                              <w:t xml:space="preserve">In RAN1#AH1 (Jan 2017), it was agreed to support LBRM in LDPC code rate matching. </w:t>
                            </w:r>
                          </w:p>
                          <w:p w:rsidR="002747E5" w:rsidRDefault="002747E5" w:rsidP="002747E5">
                            <w:pPr>
                              <w:numPr>
                                <w:ilvl w:val="0"/>
                                <w:numId w:val="10"/>
                              </w:numPr>
                              <w:jc w:val="both"/>
                              <w:rPr>
                                <w:i/>
                              </w:rPr>
                            </w:pPr>
                            <w:r w:rsidRPr="00EC5453">
                              <w:rPr>
                                <w:i/>
                              </w:rPr>
                              <w:t>Limited buffer rate matching (LBRM) is supported</w:t>
                            </w:r>
                          </w:p>
                          <w:p w:rsidR="002747E5" w:rsidRDefault="002747E5" w:rsidP="002747E5">
                            <w:pPr>
                              <w:jc w:val="both"/>
                              <w:rPr>
                                <w:lang w:val="en-GB"/>
                              </w:rPr>
                            </w:pPr>
                            <w:r>
                              <w:rPr>
                                <w:lang w:val="en-GB"/>
                              </w:rPr>
                              <w:t xml:space="preserve">In RAN1#88, the following was concluded with respect to LDPC code design. </w:t>
                            </w:r>
                          </w:p>
                          <w:p w:rsidR="002747E5" w:rsidRPr="00EC5453" w:rsidRDefault="002747E5" w:rsidP="002747E5">
                            <w:pPr>
                              <w:jc w:val="both"/>
                              <w:rPr>
                                <w:i/>
                              </w:rPr>
                            </w:pPr>
                            <w:r w:rsidRPr="00EC5453">
                              <w:rPr>
                                <w:b/>
                                <w:bCs/>
                                <w:i/>
                                <w:u w:val="single"/>
                                <w:lang w:val="en-GB"/>
                              </w:rPr>
                              <w:t>Conclusion for some code design targets:</w:t>
                            </w:r>
                          </w:p>
                          <w:p w:rsidR="002747E5" w:rsidRPr="00EC5453" w:rsidRDefault="002747E5" w:rsidP="002747E5">
                            <w:pPr>
                              <w:numPr>
                                <w:ilvl w:val="0"/>
                                <w:numId w:val="9"/>
                              </w:numPr>
                              <w:jc w:val="both"/>
                              <w:rPr>
                                <w:i/>
                              </w:rPr>
                            </w:pPr>
                            <w:r w:rsidRPr="00EC5453">
                              <w:rPr>
                                <w:i/>
                                <w:lang w:val="en-GB"/>
                              </w:rPr>
                              <w:t>At least support 20Gbps decoder information throughput with code rate 8/9</w:t>
                            </w:r>
                          </w:p>
                          <w:p w:rsidR="002747E5" w:rsidRPr="00EC5453" w:rsidRDefault="002747E5" w:rsidP="002747E5">
                            <w:pPr>
                              <w:numPr>
                                <w:ilvl w:val="0"/>
                                <w:numId w:val="9"/>
                              </w:numPr>
                              <w:jc w:val="both"/>
                              <w:rPr>
                                <w:i/>
                              </w:rPr>
                            </w:pPr>
                            <w:r w:rsidRPr="00EC5453">
                              <w:rPr>
                                <w:i/>
                                <w:lang w:val="en-GB"/>
                              </w:rPr>
                              <w:t>Also aim for good throughput performance at lower code rate(s)</w:t>
                            </w:r>
                          </w:p>
                          <w:p w:rsidR="002747E5" w:rsidRPr="00EC5453" w:rsidRDefault="002747E5" w:rsidP="002747E5">
                            <w:pPr>
                              <w:numPr>
                                <w:ilvl w:val="1"/>
                                <w:numId w:val="9"/>
                              </w:numPr>
                              <w:jc w:val="both"/>
                              <w:rPr>
                                <w:i/>
                              </w:rPr>
                            </w:pPr>
                            <w:r w:rsidRPr="00EC5453">
                              <w:rPr>
                                <w:i/>
                                <w:lang w:val="en-GB"/>
                              </w:rPr>
                              <w:t>FFS the details of how to assess throughput performance at lower code rates, including whether the assessment is relative or absolute, and other constraints (e.g. complexity)</w:t>
                            </w:r>
                          </w:p>
                          <w:p w:rsidR="002747E5" w:rsidRDefault="002747E5" w:rsidP="002747E5">
                            <w:pPr>
                              <w:jc w:val="both"/>
                              <w:rPr>
                                <w:lang w:val="en-GB"/>
                              </w:rPr>
                            </w:pPr>
                            <w:r>
                              <w:rPr>
                                <w:lang w:val="en-GB"/>
                              </w:rPr>
                              <w:t>In RAN1#90, for LDPC rate-matching, the starting positions of RVs for LBRM was agreed</w:t>
                            </w:r>
                          </w:p>
                          <w:p w:rsidR="002747E5" w:rsidRPr="00A446BE" w:rsidRDefault="002747E5" w:rsidP="002747E5">
                            <w:pPr>
                              <w:numPr>
                                <w:ilvl w:val="0"/>
                                <w:numId w:val="11"/>
                              </w:numPr>
                              <w:jc w:val="both"/>
                              <w:rPr>
                                <w:i/>
                              </w:rPr>
                            </w:pPr>
                            <w:r w:rsidRPr="00EC5453">
                              <w:rPr>
                                <w:i/>
                                <w:lang w:val="en-GB"/>
                              </w:rPr>
                              <w:t>The starting positions of RVs for limited buffer should be approximately scaled from the full buffer positions, while remaining integer multiples of Z.</w:t>
                            </w:r>
                          </w:p>
                        </w:txbxContent>
                      </wps:txbx>
                      <wps:bodyPr rot="0" vert="horz" wrap="square" lIns="91440" tIns="45720" rIns="91440" bIns="45720" anchor="t" anchorCtr="0">
                        <a:spAutoFit/>
                      </wps:bodyPr>
                    </wps:wsp>
                  </a:graphicData>
                </a:graphic>
              </wp:inline>
            </w:drawing>
          </mc:Choice>
          <mc:Fallback>
            <w:pict>
              <v:shapetype w14:anchorId="6831FCEF" id="_x0000_t202" coordsize="21600,21600" o:spt="202" path="m,l,21600r21600,l21600,xe">
                <v:stroke joinstyle="miter"/>
                <v:path gradientshapeok="t" o:connecttype="rect"/>
              </v:shapetype>
              <v:shape id="Text Box 2" o:spid="_x0000_s1026" type="#_x0000_t202" style="width:458.4pt;height:62.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">
                <v:textbox style="mso-fit-shape-to-text:t">
                  <w:txbxContent>
                    <w:p w:rsidR="002747E5" w:rsidRDefault="002747E5" w:rsidP="002747E5">
                      <w:pPr>
                        <w:jc w:val="both"/>
                        <w:rPr>
                          <w:lang w:val="en-GB"/>
                        </w:rPr>
                      </w:pPr>
                      <w:r>
                        <w:rPr>
                          <w:lang w:val="en-GB"/>
                        </w:rPr>
                        <w:t xml:space="preserve">In RAN1#AH1 (Jan 2017), it was agreed to support LBRM in LDPC code rate matching. </w:t>
                      </w:r>
                    </w:p>
                    <w:p w:rsidR="002747E5" w:rsidRDefault="002747E5" w:rsidP="002747E5">
                      <w:pPr>
                        <w:numPr>
                          <w:ilvl w:val="0"/>
                          <w:numId w:val="10"/>
                        </w:numPr>
                        <w:jc w:val="both"/>
                        <w:rPr>
                          <w:i/>
                        </w:rPr>
                      </w:pPr>
                      <w:r w:rsidRPr="00EC5453">
                        <w:rPr>
                          <w:i/>
                        </w:rPr>
                        <w:t>Limited buffer rate matching (LBRM) is supported</w:t>
                      </w:r>
                    </w:p>
                    <w:p w:rsidR="002747E5" w:rsidRDefault="002747E5" w:rsidP="002747E5">
                      <w:pPr>
                        <w:jc w:val="both"/>
                        <w:rPr>
                          <w:lang w:val="en-GB"/>
                        </w:rPr>
                      </w:pPr>
                      <w:r>
                        <w:rPr>
                          <w:lang w:val="en-GB"/>
                        </w:rPr>
                        <w:t xml:space="preserve">In RAN1#88, the following was concluded with respect to LDPC code design. </w:t>
                      </w:r>
                    </w:p>
                    <w:p w:rsidR="002747E5" w:rsidRPr="00EC5453" w:rsidRDefault="002747E5" w:rsidP="002747E5">
                      <w:pPr>
                        <w:jc w:val="both"/>
                        <w:rPr>
                          <w:i/>
                        </w:rPr>
                      </w:pPr>
                      <w:r w:rsidRPr="00EC5453">
                        <w:rPr>
                          <w:b/>
                          <w:bCs/>
                          <w:i/>
                          <w:u w:val="single"/>
                          <w:lang w:val="en-GB"/>
                        </w:rPr>
                        <w:t>Conclusion for some code design targets:</w:t>
                      </w:r>
                    </w:p>
                    <w:p w:rsidR="002747E5" w:rsidRPr="00EC5453" w:rsidRDefault="002747E5" w:rsidP="002747E5">
                      <w:pPr>
                        <w:numPr>
                          <w:ilvl w:val="0"/>
                          <w:numId w:val="9"/>
                        </w:numPr>
                        <w:jc w:val="both"/>
                        <w:rPr>
                          <w:i/>
                        </w:rPr>
                      </w:pPr>
                      <w:r w:rsidRPr="00EC5453">
                        <w:rPr>
                          <w:i/>
                          <w:lang w:val="en-GB"/>
                        </w:rPr>
                        <w:t>At least support 20Gbps decoder information throughput with code rate 8/9</w:t>
                      </w:r>
                    </w:p>
                    <w:p w:rsidR="002747E5" w:rsidRPr="00EC5453" w:rsidRDefault="002747E5" w:rsidP="002747E5">
                      <w:pPr>
                        <w:numPr>
                          <w:ilvl w:val="0"/>
                          <w:numId w:val="9"/>
                        </w:numPr>
                        <w:jc w:val="both"/>
                        <w:rPr>
                          <w:i/>
                        </w:rPr>
                      </w:pPr>
                      <w:r w:rsidRPr="00EC5453">
                        <w:rPr>
                          <w:i/>
                          <w:lang w:val="en-GB"/>
                        </w:rPr>
                        <w:t>Also aim for good throughput performance at lower code rate(s)</w:t>
                      </w:r>
                    </w:p>
                    <w:p w:rsidR="002747E5" w:rsidRPr="00EC5453" w:rsidRDefault="002747E5" w:rsidP="002747E5">
                      <w:pPr>
                        <w:numPr>
                          <w:ilvl w:val="1"/>
                          <w:numId w:val="9"/>
                        </w:numPr>
                        <w:jc w:val="both"/>
                        <w:rPr>
                          <w:i/>
                        </w:rPr>
                      </w:pPr>
                      <w:r w:rsidRPr="00EC5453">
                        <w:rPr>
                          <w:i/>
                          <w:lang w:val="en-GB"/>
                        </w:rPr>
                        <w:t>FFS the details of how to assess throughput performance at lower code rates, including whether the assessment is relative or absolute, and other constraints (e.g. complexity)</w:t>
                      </w:r>
                    </w:p>
                    <w:p w:rsidR="002747E5" w:rsidRDefault="002747E5" w:rsidP="002747E5">
                      <w:pPr>
                        <w:jc w:val="both"/>
                        <w:rPr>
                          <w:lang w:val="en-GB"/>
                        </w:rPr>
                      </w:pPr>
                      <w:r>
                        <w:rPr>
                          <w:lang w:val="en-GB"/>
                        </w:rPr>
                        <w:t>In RAN1#90, for LDPC rate-matching, the starting positions of RVs for LBRM was agreed</w:t>
                      </w:r>
                    </w:p>
                    <w:p w:rsidR="002747E5" w:rsidRPr="00A446BE" w:rsidRDefault="002747E5" w:rsidP="002747E5">
                      <w:pPr>
                        <w:numPr>
                          <w:ilvl w:val="0"/>
                          <w:numId w:val="11"/>
                        </w:numPr>
                        <w:jc w:val="both"/>
                        <w:rPr>
                          <w:i/>
                        </w:rPr>
                      </w:pPr>
                      <w:r w:rsidRPr="00EC5453">
                        <w:rPr>
                          <w:i/>
                          <w:lang w:val="en-GB"/>
                        </w:rPr>
                        <w:t>The starting positions of RVs for limited buffer should be approximately scaled from the full buffer positions, while remaining integer multiples of Z.</w:t>
                      </w:r>
                    </w:p>
                  </w:txbxContent>
                </v:textbox>
                <w10:anchorlock/>
              </v:shape>
            </w:pict>
          </mc:Fallback>
        </mc:AlternateContent>
      </w:r>
    </w:p>
    <w:p w:rsidR="002747E5" w:rsidRDefault="002747E5" w:rsidP="002747E5">
      <w:pPr>
        <w:jc w:val="both"/>
        <w:rPr>
          <w:lang w:val="en-GB"/>
        </w:rPr>
      </w:pPr>
      <w:r>
        <w:rPr>
          <w:lang w:val="en-GB"/>
        </w:rPr>
        <w:t xml:space="preserve">LBRM can be handled by limiting the circular buffer size corresponding to code blocks that belong to a large transport block. </w:t>
      </w:r>
    </w:p>
    <w:p w:rsidR="002747E5" w:rsidRDefault="002747E5" w:rsidP="002747E5">
      <w:pPr>
        <w:jc w:val="both"/>
        <w:rPr>
          <w:lang w:val="en-GB"/>
        </w:rPr>
      </w:pPr>
      <w:r>
        <w:rPr>
          <w:lang w:val="en-GB"/>
        </w:rPr>
        <w:t>The details of the UE soft buffer dimensioning are still under discussion in the HARQ/scheduling, and we think that the LBRM and its association with UE category and soft buffer should be considered together. In particular, s</w:t>
      </w:r>
      <w:r w:rsidRPr="001E77F7">
        <w:rPr>
          <w:lang w:val="en-GB"/>
        </w:rPr>
        <w:t>oft buffer requirements should be guided primarily by</w:t>
      </w:r>
      <w:r>
        <w:rPr>
          <w:lang w:val="en-GB"/>
        </w:rPr>
        <w:t xml:space="preserve"> UE category definition. We think the LBRM is an important factor that not only affects the UE complexity (from soft buffer perspective), but also facilitates latency reduction and would be an important consideration as RAN1 progresses on the UE processing times (N1/N2). </w:t>
      </w:r>
    </w:p>
    <w:p w:rsidR="002747E5" w:rsidRDefault="002747E5" w:rsidP="002747E5">
      <w:pPr>
        <w:jc w:val="both"/>
        <w:rPr>
          <w:lang w:val="en-GB"/>
        </w:rPr>
      </w:pPr>
      <w:r>
        <w:rPr>
          <w:lang w:val="en-GB"/>
        </w:rPr>
        <w:t xml:space="preserve">For the downlink, LDPC decoding latency depends on the number of edges in the base graph – therefore, applying LBRM by simultaneously reducing both UE buffer complexity, as well as the decoding latency at peak data rates. See Figure 1, where we show the relative latency based on the coding rate, where the number of edges in a BG corresponding to rate-1/3 is 2x larger than the number of edges in BG corresponding to rate-2/3. Note we assume same #iterations for different code rates here, but typically lower rates can take more iterations to converge. Figure shows that if the transmit rate-matching is limited to a higher rate than 1/3, it also helps the UE with the decoding latency, or in other words it allows the decoder throughput to be not optimized for the worst case always (i.e. max TBS decoded at lowest coding rate). </w:t>
      </w:r>
    </w:p>
    <w:p w:rsidR="002747E5" w:rsidRDefault="002747E5" w:rsidP="002747E5">
      <w:pPr>
        <w:keepNext/>
        <w:jc w:val="center"/>
      </w:pPr>
      <w:r>
        <w:rPr>
          <w:noProof/>
        </w:rPr>
        <w:drawing>
          <wp:inline distT="0" distB="0" distL="0" distR="0">
            <wp:extent cx="3778250" cy="2726055"/>
            <wp:effectExtent l="0" t="0" r="0" b="0"/>
            <wp:docPr id="2" name="Picture 2" descr="Bg1_latency_figu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g1_latency_figures"/>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778250" cy="2726055"/>
                    </a:xfrm>
                    <a:prstGeom prst="rect">
                      <a:avLst/>
                    </a:prstGeom>
                    <a:noFill/>
                    <a:ln>
                      <a:noFill/>
                    </a:ln>
                  </pic:spPr>
                </pic:pic>
              </a:graphicData>
            </a:graphic>
          </wp:inline>
        </w:drawing>
      </w:r>
    </w:p>
    <w:p w:rsidR="002747E5" w:rsidRDefault="002747E5" w:rsidP="002747E5">
      <w:pPr>
        <w:pStyle w:val="Caption"/>
        <w:jc w:val="center"/>
        <w:rPr>
          <w:lang w:val="en-GB"/>
        </w:rPr>
      </w:pPr>
      <w:r>
        <w:t xml:space="preserve">Figure </w:t>
      </w:r>
      <w:r>
        <w:fldChar w:fldCharType="begin"/>
      </w:r>
      <w:r>
        <w:instrText xml:space="preserve"> SEQ Figure \* ARABIC </w:instrText>
      </w:r>
      <w:r>
        <w:fldChar w:fldCharType="separate"/>
      </w:r>
      <w:r>
        <w:rPr>
          <w:noProof/>
        </w:rPr>
        <w:t>1</w:t>
      </w:r>
      <w:r>
        <w:rPr>
          <w:noProof/>
        </w:rPr>
        <w:fldChar w:fldCharType="end"/>
      </w:r>
      <w:r>
        <w:t>. Figure illustrating the latency per iteration for LDPC BG1 as a function of Coding Rate.</w:t>
      </w:r>
    </w:p>
    <w:p w:rsidR="002747E5" w:rsidRDefault="002747E5" w:rsidP="002747E5">
      <w:pPr>
        <w:jc w:val="both"/>
        <w:rPr>
          <w:rFonts w:eastAsia="MS Mincho"/>
          <w:iCs/>
          <w:lang w:eastAsia="ja-JP"/>
        </w:rPr>
      </w:pPr>
      <w:r>
        <w:rPr>
          <w:lang w:val="en-GB"/>
        </w:rPr>
        <w:lastRenderedPageBreak/>
        <w:t xml:space="preserve">While the decision to </w:t>
      </w:r>
      <w:r w:rsidRPr="00D612C5">
        <w:rPr>
          <w:rFonts w:eastAsia="MS Mincho"/>
          <w:iCs/>
          <w:lang w:eastAsia="ja-JP"/>
        </w:rPr>
        <w:t>decouple the transmit (or RV) buffer from soft buffer size of the UE receiver</w:t>
      </w:r>
      <w:r>
        <w:rPr>
          <w:rFonts w:eastAsia="MS Mincho"/>
          <w:iCs/>
          <w:lang w:eastAsia="ja-JP"/>
        </w:rPr>
        <w:t xml:space="preserve"> is acknowledged, in our view, it is essential to not decouple the transmit buffer (or RV) buffer from the UE’s instantaneous receive buffer size that is input to the LDPC decoder. If the UE’s instantaneous buffer is required to be processed at the lowest coding rate for the maximum transport block size (max TBS), this would lead to increased hardware complexity at the UE side (e.g. requiring support of 20 Gbps at rate 1/3, which would not be consistent with conclusions from RAN1#88). </w:t>
      </w:r>
    </w:p>
    <w:p w:rsidR="002747E5" w:rsidRDefault="002747E5" w:rsidP="002747E5">
      <w:pPr>
        <w:jc w:val="both"/>
        <w:rPr>
          <w:rFonts w:eastAsia="MS Mincho"/>
          <w:b/>
          <w:iCs/>
          <w:lang w:eastAsia="ja-JP"/>
        </w:rPr>
      </w:pPr>
      <w:r w:rsidRPr="008124B5">
        <w:rPr>
          <w:rFonts w:eastAsia="MS Mincho"/>
          <w:b/>
          <w:iCs/>
          <w:lang w:eastAsia="ja-JP"/>
        </w:rPr>
        <w:t xml:space="preserve">Proposal </w:t>
      </w:r>
      <w:r>
        <w:rPr>
          <w:rFonts w:eastAsia="MS Mincho"/>
          <w:b/>
          <w:iCs/>
          <w:lang w:eastAsia="ja-JP"/>
        </w:rPr>
        <w:t>1</w:t>
      </w:r>
      <w:r w:rsidRPr="008124B5">
        <w:rPr>
          <w:rFonts w:eastAsia="MS Mincho"/>
          <w:b/>
          <w:iCs/>
          <w:lang w:eastAsia="ja-JP"/>
        </w:rPr>
        <w:t xml:space="preserve">: For downlink, the UE’s instantaneous receive buffer is not </w:t>
      </w:r>
      <w:r>
        <w:rPr>
          <w:rFonts w:eastAsia="MS Mincho"/>
          <w:b/>
          <w:iCs/>
          <w:lang w:eastAsia="ja-JP"/>
        </w:rPr>
        <w:t>required</w:t>
      </w:r>
      <w:r w:rsidRPr="008124B5">
        <w:rPr>
          <w:rFonts w:eastAsia="MS Mincho"/>
          <w:b/>
          <w:iCs/>
          <w:lang w:eastAsia="ja-JP"/>
        </w:rPr>
        <w:t xml:space="preserve"> to be processed at lowest mother coding rate of LDPC for </w:t>
      </w:r>
      <w:r>
        <w:rPr>
          <w:b/>
        </w:rPr>
        <w:t>largest transport block schedulable for the UE</w:t>
      </w:r>
      <w:r w:rsidRPr="008124B5">
        <w:rPr>
          <w:rFonts w:eastAsia="MS Mincho"/>
          <w:b/>
          <w:iCs/>
          <w:lang w:eastAsia="ja-JP"/>
        </w:rPr>
        <w:t xml:space="preserve">. </w:t>
      </w:r>
    </w:p>
    <w:p w:rsidR="002747E5" w:rsidRPr="008124B5" w:rsidRDefault="002747E5" w:rsidP="002747E5">
      <w:pPr>
        <w:jc w:val="both"/>
        <w:rPr>
          <w:rFonts w:eastAsia="MS Mincho"/>
          <w:iCs/>
          <w:lang w:eastAsia="ja-JP"/>
        </w:rPr>
      </w:pPr>
      <w:r w:rsidRPr="008124B5">
        <w:rPr>
          <w:rFonts w:eastAsia="MS Mincho"/>
          <w:iCs/>
          <w:lang w:eastAsia="ja-JP"/>
        </w:rPr>
        <w:t xml:space="preserve">Thus, we think </w:t>
      </w:r>
      <w:r>
        <w:rPr>
          <w:rFonts w:eastAsia="MS Mincho"/>
          <w:iCs/>
          <w:lang w:eastAsia="ja-JP"/>
        </w:rPr>
        <w:t xml:space="preserve">the UE’s instantaneous receive buffer should allow higher LDPC decoder throughputs at relatively higher coding rate. This is consistent with the conclusion form RAN1#88. </w:t>
      </w:r>
    </w:p>
    <w:p w:rsidR="002747E5" w:rsidRPr="008124B5" w:rsidRDefault="002747E5" w:rsidP="002747E5">
      <w:pPr>
        <w:jc w:val="both"/>
        <w:rPr>
          <w:b/>
          <w:lang w:val="en-GB"/>
        </w:rPr>
      </w:pPr>
      <w:r w:rsidRPr="008124B5">
        <w:rPr>
          <w:rFonts w:eastAsia="MS Mincho"/>
          <w:b/>
          <w:iCs/>
          <w:lang w:eastAsia="ja-JP"/>
        </w:rPr>
        <w:t xml:space="preserve">Proposal </w:t>
      </w:r>
      <w:r>
        <w:rPr>
          <w:rFonts w:eastAsia="MS Mincho"/>
          <w:b/>
          <w:iCs/>
          <w:lang w:eastAsia="ja-JP"/>
        </w:rPr>
        <w:t>2</w:t>
      </w:r>
      <w:r w:rsidRPr="008124B5">
        <w:rPr>
          <w:rFonts w:eastAsia="MS Mincho"/>
          <w:b/>
          <w:iCs/>
          <w:lang w:eastAsia="ja-JP"/>
        </w:rPr>
        <w:t xml:space="preserve">: For downlink, the UE’s instantaneous receive buffer is </w:t>
      </w:r>
      <w:r>
        <w:rPr>
          <w:rFonts w:eastAsia="MS Mincho"/>
          <w:b/>
          <w:iCs/>
          <w:lang w:eastAsia="ja-JP"/>
        </w:rPr>
        <w:t xml:space="preserve">dimensioned such that </w:t>
      </w:r>
      <w:r w:rsidRPr="008124B5">
        <w:rPr>
          <w:rFonts w:eastAsia="MS Mincho"/>
          <w:b/>
          <w:iCs/>
          <w:lang w:eastAsia="ja-JP"/>
        </w:rPr>
        <w:t xml:space="preserve">the </w:t>
      </w:r>
      <w:r>
        <w:rPr>
          <w:b/>
        </w:rPr>
        <w:t>largest transport block schedulable for the UE</w:t>
      </w:r>
      <w:r>
        <w:rPr>
          <w:rFonts w:eastAsia="MS Mincho"/>
          <w:b/>
          <w:iCs/>
          <w:lang w:eastAsia="ja-JP"/>
        </w:rPr>
        <w:t xml:space="preserve"> is processed at a rate no lower than a reference minimum coding rate.</w:t>
      </w:r>
    </w:p>
    <w:p w:rsidR="002747E5" w:rsidRPr="008124B5" w:rsidRDefault="002747E5" w:rsidP="002747E5">
      <w:pPr>
        <w:jc w:val="both"/>
        <w:rPr>
          <w:lang w:val="en-GB"/>
        </w:rPr>
      </w:pPr>
      <w:r>
        <w:rPr>
          <w:lang w:val="en-GB"/>
        </w:rPr>
        <w:t xml:space="preserve">Similar to [3] and [4], we propose that for downlink a limitation on the buffer should be explicitly captured as part of the transmit buffer rate-matching for downlink.  This can be done by applying a limitation for rate-matching on the circular buffer based on e.g. a reference minimum coding rate (2/3) for the largest transport block size schedulable for the UE (based on maximum TBS determined either by reference configuration in spec or by using band/band combination signalling from the gNB based on UE capability). </w:t>
      </w:r>
      <w:r>
        <w:t>An example to determine the maximum TBS is shown below.</w:t>
      </w:r>
    </w:p>
    <w:p w:rsidR="002747E5" w:rsidRDefault="002747E5" w:rsidP="002747E5">
      <w:pPr>
        <w:pStyle w:val="ListParagraph"/>
        <w:numPr>
          <w:ilvl w:val="0"/>
          <w:numId w:val="8"/>
        </w:numPr>
        <w:overflowPunct/>
        <w:autoSpaceDE/>
        <w:autoSpaceDN/>
        <w:adjustRightInd/>
        <w:spacing w:after="160" w:line="259" w:lineRule="auto"/>
        <w:jc w:val="both"/>
        <w:textAlignment w:val="auto"/>
      </w:pPr>
      <w:r>
        <w:t xml:space="preserve">SCS of 30 kHz, BW of 100 MHz, 1 symbol for control, 1 symbol for DMRS, and single CW with 4-layers, and 96% BW occupancy, max Qm = 8, and max R = 94/100 </w:t>
      </w:r>
    </w:p>
    <w:p w:rsidR="002747E5" w:rsidRPr="00961CF5" w:rsidRDefault="002747E5" w:rsidP="002747E5">
      <w:pPr>
        <w:pStyle w:val="ListParagraph"/>
        <w:numPr>
          <w:ilvl w:val="1"/>
          <w:numId w:val="8"/>
        </w:numPr>
        <w:overflowPunct/>
        <w:autoSpaceDE/>
        <w:autoSpaceDN/>
        <w:adjustRightInd/>
        <w:spacing w:after="160" w:line="259" w:lineRule="auto"/>
        <w:jc w:val="both"/>
        <w:textAlignment w:val="auto"/>
      </w:pPr>
      <w:r>
        <w:t xml:space="preserve">Max TBS ~  (8 x 94/100) x (12 x 0.96 x 3300)x 4 = </w:t>
      </w:r>
      <w:r w:rsidRPr="00A065DA">
        <w:t>1</w:t>
      </w:r>
      <w:r>
        <w:t>,</w:t>
      </w:r>
      <w:r w:rsidRPr="00A065DA">
        <w:t>143</w:t>
      </w:r>
      <w:r>
        <w:t>,</w:t>
      </w:r>
      <w:r w:rsidRPr="00A065DA">
        <w:t>520</w:t>
      </w:r>
      <w:r>
        <w:t xml:space="preserve">  ~ 135 code blocks with BG1 (max CBS of 8448)</w:t>
      </w:r>
    </w:p>
    <w:p w:rsidR="002747E5" w:rsidRDefault="002747E5" w:rsidP="002747E5">
      <w:pPr>
        <w:jc w:val="both"/>
        <w:rPr>
          <w:b/>
        </w:rPr>
      </w:pPr>
      <w:r w:rsidRPr="005F320A">
        <w:rPr>
          <w:b/>
        </w:rPr>
        <w:t xml:space="preserve">Proposal </w:t>
      </w:r>
      <w:r>
        <w:rPr>
          <w:b/>
        </w:rPr>
        <w:t>3</w:t>
      </w:r>
      <w:r w:rsidRPr="005F320A">
        <w:rPr>
          <w:b/>
        </w:rPr>
        <w:t xml:space="preserve">: </w:t>
      </w:r>
      <w:r>
        <w:rPr>
          <w:b/>
        </w:rPr>
        <w:t>For the downlink transmission, limitation on the circular buffer is applied based on a reference minimum coding rate for the largest transport block schedulable for the UE.</w:t>
      </w:r>
    </w:p>
    <w:p w:rsidR="002747E5" w:rsidRDefault="002747E5" w:rsidP="002747E5">
      <w:pPr>
        <w:jc w:val="both"/>
        <w:rPr>
          <w:sz w:val="22"/>
          <w:szCs w:val="22"/>
        </w:rPr>
      </w:pPr>
      <w:r>
        <w:rPr>
          <w:sz w:val="22"/>
          <w:szCs w:val="22"/>
        </w:rPr>
        <w:t xml:space="preserve">The largest transport block schedulable for the UE can be determined from reference configuration in the spec, or from the signaled peak data rate or calculated data rate, based on band combinations and/or baseband capabilities. </w:t>
      </w:r>
    </w:p>
    <w:p w:rsidR="002747E5" w:rsidRPr="00AE45EC" w:rsidRDefault="002747E5" w:rsidP="002747E5">
      <w:pPr>
        <w:jc w:val="both"/>
        <w:rPr>
          <w:sz w:val="22"/>
          <w:szCs w:val="22"/>
        </w:rPr>
      </w:pPr>
      <w:r>
        <w:rPr>
          <w:sz w:val="22"/>
          <w:szCs w:val="22"/>
        </w:rPr>
        <w:t xml:space="preserve">For uplink the gNB can make use of LBRM for same reasons as described above for the downlink. However, this is a feature that can be left up the gNB vendor and can be considered if this can provide benefits in gNB processing, especially for fa processing time for uplink transmissions. </w:t>
      </w:r>
    </w:p>
    <w:p w:rsidR="002747E5" w:rsidRPr="007920F7" w:rsidRDefault="002747E5" w:rsidP="002747E5">
      <w:pPr>
        <w:keepNext/>
        <w:keepLines/>
        <w:numPr>
          <w:ilvl w:val="0"/>
          <w:numId w:val="2"/>
        </w:numPr>
        <w:pBdr>
          <w:top w:val="single" w:sz="12" w:space="3" w:color="auto"/>
        </w:pBdr>
        <w:spacing w:before="240"/>
        <w:ind w:left="360"/>
        <w:textAlignment w:val="auto"/>
        <w:outlineLvl w:val="0"/>
        <w:rPr>
          <w:rFonts w:ascii="Arial" w:hAnsi="Arial"/>
          <w:sz w:val="32"/>
          <w:lang w:val="en-GB"/>
        </w:rPr>
      </w:pPr>
      <w:r w:rsidRPr="007920F7">
        <w:rPr>
          <w:rFonts w:ascii="Arial" w:hAnsi="Arial"/>
          <w:sz w:val="32"/>
          <w:lang w:val="en-GB"/>
        </w:rPr>
        <w:t xml:space="preserve">Discussion on </w:t>
      </w:r>
      <w:r>
        <w:rPr>
          <w:rFonts w:ascii="Arial" w:hAnsi="Arial"/>
          <w:sz w:val="32"/>
          <w:lang w:val="en-GB"/>
        </w:rPr>
        <w:t>defining soft buffer requirements in NR</w:t>
      </w:r>
      <w:r w:rsidRPr="007920F7">
        <w:rPr>
          <w:rFonts w:ascii="Arial" w:hAnsi="Arial"/>
          <w:sz w:val="32"/>
          <w:lang w:val="en-GB"/>
        </w:rPr>
        <w:t xml:space="preserve"> </w:t>
      </w:r>
    </w:p>
    <w:p w:rsidR="002747E5" w:rsidRDefault="002747E5" w:rsidP="002747E5">
      <w:pPr>
        <w:jc w:val="both"/>
        <w:rPr>
          <w:sz w:val="22"/>
          <w:szCs w:val="22"/>
        </w:rPr>
      </w:pPr>
      <w:r>
        <w:rPr>
          <w:sz w:val="22"/>
          <w:szCs w:val="22"/>
        </w:rPr>
        <w:t xml:space="preserve">In previous meetings, it was agreed to support soft buffer dimensioning based on reference data rate and HARQ RTT. An example calculation for this is shown in Figure 1 - it assumes a processing time of two slots (at UE) </w:t>
      </w:r>
      <w:r w:rsidRPr="0014589F">
        <w:rPr>
          <w:sz w:val="22"/>
          <w:szCs w:val="22"/>
        </w:rPr>
        <w:t>with SCS</w:t>
      </w:r>
      <w:r>
        <w:rPr>
          <w:sz w:val="22"/>
          <w:szCs w:val="22"/>
        </w:rPr>
        <w:t xml:space="preserve"> </w:t>
      </w:r>
      <w:r w:rsidRPr="0014589F">
        <w:rPr>
          <w:sz w:val="22"/>
          <w:szCs w:val="22"/>
        </w:rPr>
        <w:t>30kHz</w:t>
      </w:r>
      <w:r>
        <w:rPr>
          <w:sz w:val="22"/>
          <w:szCs w:val="22"/>
        </w:rPr>
        <w:t xml:space="preserve">, with 100 MHz, 4-layers, and slot duration of 0.5ms, and a 50% LBRM =&gt; four HARQ processes for ~2 Gbps peak rate, and a soft buffer of ~6,593364 locations. Now, for various reasons (e.g. gNB scheduling, etc), if UE has to support more HARQ processes, then techniques to manage UE buffer such as overbooking should be allowed. </w:t>
      </w:r>
    </w:p>
    <w:p w:rsidR="002747E5" w:rsidRDefault="002747E5" w:rsidP="002747E5">
      <w:pPr>
        <w:keepNext/>
        <w:jc w:val="center"/>
      </w:pPr>
      <w:r w:rsidRPr="00205DBF">
        <w:rPr>
          <w:noProof/>
        </w:rPr>
        <w:lastRenderedPageBreak/>
        <w:drawing>
          <wp:inline distT="0" distB="0" distL="0" distR="0" wp14:anchorId="72D8E135" wp14:editId="05449E5A">
            <wp:extent cx="3374136" cy="29352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374136" cy="2935224"/>
                    </a:xfrm>
                    <a:prstGeom prst="rect">
                      <a:avLst/>
                    </a:prstGeom>
                    <a:noFill/>
                    <a:ln>
                      <a:noFill/>
                    </a:ln>
                  </pic:spPr>
                </pic:pic>
              </a:graphicData>
            </a:graphic>
          </wp:inline>
        </w:drawing>
      </w:r>
    </w:p>
    <w:p w:rsidR="002747E5" w:rsidRDefault="002747E5" w:rsidP="002747E5">
      <w:pPr>
        <w:pStyle w:val="Caption"/>
        <w:jc w:val="center"/>
        <w:rPr>
          <w:sz w:val="22"/>
          <w:szCs w:val="22"/>
        </w:rPr>
      </w:pPr>
      <w:r>
        <w:t xml:space="preserve">Figure </w:t>
      </w:r>
      <w:r>
        <w:fldChar w:fldCharType="begin"/>
      </w:r>
      <w:r>
        <w:instrText xml:space="preserve"> SEQ Figure \* ARABIC </w:instrText>
      </w:r>
      <w:r>
        <w:fldChar w:fldCharType="separate"/>
      </w:r>
      <w:r>
        <w:rPr>
          <w:noProof/>
        </w:rPr>
        <w:t>2</w:t>
      </w:r>
      <w:r>
        <w:rPr>
          <w:noProof/>
        </w:rPr>
        <w:fldChar w:fldCharType="end"/>
      </w:r>
      <w:r>
        <w:t>. Figure showing approximate LTE numbers and an example NR reference configuration, and soft buffer computation based on the reference configuration, assuming n/n+2 processing time at the UE side. Note: Simplified overhead numbers.</w:t>
      </w:r>
    </w:p>
    <w:p w:rsidR="002747E5" w:rsidRDefault="002747E5" w:rsidP="002747E5">
      <w:pPr>
        <w:jc w:val="both"/>
        <w:rPr>
          <w:sz w:val="22"/>
          <w:szCs w:val="22"/>
        </w:rPr>
      </w:pPr>
      <w:r>
        <w:rPr>
          <w:sz w:val="22"/>
          <w:szCs w:val="22"/>
        </w:rPr>
        <w:t>While the above table illustrates the soft buffer dimensioning with 50% buffer reduction due to LBRM (relative to mother code rate of 1/3 as in LTE), an even more aggressive buffer reduction (62.5 % buffer reduction) as proposed in [3] can also be considered to further reduce buffer complexity.</w:t>
      </w:r>
    </w:p>
    <w:p w:rsidR="002747E5" w:rsidRPr="00A41FDF" w:rsidRDefault="002747E5" w:rsidP="002747E5">
      <w:pPr>
        <w:jc w:val="both"/>
        <w:rPr>
          <w:b/>
          <w:sz w:val="22"/>
          <w:szCs w:val="22"/>
          <w:u w:val="single"/>
        </w:rPr>
      </w:pPr>
      <w:r w:rsidRPr="00A41FDF">
        <w:rPr>
          <w:b/>
          <w:sz w:val="22"/>
          <w:szCs w:val="22"/>
          <w:u w:val="single"/>
        </w:rPr>
        <w:t>UE soft buffer management</w:t>
      </w:r>
    </w:p>
    <w:p w:rsidR="002747E5" w:rsidRDefault="002747E5" w:rsidP="002747E5">
      <w:pPr>
        <w:jc w:val="both"/>
        <w:rPr>
          <w:sz w:val="22"/>
          <w:szCs w:val="22"/>
        </w:rPr>
      </w:pPr>
      <w:r>
        <w:rPr>
          <w:sz w:val="22"/>
          <w:szCs w:val="22"/>
        </w:rPr>
        <w:t xml:space="preserve">HARQ buffers are only needed when the UE needs to perform combining of the multiple received transmissions to improve decoding performance. When the system is operating with appropriate target BLER and link adaptation techniques, the HARQ buffer may not be fully occupied at the UE. For efficient use of HARQ buffers at the UE, pooling the HARQ buffers (e.g. among all component carriers in carrier aggregation) may simplify UE implementation. This would also allow the network to cope with varying loads of component carrier and allow flexible utilization of resources by shifting HARQ resources of one UE from one component carrier to another dynamically. Providing flexibility on the UE side to manage its HARQ buffer efficiently can lead to simplified and scalable design rather than specifying hard buffer splits that can complicate UE implementations. As such, overbooking techniques should be allowed on the UE side. </w:t>
      </w:r>
    </w:p>
    <w:p w:rsidR="002747E5" w:rsidRDefault="002747E5" w:rsidP="002747E5">
      <w:pPr>
        <w:jc w:val="both"/>
        <w:rPr>
          <w:sz w:val="22"/>
          <w:szCs w:val="22"/>
        </w:rPr>
      </w:pPr>
      <w:r>
        <w:rPr>
          <w:sz w:val="22"/>
          <w:szCs w:val="22"/>
        </w:rPr>
        <w:t xml:space="preserve">In some cases the network may require some buffer information from the UE that would allow the network to intelligently determine scheduling decisions, e.g. transmission timing, HARQ-ACK timing, redundancy version, etc. For this purpose, we should consider further UE reporting of HARQ buffer loading status or similar information. </w:t>
      </w:r>
      <w:r w:rsidRPr="003207D0">
        <w:rPr>
          <w:sz w:val="22"/>
          <w:szCs w:val="22"/>
        </w:rPr>
        <w:t>Buffer information can be used by network for RV selection. For example, if the buffer occupancy is high, base station should use same RV for re-transmission, i.e. use chase combining instead of incremental redundancy, which requires less memory for storing the received bits. The information can be also used to adaptive HARQ. For example, if the buffer occupancy is high, the retransmission could be more aggressive in terms of reliability to achieve successful reception to free buffer resources.</w:t>
      </w:r>
    </w:p>
    <w:p w:rsidR="002747E5" w:rsidRDefault="002747E5" w:rsidP="002747E5">
      <w:pPr>
        <w:ind w:firstLine="284"/>
        <w:jc w:val="both"/>
        <w:rPr>
          <w:b/>
          <w:i/>
          <w:sz w:val="22"/>
          <w:szCs w:val="22"/>
        </w:rPr>
      </w:pPr>
      <w:r>
        <w:rPr>
          <w:b/>
          <w:i/>
          <w:sz w:val="22"/>
          <w:szCs w:val="22"/>
        </w:rPr>
        <w:t>Proposal:</w:t>
      </w:r>
    </w:p>
    <w:p w:rsidR="002747E5" w:rsidRDefault="002747E5" w:rsidP="002747E5">
      <w:pPr>
        <w:numPr>
          <w:ilvl w:val="0"/>
          <w:numId w:val="1"/>
        </w:numPr>
        <w:jc w:val="both"/>
        <w:textAlignment w:val="auto"/>
        <w:rPr>
          <w:i/>
          <w:sz w:val="22"/>
          <w:szCs w:val="22"/>
        </w:rPr>
      </w:pPr>
      <w:r>
        <w:rPr>
          <w:i/>
          <w:sz w:val="22"/>
          <w:szCs w:val="22"/>
        </w:rPr>
        <w:t>Soft buffer requirements</w:t>
      </w:r>
      <w:r w:rsidRPr="003740D8">
        <w:rPr>
          <w:i/>
          <w:sz w:val="22"/>
          <w:szCs w:val="22"/>
        </w:rPr>
        <w:t xml:space="preserve"> should be guided primarily by UE categories and capabilities based on suitable selection of reference configuration (SCS, slot duration (assuming slot-based scheduling), achievable peak data rates, HARQ RTT, etc.) that is determined independent of the maximum number of addressable HARQ processes.</w:t>
      </w:r>
    </w:p>
    <w:p w:rsidR="002747E5" w:rsidRDefault="002747E5" w:rsidP="002747E5">
      <w:pPr>
        <w:numPr>
          <w:ilvl w:val="0"/>
          <w:numId w:val="1"/>
        </w:numPr>
        <w:jc w:val="both"/>
        <w:textAlignment w:val="auto"/>
        <w:rPr>
          <w:i/>
          <w:sz w:val="22"/>
          <w:szCs w:val="22"/>
        </w:rPr>
      </w:pPr>
      <w:r>
        <w:rPr>
          <w:i/>
          <w:sz w:val="22"/>
          <w:szCs w:val="22"/>
        </w:rPr>
        <w:lastRenderedPageBreak/>
        <w:t xml:space="preserve">NR should support dynamic pooling of HARQ buffer across component carriers in carrier aggregation of NR carriers. </w:t>
      </w:r>
    </w:p>
    <w:p w:rsidR="002747E5" w:rsidRPr="002B5BBB" w:rsidRDefault="002747E5" w:rsidP="002747E5">
      <w:pPr>
        <w:numPr>
          <w:ilvl w:val="0"/>
          <w:numId w:val="1"/>
        </w:numPr>
        <w:jc w:val="both"/>
        <w:textAlignment w:val="auto"/>
        <w:rPr>
          <w:i/>
          <w:sz w:val="22"/>
          <w:szCs w:val="22"/>
        </w:rPr>
      </w:pPr>
      <w:r w:rsidRPr="002B5BBB">
        <w:rPr>
          <w:i/>
          <w:sz w:val="22"/>
          <w:szCs w:val="22"/>
        </w:rPr>
        <w:t xml:space="preserve">Soft buffer management for NR </w:t>
      </w:r>
      <w:r>
        <w:rPr>
          <w:i/>
          <w:sz w:val="22"/>
          <w:szCs w:val="22"/>
        </w:rPr>
        <w:t>should</w:t>
      </w:r>
      <w:r w:rsidRPr="002B5BBB">
        <w:rPr>
          <w:i/>
          <w:sz w:val="22"/>
          <w:szCs w:val="22"/>
        </w:rPr>
        <w:t xml:space="preserve"> left up to UE implementation</w:t>
      </w:r>
      <w:r>
        <w:rPr>
          <w:i/>
          <w:sz w:val="22"/>
          <w:szCs w:val="22"/>
        </w:rPr>
        <w:t xml:space="preserve"> to allow some flexibility </w:t>
      </w:r>
    </w:p>
    <w:p w:rsidR="002747E5" w:rsidRPr="00211BB9" w:rsidRDefault="002747E5" w:rsidP="002747E5">
      <w:pPr>
        <w:numPr>
          <w:ilvl w:val="0"/>
          <w:numId w:val="1"/>
        </w:numPr>
        <w:jc w:val="both"/>
        <w:textAlignment w:val="auto"/>
        <w:rPr>
          <w:i/>
          <w:sz w:val="22"/>
          <w:szCs w:val="22"/>
        </w:rPr>
      </w:pPr>
      <w:r>
        <w:rPr>
          <w:i/>
          <w:sz w:val="22"/>
          <w:szCs w:val="22"/>
        </w:rPr>
        <w:t>NR supports HARQ buffer loading status reporting from the UE.</w:t>
      </w:r>
    </w:p>
    <w:p w:rsidR="002747E5" w:rsidRDefault="002747E5" w:rsidP="002747E5">
      <w:pPr>
        <w:jc w:val="both"/>
        <w:textAlignment w:val="auto"/>
        <w:rPr>
          <w:b/>
          <w:sz w:val="22"/>
          <w:szCs w:val="22"/>
          <w:u w:val="single"/>
        </w:rPr>
      </w:pPr>
      <w:r w:rsidRPr="00264089">
        <w:rPr>
          <w:b/>
          <w:sz w:val="22"/>
          <w:szCs w:val="22"/>
          <w:u w:val="single"/>
        </w:rPr>
        <w:t xml:space="preserve">Discussion on UE category definition </w:t>
      </w:r>
    </w:p>
    <w:p w:rsidR="002747E5" w:rsidRDefault="002747E5" w:rsidP="002747E5">
      <w:pPr>
        <w:jc w:val="both"/>
        <w:textAlignment w:val="auto"/>
        <w:rPr>
          <w:sz w:val="22"/>
          <w:szCs w:val="22"/>
        </w:rPr>
      </w:pPr>
      <w:r w:rsidRPr="00264089">
        <w:rPr>
          <w:sz w:val="22"/>
          <w:szCs w:val="22"/>
        </w:rPr>
        <w:t>In LTE</w:t>
      </w:r>
      <w:r>
        <w:rPr>
          <w:sz w:val="22"/>
          <w:szCs w:val="22"/>
        </w:rPr>
        <w:t>, the UE category was defined (in 36.306) based on multiple factors, including “</w:t>
      </w:r>
      <w:r w:rsidRPr="00F66BE5">
        <w:t>Maximum number of DL-SCH transport block bits received within a TTI</w:t>
      </w:r>
      <w:r>
        <w:rPr>
          <w:sz w:val="22"/>
          <w:szCs w:val="22"/>
        </w:rPr>
        <w:t xml:space="preserve">”. Since LTE used a single numerology (15 kHz SCS) and a single TTI duration (1 ms), the number of transport block bits could be directly translated to a peak data rate. In NR, given TTI may not be defined (or not defined yet), an easy of associating a UE category with a peak data rate may be needed. One option is to follow the LTE method, defining a maximum TBS based on reference time interval of 1ms, but it may be much more straightforward if the UE category is directly defined based on a data rate – since the soft buffer is already dimensioned based on a reference parameter set that includes data rate, the same concept can easily be extended for defining other parts of UE category. Then, the following options are possible, </w:t>
      </w:r>
    </w:p>
    <w:p w:rsidR="002747E5" w:rsidRDefault="002747E5" w:rsidP="002747E5">
      <w:pPr>
        <w:jc w:val="both"/>
        <w:textAlignment w:val="auto"/>
        <w:rPr>
          <w:sz w:val="22"/>
          <w:szCs w:val="22"/>
        </w:rPr>
      </w:pPr>
      <w:r>
        <w:rPr>
          <w:sz w:val="22"/>
          <w:szCs w:val="22"/>
        </w:rPr>
        <w:t>Option 1: “</w:t>
      </w:r>
      <w:r w:rsidRPr="00F66BE5">
        <w:t>Maximum number of DL-SCH transp</w:t>
      </w:r>
      <w:r>
        <w:t xml:space="preserve">ort block bits received within </w:t>
      </w:r>
      <w:r>
        <w:rPr>
          <w:sz w:val="22"/>
          <w:szCs w:val="22"/>
        </w:rPr>
        <w:t>a slot for a given reference SCS”</w:t>
      </w:r>
    </w:p>
    <w:p w:rsidR="002747E5" w:rsidRDefault="002747E5" w:rsidP="002747E5">
      <w:pPr>
        <w:jc w:val="both"/>
        <w:textAlignment w:val="auto"/>
        <w:rPr>
          <w:sz w:val="22"/>
          <w:szCs w:val="22"/>
        </w:rPr>
      </w:pPr>
      <w:r>
        <w:rPr>
          <w:sz w:val="22"/>
          <w:szCs w:val="22"/>
        </w:rPr>
        <w:t>Option 2: “Maximum peak data rate”</w:t>
      </w:r>
    </w:p>
    <w:p w:rsidR="002747E5" w:rsidRDefault="002747E5" w:rsidP="002747E5">
      <w:pPr>
        <w:jc w:val="both"/>
        <w:textAlignment w:val="auto"/>
        <w:rPr>
          <w:sz w:val="22"/>
          <w:szCs w:val="22"/>
        </w:rPr>
      </w:pPr>
      <w:r>
        <w:rPr>
          <w:sz w:val="22"/>
          <w:szCs w:val="22"/>
        </w:rPr>
        <w:t>A nice benefit of defining UE category based on Option 1 or Option 2 is that the peak rate (calculated implicitly in option 1 or indicated explicitly in option 2) can be used in conjunction with a given configuration (e.g. slot duration for a given numerology) to determine the maximum transport block schedulable for that configuration. The same principle also allows scaling down to other cases such as mini-slot.</w:t>
      </w:r>
    </w:p>
    <w:p w:rsidR="002747E5" w:rsidRDefault="002747E5" w:rsidP="002747E5">
      <w:pPr>
        <w:jc w:val="both"/>
        <w:textAlignment w:val="auto"/>
        <w:rPr>
          <w:sz w:val="22"/>
          <w:szCs w:val="22"/>
        </w:rPr>
      </w:pPr>
      <w:r>
        <w:rPr>
          <w:sz w:val="22"/>
          <w:szCs w:val="22"/>
        </w:rPr>
        <w:t xml:space="preserve">Proposal: </w:t>
      </w:r>
    </w:p>
    <w:p w:rsidR="002747E5" w:rsidRPr="00CB4690" w:rsidRDefault="002747E5" w:rsidP="002747E5">
      <w:pPr>
        <w:pStyle w:val="ListParagraph"/>
        <w:numPr>
          <w:ilvl w:val="0"/>
          <w:numId w:val="3"/>
        </w:numPr>
        <w:jc w:val="both"/>
        <w:textAlignment w:val="auto"/>
        <w:rPr>
          <w:sz w:val="22"/>
          <w:szCs w:val="22"/>
        </w:rPr>
      </w:pPr>
      <w:r w:rsidRPr="00CB4690">
        <w:rPr>
          <w:i/>
          <w:sz w:val="22"/>
          <w:szCs w:val="22"/>
        </w:rPr>
        <w:t>RAN1 should consider if UE category definition can include a peak data rate field instead of reusing the corresponding field from LTE (“Maximum number of DL-SCH transport block bits received within a TTI”).</w:t>
      </w:r>
    </w:p>
    <w:p w:rsidR="002747E5" w:rsidRPr="00F30071" w:rsidRDefault="002747E5" w:rsidP="002747E5">
      <w:pPr>
        <w:keepNext/>
        <w:keepLines/>
        <w:numPr>
          <w:ilvl w:val="0"/>
          <w:numId w:val="2"/>
        </w:numPr>
        <w:pBdr>
          <w:top w:val="single" w:sz="12" w:space="3" w:color="auto"/>
        </w:pBdr>
        <w:overflowPunct/>
        <w:autoSpaceDE/>
        <w:autoSpaceDN/>
        <w:adjustRightInd/>
        <w:spacing w:before="240" w:after="160" w:line="259" w:lineRule="auto"/>
        <w:ind w:left="360"/>
        <w:textAlignment w:val="auto"/>
        <w:outlineLvl w:val="0"/>
        <w:rPr>
          <w:rFonts w:ascii="Arial" w:hAnsi="Arial"/>
          <w:sz w:val="32"/>
          <w:lang w:val="en-GB"/>
        </w:rPr>
      </w:pPr>
      <w:r w:rsidRPr="00F30071">
        <w:rPr>
          <w:rFonts w:ascii="Arial" w:hAnsi="Arial"/>
          <w:sz w:val="32"/>
          <w:lang w:val="en-GB"/>
        </w:rPr>
        <w:t>Discussion on LTE-NR UE Category and soft buffer handling</w:t>
      </w:r>
    </w:p>
    <w:p w:rsidR="002747E5" w:rsidRPr="00F30071" w:rsidRDefault="002747E5" w:rsidP="002747E5">
      <w:pPr>
        <w:jc w:val="both"/>
        <w:textAlignment w:val="auto"/>
        <w:rPr>
          <w:sz w:val="22"/>
          <w:szCs w:val="22"/>
        </w:rPr>
      </w:pPr>
      <w:r w:rsidRPr="00F30071">
        <w:rPr>
          <w:sz w:val="22"/>
          <w:szCs w:val="22"/>
        </w:rPr>
        <w:t xml:space="preserve">UE category specifies peak data rate supported by the UE, and a few other UE parameters such as offered soft buffer. It could also indirectly indicate some of UE’s processing capabilities such as those required to achieve the maximum peak data rate. Most of the UE’s processing capabilities are indicated via UE capability signaling (such as RF and baseband capability e.g. band, band combinations, CA, MIMO layers, etc). For LTE, the UE category defines a maximum data rate, maximum bits of a transport block per TTI for a particular capability (e.g. 195816 for 4-layers, 256-QAM), soft buffer or total number of soft channel bits and a maximum number of supported layers (which was later incorporated into capability signaling). For NR, the detailed discussion on parameters to be defined as part of UE category is under discussion in WGs including RAN1 and RAN2. </w:t>
      </w:r>
    </w:p>
    <w:p w:rsidR="002747E5" w:rsidRPr="00F30071" w:rsidRDefault="002747E5" w:rsidP="002747E5">
      <w:pPr>
        <w:jc w:val="both"/>
        <w:textAlignment w:val="auto"/>
        <w:rPr>
          <w:sz w:val="22"/>
          <w:szCs w:val="22"/>
        </w:rPr>
      </w:pPr>
      <w:r w:rsidRPr="00F30071">
        <w:rPr>
          <w:sz w:val="22"/>
          <w:szCs w:val="22"/>
        </w:rPr>
        <w:t>From our perspective, UE categories should be defined for NR standalone, similar to the LTE UE categories, i.e. it should indicate the peak data rate and soft buffer. In addition, in RAN#76, it was concluded that it is necessary to also enable operators to provide a certain peak data rate for LTE-NR DC [2]. However, the details of such provisioning are left for WG. Thus, we think that the LTE-NR DC UE category has to also be supported, and it is necessary to understand how such a joint category works for a given UE that also has a standalone LTE UE category and/or standalone NR UE category.</w:t>
      </w:r>
    </w:p>
    <w:p w:rsidR="002747E5" w:rsidRPr="00F30071" w:rsidRDefault="002747E5" w:rsidP="002747E5">
      <w:pPr>
        <w:jc w:val="both"/>
        <w:textAlignment w:val="auto"/>
        <w:rPr>
          <w:sz w:val="22"/>
          <w:szCs w:val="22"/>
        </w:rPr>
      </w:pPr>
      <w:r w:rsidRPr="00F30071">
        <w:rPr>
          <w:sz w:val="22"/>
          <w:szCs w:val="22"/>
        </w:rPr>
        <w:t>There are multiple ways of defining a joint UE category for NR-LTE DC. We list the approaches below.</w:t>
      </w:r>
    </w:p>
    <w:p w:rsidR="002747E5" w:rsidRPr="00F30071" w:rsidRDefault="002747E5" w:rsidP="002747E5">
      <w:pPr>
        <w:numPr>
          <w:ilvl w:val="0"/>
          <w:numId w:val="5"/>
        </w:numPr>
        <w:overflowPunct/>
        <w:autoSpaceDE/>
        <w:autoSpaceDN/>
        <w:adjustRightInd/>
        <w:spacing w:after="160" w:line="259" w:lineRule="auto"/>
        <w:contextualSpacing/>
        <w:jc w:val="both"/>
        <w:textAlignment w:val="auto"/>
        <w:rPr>
          <w:sz w:val="22"/>
          <w:szCs w:val="22"/>
        </w:rPr>
      </w:pPr>
      <w:r w:rsidRPr="00F30071">
        <w:rPr>
          <w:sz w:val="22"/>
          <w:szCs w:val="22"/>
        </w:rPr>
        <w:t>Option 1: Total peak data rate without a per-RAT peak data rate limit in LTE-NR DC operation</w:t>
      </w:r>
    </w:p>
    <w:p w:rsidR="002747E5" w:rsidRPr="00F30071" w:rsidRDefault="002747E5" w:rsidP="002747E5">
      <w:pPr>
        <w:numPr>
          <w:ilvl w:val="1"/>
          <w:numId w:val="5"/>
        </w:numPr>
        <w:overflowPunct/>
        <w:autoSpaceDE/>
        <w:autoSpaceDN/>
        <w:adjustRightInd/>
        <w:spacing w:after="160" w:line="259" w:lineRule="auto"/>
        <w:contextualSpacing/>
        <w:jc w:val="both"/>
        <w:textAlignment w:val="auto"/>
        <w:rPr>
          <w:sz w:val="22"/>
          <w:szCs w:val="22"/>
        </w:rPr>
      </w:pPr>
      <w:r w:rsidRPr="00F30071">
        <w:rPr>
          <w:sz w:val="22"/>
          <w:szCs w:val="22"/>
        </w:rPr>
        <w:lastRenderedPageBreak/>
        <w:t>In this case the total peak data rate needs to be split between LTE and NR, and the potential issue is that since it does not specify the extent of asymmetry of the split, it may require the UE to provision hardware to support the peak data rate of the standalone mode of each RAT in LTE-NR. While there is potential for resource sharing on the UE side (e.g. soft buffer, and other receiver components) across LTE and NR, it will not be trivial to switch the support of an aggregate peak data rate from one LTE to NR and vice-versa.</w:t>
      </w:r>
    </w:p>
    <w:p w:rsidR="002747E5" w:rsidRPr="00F30071" w:rsidRDefault="002747E5" w:rsidP="002747E5">
      <w:pPr>
        <w:numPr>
          <w:ilvl w:val="0"/>
          <w:numId w:val="5"/>
        </w:numPr>
        <w:overflowPunct/>
        <w:autoSpaceDE/>
        <w:autoSpaceDN/>
        <w:adjustRightInd/>
        <w:spacing w:after="160" w:line="259" w:lineRule="auto"/>
        <w:contextualSpacing/>
        <w:jc w:val="both"/>
        <w:textAlignment w:val="auto"/>
        <w:rPr>
          <w:sz w:val="22"/>
          <w:szCs w:val="22"/>
        </w:rPr>
      </w:pPr>
      <w:r w:rsidRPr="00F30071">
        <w:rPr>
          <w:sz w:val="22"/>
          <w:szCs w:val="22"/>
        </w:rPr>
        <w:t>Option 2: Total peak data rate and a per-RAT peak data rate limit in LTE-NR DC operation</w:t>
      </w:r>
    </w:p>
    <w:p w:rsidR="002747E5" w:rsidRPr="00F30071" w:rsidRDefault="002747E5" w:rsidP="002747E5">
      <w:pPr>
        <w:numPr>
          <w:ilvl w:val="1"/>
          <w:numId w:val="5"/>
        </w:numPr>
        <w:overflowPunct/>
        <w:autoSpaceDE/>
        <w:autoSpaceDN/>
        <w:adjustRightInd/>
        <w:spacing w:after="160" w:line="259" w:lineRule="auto"/>
        <w:contextualSpacing/>
        <w:jc w:val="both"/>
        <w:textAlignment w:val="auto"/>
        <w:rPr>
          <w:sz w:val="22"/>
          <w:szCs w:val="22"/>
        </w:rPr>
      </w:pPr>
      <w:r w:rsidRPr="00F30071">
        <w:rPr>
          <w:sz w:val="22"/>
          <w:szCs w:val="22"/>
        </w:rPr>
        <w:t xml:space="preserve">With this option, a UE can flexibly indicate the total peak rate for LTE_NR DC operation, while also indicating the peak rate for LTE and NR operation separately. This allows potential sharing of processing power/buffer considering joint LTE and NR operation, while still allowing separation from the standalone LTE and standalone NR category definition. </w:t>
      </w:r>
    </w:p>
    <w:p w:rsidR="002747E5" w:rsidRPr="00F30071" w:rsidRDefault="002747E5" w:rsidP="002747E5">
      <w:pPr>
        <w:jc w:val="both"/>
        <w:textAlignment w:val="auto"/>
        <w:rPr>
          <w:sz w:val="22"/>
          <w:szCs w:val="22"/>
        </w:rPr>
      </w:pPr>
      <w:r w:rsidRPr="00F30071">
        <w:rPr>
          <w:sz w:val="22"/>
          <w:szCs w:val="22"/>
        </w:rPr>
        <w:t xml:space="preserve">In our view, for LTE-NR UE category, it is preferable to follow Option 2 as it provides sufficient flexibility while also ensuring there is some linkage to the standalone UE categories. In the simplest case, a UE indicating 1 Gbps LTE UE category and a 2 Gbps NR UE category could indicate a joint LTE-NR UE category of 3 Gbps with 1 Gbps max for LTE, and 2 Gbps for NR. With respect to soft buffer handling, the UE may indicate the total soft buffer for LTE-NR as the sum of LTE and NR soft buffer, or the UE may indicate a smaller soft buffer indicating that the buffer may be shared – latter is quite preferable since it will allow much more efficient soft buffer utilization and overall UE implementations. In our view such potential sharing can be allowed to the extent possible, but it is desirable to not specify detailed UE soft buffer splitting and storage as was done in LTE CA operation though such operation should be considered if it allows significant reduction in soft buffer requirements for the dual connectivity use case. </w:t>
      </w:r>
    </w:p>
    <w:p w:rsidR="002747E5" w:rsidRPr="00F30071" w:rsidRDefault="002747E5" w:rsidP="002747E5">
      <w:pPr>
        <w:numPr>
          <w:ilvl w:val="0"/>
          <w:numId w:val="1"/>
        </w:numPr>
        <w:overflowPunct/>
        <w:autoSpaceDE/>
        <w:autoSpaceDN/>
        <w:adjustRightInd/>
        <w:spacing w:after="160" w:line="259" w:lineRule="auto"/>
        <w:jc w:val="both"/>
        <w:textAlignment w:val="auto"/>
        <w:rPr>
          <w:i/>
          <w:sz w:val="22"/>
          <w:szCs w:val="22"/>
        </w:rPr>
      </w:pPr>
      <w:r w:rsidRPr="00F30071">
        <w:rPr>
          <w:i/>
          <w:sz w:val="22"/>
          <w:szCs w:val="22"/>
        </w:rPr>
        <w:t xml:space="preserve">Pooling of HARQ buffer across LTE-NR dual connectivity should be supported. </w:t>
      </w:r>
    </w:p>
    <w:p w:rsidR="002747E5" w:rsidRPr="000349E0" w:rsidRDefault="002747E5" w:rsidP="002747E5">
      <w:pPr>
        <w:pStyle w:val="Heading1"/>
        <w:numPr>
          <w:ilvl w:val="0"/>
          <w:numId w:val="2"/>
        </w:numPr>
        <w:ind w:left="360"/>
        <w:textAlignment w:val="auto"/>
        <w:rPr>
          <w:sz w:val="32"/>
        </w:rPr>
      </w:pPr>
      <w:r w:rsidRPr="000349E0">
        <w:rPr>
          <w:sz w:val="32"/>
        </w:rPr>
        <w:t>Summary</w:t>
      </w:r>
    </w:p>
    <w:p w:rsidR="002747E5" w:rsidRDefault="002747E5" w:rsidP="002747E5">
      <w:pPr>
        <w:spacing w:before="240"/>
        <w:jc w:val="both"/>
        <w:rPr>
          <w:sz w:val="22"/>
          <w:szCs w:val="22"/>
        </w:rPr>
      </w:pPr>
      <w:r>
        <w:rPr>
          <w:sz w:val="22"/>
          <w:szCs w:val="22"/>
        </w:rPr>
        <w:t>The following is a summary of our proposals.</w:t>
      </w:r>
    </w:p>
    <w:p w:rsidR="002747E5" w:rsidRPr="00211BB9" w:rsidRDefault="002747E5" w:rsidP="002747E5">
      <w:pPr>
        <w:spacing w:before="240"/>
        <w:jc w:val="both"/>
        <w:rPr>
          <w:sz w:val="22"/>
          <w:szCs w:val="22"/>
          <w:u w:val="single"/>
        </w:rPr>
      </w:pPr>
      <w:r>
        <w:rPr>
          <w:sz w:val="22"/>
          <w:szCs w:val="22"/>
          <w:u w:val="single"/>
        </w:rPr>
        <w:t>F</w:t>
      </w:r>
      <w:r w:rsidRPr="00211BB9">
        <w:rPr>
          <w:sz w:val="22"/>
          <w:szCs w:val="22"/>
          <w:u w:val="single"/>
        </w:rPr>
        <w:t>or transmit buffer rate-matching</w:t>
      </w:r>
    </w:p>
    <w:p w:rsidR="002747E5" w:rsidRPr="00211BB9" w:rsidRDefault="002747E5" w:rsidP="002747E5">
      <w:pPr>
        <w:jc w:val="both"/>
        <w:rPr>
          <w:rFonts w:eastAsia="MS Mincho"/>
          <w:i/>
          <w:iCs/>
          <w:lang w:eastAsia="ja-JP"/>
        </w:rPr>
      </w:pPr>
      <w:r w:rsidRPr="00211BB9">
        <w:rPr>
          <w:rFonts w:eastAsia="MS Mincho"/>
          <w:i/>
          <w:iCs/>
          <w:lang w:eastAsia="ja-JP"/>
        </w:rPr>
        <w:t xml:space="preserve">Proposal 1: For downlink, the UE’s instantaneous receive buffer is not required to be processed at lowest mother coding rate of LDPC for </w:t>
      </w:r>
      <w:r w:rsidRPr="00211BB9">
        <w:rPr>
          <w:i/>
        </w:rPr>
        <w:t>largest transport block schedulable for the UE</w:t>
      </w:r>
      <w:r w:rsidRPr="00211BB9">
        <w:rPr>
          <w:rFonts w:eastAsia="MS Mincho"/>
          <w:i/>
          <w:iCs/>
          <w:lang w:eastAsia="ja-JP"/>
        </w:rPr>
        <w:t xml:space="preserve">. </w:t>
      </w:r>
    </w:p>
    <w:p w:rsidR="002747E5" w:rsidRPr="00211BB9" w:rsidRDefault="002747E5" w:rsidP="002747E5">
      <w:pPr>
        <w:jc w:val="both"/>
        <w:rPr>
          <w:i/>
          <w:lang w:val="en-GB"/>
        </w:rPr>
      </w:pPr>
      <w:r w:rsidRPr="00211BB9">
        <w:rPr>
          <w:rFonts w:eastAsia="MS Mincho"/>
          <w:i/>
          <w:iCs/>
          <w:lang w:eastAsia="ja-JP"/>
        </w:rPr>
        <w:t xml:space="preserve">Proposal 2: For downlink, the UE’s instantaneous receive buffer is dimensioned such that the </w:t>
      </w:r>
      <w:r w:rsidRPr="00211BB9">
        <w:rPr>
          <w:i/>
        </w:rPr>
        <w:t>largest transport block schedulable for the UE</w:t>
      </w:r>
      <w:r w:rsidRPr="00211BB9">
        <w:rPr>
          <w:rFonts w:eastAsia="MS Mincho"/>
          <w:i/>
          <w:iCs/>
          <w:lang w:eastAsia="ja-JP"/>
        </w:rPr>
        <w:t xml:space="preserve"> is processed at a rate no lower than a reference minimum coding rate.</w:t>
      </w:r>
    </w:p>
    <w:p w:rsidR="002747E5" w:rsidRPr="00211BB9" w:rsidRDefault="002747E5" w:rsidP="002747E5">
      <w:pPr>
        <w:jc w:val="both"/>
        <w:rPr>
          <w:i/>
        </w:rPr>
      </w:pPr>
      <w:r w:rsidRPr="00211BB9">
        <w:rPr>
          <w:i/>
        </w:rPr>
        <w:t>Proposal 3: For the downlink transmission, limitation on the circular buffer is applied based on a reference minimum coding rate for the largest transpor</w:t>
      </w:r>
      <w:r>
        <w:rPr>
          <w:i/>
        </w:rPr>
        <w:t>t block schedulable for the UE.</w:t>
      </w:r>
    </w:p>
    <w:p w:rsidR="002747E5" w:rsidRPr="00211BB9" w:rsidRDefault="002747E5" w:rsidP="002747E5">
      <w:pPr>
        <w:spacing w:before="240"/>
        <w:jc w:val="both"/>
        <w:rPr>
          <w:sz w:val="22"/>
          <w:szCs w:val="22"/>
          <w:u w:val="single"/>
        </w:rPr>
      </w:pPr>
      <w:r w:rsidRPr="00211BB9">
        <w:rPr>
          <w:sz w:val="22"/>
          <w:szCs w:val="22"/>
          <w:u w:val="single"/>
        </w:rPr>
        <w:t>Proposals for Soft buffer dimensioning and management</w:t>
      </w:r>
    </w:p>
    <w:p w:rsidR="002747E5" w:rsidRDefault="002747E5" w:rsidP="002747E5">
      <w:pPr>
        <w:numPr>
          <w:ilvl w:val="0"/>
          <w:numId w:val="1"/>
        </w:numPr>
        <w:jc w:val="both"/>
        <w:textAlignment w:val="auto"/>
        <w:rPr>
          <w:i/>
          <w:sz w:val="22"/>
          <w:szCs w:val="22"/>
        </w:rPr>
      </w:pPr>
      <w:r>
        <w:rPr>
          <w:i/>
          <w:sz w:val="22"/>
          <w:szCs w:val="22"/>
        </w:rPr>
        <w:t>Soft buffer requirements</w:t>
      </w:r>
      <w:r w:rsidRPr="003740D8">
        <w:rPr>
          <w:i/>
          <w:sz w:val="22"/>
          <w:szCs w:val="22"/>
        </w:rPr>
        <w:t xml:space="preserve"> should be guided primarily by UE categories and capabilities based on suitable selection of reference configuration (SCS, slot duration (assuming slot-based scheduling), achievable peak data rates, HARQ RTT, etc.) that is determined independent of the maximum number of addressable HARQ processes.</w:t>
      </w:r>
      <w:r>
        <w:rPr>
          <w:i/>
          <w:sz w:val="22"/>
          <w:szCs w:val="22"/>
        </w:rPr>
        <w:t xml:space="preserve"> An example is shown below:</w:t>
      </w:r>
    </w:p>
    <w:p w:rsidR="002747E5" w:rsidRDefault="002747E5" w:rsidP="002747E5">
      <w:pPr>
        <w:numPr>
          <w:ilvl w:val="1"/>
          <w:numId w:val="1"/>
        </w:numPr>
        <w:jc w:val="both"/>
        <w:textAlignment w:val="auto"/>
        <w:rPr>
          <w:i/>
          <w:sz w:val="22"/>
          <w:szCs w:val="22"/>
        </w:rPr>
      </w:pPr>
      <w:r>
        <w:rPr>
          <w:i/>
          <w:sz w:val="22"/>
          <w:szCs w:val="22"/>
        </w:rPr>
        <w:t xml:space="preserve">30 kHz SCS, 0.5 ms TTI, 2 Gbps at 2 ms HARQ RTT, and 50% LBRM </w:t>
      </w:r>
    </w:p>
    <w:p w:rsidR="002747E5" w:rsidRDefault="002747E5" w:rsidP="002747E5">
      <w:pPr>
        <w:numPr>
          <w:ilvl w:val="0"/>
          <w:numId w:val="1"/>
        </w:numPr>
        <w:jc w:val="both"/>
        <w:textAlignment w:val="auto"/>
        <w:rPr>
          <w:i/>
          <w:sz w:val="22"/>
          <w:szCs w:val="22"/>
        </w:rPr>
      </w:pPr>
      <w:r>
        <w:rPr>
          <w:i/>
          <w:sz w:val="22"/>
          <w:szCs w:val="22"/>
        </w:rPr>
        <w:t xml:space="preserve">NR should support dynamic pooling of HARQ buffer across component carriers in carrier aggregation of NR carriers. </w:t>
      </w:r>
    </w:p>
    <w:p w:rsidR="002747E5" w:rsidRPr="002B5BBB" w:rsidRDefault="002747E5" w:rsidP="002747E5">
      <w:pPr>
        <w:numPr>
          <w:ilvl w:val="0"/>
          <w:numId w:val="1"/>
        </w:numPr>
        <w:jc w:val="both"/>
        <w:textAlignment w:val="auto"/>
        <w:rPr>
          <w:i/>
          <w:sz w:val="22"/>
          <w:szCs w:val="22"/>
        </w:rPr>
      </w:pPr>
      <w:r w:rsidRPr="002B5BBB">
        <w:rPr>
          <w:i/>
          <w:sz w:val="22"/>
          <w:szCs w:val="22"/>
        </w:rPr>
        <w:t xml:space="preserve">Soft buffer management for NR </w:t>
      </w:r>
      <w:r>
        <w:rPr>
          <w:i/>
          <w:sz w:val="22"/>
          <w:szCs w:val="22"/>
        </w:rPr>
        <w:t>should</w:t>
      </w:r>
      <w:r w:rsidRPr="002B5BBB">
        <w:rPr>
          <w:i/>
          <w:sz w:val="22"/>
          <w:szCs w:val="22"/>
        </w:rPr>
        <w:t xml:space="preserve"> left up to UE implementation</w:t>
      </w:r>
      <w:r>
        <w:rPr>
          <w:i/>
          <w:sz w:val="22"/>
          <w:szCs w:val="22"/>
        </w:rPr>
        <w:t xml:space="preserve"> to allow some flexibility </w:t>
      </w:r>
    </w:p>
    <w:p w:rsidR="002747E5" w:rsidRDefault="002747E5" w:rsidP="002747E5">
      <w:pPr>
        <w:numPr>
          <w:ilvl w:val="0"/>
          <w:numId w:val="1"/>
        </w:numPr>
        <w:jc w:val="both"/>
        <w:textAlignment w:val="auto"/>
        <w:rPr>
          <w:i/>
          <w:sz w:val="22"/>
          <w:szCs w:val="22"/>
        </w:rPr>
      </w:pPr>
      <w:r>
        <w:rPr>
          <w:i/>
          <w:sz w:val="22"/>
          <w:szCs w:val="22"/>
        </w:rPr>
        <w:lastRenderedPageBreak/>
        <w:t>NR supports HARQ buffer loading status reporting from the UE</w:t>
      </w:r>
    </w:p>
    <w:p w:rsidR="002747E5" w:rsidRPr="00F30071" w:rsidRDefault="002747E5" w:rsidP="002747E5">
      <w:pPr>
        <w:numPr>
          <w:ilvl w:val="0"/>
          <w:numId w:val="1"/>
        </w:numPr>
        <w:jc w:val="both"/>
        <w:textAlignment w:val="auto"/>
        <w:rPr>
          <w:i/>
          <w:sz w:val="22"/>
          <w:szCs w:val="22"/>
        </w:rPr>
      </w:pPr>
      <w:r w:rsidRPr="002C4908">
        <w:rPr>
          <w:i/>
          <w:sz w:val="22"/>
          <w:szCs w:val="22"/>
        </w:rPr>
        <w:t>RAN1 should consider if UE category definition can include a peak data rate field instead of reusing the corresponding field from LTE (“</w:t>
      </w:r>
      <w:r w:rsidRPr="002C4908">
        <w:rPr>
          <w:i/>
        </w:rPr>
        <w:t>Maximum number of DL-SCH transport block bits received within a TTI”).</w:t>
      </w:r>
    </w:p>
    <w:p w:rsidR="002747E5" w:rsidRPr="00AB369B" w:rsidRDefault="002747E5" w:rsidP="002747E5">
      <w:pPr>
        <w:numPr>
          <w:ilvl w:val="0"/>
          <w:numId w:val="1"/>
        </w:numPr>
        <w:jc w:val="both"/>
        <w:rPr>
          <w:i/>
        </w:rPr>
      </w:pPr>
      <w:r>
        <w:rPr>
          <w:i/>
        </w:rPr>
        <w:t xml:space="preserve">Pooling of HARQ buffer across </w:t>
      </w:r>
      <w:r w:rsidRPr="00AB369B">
        <w:rPr>
          <w:i/>
        </w:rPr>
        <w:t xml:space="preserve">LTE-NR dual connectivity should be supported. </w:t>
      </w:r>
    </w:p>
    <w:p w:rsidR="002747E5" w:rsidRPr="000349E0" w:rsidRDefault="002747E5" w:rsidP="002747E5">
      <w:pPr>
        <w:pStyle w:val="Heading1"/>
        <w:numPr>
          <w:ilvl w:val="0"/>
          <w:numId w:val="2"/>
        </w:numPr>
        <w:ind w:left="360"/>
        <w:textAlignment w:val="auto"/>
        <w:rPr>
          <w:sz w:val="32"/>
        </w:rPr>
      </w:pPr>
      <w:r>
        <w:rPr>
          <w:sz w:val="32"/>
        </w:rPr>
        <w:t>Reference</w:t>
      </w:r>
    </w:p>
    <w:p w:rsidR="002747E5" w:rsidRDefault="002747E5" w:rsidP="002747E5">
      <w:pPr>
        <w:spacing w:after="0"/>
      </w:pPr>
      <w:r>
        <w:t xml:space="preserve">[1] R1-1710573, Intel, </w:t>
      </w:r>
      <w:r w:rsidRPr="009B0AFB">
        <w:t xml:space="preserve">On HARQ processes </w:t>
      </w:r>
      <w:r>
        <w:t>and HARQ RTT</w:t>
      </w:r>
      <w:r w:rsidRPr="009B0AFB">
        <w:t>, RAN1#</w:t>
      </w:r>
      <w:r>
        <w:t>AH</w:t>
      </w:r>
      <w:r w:rsidRPr="009B0AFB">
        <w:t xml:space="preserve">, </w:t>
      </w:r>
      <w:r>
        <w:t>June</w:t>
      </w:r>
      <w:r w:rsidRPr="009B0AFB">
        <w:t xml:space="preserve"> 2017</w:t>
      </w:r>
    </w:p>
    <w:p w:rsidR="002747E5" w:rsidRDefault="002747E5" w:rsidP="002747E5">
      <w:pPr>
        <w:spacing w:after="0"/>
      </w:pPr>
      <w:r>
        <w:t xml:space="preserve">[2] </w:t>
      </w:r>
      <w:r w:rsidRPr="00843D3F">
        <w:t>R1-1710221</w:t>
      </w:r>
      <w:r w:rsidRPr="00843D3F">
        <w:tab/>
        <w:t>Reply LS on UE categories for NR and LTE-NR Dual Connectivity</w:t>
      </w:r>
      <w:r w:rsidRPr="00843D3F">
        <w:tab/>
        <w:t>RAN, NTT DOCOMO</w:t>
      </w:r>
    </w:p>
    <w:p w:rsidR="002747E5" w:rsidRDefault="002747E5" w:rsidP="002747E5">
      <w:pPr>
        <w:spacing w:after="0"/>
      </w:pPr>
      <w:r>
        <w:t xml:space="preserve">[3] R-11711207, “Considerations for soft buffer management”, Qualcomm, </w:t>
      </w:r>
      <w:r w:rsidRPr="009B0AFB">
        <w:t>RAN1#</w:t>
      </w:r>
      <w:r>
        <w:t>AH</w:t>
      </w:r>
      <w:r w:rsidRPr="009B0AFB">
        <w:t xml:space="preserve">, </w:t>
      </w:r>
      <w:r>
        <w:t>June</w:t>
      </w:r>
      <w:r w:rsidRPr="009B0AFB">
        <w:t xml:space="preserve"> 2017</w:t>
      </w:r>
    </w:p>
    <w:p w:rsidR="002747E5" w:rsidRDefault="002747E5" w:rsidP="002747E5">
      <w:pPr>
        <w:spacing w:after="0"/>
      </w:pPr>
      <w:r>
        <w:t xml:space="preserve">[4], </w:t>
      </w:r>
      <w:r w:rsidRPr="0078510C">
        <w:t>R1- 1716329</w:t>
      </w:r>
      <w:r>
        <w:t>, “</w:t>
      </w:r>
      <w:r w:rsidRPr="0078510C">
        <w:t>Finalization of remaining details of rate-matching</w:t>
      </w:r>
      <w:r>
        <w:t>”, Intel, RAN1#-AH3, Sep 2017</w:t>
      </w:r>
    </w:p>
    <w:p w:rsidR="002747E5" w:rsidRDefault="002747E5" w:rsidP="002747E5">
      <w:pPr>
        <w:spacing w:after="0"/>
      </w:pPr>
      <w:r>
        <w:t>[5], R1-1716320, “Resource allocation and TBS”</w:t>
      </w:r>
      <w:r w:rsidRPr="0078510C">
        <w:t xml:space="preserve"> </w:t>
      </w:r>
      <w:r>
        <w:t>, Intel, RAN1#-AH3, Sep 2017</w:t>
      </w:r>
    </w:p>
    <w:p w:rsidR="002747E5" w:rsidRDefault="002747E5" w:rsidP="002747E5"/>
    <w:p w:rsidR="002747E5" w:rsidRDefault="002747E5" w:rsidP="002747E5"/>
    <w:p w:rsidR="002747E5" w:rsidRDefault="002747E5" w:rsidP="002747E5"/>
    <w:p w:rsidR="002747E5" w:rsidRDefault="002747E5" w:rsidP="002747E5"/>
    <w:p w:rsidR="002747E5" w:rsidRDefault="002747E5" w:rsidP="002747E5"/>
    <w:p w:rsidR="002747E5" w:rsidRDefault="002747E5" w:rsidP="002747E5"/>
    <w:p w:rsidR="005A58A0" w:rsidRDefault="005A58A0">
      <w:bookmarkStart w:id="1" w:name="_GoBack"/>
      <w:bookmarkEnd w:id="1"/>
    </w:p>
    <w:sectPr w:rsidR="005A58A0" w:rsidSect="00A446BE">
      <w:headerReference w:type="even" r:id="rId7"/>
      <w:footerReference w:type="even" r:id="rId8"/>
      <w:footerReference w:type="default" r:id="rId9"/>
      <w:footnotePr>
        <w:numRestart w:val="eachSect"/>
      </w:footnotePr>
      <w:pgSz w:w="12240" w:h="15840" w:code="1"/>
      <w:pgMar w:top="1418" w:right="1134" w:bottom="1134" w:left="1134" w:header="680" w:footer="567"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0"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24B5" w:rsidRDefault="002747E5" w:rsidP="00A446B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124B5" w:rsidRDefault="002747E5" w:rsidP="00A446B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24B5" w:rsidRDefault="002747E5" w:rsidP="00A446BE">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24B5" w:rsidRDefault="002747E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5C251B"/>
    <w:multiLevelType w:val="hybridMultilevel"/>
    <w:tmpl w:val="681C8CD2"/>
    <w:lvl w:ilvl="0" w:tplc="C7825A1A">
      <w:start w:val="1"/>
      <w:numFmt w:val="bullet"/>
      <w:lvlText w:val="–"/>
      <w:lvlJc w:val="left"/>
      <w:pPr>
        <w:tabs>
          <w:tab w:val="num" w:pos="720"/>
        </w:tabs>
        <w:ind w:left="720" w:hanging="360"/>
      </w:pPr>
      <w:rPr>
        <w:rFonts w:ascii="Arial" w:hAnsi="Arial" w:hint="default"/>
      </w:rPr>
    </w:lvl>
    <w:lvl w:ilvl="1" w:tplc="30A82A52">
      <w:start w:val="1"/>
      <w:numFmt w:val="bullet"/>
      <w:lvlText w:val="–"/>
      <w:lvlJc w:val="left"/>
      <w:pPr>
        <w:tabs>
          <w:tab w:val="num" w:pos="1440"/>
        </w:tabs>
        <w:ind w:left="1440" w:hanging="360"/>
      </w:pPr>
      <w:rPr>
        <w:rFonts w:ascii="Arial" w:hAnsi="Arial" w:hint="default"/>
      </w:rPr>
    </w:lvl>
    <w:lvl w:ilvl="2" w:tplc="F5AAFAEA">
      <w:start w:val="1"/>
      <w:numFmt w:val="bullet"/>
      <w:lvlText w:val="–"/>
      <w:lvlJc w:val="left"/>
      <w:pPr>
        <w:tabs>
          <w:tab w:val="num" w:pos="2160"/>
        </w:tabs>
        <w:ind w:left="2160" w:hanging="360"/>
      </w:pPr>
      <w:rPr>
        <w:rFonts w:ascii="Arial" w:hAnsi="Arial" w:hint="default"/>
      </w:rPr>
    </w:lvl>
    <w:lvl w:ilvl="3" w:tplc="8E2C958E">
      <w:start w:val="1"/>
      <w:numFmt w:val="bullet"/>
      <w:lvlText w:val="–"/>
      <w:lvlJc w:val="left"/>
      <w:pPr>
        <w:tabs>
          <w:tab w:val="num" w:pos="2880"/>
        </w:tabs>
        <w:ind w:left="2880" w:hanging="360"/>
      </w:pPr>
      <w:rPr>
        <w:rFonts w:ascii="Arial" w:hAnsi="Arial" w:hint="default"/>
      </w:rPr>
    </w:lvl>
    <w:lvl w:ilvl="4" w:tplc="D3587A76" w:tentative="1">
      <w:start w:val="1"/>
      <w:numFmt w:val="bullet"/>
      <w:lvlText w:val="–"/>
      <w:lvlJc w:val="left"/>
      <w:pPr>
        <w:tabs>
          <w:tab w:val="num" w:pos="3600"/>
        </w:tabs>
        <w:ind w:left="3600" w:hanging="360"/>
      </w:pPr>
      <w:rPr>
        <w:rFonts w:ascii="Arial" w:hAnsi="Arial" w:hint="default"/>
      </w:rPr>
    </w:lvl>
    <w:lvl w:ilvl="5" w:tplc="629696F0" w:tentative="1">
      <w:start w:val="1"/>
      <w:numFmt w:val="bullet"/>
      <w:lvlText w:val="–"/>
      <w:lvlJc w:val="left"/>
      <w:pPr>
        <w:tabs>
          <w:tab w:val="num" w:pos="4320"/>
        </w:tabs>
        <w:ind w:left="4320" w:hanging="360"/>
      </w:pPr>
      <w:rPr>
        <w:rFonts w:ascii="Arial" w:hAnsi="Arial" w:hint="default"/>
      </w:rPr>
    </w:lvl>
    <w:lvl w:ilvl="6" w:tplc="FAF42A14" w:tentative="1">
      <w:start w:val="1"/>
      <w:numFmt w:val="bullet"/>
      <w:lvlText w:val="–"/>
      <w:lvlJc w:val="left"/>
      <w:pPr>
        <w:tabs>
          <w:tab w:val="num" w:pos="5040"/>
        </w:tabs>
        <w:ind w:left="5040" w:hanging="360"/>
      </w:pPr>
      <w:rPr>
        <w:rFonts w:ascii="Arial" w:hAnsi="Arial" w:hint="default"/>
      </w:rPr>
    </w:lvl>
    <w:lvl w:ilvl="7" w:tplc="9D4621C2" w:tentative="1">
      <w:start w:val="1"/>
      <w:numFmt w:val="bullet"/>
      <w:lvlText w:val="–"/>
      <w:lvlJc w:val="left"/>
      <w:pPr>
        <w:tabs>
          <w:tab w:val="num" w:pos="5760"/>
        </w:tabs>
        <w:ind w:left="5760" w:hanging="360"/>
      </w:pPr>
      <w:rPr>
        <w:rFonts w:ascii="Arial" w:hAnsi="Arial" w:hint="default"/>
      </w:rPr>
    </w:lvl>
    <w:lvl w:ilvl="8" w:tplc="70422E4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23541B3"/>
    <w:multiLevelType w:val="hybridMultilevel"/>
    <w:tmpl w:val="7DD256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6C4326"/>
    <w:multiLevelType w:val="hybridMultilevel"/>
    <w:tmpl w:val="983C9B18"/>
    <w:lvl w:ilvl="0" w:tplc="5E72A504">
      <w:start w:val="1"/>
      <w:numFmt w:val="bullet"/>
      <w:lvlText w:val="•"/>
      <w:lvlJc w:val="left"/>
      <w:pPr>
        <w:tabs>
          <w:tab w:val="num" w:pos="720"/>
        </w:tabs>
        <w:ind w:left="720" w:hanging="360"/>
      </w:pPr>
      <w:rPr>
        <w:rFonts w:ascii="Arial" w:hAnsi="Arial" w:hint="default"/>
      </w:rPr>
    </w:lvl>
    <w:lvl w:ilvl="1" w:tplc="054C8222">
      <w:start w:val="140"/>
      <w:numFmt w:val="bullet"/>
      <w:lvlText w:val="•"/>
      <w:lvlJc w:val="left"/>
      <w:pPr>
        <w:tabs>
          <w:tab w:val="num" w:pos="1440"/>
        </w:tabs>
        <w:ind w:left="1440" w:hanging="360"/>
      </w:pPr>
      <w:rPr>
        <w:rFonts w:ascii="Arial" w:hAnsi="Arial" w:hint="default"/>
      </w:rPr>
    </w:lvl>
    <w:lvl w:ilvl="2" w:tplc="BC78FCF0" w:tentative="1">
      <w:start w:val="1"/>
      <w:numFmt w:val="bullet"/>
      <w:lvlText w:val="•"/>
      <w:lvlJc w:val="left"/>
      <w:pPr>
        <w:tabs>
          <w:tab w:val="num" w:pos="2160"/>
        </w:tabs>
        <w:ind w:left="2160" w:hanging="360"/>
      </w:pPr>
      <w:rPr>
        <w:rFonts w:ascii="Arial" w:hAnsi="Arial" w:hint="default"/>
      </w:rPr>
    </w:lvl>
    <w:lvl w:ilvl="3" w:tplc="2F508350" w:tentative="1">
      <w:start w:val="1"/>
      <w:numFmt w:val="bullet"/>
      <w:lvlText w:val="•"/>
      <w:lvlJc w:val="left"/>
      <w:pPr>
        <w:tabs>
          <w:tab w:val="num" w:pos="2880"/>
        </w:tabs>
        <w:ind w:left="2880" w:hanging="360"/>
      </w:pPr>
      <w:rPr>
        <w:rFonts w:ascii="Arial" w:hAnsi="Arial" w:hint="default"/>
      </w:rPr>
    </w:lvl>
    <w:lvl w:ilvl="4" w:tplc="0D6410A6" w:tentative="1">
      <w:start w:val="1"/>
      <w:numFmt w:val="bullet"/>
      <w:lvlText w:val="•"/>
      <w:lvlJc w:val="left"/>
      <w:pPr>
        <w:tabs>
          <w:tab w:val="num" w:pos="3600"/>
        </w:tabs>
        <w:ind w:left="3600" w:hanging="360"/>
      </w:pPr>
      <w:rPr>
        <w:rFonts w:ascii="Arial" w:hAnsi="Arial" w:hint="default"/>
      </w:rPr>
    </w:lvl>
    <w:lvl w:ilvl="5" w:tplc="301E635E" w:tentative="1">
      <w:start w:val="1"/>
      <w:numFmt w:val="bullet"/>
      <w:lvlText w:val="•"/>
      <w:lvlJc w:val="left"/>
      <w:pPr>
        <w:tabs>
          <w:tab w:val="num" w:pos="4320"/>
        </w:tabs>
        <w:ind w:left="4320" w:hanging="360"/>
      </w:pPr>
      <w:rPr>
        <w:rFonts w:ascii="Arial" w:hAnsi="Arial" w:hint="default"/>
      </w:rPr>
    </w:lvl>
    <w:lvl w:ilvl="6" w:tplc="6EE60458" w:tentative="1">
      <w:start w:val="1"/>
      <w:numFmt w:val="bullet"/>
      <w:lvlText w:val="•"/>
      <w:lvlJc w:val="left"/>
      <w:pPr>
        <w:tabs>
          <w:tab w:val="num" w:pos="5040"/>
        </w:tabs>
        <w:ind w:left="5040" w:hanging="360"/>
      </w:pPr>
      <w:rPr>
        <w:rFonts w:ascii="Arial" w:hAnsi="Arial" w:hint="default"/>
      </w:rPr>
    </w:lvl>
    <w:lvl w:ilvl="7" w:tplc="E7A41F46" w:tentative="1">
      <w:start w:val="1"/>
      <w:numFmt w:val="bullet"/>
      <w:lvlText w:val="•"/>
      <w:lvlJc w:val="left"/>
      <w:pPr>
        <w:tabs>
          <w:tab w:val="num" w:pos="5760"/>
        </w:tabs>
        <w:ind w:left="5760" w:hanging="360"/>
      </w:pPr>
      <w:rPr>
        <w:rFonts w:ascii="Arial" w:hAnsi="Arial" w:hint="default"/>
      </w:rPr>
    </w:lvl>
    <w:lvl w:ilvl="8" w:tplc="32D6A11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DA76F87"/>
    <w:multiLevelType w:val="hybridMultilevel"/>
    <w:tmpl w:val="D32A6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DCD2467"/>
    <w:multiLevelType w:val="hybridMultilevel"/>
    <w:tmpl w:val="75FCD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EB31379"/>
    <w:multiLevelType w:val="hybridMultilevel"/>
    <w:tmpl w:val="7F72C80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15:restartNumberingAfterBreak="0">
    <w:nsid w:val="3F21231A"/>
    <w:multiLevelType w:val="hybridMultilevel"/>
    <w:tmpl w:val="A1B07D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48DD7E6B"/>
    <w:multiLevelType w:val="hybridMultilevel"/>
    <w:tmpl w:val="2EA84B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7C3C69"/>
    <w:multiLevelType w:val="hybridMultilevel"/>
    <w:tmpl w:val="911C8490"/>
    <w:lvl w:ilvl="0" w:tplc="FCF0381A">
      <w:start w:val="1"/>
      <w:numFmt w:val="bullet"/>
      <w:lvlText w:val="–"/>
      <w:lvlJc w:val="left"/>
      <w:pPr>
        <w:tabs>
          <w:tab w:val="num" w:pos="720"/>
        </w:tabs>
        <w:ind w:left="720" w:hanging="360"/>
      </w:pPr>
      <w:rPr>
        <w:rFonts w:ascii="Arial" w:hAnsi="Arial" w:hint="default"/>
      </w:rPr>
    </w:lvl>
    <w:lvl w:ilvl="1" w:tplc="997CCBD4">
      <w:start w:val="1"/>
      <w:numFmt w:val="bullet"/>
      <w:lvlText w:val="–"/>
      <w:lvlJc w:val="left"/>
      <w:pPr>
        <w:tabs>
          <w:tab w:val="num" w:pos="1440"/>
        </w:tabs>
        <w:ind w:left="1440" w:hanging="360"/>
      </w:pPr>
      <w:rPr>
        <w:rFonts w:ascii="Arial" w:hAnsi="Arial" w:hint="default"/>
      </w:rPr>
    </w:lvl>
    <w:lvl w:ilvl="2" w:tplc="1A929688">
      <w:start w:val="1"/>
      <w:numFmt w:val="bullet"/>
      <w:lvlText w:val="–"/>
      <w:lvlJc w:val="left"/>
      <w:pPr>
        <w:tabs>
          <w:tab w:val="num" w:pos="2160"/>
        </w:tabs>
        <w:ind w:left="2160" w:hanging="360"/>
      </w:pPr>
      <w:rPr>
        <w:rFonts w:ascii="Arial" w:hAnsi="Arial" w:hint="default"/>
      </w:rPr>
    </w:lvl>
    <w:lvl w:ilvl="3" w:tplc="82B49D4E">
      <w:start w:val="1"/>
      <w:numFmt w:val="bullet"/>
      <w:lvlText w:val="–"/>
      <w:lvlJc w:val="left"/>
      <w:pPr>
        <w:tabs>
          <w:tab w:val="num" w:pos="2880"/>
        </w:tabs>
        <w:ind w:left="2880" w:hanging="360"/>
      </w:pPr>
      <w:rPr>
        <w:rFonts w:ascii="Arial" w:hAnsi="Arial" w:hint="default"/>
      </w:rPr>
    </w:lvl>
    <w:lvl w:ilvl="4" w:tplc="4C52368C" w:tentative="1">
      <w:start w:val="1"/>
      <w:numFmt w:val="bullet"/>
      <w:lvlText w:val="–"/>
      <w:lvlJc w:val="left"/>
      <w:pPr>
        <w:tabs>
          <w:tab w:val="num" w:pos="3600"/>
        </w:tabs>
        <w:ind w:left="3600" w:hanging="360"/>
      </w:pPr>
      <w:rPr>
        <w:rFonts w:ascii="Arial" w:hAnsi="Arial" w:hint="default"/>
      </w:rPr>
    </w:lvl>
    <w:lvl w:ilvl="5" w:tplc="EE04A116" w:tentative="1">
      <w:start w:val="1"/>
      <w:numFmt w:val="bullet"/>
      <w:lvlText w:val="–"/>
      <w:lvlJc w:val="left"/>
      <w:pPr>
        <w:tabs>
          <w:tab w:val="num" w:pos="4320"/>
        </w:tabs>
        <w:ind w:left="4320" w:hanging="360"/>
      </w:pPr>
      <w:rPr>
        <w:rFonts w:ascii="Arial" w:hAnsi="Arial" w:hint="default"/>
      </w:rPr>
    </w:lvl>
    <w:lvl w:ilvl="6" w:tplc="5CDE2952" w:tentative="1">
      <w:start w:val="1"/>
      <w:numFmt w:val="bullet"/>
      <w:lvlText w:val="–"/>
      <w:lvlJc w:val="left"/>
      <w:pPr>
        <w:tabs>
          <w:tab w:val="num" w:pos="5040"/>
        </w:tabs>
        <w:ind w:left="5040" w:hanging="360"/>
      </w:pPr>
      <w:rPr>
        <w:rFonts w:ascii="Arial" w:hAnsi="Arial" w:hint="default"/>
      </w:rPr>
    </w:lvl>
    <w:lvl w:ilvl="7" w:tplc="B11ACD9A" w:tentative="1">
      <w:start w:val="1"/>
      <w:numFmt w:val="bullet"/>
      <w:lvlText w:val="–"/>
      <w:lvlJc w:val="left"/>
      <w:pPr>
        <w:tabs>
          <w:tab w:val="num" w:pos="5760"/>
        </w:tabs>
        <w:ind w:left="5760" w:hanging="360"/>
      </w:pPr>
      <w:rPr>
        <w:rFonts w:ascii="Arial" w:hAnsi="Arial" w:hint="default"/>
      </w:rPr>
    </w:lvl>
    <w:lvl w:ilvl="8" w:tplc="102A77F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2BF3E3D"/>
    <w:multiLevelType w:val="hybridMultilevel"/>
    <w:tmpl w:val="BDD8B2D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0" w15:restartNumberingAfterBreak="0">
    <w:nsid w:val="588401BC"/>
    <w:multiLevelType w:val="hybridMultilevel"/>
    <w:tmpl w:val="505425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0"/>
  </w:num>
  <w:num w:numId="3">
    <w:abstractNumId w:val="1"/>
  </w:num>
  <w:num w:numId="4">
    <w:abstractNumId w:val="6"/>
  </w:num>
  <w:num w:numId="5">
    <w:abstractNumId w:val="5"/>
  </w:num>
  <w:num w:numId="6">
    <w:abstractNumId w:val="4"/>
  </w:num>
  <w:num w:numId="7">
    <w:abstractNumId w:val="3"/>
  </w:num>
  <w:num w:numId="8">
    <w:abstractNumId w:val="7"/>
  </w:num>
  <w:num w:numId="9">
    <w:abstractNumId w:val="2"/>
  </w:num>
  <w:num w:numId="10">
    <w:abstractNumId w:val="8"/>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47E5"/>
    <w:rsid w:val="002747E5"/>
    <w:rsid w:val="005A58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1D7C830-1D71-4213-8681-BD340FE020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47E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2747E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2747E5"/>
    <w:rPr>
      <w:rFonts w:asciiTheme="majorHAnsi" w:eastAsiaTheme="majorEastAsia" w:hAnsiTheme="majorHAnsi" w:cstheme="majorBidi"/>
      <w:color w:val="2E74B5" w:themeColor="accent1" w:themeShade="BF"/>
      <w:sz w:val="32"/>
      <w:szCs w:val="32"/>
    </w:rPr>
  </w:style>
  <w:style w:type="paragraph" w:styleId="Footer">
    <w:name w:val="footer"/>
    <w:basedOn w:val="Header"/>
    <w:link w:val="FooterChar"/>
    <w:uiPriority w:val="99"/>
    <w:rsid w:val="002747E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2747E5"/>
    <w:rPr>
      <w:rFonts w:ascii="Arial" w:eastAsia="SimSun" w:hAnsi="Arial" w:cs="Times New Roman"/>
      <w:b/>
      <w:i/>
      <w:noProof/>
      <w:sz w:val="18"/>
      <w:szCs w:val="20"/>
    </w:rPr>
  </w:style>
  <w:style w:type="character" w:styleId="PageNumber">
    <w:name w:val="page number"/>
    <w:basedOn w:val="DefaultParagraphFont"/>
    <w:rsid w:val="002747E5"/>
  </w:style>
  <w:style w:type="character" w:customStyle="1" w:styleId="Heading1Char1">
    <w:name w:val="Heading 1 Char1"/>
    <w:link w:val="Heading1"/>
    <w:rsid w:val="002747E5"/>
    <w:rPr>
      <w:rFonts w:ascii="Arial" w:eastAsia="SimSun" w:hAnsi="Arial" w:cs="Times New Roman"/>
      <w:sz w:val="36"/>
      <w:szCs w:val="20"/>
      <w:lang w:val="en-GB"/>
    </w:rPr>
  </w:style>
  <w:style w:type="paragraph" w:styleId="Caption">
    <w:name w:val="caption"/>
    <w:basedOn w:val="Normal"/>
    <w:next w:val="Normal"/>
    <w:uiPriority w:val="35"/>
    <w:unhideWhenUsed/>
    <w:qFormat/>
    <w:rsid w:val="002747E5"/>
    <w:pPr>
      <w:spacing w:after="200"/>
    </w:pPr>
    <w:rPr>
      <w:i/>
      <w:iCs/>
      <w:color w:val="44546A" w:themeColor="text2"/>
      <w:sz w:val="18"/>
      <w:szCs w:val="18"/>
    </w:rPr>
  </w:style>
  <w:style w:type="paragraph" w:styleId="ListParagraph">
    <w:name w:val="List Paragraph"/>
    <w:basedOn w:val="Normal"/>
    <w:link w:val="ListParagraphChar"/>
    <w:uiPriority w:val="34"/>
    <w:qFormat/>
    <w:rsid w:val="002747E5"/>
    <w:pPr>
      <w:ind w:left="720"/>
      <w:contextualSpacing/>
    </w:pPr>
  </w:style>
  <w:style w:type="character" w:customStyle="1" w:styleId="ListParagraphChar">
    <w:name w:val="List Paragraph Char"/>
    <w:link w:val="ListParagraph"/>
    <w:uiPriority w:val="34"/>
    <w:qFormat/>
    <w:locked/>
    <w:rsid w:val="002747E5"/>
    <w:rPr>
      <w:rFonts w:ascii="Times New Roman" w:eastAsia="SimSun" w:hAnsi="Times New Roman" w:cs="Times New Roman"/>
      <w:sz w:val="20"/>
      <w:szCs w:val="20"/>
    </w:rPr>
  </w:style>
  <w:style w:type="paragraph" w:styleId="Header">
    <w:name w:val="header"/>
    <w:basedOn w:val="Normal"/>
    <w:link w:val="HeaderChar"/>
    <w:uiPriority w:val="99"/>
    <w:semiHidden/>
    <w:unhideWhenUsed/>
    <w:rsid w:val="002747E5"/>
    <w:pPr>
      <w:tabs>
        <w:tab w:val="center" w:pos="4680"/>
        <w:tab w:val="right" w:pos="9360"/>
      </w:tabs>
      <w:spacing w:after="0"/>
    </w:pPr>
  </w:style>
  <w:style w:type="character" w:customStyle="1" w:styleId="HeaderChar">
    <w:name w:val="Header Char"/>
    <w:basedOn w:val="DefaultParagraphFont"/>
    <w:link w:val="Header"/>
    <w:uiPriority w:val="99"/>
    <w:semiHidden/>
    <w:rsid w:val="002747E5"/>
    <w:rPr>
      <w:rFonts w:ascii="Times New Roman" w:eastAsia="SimSu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2598</Words>
  <Characters>14812</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17376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Ajit</dc:creator>
  <cp:keywords/>
  <dc:description/>
  <cp:lastModifiedBy>Ajit</cp:lastModifiedBy>
  <cp:revision>1</cp:revision>
  <dcterms:created xsi:type="dcterms:W3CDTF">2017-10-03T04:51:00Z</dcterms:created>
  <dcterms:modified xsi:type="dcterms:W3CDTF">2017-10-03T04:52:00Z</dcterms:modified>
</cp:coreProperties>
</file>