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BF2" w:rsidRPr="00E5085C" w:rsidRDefault="00FD5BF2" w:rsidP="00FD5BF2">
      <w:pPr>
        <w:pStyle w:val="afa"/>
        <w:rPr>
          <w:rFonts w:ascii="Arial" w:eastAsia="宋体" w:hAnsi="Arial" w:cs="Arial"/>
          <w:b/>
          <w:i/>
          <w:sz w:val="24"/>
          <w:szCs w:val="24"/>
          <w:lang w:eastAsia="zh-CN"/>
        </w:rPr>
      </w:pPr>
      <w:bookmarkStart w:id="0" w:name="OLE_LINK7"/>
      <w:bookmarkStart w:id="1" w:name="OLE_LINK8"/>
      <w:bookmarkStart w:id="2" w:name="OLE_LINK9"/>
      <w:r w:rsidRPr="00317DE5">
        <w:rPr>
          <w:rFonts w:ascii="Arial" w:hAnsi="Arial" w:cs="Arial"/>
          <w:b/>
          <w:sz w:val="24"/>
          <w:szCs w:val="24"/>
        </w:rPr>
        <w:t>3GPP TSG-RAN WG</w:t>
      </w:r>
      <w:r w:rsidR="00FE446C">
        <w:rPr>
          <w:rFonts w:ascii="Arial" w:hAnsi="Arial" w:cs="Arial"/>
          <w:b/>
          <w:sz w:val="24"/>
          <w:szCs w:val="24"/>
        </w:rPr>
        <w:t>1</w:t>
      </w:r>
      <w:r w:rsidRPr="00317DE5">
        <w:rPr>
          <w:rFonts w:ascii="Arial" w:hAnsi="Arial" w:cs="Arial"/>
          <w:b/>
          <w:sz w:val="24"/>
          <w:szCs w:val="24"/>
        </w:rPr>
        <w:t xml:space="preserve"> </w:t>
      </w:r>
      <w:r w:rsidR="00E5085C" w:rsidRPr="00E5085C">
        <w:rPr>
          <w:rFonts w:ascii="Arial" w:hAnsi="Arial" w:cs="Arial"/>
          <w:b/>
          <w:sz w:val="24"/>
          <w:szCs w:val="24"/>
        </w:rPr>
        <w:t>Meeting #</w:t>
      </w:r>
      <w:r w:rsidR="00E5085C">
        <w:rPr>
          <w:rFonts w:ascii="Arial" w:eastAsia="宋体" w:hAnsi="Arial" w:cs="Arial" w:hint="eastAsia"/>
          <w:b/>
          <w:sz w:val="24"/>
          <w:szCs w:val="24"/>
          <w:lang w:eastAsia="zh-CN"/>
        </w:rPr>
        <w:t>90</w:t>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iCs/>
          <w:sz w:val="24"/>
          <w:szCs w:val="24"/>
        </w:rPr>
        <w:t>R</w:t>
      </w:r>
      <w:r w:rsidR="004370C4">
        <w:rPr>
          <w:rFonts w:ascii="Arial" w:hAnsi="Arial" w:cs="Arial"/>
          <w:b/>
          <w:iCs/>
          <w:sz w:val="24"/>
          <w:szCs w:val="24"/>
        </w:rPr>
        <w:t>1</w:t>
      </w:r>
      <w:r w:rsidRPr="00317DE5">
        <w:rPr>
          <w:rFonts w:ascii="Arial" w:hAnsi="Arial" w:cs="Arial"/>
          <w:b/>
          <w:iCs/>
          <w:sz w:val="24"/>
          <w:szCs w:val="24"/>
        </w:rPr>
        <w:t>-17</w:t>
      </w:r>
      <w:r w:rsidR="00FF04F0">
        <w:rPr>
          <w:rFonts w:ascii="Arial" w:eastAsia="宋体" w:hAnsi="Arial" w:cs="Arial" w:hint="eastAsia"/>
          <w:b/>
          <w:iCs/>
          <w:sz w:val="24"/>
          <w:szCs w:val="24"/>
          <w:lang w:eastAsia="zh-CN"/>
        </w:rPr>
        <w:t>14482</w:t>
      </w:r>
    </w:p>
    <w:p w:rsidR="00FD5BF2" w:rsidRPr="00317DE5" w:rsidRDefault="00E5085C" w:rsidP="00FD5BF2">
      <w:pPr>
        <w:spacing w:after="0"/>
        <w:rPr>
          <w:rFonts w:eastAsia="Batang" w:cs="Arial"/>
          <w:b/>
          <w:color w:val="000000"/>
          <w:sz w:val="24"/>
          <w:szCs w:val="24"/>
          <w:lang w:eastAsia="ja-JP"/>
        </w:rPr>
      </w:pPr>
      <w:r w:rsidRPr="00E5085C">
        <w:rPr>
          <w:rFonts w:eastAsia="Batang" w:cs="Arial"/>
          <w:b/>
          <w:color w:val="000000"/>
          <w:sz w:val="24"/>
          <w:szCs w:val="24"/>
          <w:lang w:eastAsia="ja-JP"/>
        </w:rPr>
        <w:t>Prague</w:t>
      </w:r>
      <w:r w:rsidR="00FD5BF2" w:rsidRPr="00317DE5">
        <w:rPr>
          <w:rFonts w:eastAsia="Batang" w:cs="Arial"/>
          <w:b/>
          <w:color w:val="000000"/>
          <w:sz w:val="24"/>
          <w:szCs w:val="24"/>
          <w:lang w:eastAsia="ja-JP"/>
        </w:rPr>
        <w:t xml:space="preserve">, </w:t>
      </w:r>
      <w:r w:rsidRPr="00E5085C">
        <w:rPr>
          <w:rFonts w:eastAsia="Batang" w:cs="Arial"/>
          <w:b/>
          <w:color w:val="000000"/>
          <w:sz w:val="24"/>
          <w:szCs w:val="24"/>
          <w:lang w:eastAsia="ja-JP"/>
        </w:rPr>
        <w:t>Germany</w:t>
      </w:r>
      <w:r w:rsidR="00FD5BF2" w:rsidRPr="00317DE5">
        <w:rPr>
          <w:rFonts w:eastAsia="Batang" w:cs="Arial"/>
          <w:b/>
          <w:color w:val="000000"/>
          <w:sz w:val="24"/>
          <w:szCs w:val="24"/>
          <w:lang w:eastAsia="ja-JP"/>
        </w:rPr>
        <w:t>, 2</w:t>
      </w:r>
      <w:r>
        <w:rPr>
          <w:rFonts w:cs="Arial" w:hint="eastAsia"/>
          <w:b/>
          <w:color w:val="000000"/>
          <w:sz w:val="24"/>
          <w:szCs w:val="24"/>
        </w:rPr>
        <w:t>1</w:t>
      </w:r>
      <w:r w:rsidR="00FD5BF2" w:rsidRPr="00317DE5">
        <w:rPr>
          <w:rFonts w:eastAsia="Batang" w:cs="Arial"/>
          <w:b/>
          <w:color w:val="000000"/>
          <w:sz w:val="24"/>
          <w:szCs w:val="24"/>
          <w:lang w:eastAsia="ja-JP"/>
        </w:rPr>
        <w:t>-2</w:t>
      </w:r>
      <w:r>
        <w:rPr>
          <w:rFonts w:cs="Arial" w:hint="eastAsia"/>
          <w:b/>
          <w:color w:val="000000"/>
          <w:sz w:val="24"/>
          <w:szCs w:val="24"/>
        </w:rPr>
        <w:t>5</w:t>
      </w:r>
      <w:r w:rsidR="00FD5BF2" w:rsidRPr="00317DE5">
        <w:rPr>
          <w:rFonts w:eastAsia="Batang" w:cs="Arial"/>
          <w:b/>
          <w:color w:val="000000"/>
          <w:sz w:val="24"/>
          <w:szCs w:val="24"/>
          <w:lang w:eastAsia="ja-JP"/>
        </w:rPr>
        <w:t xml:space="preserve"> </w:t>
      </w:r>
      <w:r>
        <w:rPr>
          <w:rFonts w:cs="Arial" w:hint="eastAsia"/>
          <w:b/>
          <w:color w:val="000000"/>
          <w:sz w:val="24"/>
          <w:szCs w:val="24"/>
        </w:rPr>
        <w:t>August</w:t>
      </w:r>
      <w:r w:rsidR="00FD5BF2" w:rsidRPr="00317DE5">
        <w:rPr>
          <w:rFonts w:eastAsia="Batang" w:cs="Arial"/>
          <w:b/>
          <w:color w:val="000000"/>
          <w:sz w:val="24"/>
          <w:szCs w:val="24"/>
          <w:lang w:eastAsia="ja-JP"/>
        </w:rPr>
        <w:t xml:space="preserve"> 2017</w:t>
      </w:r>
    </w:p>
    <w:bookmarkEnd w:id="0"/>
    <w:bookmarkEnd w:id="1"/>
    <w:bookmarkEnd w:id="2"/>
    <w:p w:rsidR="00932849" w:rsidRPr="00162AC2" w:rsidRDefault="00932849" w:rsidP="00932849">
      <w:pPr>
        <w:pStyle w:val="a8"/>
        <w:tabs>
          <w:tab w:val="right" w:pos="9639"/>
        </w:tabs>
        <w:rPr>
          <w:rFonts w:ascii="Times New Roman" w:hAnsi="Times New Roman"/>
          <w:bCs w:val="0"/>
          <w:sz w:val="24"/>
          <w:lang w:eastAsia="ja-JP"/>
        </w:rPr>
      </w:pPr>
      <w:r w:rsidRPr="00162AC2">
        <w:rPr>
          <w:rFonts w:ascii="Times New Roman" w:hAnsi="Times New Roman"/>
          <w:bCs w:val="0"/>
          <w:sz w:val="24"/>
        </w:rPr>
        <w:tab/>
      </w:r>
    </w:p>
    <w:p w:rsidR="00932849" w:rsidRPr="00FE1466" w:rsidRDefault="00932849" w:rsidP="00932849">
      <w:pPr>
        <w:pStyle w:val="CRCoverPage"/>
        <w:ind w:left="1980" w:hanging="1980"/>
        <w:rPr>
          <w:rFonts w:eastAsia="宋体" w:cs="Arial"/>
          <w:b/>
          <w:bCs/>
          <w:sz w:val="24"/>
          <w:lang w:eastAsia="zh-CN"/>
        </w:rPr>
      </w:pPr>
      <w:r w:rsidRPr="00437933">
        <w:rPr>
          <w:rFonts w:cs="Arial"/>
          <w:b/>
          <w:bCs/>
          <w:sz w:val="24"/>
        </w:rPr>
        <w:t xml:space="preserve">Agenda item: </w:t>
      </w:r>
      <w:r w:rsidRPr="00437933">
        <w:rPr>
          <w:rFonts w:cs="Arial"/>
          <w:b/>
          <w:bCs/>
          <w:sz w:val="24"/>
        </w:rPr>
        <w:tab/>
      </w:r>
      <w:r w:rsidR="00FE1466">
        <w:rPr>
          <w:rFonts w:eastAsia="宋体" w:cs="Arial" w:hint="eastAsia"/>
          <w:b/>
          <w:bCs/>
          <w:sz w:val="24"/>
          <w:lang w:eastAsia="zh-CN"/>
        </w:rPr>
        <w:t>6.1.6</w:t>
      </w:r>
    </w:p>
    <w:p w:rsidR="00932849" w:rsidRPr="00437933" w:rsidRDefault="00932849" w:rsidP="00932849">
      <w:pPr>
        <w:tabs>
          <w:tab w:val="left" w:pos="1985"/>
        </w:tabs>
        <w:ind w:left="1985" w:hanging="1985"/>
        <w:rPr>
          <w:rFonts w:cs="Arial"/>
          <w:b/>
          <w:bCs/>
          <w:sz w:val="24"/>
        </w:rPr>
      </w:pPr>
      <w:r w:rsidRPr="00437933">
        <w:rPr>
          <w:rFonts w:cs="Arial"/>
          <w:b/>
          <w:bCs/>
          <w:sz w:val="24"/>
        </w:rPr>
        <w:t>Source:</w:t>
      </w:r>
      <w:r w:rsidRPr="00437933">
        <w:rPr>
          <w:rFonts w:cs="Arial"/>
          <w:b/>
          <w:bCs/>
          <w:sz w:val="24"/>
        </w:rPr>
        <w:tab/>
      </w:r>
      <w:r>
        <w:rPr>
          <w:rFonts w:cs="Arial"/>
          <w:b/>
          <w:bCs/>
          <w:sz w:val="24"/>
        </w:rPr>
        <w:t>China Telecom</w:t>
      </w:r>
    </w:p>
    <w:p w:rsidR="00932849" w:rsidRPr="009B77FC" w:rsidRDefault="00932849" w:rsidP="00932849">
      <w:pPr>
        <w:ind w:left="1985" w:hanging="1985"/>
        <w:rPr>
          <w:rFonts w:eastAsia="Malgun Gothic" w:cs="Arial"/>
          <w:b/>
          <w:bCs/>
          <w:sz w:val="24"/>
          <w:lang w:eastAsia="ko-KR"/>
        </w:rPr>
      </w:pPr>
      <w:r w:rsidRPr="00437933">
        <w:rPr>
          <w:rFonts w:cs="Arial"/>
          <w:b/>
          <w:bCs/>
          <w:sz w:val="24"/>
        </w:rPr>
        <w:t>Title:</w:t>
      </w:r>
      <w:r w:rsidRPr="00437933">
        <w:rPr>
          <w:rFonts w:cs="Arial"/>
          <w:b/>
          <w:bCs/>
          <w:sz w:val="24"/>
        </w:rPr>
        <w:tab/>
      </w:r>
      <w:bookmarkStart w:id="3" w:name="OLE_LINK5"/>
      <w:bookmarkStart w:id="4" w:name="OLE_LINK6"/>
      <w:bookmarkStart w:id="5" w:name="OLE_LINK16"/>
      <w:bookmarkStart w:id="6" w:name="OLE_LINK17"/>
      <w:bookmarkStart w:id="7" w:name="OLE_LINK18"/>
      <w:bookmarkStart w:id="8" w:name="OLE_LINK19"/>
      <w:bookmarkStart w:id="9" w:name="OLE_LINK20"/>
      <w:bookmarkStart w:id="10" w:name="OLE_LINK21"/>
      <w:bookmarkStart w:id="11" w:name="OLE_LINK22"/>
      <w:bookmarkStart w:id="12" w:name="OLE_LINK23"/>
      <w:bookmarkStart w:id="13" w:name="OLE_LINK24"/>
      <w:r w:rsidR="00016725" w:rsidRPr="00016725">
        <w:rPr>
          <w:rFonts w:cs="Arial"/>
          <w:b/>
          <w:bCs/>
          <w:sz w:val="24"/>
        </w:rPr>
        <w:t xml:space="preserve">Discussion on </w:t>
      </w:r>
      <w:bookmarkEnd w:id="3"/>
      <w:bookmarkEnd w:id="4"/>
      <w:r w:rsidR="00211E05" w:rsidRPr="00211E05">
        <w:rPr>
          <w:rFonts w:cs="Arial"/>
          <w:b/>
          <w:bCs/>
          <w:sz w:val="24"/>
        </w:rPr>
        <w:t xml:space="preserve">Supplementary Uplink </w:t>
      </w:r>
      <w:r w:rsidR="00AB17CF">
        <w:rPr>
          <w:rFonts w:cs="Arial" w:hint="eastAsia"/>
          <w:b/>
          <w:bCs/>
          <w:sz w:val="24"/>
        </w:rPr>
        <w:t>F</w:t>
      </w:r>
      <w:r w:rsidR="00211E05" w:rsidRPr="00211E05">
        <w:rPr>
          <w:rFonts w:cs="Arial"/>
          <w:b/>
          <w:bCs/>
          <w:sz w:val="24"/>
        </w:rPr>
        <w:t>requency</w:t>
      </w:r>
      <w:bookmarkEnd w:id="5"/>
      <w:bookmarkEnd w:id="6"/>
      <w:bookmarkEnd w:id="7"/>
      <w:bookmarkEnd w:id="8"/>
      <w:bookmarkEnd w:id="9"/>
      <w:bookmarkEnd w:id="10"/>
      <w:bookmarkEnd w:id="11"/>
      <w:bookmarkEnd w:id="12"/>
      <w:bookmarkEnd w:id="13"/>
      <w:r w:rsidR="00016725">
        <w:rPr>
          <w:rFonts w:cs="Arial"/>
          <w:b/>
          <w:bCs/>
          <w:sz w:val="24"/>
        </w:rPr>
        <w:t xml:space="preserve"> </w:t>
      </w:r>
    </w:p>
    <w:p w:rsidR="00932849" w:rsidRPr="00437933" w:rsidRDefault="00932849" w:rsidP="00932849">
      <w:pPr>
        <w:ind w:left="1980" w:hanging="1980"/>
        <w:rPr>
          <w:rFonts w:cs="Arial"/>
          <w:b/>
          <w:bCs/>
          <w:sz w:val="24"/>
        </w:rPr>
      </w:pPr>
      <w:r w:rsidRPr="00437933">
        <w:rPr>
          <w:rFonts w:cs="Arial"/>
          <w:b/>
          <w:bCs/>
          <w:sz w:val="24"/>
        </w:rPr>
        <w:t>Document for:</w:t>
      </w:r>
      <w:r w:rsidRPr="00437933">
        <w:rPr>
          <w:rFonts w:cs="Arial"/>
          <w:b/>
          <w:bCs/>
          <w:sz w:val="24"/>
        </w:rPr>
        <w:tab/>
      </w:r>
      <w:r>
        <w:rPr>
          <w:rFonts w:eastAsia="Malgun Gothic" w:cs="Arial" w:hint="eastAsia"/>
          <w:b/>
          <w:bCs/>
          <w:sz w:val="24"/>
          <w:lang w:eastAsia="ko-KR"/>
        </w:rPr>
        <w:t>Discussion</w:t>
      </w:r>
    </w:p>
    <w:p w:rsidR="00803624" w:rsidRPr="00C87C77" w:rsidRDefault="00803624" w:rsidP="005E5D7C">
      <w:pPr>
        <w:pStyle w:val="1"/>
      </w:pPr>
      <w:bookmarkStart w:id="14" w:name="DocumentFor"/>
      <w:bookmarkEnd w:id="14"/>
      <w:r w:rsidRPr="00C87C77">
        <w:t>Introduction</w:t>
      </w:r>
    </w:p>
    <w:p w:rsidR="00DA2BD7" w:rsidRPr="00147D10" w:rsidRDefault="00DA2BD7" w:rsidP="008B661E">
      <w:pPr>
        <w:spacing w:line="360" w:lineRule="auto"/>
      </w:pPr>
      <w:bookmarkStart w:id="15" w:name="_Ref178064866"/>
      <w:r w:rsidRPr="00E92103">
        <w:rPr>
          <w:rFonts w:hint="eastAsia"/>
        </w:rPr>
        <w:t xml:space="preserve">In </w:t>
      </w:r>
      <w:r>
        <w:rPr>
          <w:rFonts w:hint="eastAsia"/>
        </w:rPr>
        <w:t xml:space="preserve">3GPP </w:t>
      </w:r>
      <w:r w:rsidRPr="00E92103">
        <w:t>RAN1#</w:t>
      </w:r>
      <w:r>
        <w:t>89</w:t>
      </w:r>
      <w:r>
        <w:rPr>
          <w:rFonts w:hint="eastAsia"/>
        </w:rPr>
        <w:t xml:space="preserve"> </w:t>
      </w:r>
      <w:r>
        <w:t>meeting</w:t>
      </w:r>
      <w:r>
        <w:rPr>
          <w:rFonts w:hint="eastAsia"/>
        </w:rPr>
        <w:t>s</w:t>
      </w:r>
      <w:r w:rsidRPr="00E92103">
        <w:rPr>
          <w:rFonts w:hint="eastAsia"/>
        </w:rPr>
        <w:t xml:space="preserve">, </w:t>
      </w:r>
      <w:r w:rsidR="004A7240" w:rsidRPr="004A7240">
        <w:t>Supplementary Uplink</w:t>
      </w:r>
      <w:r w:rsidRPr="00E92103">
        <w:rPr>
          <w:rFonts w:hint="eastAsia"/>
        </w:rPr>
        <w:t xml:space="preserve"> </w:t>
      </w:r>
      <w:r w:rsidR="004A7240" w:rsidRPr="004A7240">
        <w:t>frequency</w:t>
      </w:r>
      <w:r w:rsidR="004A7240" w:rsidRPr="004A7240">
        <w:rPr>
          <w:rFonts w:hint="eastAsia"/>
        </w:rPr>
        <w:t xml:space="preserve"> </w:t>
      </w:r>
      <w:r>
        <w:rPr>
          <w:rFonts w:hint="eastAsia"/>
        </w:rPr>
        <w:t>was</w:t>
      </w:r>
      <w:r w:rsidRPr="00E92103">
        <w:rPr>
          <w:rFonts w:hint="eastAsia"/>
        </w:rPr>
        <w:t xml:space="preserve"> discussed and the following </w:t>
      </w:r>
      <w:r>
        <w:t xml:space="preserve">conclusion </w:t>
      </w:r>
      <w:r>
        <w:rPr>
          <w:rFonts w:hint="eastAsia"/>
        </w:rPr>
        <w:t>was</w:t>
      </w:r>
      <w:r w:rsidRPr="00E92103">
        <w:rPr>
          <w:rFonts w:hint="eastAsia"/>
        </w:rPr>
        <w:t xml:space="preserve"> </w:t>
      </w:r>
      <w:r w:rsidRPr="00E92103">
        <w:t>agree</w:t>
      </w:r>
      <w:r w:rsidRPr="00F47E93">
        <w:t>d</w:t>
      </w:r>
      <w:r w:rsidRPr="00F47E93">
        <w:rPr>
          <w:vertAlign w:val="superscript"/>
        </w:rPr>
        <w:t xml:space="preserve"> [1]</w:t>
      </w:r>
      <w:r w:rsidRPr="00F47E93">
        <w:rPr>
          <w:rFonts w:hint="eastAsia"/>
        </w:rPr>
        <w:t>:</w:t>
      </w:r>
    </w:p>
    <w:p w:rsidR="004A7240" w:rsidRPr="004A7240" w:rsidRDefault="004A7240" w:rsidP="005176F2">
      <w:pPr>
        <w:pStyle w:val="B1"/>
        <w:numPr>
          <w:ilvl w:val="0"/>
          <w:numId w:val="17"/>
        </w:numPr>
        <w:spacing w:after="120" w:line="360" w:lineRule="auto"/>
        <w:rPr>
          <w:rFonts w:eastAsia="MS Mincho"/>
          <w:b/>
          <w:lang w:eastAsia="ja-JP"/>
        </w:rPr>
      </w:pPr>
      <w:r w:rsidRPr="004A7240">
        <w:rPr>
          <w:rFonts w:eastAsia="MS Mincho"/>
          <w:b/>
          <w:lang w:eastAsia="ja-JP"/>
        </w:rPr>
        <w:t xml:space="preserve">Specify mechanisms for supporting supplementary Uplink frequency </w:t>
      </w:r>
    </w:p>
    <w:p w:rsidR="004A7240" w:rsidRPr="004A7240" w:rsidRDefault="004A7240" w:rsidP="005176F2">
      <w:pPr>
        <w:pStyle w:val="B1"/>
        <w:numPr>
          <w:ilvl w:val="1"/>
          <w:numId w:val="19"/>
        </w:numPr>
        <w:spacing w:after="120" w:line="360" w:lineRule="auto"/>
        <w:rPr>
          <w:rFonts w:eastAsia="MS Mincho"/>
          <w:b/>
          <w:lang w:eastAsia="ja-JP"/>
        </w:rPr>
      </w:pPr>
      <w:r w:rsidRPr="004A7240">
        <w:rPr>
          <w:rFonts w:eastAsia="MS Mincho"/>
          <w:b/>
          <w:lang w:eastAsia="ja-JP"/>
        </w:rPr>
        <w:t>Note: SUL herein refers to the case when there is only UL resource for a carrier from NR perspective</w:t>
      </w:r>
    </w:p>
    <w:p w:rsidR="004A7240" w:rsidRPr="004A7240" w:rsidRDefault="004A7240" w:rsidP="005176F2">
      <w:pPr>
        <w:pStyle w:val="B1"/>
        <w:numPr>
          <w:ilvl w:val="1"/>
          <w:numId w:val="19"/>
        </w:numPr>
        <w:spacing w:after="120" w:line="360" w:lineRule="auto"/>
        <w:rPr>
          <w:rFonts w:eastAsia="MS Mincho"/>
          <w:b/>
          <w:lang w:eastAsia="ja-JP"/>
        </w:rPr>
      </w:pPr>
      <w:r w:rsidRPr="004A7240">
        <w:rPr>
          <w:rFonts w:eastAsia="MS Mincho"/>
          <w:b/>
          <w:lang w:eastAsia="ja-JP"/>
        </w:rPr>
        <w:t xml:space="preserve">Use SUL as complimentary access link (including from random access point of view) to NR TDD and to NR FDD, where the UE may select PRACH resources either in the NR TDD/FDD uplink frequency or the SUL frequency. </w:t>
      </w:r>
    </w:p>
    <w:p w:rsidR="004A7240" w:rsidRPr="004A7240" w:rsidRDefault="004A7240" w:rsidP="005176F2">
      <w:pPr>
        <w:pStyle w:val="B1"/>
        <w:numPr>
          <w:ilvl w:val="1"/>
          <w:numId w:val="19"/>
        </w:numPr>
        <w:spacing w:after="120" w:line="360" w:lineRule="auto"/>
        <w:rPr>
          <w:rFonts w:eastAsia="MS Mincho"/>
          <w:b/>
          <w:lang w:eastAsia="ja-JP"/>
        </w:rPr>
      </w:pPr>
      <w:r w:rsidRPr="004A7240">
        <w:rPr>
          <w:rFonts w:eastAsia="MS Mincho"/>
          <w:b/>
          <w:lang w:eastAsia="ja-JP"/>
        </w:rPr>
        <w:t>Note: The SUL frequency can be a frequency shared with LTE UL(at least for the case when NR spectrum is below 6 Ghz).</w:t>
      </w:r>
    </w:p>
    <w:p w:rsidR="004A7240" w:rsidRPr="004A7240" w:rsidRDefault="004A7240" w:rsidP="005176F2">
      <w:pPr>
        <w:pStyle w:val="B1"/>
        <w:numPr>
          <w:ilvl w:val="2"/>
          <w:numId w:val="17"/>
        </w:numPr>
        <w:spacing w:after="120" w:line="360" w:lineRule="auto"/>
        <w:rPr>
          <w:rFonts w:eastAsia="MS Mincho"/>
          <w:b/>
          <w:lang w:eastAsia="ja-JP"/>
        </w:rPr>
      </w:pPr>
      <w:r w:rsidRPr="004A7240">
        <w:rPr>
          <w:rFonts w:eastAsia="MS Mincho"/>
          <w:b/>
          <w:lang w:eastAsia="ja-JP"/>
        </w:rPr>
        <w:t>Minimize impact to NR physical layer design to enable this co-existence</w:t>
      </w:r>
    </w:p>
    <w:p w:rsidR="004A7240" w:rsidRPr="004A7240" w:rsidRDefault="004A7240" w:rsidP="004F001B">
      <w:pPr>
        <w:pStyle w:val="B1"/>
        <w:numPr>
          <w:ilvl w:val="1"/>
          <w:numId w:val="19"/>
        </w:numPr>
        <w:spacing w:after="120" w:line="360" w:lineRule="auto"/>
        <w:rPr>
          <w:rFonts w:eastAsia="MS Mincho"/>
          <w:b/>
          <w:lang w:eastAsia="ja-JP"/>
        </w:rPr>
      </w:pPr>
      <w:r w:rsidRPr="004A7240">
        <w:rPr>
          <w:rFonts w:eastAsia="MS Mincho"/>
          <w:b/>
          <w:lang w:eastAsia="ja-JP"/>
        </w:rPr>
        <w:t>Note: whether or not UE has to support simultaneous transmission on uplink frequencies is a separate discussion</w:t>
      </w:r>
    </w:p>
    <w:p w:rsidR="001439DE" w:rsidRPr="0000200F" w:rsidRDefault="00F7084F" w:rsidP="00355600">
      <w:pPr>
        <w:spacing w:line="360" w:lineRule="auto"/>
      </w:pPr>
      <w:r>
        <w:rPr>
          <w:rFonts w:hint="eastAsia"/>
        </w:rPr>
        <w:t>The aim of t</w:t>
      </w:r>
      <w:r w:rsidR="007C7A9D" w:rsidRPr="0000200F">
        <w:rPr>
          <w:rFonts w:hint="eastAsia"/>
        </w:rPr>
        <w:t xml:space="preserve">his </w:t>
      </w:r>
      <w:r w:rsidR="007C7A9D" w:rsidRPr="0000200F">
        <w:t>contribution</w:t>
      </w:r>
      <w:r>
        <w:rPr>
          <w:rFonts w:hint="eastAsia"/>
        </w:rPr>
        <w:t xml:space="preserve"> is to </w:t>
      </w:r>
      <w:r>
        <w:t>clarify</w:t>
      </w:r>
      <w:r>
        <w:rPr>
          <w:rFonts w:hint="eastAsia"/>
        </w:rPr>
        <w:t xml:space="preserve"> the</w:t>
      </w:r>
      <w:r w:rsidR="007C7A9D" w:rsidRPr="0000200F">
        <w:t xml:space="preserve"> </w:t>
      </w:r>
      <w:r w:rsidR="00303C16" w:rsidRPr="0000200F">
        <w:t>definition</w:t>
      </w:r>
      <w:r w:rsidR="00303C16" w:rsidRPr="0000200F">
        <w:rPr>
          <w:rFonts w:hint="eastAsia"/>
        </w:rPr>
        <w:t xml:space="preserve"> of </w:t>
      </w:r>
      <w:r w:rsidR="00303C16" w:rsidRPr="0000200F">
        <w:t>Supplementary Uplink frequency</w:t>
      </w:r>
      <w:r>
        <w:t xml:space="preserve">, </w:t>
      </w:r>
      <w:r w:rsidRPr="0000200F">
        <w:t>and</w:t>
      </w:r>
      <w:r w:rsidR="00303C16" w:rsidRPr="0000200F">
        <w:rPr>
          <w:rFonts w:hint="eastAsia"/>
        </w:rPr>
        <w:t xml:space="preserve"> give some </w:t>
      </w:r>
      <w:r>
        <w:rPr>
          <w:rFonts w:hint="eastAsia"/>
        </w:rPr>
        <w:t>initial consideration</w:t>
      </w:r>
      <w:r w:rsidR="00303C16" w:rsidRPr="0000200F">
        <w:rPr>
          <w:rFonts w:hint="eastAsia"/>
        </w:rPr>
        <w:t xml:space="preserve"> </w:t>
      </w:r>
      <w:r w:rsidR="00B47E93" w:rsidRPr="0000200F">
        <w:rPr>
          <w:rFonts w:hint="eastAsia"/>
        </w:rPr>
        <w:t xml:space="preserve">on how to support NR transmission </w:t>
      </w:r>
      <w:r w:rsidR="00BE32E6">
        <w:rPr>
          <w:rFonts w:hint="eastAsia"/>
        </w:rPr>
        <w:t>with TDD uplink resources</w:t>
      </w:r>
      <w:r w:rsidR="007C7A9D" w:rsidRPr="0000200F">
        <w:t xml:space="preserve">. </w:t>
      </w:r>
    </w:p>
    <w:p w:rsidR="00803624" w:rsidRDefault="00803624" w:rsidP="0010401A">
      <w:pPr>
        <w:pStyle w:val="1"/>
        <w:rPr>
          <w:rFonts w:ascii="Times New Roman" w:hAnsi="Times New Roman"/>
        </w:rPr>
      </w:pPr>
      <w:r w:rsidRPr="00C87C77">
        <w:rPr>
          <w:rFonts w:ascii="Times New Roman" w:hAnsi="Times New Roman"/>
        </w:rPr>
        <w:t>Discussion</w:t>
      </w:r>
      <w:bookmarkEnd w:id="15"/>
    </w:p>
    <w:p w:rsidR="00604EC7" w:rsidRPr="008B661E" w:rsidRDefault="00354486" w:rsidP="008B661E">
      <w:pPr>
        <w:pStyle w:val="2"/>
      </w:pPr>
      <w:r>
        <w:rPr>
          <w:rFonts w:hint="eastAsia"/>
        </w:rPr>
        <w:t xml:space="preserve">Discussion </w:t>
      </w:r>
      <w:r w:rsidR="00935D96">
        <w:t xml:space="preserve">on </w:t>
      </w:r>
      <w:r>
        <w:rPr>
          <w:rFonts w:hint="eastAsia"/>
        </w:rPr>
        <w:t>SUL</w:t>
      </w:r>
    </w:p>
    <w:p w:rsidR="0043749B" w:rsidRDefault="001C29A4" w:rsidP="0043749B">
      <w:pPr>
        <w:spacing w:line="360" w:lineRule="auto"/>
      </w:pPr>
      <w:r>
        <w:rPr>
          <w:rFonts w:hint="eastAsia"/>
        </w:rPr>
        <w:t xml:space="preserve">In </w:t>
      </w:r>
      <w:r w:rsidR="0043749B">
        <w:rPr>
          <w:rFonts w:hint="eastAsia"/>
        </w:rPr>
        <w:t>RAN4</w:t>
      </w:r>
      <w:r w:rsidR="00D3770F">
        <w:rPr>
          <w:rFonts w:hint="eastAsia"/>
        </w:rPr>
        <w:t xml:space="preserve"> NR#2</w:t>
      </w:r>
      <w:r>
        <w:rPr>
          <w:rFonts w:hint="eastAsia"/>
        </w:rPr>
        <w:t xml:space="preserve">, </w:t>
      </w:r>
      <w:r w:rsidR="0043749B">
        <w:rPr>
          <w:rFonts w:hint="eastAsia"/>
        </w:rPr>
        <w:t>the following band</w:t>
      </w:r>
      <w:r w:rsidR="00D3770F">
        <w:rPr>
          <w:rFonts w:hint="eastAsia"/>
        </w:rPr>
        <w:t>s</w:t>
      </w:r>
      <w:r w:rsidR="0043749B">
        <w:rPr>
          <w:rFonts w:hint="eastAsia"/>
        </w:rPr>
        <w:t xml:space="preserve"> for SUL and UL sharing was </w:t>
      </w:r>
      <w:r w:rsidR="00B972FB">
        <w:rPr>
          <w:rFonts w:hint="eastAsia"/>
        </w:rPr>
        <w:t>discussed</w:t>
      </w:r>
      <w:r w:rsidR="00665C96">
        <w:rPr>
          <w:rFonts w:hint="eastAsia"/>
        </w:rPr>
        <w:t xml:space="preserve">, as </w:t>
      </w:r>
      <w:r w:rsidR="00E130A9">
        <w:rPr>
          <w:rFonts w:hint="eastAsia"/>
        </w:rPr>
        <w:t xml:space="preserve">shown in </w:t>
      </w:r>
      <w:r w:rsidR="006A44DD">
        <w:rPr>
          <w:rFonts w:hint="eastAsia"/>
        </w:rPr>
        <w:t>Table 2-</w:t>
      </w:r>
      <w:r w:rsidR="00B53B67">
        <w:rPr>
          <w:rFonts w:hint="eastAsia"/>
        </w:rPr>
        <w:t>1</w:t>
      </w:r>
      <w:r w:rsidR="006A44DD">
        <w:rPr>
          <w:rFonts w:hint="eastAsia"/>
        </w:rPr>
        <w:t xml:space="preserve"> and Table 2-2 </w:t>
      </w:r>
      <w:r w:rsidR="00E130A9">
        <w:rPr>
          <w:rFonts w:hint="eastAsia"/>
        </w:rPr>
        <w:t>respectively</w:t>
      </w:r>
      <w:r w:rsidR="00E130A9" w:rsidDel="00E130A9">
        <w:rPr>
          <w:rFonts w:hint="eastAsia"/>
        </w:rPr>
        <w:t xml:space="preserve"> </w:t>
      </w:r>
      <w:r w:rsidR="0060503D">
        <w:rPr>
          <w:rFonts w:hint="eastAsia"/>
          <w:vertAlign w:val="superscript"/>
        </w:rPr>
        <w:t>[2]</w:t>
      </w:r>
      <w:r w:rsidR="00077C0B">
        <w:rPr>
          <w:rFonts w:cs="Arial" w:hint="eastAsia"/>
        </w:rPr>
        <w:t>.</w:t>
      </w:r>
      <w:r w:rsidR="005620A5">
        <w:rPr>
          <w:rFonts w:cs="Arial" w:hint="eastAsia"/>
        </w:rPr>
        <w:t xml:space="preserve"> </w:t>
      </w:r>
      <w:r w:rsidR="00D3770F">
        <w:rPr>
          <w:rFonts w:cs="Arial" w:hint="eastAsia"/>
        </w:rPr>
        <w:t xml:space="preserve"> </w:t>
      </w:r>
      <w:r w:rsidR="00D3770F">
        <w:rPr>
          <w:rFonts w:cs="Arial"/>
        </w:rPr>
        <w:t>T</w:t>
      </w:r>
      <w:r w:rsidR="00D3770F">
        <w:rPr>
          <w:rFonts w:cs="Arial" w:hint="eastAsia"/>
        </w:rPr>
        <w:t xml:space="preserve">he main motivation of SUL and uplink sharing is to make full use of </w:t>
      </w:r>
      <w:r w:rsidR="00E2094E">
        <w:rPr>
          <w:rFonts w:cs="Arial" w:hint="eastAsia"/>
        </w:rPr>
        <w:t>frequency resource</w:t>
      </w:r>
      <w:r w:rsidR="00D3770F">
        <w:rPr>
          <w:rFonts w:cs="Arial" w:hint="eastAsia"/>
        </w:rPr>
        <w:t xml:space="preserve"> and to improve the uplink coverage for NR</w:t>
      </w:r>
      <w:r w:rsidR="00E2094E">
        <w:rPr>
          <w:rFonts w:cs="Arial" w:hint="eastAsia"/>
        </w:rPr>
        <w:t xml:space="preserve"> using existing bands</w:t>
      </w:r>
      <w:r w:rsidR="00D3770F">
        <w:rPr>
          <w:rFonts w:cs="Arial" w:hint="eastAsia"/>
        </w:rPr>
        <w:t xml:space="preserve">, and obviously the definition of SUL and uplink sharing did not exclude TDD bands. </w:t>
      </w:r>
      <w:r w:rsidR="001B23D0">
        <w:rPr>
          <w:rFonts w:cs="Arial" w:hint="eastAsia"/>
        </w:rPr>
        <w:t>The improvement for NR using legacy band manly comes from</w:t>
      </w:r>
      <w:r w:rsidR="0079628F">
        <w:rPr>
          <w:rFonts w:cs="Arial" w:hint="eastAsia"/>
        </w:rPr>
        <w:t xml:space="preserve"> superior property</w:t>
      </w:r>
      <w:r w:rsidR="001B23D0">
        <w:rPr>
          <w:rFonts w:cs="Arial" w:hint="eastAsia"/>
        </w:rPr>
        <w:t xml:space="preserve"> in low frequency</w:t>
      </w:r>
      <w:r w:rsidR="00471DDC">
        <w:rPr>
          <w:rFonts w:cs="Arial" w:hint="eastAsia"/>
        </w:rPr>
        <w:t xml:space="preserve">, </w:t>
      </w:r>
      <w:r w:rsidR="001B23D0">
        <w:rPr>
          <w:rFonts w:cs="Arial" w:hint="eastAsia"/>
        </w:rPr>
        <w:t>so both FDD and TDD bands are promising. B</w:t>
      </w:r>
      <w:r w:rsidR="00E2094E">
        <w:rPr>
          <w:rFonts w:cs="Arial" w:hint="eastAsia"/>
        </w:rPr>
        <w:t xml:space="preserve">ut as we can see here currently the discussion </w:t>
      </w:r>
      <w:r w:rsidR="008703E9">
        <w:rPr>
          <w:rFonts w:cs="Arial" w:hint="eastAsia"/>
        </w:rPr>
        <w:t>is confined</w:t>
      </w:r>
      <w:r w:rsidR="00E2094E">
        <w:rPr>
          <w:rFonts w:cs="Arial" w:hint="eastAsia"/>
        </w:rPr>
        <w:t xml:space="preserve"> </w:t>
      </w:r>
      <w:r w:rsidR="008703E9">
        <w:rPr>
          <w:rFonts w:cs="Arial" w:hint="eastAsia"/>
        </w:rPr>
        <w:t>to</w:t>
      </w:r>
      <w:r w:rsidR="00E2094E">
        <w:rPr>
          <w:rFonts w:cs="Arial" w:hint="eastAsia"/>
        </w:rPr>
        <w:t xml:space="preserve"> FDD bands</w:t>
      </w:r>
      <w:r w:rsidR="008703E9">
        <w:rPr>
          <w:rFonts w:cs="Arial" w:hint="eastAsia"/>
        </w:rPr>
        <w:t xml:space="preserve"> only</w:t>
      </w:r>
      <w:r w:rsidR="00E2094E">
        <w:rPr>
          <w:rFonts w:cs="Arial" w:hint="eastAsia"/>
        </w:rPr>
        <w:t xml:space="preserve">, which </w:t>
      </w:r>
      <w:r w:rsidR="00765EF0">
        <w:rPr>
          <w:rFonts w:cs="Arial" w:hint="eastAsia"/>
        </w:rPr>
        <w:t xml:space="preserve">may lead to confusing </w:t>
      </w:r>
      <w:r w:rsidR="00E2094E">
        <w:rPr>
          <w:rFonts w:cs="Arial" w:hint="eastAsia"/>
        </w:rPr>
        <w:t>when it comes to TDD bands.</w:t>
      </w:r>
      <w:r w:rsidR="00B32C3F">
        <w:rPr>
          <w:rFonts w:cs="Arial" w:hint="eastAsia"/>
        </w:rPr>
        <w:t xml:space="preserve"> </w:t>
      </w:r>
    </w:p>
    <w:p w:rsidR="0043749B" w:rsidRPr="0032110F" w:rsidRDefault="0043749B" w:rsidP="0043749B">
      <w:pPr>
        <w:pStyle w:val="TH"/>
      </w:pPr>
      <w:r>
        <w:rPr>
          <w:rFonts w:hint="eastAsia"/>
        </w:rPr>
        <w:lastRenderedPageBreak/>
        <w:t>Table 2-</w:t>
      </w:r>
      <w:r w:rsidR="00B92B73">
        <w:rPr>
          <w:rFonts w:hint="eastAsia"/>
        </w:rPr>
        <w:t>1</w:t>
      </w:r>
      <w:r>
        <w:rPr>
          <w:rFonts w:hint="eastAsia"/>
        </w:rPr>
        <w:t xml:space="preserve">: </w:t>
      </w:r>
      <w:r w:rsidR="00665C96">
        <w:rPr>
          <w:rFonts w:hint="eastAsia"/>
        </w:rPr>
        <w:t xml:space="preserve">SUL </w:t>
      </w:r>
      <w:r w:rsidRPr="0032110F">
        <w:t>bands</w:t>
      </w:r>
    </w:p>
    <w:tbl>
      <w:tblPr>
        <w:tblW w:w="8531" w:type="dxa"/>
        <w:jc w:val="center"/>
        <w:tblLook w:val="0000"/>
      </w:tblPr>
      <w:tblGrid>
        <w:gridCol w:w="1159"/>
        <w:gridCol w:w="1333"/>
        <w:gridCol w:w="562"/>
        <w:gridCol w:w="1276"/>
        <w:gridCol w:w="1350"/>
        <w:gridCol w:w="562"/>
        <w:gridCol w:w="1305"/>
        <w:gridCol w:w="984"/>
      </w:tblGrid>
      <w:tr w:rsidR="0043749B" w:rsidRPr="0032110F" w:rsidTr="00100911">
        <w:trPr>
          <w:jc w:val="center"/>
        </w:trPr>
        <w:tc>
          <w:tcPr>
            <w:tcW w:w="1159" w:type="dxa"/>
            <w:vMerge w:val="restart"/>
            <w:tcBorders>
              <w:top w:val="single" w:sz="4" w:space="0" w:color="auto"/>
              <w:left w:val="single" w:sz="4" w:space="0" w:color="auto"/>
              <w:right w:val="single" w:sz="4" w:space="0" w:color="auto"/>
            </w:tcBorders>
            <w:vAlign w:val="center"/>
          </w:tcPr>
          <w:p w:rsidR="0043749B" w:rsidRPr="003D01BB" w:rsidRDefault="0043749B" w:rsidP="00100911">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rsidR="0043749B" w:rsidRPr="003D01BB" w:rsidRDefault="0043749B" w:rsidP="00100911">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rsidR="0043749B" w:rsidRPr="003D01BB" w:rsidRDefault="0043749B" w:rsidP="00100911">
            <w:pPr>
              <w:pStyle w:val="TAH"/>
              <w:rPr>
                <w:rFonts w:cs="Arial"/>
              </w:rPr>
            </w:pPr>
            <w:r w:rsidRPr="003D01BB">
              <w:rPr>
                <w:rFonts w:cs="Arial"/>
              </w:rPr>
              <w:t>Duplex Mode</w:t>
            </w:r>
          </w:p>
        </w:tc>
      </w:tr>
      <w:tr w:rsidR="0043749B" w:rsidRPr="0032110F" w:rsidTr="00100911">
        <w:trPr>
          <w:jc w:val="center"/>
        </w:trPr>
        <w:tc>
          <w:tcPr>
            <w:tcW w:w="1159" w:type="dxa"/>
            <w:vMerge/>
            <w:tcBorders>
              <w:left w:val="single" w:sz="4" w:space="0" w:color="auto"/>
              <w:bottom w:val="single" w:sz="4" w:space="0" w:color="auto"/>
              <w:right w:val="single" w:sz="4" w:space="0" w:color="auto"/>
            </w:tcBorders>
            <w:vAlign w:val="center"/>
          </w:tcPr>
          <w:p w:rsidR="0043749B" w:rsidRPr="003D01BB" w:rsidRDefault="0043749B" w:rsidP="00100911">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H"/>
              <w:rPr>
                <w:rFonts w:cs="Arial"/>
              </w:rPr>
            </w:pPr>
            <w:r w:rsidRPr="003D01BB">
              <w:rPr>
                <w:rFonts w:cs="Arial"/>
              </w:rPr>
              <w:t>F</w:t>
            </w:r>
            <w:r w:rsidRPr="003D01BB">
              <w:rPr>
                <w:rFonts w:cs="Arial"/>
                <w:vertAlign w:val="subscript"/>
              </w:rPr>
              <w:t>UL_low</w:t>
            </w:r>
            <w:r w:rsidRPr="003D01BB">
              <w:rPr>
                <w:rFonts w:cs="Arial"/>
              </w:rPr>
              <w:t xml:space="preserve">   –  F</w:t>
            </w:r>
            <w:r w:rsidRPr="003D01BB">
              <w:rPr>
                <w:rFonts w:cs="Arial"/>
                <w:vertAlign w:val="subscript"/>
              </w:rPr>
              <w:t>UL_high</w:t>
            </w:r>
          </w:p>
        </w:tc>
        <w:tc>
          <w:tcPr>
            <w:tcW w:w="3217" w:type="dxa"/>
            <w:gridSpan w:val="3"/>
            <w:tcBorders>
              <w:top w:val="single" w:sz="4" w:space="0" w:color="auto"/>
              <w:bottom w:val="single" w:sz="4" w:space="0" w:color="auto"/>
              <w:right w:val="single" w:sz="4" w:space="0" w:color="auto"/>
            </w:tcBorders>
            <w:vAlign w:val="center"/>
          </w:tcPr>
          <w:p w:rsidR="0043749B" w:rsidRPr="003D01BB" w:rsidRDefault="0043749B" w:rsidP="00100911">
            <w:pPr>
              <w:pStyle w:val="TAH"/>
              <w:rPr>
                <w:rFonts w:cs="Arial"/>
              </w:rPr>
            </w:pPr>
            <w:r w:rsidRPr="003D01BB">
              <w:rPr>
                <w:rFonts w:cs="Arial"/>
              </w:rPr>
              <w:t>F</w:t>
            </w:r>
            <w:r w:rsidRPr="003D01BB">
              <w:rPr>
                <w:rFonts w:cs="Arial"/>
                <w:vertAlign w:val="subscript"/>
              </w:rPr>
              <w:t>DL_low</w:t>
            </w:r>
            <w:r w:rsidRPr="003D01BB">
              <w:rPr>
                <w:rFonts w:cs="Arial"/>
              </w:rPr>
              <w:t xml:space="preserve">  –  F</w:t>
            </w:r>
            <w:r w:rsidRPr="003D01BB">
              <w:rPr>
                <w:rFonts w:cs="Arial"/>
                <w:vertAlign w:val="subscript"/>
              </w:rPr>
              <w:t>DL_high</w:t>
            </w:r>
          </w:p>
        </w:tc>
        <w:tc>
          <w:tcPr>
            <w:tcW w:w="984" w:type="dxa"/>
            <w:vMerge/>
            <w:tcBorders>
              <w:left w:val="single" w:sz="4" w:space="0" w:color="auto"/>
              <w:bottom w:val="single" w:sz="4" w:space="0" w:color="auto"/>
              <w:right w:val="single" w:sz="4" w:space="0" w:color="auto"/>
            </w:tcBorders>
          </w:tcPr>
          <w:p w:rsidR="0043749B" w:rsidRPr="003D01BB" w:rsidRDefault="0043749B" w:rsidP="00100911">
            <w:pPr>
              <w:pStyle w:val="TAC"/>
              <w:rPr>
                <w:rFonts w:cs="Arial"/>
              </w:rPr>
            </w:pPr>
          </w:p>
        </w:tc>
      </w:tr>
      <w:tr w:rsidR="0043749B" w:rsidRPr="0032110F" w:rsidTr="00100911">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880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915</w:t>
            </w:r>
            <w:r w:rsidRPr="003D01BB">
              <w:rPr>
                <w:rFonts w:cs="Arial"/>
              </w:rPr>
              <w:t xml:space="preserve"> MHz </w:t>
            </w:r>
          </w:p>
        </w:tc>
        <w:tc>
          <w:tcPr>
            <w:tcW w:w="1350" w:type="dxa"/>
            <w:tcBorders>
              <w:top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925</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960</w:t>
            </w:r>
            <w:r w:rsidRPr="003D01BB">
              <w:rPr>
                <w:rFonts w:cs="Arial"/>
              </w:rPr>
              <w:t xml:space="preserve"> MHz</w:t>
            </w:r>
          </w:p>
        </w:tc>
        <w:tc>
          <w:tcPr>
            <w:tcW w:w="984" w:type="dxa"/>
            <w:tcBorders>
              <w:top w:val="single" w:sz="4" w:space="0" w:color="auto"/>
              <w:left w:val="single" w:sz="4" w:space="0" w:color="auto"/>
              <w:bottom w:val="single" w:sz="4" w:space="0" w:color="auto"/>
              <w:right w:val="single" w:sz="4" w:space="0" w:color="auto"/>
            </w:tcBorders>
          </w:tcPr>
          <w:p w:rsidR="0043749B" w:rsidRPr="003D01BB" w:rsidRDefault="0043749B" w:rsidP="00100911">
            <w:pPr>
              <w:pStyle w:val="TAC"/>
              <w:rPr>
                <w:rFonts w:cs="Arial"/>
              </w:rPr>
            </w:pPr>
            <w:r w:rsidRPr="003D01BB">
              <w:rPr>
                <w:rFonts w:cs="Arial"/>
              </w:rPr>
              <w:t>FDD</w:t>
            </w:r>
          </w:p>
        </w:tc>
      </w:tr>
      <w:tr w:rsidR="0043749B" w:rsidRPr="0032110F" w:rsidTr="00100911">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rsidR="0043749B" w:rsidRDefault="0043749B" w:rsidP="00100911">
            <w:pPr>
              <w:pStyle w:val="TAR"/>
              <w:rPr>
                <w:rFonts w:cs="Arial"/>
              </w:rPr>
            </w:pPr>
            <w:r>
              <w:rPr>
                <w:rFonts w:cs="Arial" w:hint="eastAsia"/>
              </w:rPr>
              <w:t>1710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43749B" w:rsidRDefault="0043749B" w:rsidP="00100911">
            <w:pPr>
              <w:pStyle w:val="TAL"/>
              <w:rPr>
                <w:rFonts w:cs="Arial"/>
              </w:rPr>
            </w:pPr>
            <w:r>
              <w:rPr>
                <w:rFonts w:cs="Arial" w:hint="eastAsia"/>
              </w:rPr>
              <w:t>1785</w:t>
            </w:r>
            <w:r w:rsidRPr="003D01BB">
              <w:rPr>
                <w:rFonts w:cs="Arial"/>
              </w:rPr>
              <w:t xml:space="preserve"> MHz</w:t>
            </w:r>
          </w:p>
        </w:tc>
        <w:tc>
          <w:tcPr>
            <w:tcW w:w="1350" w:type="dxa"/>
            <w:tcBorders>
              <w:top w:val="single" w:sz="4" w:space="0" w:color="auto"/>
              <w:bottom w:val="single" w:sz="4" w:space="0" w:color="auto"/>
            </w:tcBorders>
            <w:vAlign w:val="center"/>
          </w:tcPr>
          <w:p w:rsidR="0043749B" w:rsidRDefault="0043749B" w:rsidP="00100911">
            <w:pPr>
              <w:pStyle w:val="TAR"/>
              <w:rPr>
                <w:rFonts w:cs="Arial"/>
              </w:rPr>
            </w:pPr>
            <w:r>
              <w:rPr>
                <w:rFonts w:cs="Arial" w:hint="eastAsia"/>
              </w:rPr>
              <w:t>1805</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43749B" w:rsidRDefault="0043749B" w:rsidP="00100911">
            <w:pPr>
              <w:pStyle w:val="TAL"/>
              <w:rPr>
                <w:rFonts w:cs="Arial"/>
              </w:rPr>
            </w:pPr>
            <w:r>
              <w:rPr>
                <w:rFonts w:cs="Arial" w:hint="eastAsia"/>
              </w:rPr>
              <w:t>1880</w:t>
            </w:r>
            <w:r w:rsidRPr="003D01BB">
              <w:rPr>
                <w:rFonts w:cs="Arial"/>
              </w:rPr>
              <w:t xml:space="preserve"> MHz</w:t>
            </w:r>
          </w:p>
        </w:tc>
        <w:tc>
          <w:tcPr>
            <w:tcW w:w="984" w:type="dxa"/>
            <w:tcBorders>
              <w:top w:val="single" w:sz="4" w:space="0" w:color="auto"/>
              <w:left w:val="single" w:sz="4" w:space="0" w:color="auto"/>
              <w:bottom w:val="single" w:sz="4" w:space="0" w:color="auto"/>
              <w:right w:val="single" w:sz="4" w:space="0" w:color="auto"/>
            </w:tcBorders>
          </w:tcPr>
          <w:p w:rsidR="0043749B" w:rsidRDefault="0043749B" w:rsidP="00100911">
            <w:pPr>
              <w:pStyle w:val="TAC"/>
              <w:rPr>
                <w:rFonts w:cs="Arial"/>
              </w:rPr>
            </w:pPr>
            <w:r>
              <w:rPr>
                <w:rFonts w:cs="Arial"/>
              </w:rPr>
              <w:t>F</w:t>
            </w:r>
            <w:r w:rsidRPr="003D01BB">
              <w:rPr>
                <w:rFonts w:cs="Arial"/>
              </w:rPr>
              <w:t>DD</w:t>
            </w:r>
          </w:p>
        </w:tc>
      </w:tr>
      <w:tr w:rsidR="0043749B" w:rsidRPr="0032110F" w:rsidTr="00100911">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C"/>
              <w:rPr>
                <w:rFonts w:cs="Arial"/>
              </w:rPr>
            </w:pPr>
            <w:r>
              <w:rPr>
                <w:rFonts w:cs="Arial" w:hint="eastAsia"/>
              </w:rPr>
              <w:t>3</w:t>
            </w:r>
          </w:p>
        </w:tc>
        <w:tc>
          <w:tcPr>
            <w:tcW w:w="1333" w:type="dxa"/>
            <w:tcBorders>
              <w:top w:val="single" w:sz="4" w:space="0" w:color="auto"/>
              <w:left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3300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3800</w:t>
            </w:r>
            <w:r w:rsidRPr="003D01BB">
              <w:rPr>
                <w:rFonts w:cs="Arial"/>
              </w:rPr>
              <w:t xml:space="preserve"> MHz</w:t>
            </w:r>
          </w:p>
        </w:tc>
        <w:tc>
          <w:tcPr>
            <w:tcW w:w="1350" w:type="dxa"/>
            <w:tcBorders>
              <w:top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3300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3800</w:t>
            </w:r>
            <w:r w:rsidRPr="003D01BB">
              <w:rPr>
                <w:rFonts w:cs="Arial"/>
              </w:rPr>
              <w:t xml:space="preserve"> MHz</w:t>
            </w:r>
          </w:p>
        </w:tc>
        <w:tc>
          <w:tcPr>
            <w:tcW w:w="984" w:type="dxa"/>
            <w:tcBorders>
              <w:top w:val="single" w:sz="4" w:space="0" w:color="auto"/>
              <w:left w:val="single" w:sz="4" w:space="0" w:color="auto"/>
              <w:bottom w:val="single" w:sz="4" w:space="0" w:color="auto"/>
              <w:right w:val="single" w:sz="4" w:space="0" w:color="auto"/>
            </w:tcBorders>
          </w:tcPr>
          <w:p w:rsidR="0043749B" w:rsidRPr="003D01BB" w:rsidRDefault="0043749B" w:rsidP="00100911">
            <w:pPr>
              <w:pStyle w:val="TAC"/>
              <w:rPr>
                <w:rFonts w:cs="Arial"/>
              </w:rPr>
            </w:pPr>
            <w:r>
              <w:rPr>
                <w:rFonts w:cs="Arial"/>
              </w:rPr>
              <w:t>T</w:t>
            </w:r>
            <w:r w:rsidRPr="003D01BB">
              <w:rPr>
                <w:rFonts w:cs="Arial"/>
              </w:rPr>
              <w:t>DD</w:t>
            </w:r>
          </w:p>
        </w:tc>
      </w:tr>
      <w:tr w:rsidR="0043749B" w:rsidRPr="0032110F" w:rsidTr="00100911">
        <w:trPr>
          <w:jc w:val="center"/>
        </w:trPr>
        <w:tc>
          <w:tcPr>
            <w:tcW w:w="1159" w:type="dxa"/>
            <w:tcBorders>
              <w:top w:val="single" w:sz="4" w:space="0" w:color="auto"/>
              <w:left w:val="single" w:sz="4" w:space="0" w:color="auto"/>
              <w:right w:val="single" w:sz="4" w:space="0" w:color="auto"/>
            </w:tcBorders>
            <w:vAlign w:val="center"/>
          </w:tcPr>
          <w:p w:rsidR="0043749B" w:rsidRPr="003D01BB" w:rsidRDefault="0043749B" w:rsidP="00100911">
            <w:pPr>
              <w:pStyle w:val="TAC"/>
              <w:rPr>
                <w:rFonts w:cs="Arial"/>
              </w:rPr>
            </w:pPr>
            <w:r>
              <w:rPr>
                <w:rFonts w:cs="Arial" w:hint="eastAsia"/>
              </w:rPr>
              <w:t>4</w:t>
            </w:r>
          </w:p>
        </w:tc>
        <w:tc>
          <w:tcPr>
            <w:tcW w:w="1333" w:type="dxa"/>
            <w:tcBorders>
              <w:top w:val="single" w:sz="4" w:space="0" w:color="auto"/>
              <w:left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880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915</w:t>
            </w:r>
            <w:r w:rsidRPr="003D01BB">
              <w:rPr>
                <w:rFonts w:cs="Arial"/>
              </w:rPr>
              <w:t xml:space="preserve"> MHz</w:t>
            </w:r>
          </w:p>
        </w:tc>
        <w:tc>
          <w:tcPr>
            <w:tcW w:w="1350" w:type="dxa"/>
            <w:tcBorders>
              <w:top w:val="single" w:sz="4" w:space="0" w:color="auto"/>
              <w:bottom w:val="single" w:sz="4" w:space="0" w:color="auto"/>
            </w:tcBorders>
            <w:vAlign w:val="center"/>
          </w:tcPr>
          <w:p w:rsidR="0043749B" w:rsidRPr="003D01BB" w:rsidRDefault="0043749B" w:rsidP="00100911">
            <w:pPr>
              <w:pStyle w:val="TAR"/>
              <w:rPr>
                <w:rFonts w:cs="Arial"/>
              </w:rPr>
            </w:pP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p>
        </w:tc>
        <w:tc>
          <w:tcPr>
            <w:tcW w:w="984" w:type="dxa"/>
            <w:tcBorders>
              <w:top w:val="single" w:sz="4" w:space="0" w:color="auto"/>
              <w:left w:val="single" w:sz="4" w:space="0" w:color="auto"/>
              <w:right w:val="single" w:sz="4" w:space="0" w:color="auto"/>
            </w:tcBorders>
            <w:vAlign w:val="center"/>
          </w:tcPr>
          <w:p w:rsidR="0043749B" w:rsidRPr="003D01BB" w:rsidRDefault="0043749B" w:rsidP="00100911">
            <w:pPr>
              <w:pStyle w:val="TAC"/>
              <w:rPr>
                <w:rFonts w:cs="Arial"/>
              </w:rPr>
            </w:pPr>
            <w:r>
              <w:rPr>
                <w:rFonts w:cs="Arial"/>
              </w:rPr>
              <w:t>X</w:t>
            </w:r>
            <w:r w:rsidRPr="003D01BB">
              <w:rPr>
                <w:rFonts w:cs="Arial"/>
              </w:rPr>
              <w:t>DD</w:t>
            </w:r>
          </w:p>
        </w:tc>
      </w:tr>
      <w:tr w:rsidR="0043749B" w:rsidRPr="0032110F" w:rsidTr="00100911">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C"/>
              <w:rPr>
                <w:rFonts w:cs="Arial"/>
              </w:rPr>
            </w:pPr>
            <w:r>
              <w:rPr>
                <w:rFonts w:cs="Arial" w:hint="eastAsia"/>
              </w:rPr>
              <w:t>5</w:t>
            </w:r>
          </w:p>
        </w:tc>
        <w:tc>
          <w:tcPr>
            <w:tcW w:w="1333" w:type="dxa"/>
            <w:tcBorders>
              <w:top w:val="single" w:sz="4" w:space="0" w:color="auto"/>
              <w:left w:val="single" w:sz="4" w:space="0" w:color="auto"/>
              <w:bottom w:val="single" w:sz="4" w:space="0" w:color="auto"/>
            </w:tcBorders>
            <w:vAlign w:val="center"/>
          </w:tcPr>
          <w:p w:rsidR="0043749B" w:rsidRPr="003D01BB" w:rsidRDefault="0043749B" w:rsidP="00100911">
            <w:pPr>
              <w:pStyle w:val="TAR"/>
              <w:rPr>
                <w:rFonts w:cs="Arial"/>
              </w:rPr>
            </w:pPr>
            <w:r>
              <w:rPr>
                <w:rFonts w:cs="Arial" w:hint="eastAsia"/>
              </w:rPr>
              <w:t>1710</w:t>
            </w:r>
            <w:r w:rsidRPr="003D01BB">
              <w:rPr>
                <w:rFonts w:cs="Arial"/>
              </w:rPr>
              <w:t xml:space="preserve"> MHz</w:t>
            </w: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r>
              <w:rPr>
                <w:rFonts w:cs="Arial" w:hint="eastAsia"/>
              </w:rPr>
              <w:t>1785</w:t>
            </w:r>
            <w:r w:rsidRPr="003D01BB">
              <w:rPr>
                <w:rFonts w:cs="Arial"/>
              </w:rPr>
              <w:t xml:space="preserve"> MHz</w:t>
            </w:r>
          </w:p>
        </w:tc>
        <w:tc>
          <w:tcPr>
            <w:tcW w:w="1350" w:type="dxa"/>
            <w:tcBorders>
              <w:top w:val="single" w:sz="4" w:space="0" w:color="auto"/>
              <w:bottom w:val="single" w:sz="4" w:space="0" w:color="auto"/>
            </w:tcBorders>
            <w:vAlign w:val="center"/>
          </w:tcPr>
          <w:p w:rsidR="0043749B" w:rsidRPr="003D01BB" w:rsidRDefault="0043749B" w:rsidP="00100911">
            <w:pPr>
              <w:pStyle w:val="TAR"/>
              <w:rPr>
                <w:rFonts w:cs="Arial"/>
              </w:rPr>
            </w:pPr>
          </w:p>
        </w:tc>
        <w:tc>
          <w:tcPr>
            <w:tcW w:w="562" w:type="dxa"/>
            <w:tcBorders>
              <w:top w:val="single" w:sz="4" w:space="0" w:color="auto"/>
              <w:bottom w:val="single" w:sz="4" w:space="0" w:color="auto"/>
            </w:tcBorders>
          </w:tcPr>
          <w:p w:rsidR="0043749B" w:rsidRPr="003D01BB" w:rsidRDefault="0043749B" w:rsidP="00100911">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rsidR="0043749B" w:rsidRPr="003D01BB" w:rsidRDefault="0043749B" w:rsidP="00100911">
            <w:pPr>
              <w:pStyle w:val="TAL"/>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43749B" w:rsidRPr="003D01BB" w:rsidRDefault="0043749B" w:rsidP="00100911">
            <w:pPr>
              <w:pStyle w:val="TAC"/>
              <w:rPr>
                <w:rFonts w:cs="Arial"/>
              </w:rPr>
            </w:pPr>
            <w:r>
              <w:rPr>
                <w:rFonts w:cs="Arial"/>
              </w:rPr>
              <w:t>X</w:t>
            </w:r>
            <w:r w:rsidRPr="003D01BB">
              <w:rPr>
                <w:rFonts w:cs="Arial"/>
              </w:rPr>
              <w:t>DD</w:t>
            </w:r>
          </w:p>
        </w:tc>
      </w:tr>
    </w:tbl>
    <w:p w:rsidR="0043749B" w:rsidRDefault="0043749B" w:rsidP="0043749B">
      <w:pPr>
        <w:pStyle w:val="TH"/>
      </w:pPr>
      <w:r w:rsidRPr="0032110F">
        <w:t xml:space="preserve">Table </w:t>
      </w:r>
      <w:r>
        <w:rPr>
          <w:rFonts w:hint="eastAsia"/>
        </w:rPr>
        <w:t>2-</w:t>
      </w:r>
      <w:r w:rsidR="00B92B73">
        <w:rPr>
          <w:rFonts w:hint="eastAsia"/>
        </w:rPr>
        <w:t>2</w:t>
      </w:r>
      <w:r w:rsidRPr="0032110F">
        <w:t xml:space="preserve">: </w:t>
      </w:r>
      <w:r w:rsidR="00665C96">
        <w:rPr>
          <w:rFonts w:hint="eastAsia"/>
        </w:rPr>
        <w:t xml:space="preserve">Uplink </w:t>
      </w:r>
      <w:r>
        <w:rPr>
          <w:rFonts w:hint="eastAsia"/>
        </w:rPr>
        <w:t xml:space="preserve">sharing </w:t>
      </w:r>
      <w:r w:rsidRPr="0032110F">
        <w:t>bands</w:t>
      </w:r>
    </w:p>
    <w:tbl>
      <w:tblPr>
        <w:tblW w:w="0" w:type="auto"/>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4"/>
        <w:gridCol w:w="4378"/>
      </w:tblGrid>
      <w:tr w:rsidR="00B65C7F" w:rsidRPr="00B65C7F" w:rsidTr="00B65C7F">
        <w:trPr>
          <w:cantSplit/>
        </w:trPr>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b/>
                <w:bCs/>
                <w:kern w:val="24"/>
                <w:sz w:val="16"/>
                <w:szCs w:val="32"/>
              </w:rPr>
              <w:t>Frequency ranges for NR</w:t>
            </w:r>
            <w:r w:rsidRPr="00B65C7F">
              <w:rPr>
                <w:rFonts w:ascii="Calibri" w:eastAsia="华文细黑" w:hAnsi="Calibri" w:cs="Calibri"/>
                <w:b/>
                <w:bCs/>
                <w:kern w:val="24"/>
                <w:sz w:val="16"/>
                <w:szCs w:val="32"/>
                <w:lang w:eastAsia="ja-JP"/>
              </w:rPr>
              <w:t xml:space="preserve"> </w:t>
            </w:r>
          </w:p>
        </w:tc>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b/>
                <w:bCs/>
                <w:kern w:val="24"/>
                <w:sz w:val="16"/>
                <w:szCs w:val="32"/>
              </w:rPr>
              <w:t>Operators whose request is included in the frequency range</w:t>
            </w:r>
            <w:r w:rsidRPr="00B65C7F">
              <w:rPr>
                <w:rFonts w:ascii="Calibri" w:eastAsia="华文细黑" w:hAnsi="Calibri" w:cs="Calibri"/>
                <w:b/>
                <w:bCs/>
                <w:kern w:val="24"/>
                <w:sz w:val="16"/>
                <w:szCs w:val="32"/>
                <w:lang w:eastAsia="ja-JP"/>
              </w:rPr>
              <w:t xml:space="preserve"> </w:t>
            </w:r>
          </w:p>
        </w:tc>
      </w:tr>
      <w:tr w:rsidR="00B65C7F" w:rsidRPr="00B65C7F" w:rsidTr="00B65C7F">
        <w:trPr>
          <w:cantSplit/>
        </w:trPr>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kern w:val="24"/>
                <w:sz w:val="16"/>
                <w:szCs w:val="28"/>
              </w:rPr>
              <w:t xml:space="preserve">1710-1785MHz (UL)/3.3-4.2 GHz*(DL&amp;UL) </w:t>
            </w:r>
          </w:p>
        </w:tc>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eastAsia="华文细黑" w:cs="Arial"/>
                <w:kern w:val="24"/>
                <w:sz w:val="16"/>
                <w:szCs w:val="28"/>
              </w:rPr>
              <w:t xml:space="preserve">China Telecom, China Unicom, CMCC, Deutsche Telekom </w:t>
            </w:r>
          </w:p>
        </w:tc>
      </w:tr>
      <w:tr w:rsidR="00B65C7F" w:rsidRPr="00B65C7F" w:rsidTr="00B65C7F">
        <w:trPr>
          <w:cantSplit/>
        </w:trPr>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kern w:val="24"/>
                <w:sz w:val="16"/>
                <w:szCs w:val="28"/>
              </w:rPr>
              <w:t>832-862MHz (UL)/3.3-4.2 GHz*(DL&amp;UL)</w:t>
            </w:r>
          </w:p>
        </w:tc>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eastAsia="华文细黑" w:cs="Arial"/>
                <w:kern w:val="24"/>
                <w:sz w:val="16"/>
                <w:szCs w:val="28"/>
              </w:rPr>
              <w:t xml:space="preserve">Orange, Telefonica, Etisalat, Deutsche Telekom </w:t>
            </w:r>
          </w:p>
        </w:tc>
      </w:tr>
      <w:tr w:rsidR="00B65C7F" w:rsidRPr="00B65C7F" w:rsidTr="00B65C7F">
        <w:trPr>
          <w:cantSplit/>
        </w:trPr>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kern w:val="24"/>
                <w:sz w:val="16"/>
                <w:szCs w:val="28"/>
              </w:rPr>
              <w:t xml:space="preserve">880-915MHz (UL)/3.3-4.2 GHz*(DL&amp;UL) </w:t>
            </w:r>
          </w:p>
        </w:tc>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eastAsia="华文细黑" w:cs="Arial"/>
                <w:kern w:val="24"/>
                <w:sz w:val="16"/>
                <w:szCs w:val="28"/>
              </w:rPr>
              <w:t xml:space="preserve">CMCC </w:t>
            </w:r>
          </w:p>
        </w:tc>
      </w:tr>
      <w:tr w:rsidR="00B65C7F" w:rsidRPr="00B65C7F" w:rsidTr="00B65C7F">
        <w:trPr>
          <w:cantSplit/>
        </w:trPr>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ascii="Calibri" w:eastAsia="华文细黑" w:hAnsi="Calibri" w:cs="Calibri"/>
                <w:kern w:val="24"/>
                <w:sz w:val="16"/>
                <w:szCs w:val="28"/>
              </w:rPr>
              <w:t xml:space="preserve">703-748MHz (UL)/3.3-4.2 GHz* (DL&amp;UL) </w:t>
            </w:r>
          </w:p>
        </w:tc>
        <w:tc>
          <w:tcPr>
            <w:tcW w:w="0" w:type="auto"/>
            <w:vAlign w:val="center"/>
          </w:tcPr>
          <w:p w:rsidR="00B65C7F" w:rsidRPr="00B65C7F" w:rsidRDefault="00B65C7F" w:rsidP="00B65C7F">
            <w:pPr>
              <w:autoSpaceDE/>
              <w:autoSpaceDN/>
              <w:snapToGrid w:val="0"/>
              <w:spacing w:after="0" w:line="360" w:lineRule="auto"/>
              <w:jc w:val="center"/>
              <w:rPr>
                <w:rFonts w:eastAsia="Times New Roman" w:cs="Arial"/>
                <w:sz w:val="16"/>
                <w:szCs w:val="36"/>
              </w:rPr>
            </w:pPr>
            <w:r w:rsidRPr="00B65C7F">
              <w:rPr>
                <w:rFonts w:eastAsia="华文细黑" w:cs="Arial"/>
                <w:kern w:val="24"/>
                <w:sz w:val="16"/>
                <w:szCs w:val="28"/>
              </w:rPr>
              <w:t xml:space="preserve">Orange, Telefonica, Etisalat </w:t>
            </w:r>
          </w:p>
        </w:tc>
      </w:tr>
    </w:tbl>
    <w:p w:rsidR="00B65C7F" w:rsidRDefault="00B65C7F" w:rsidP="0043749B">
      <w:pPr>
        <w:pStyle w:val="TH"/>
      </w:pPr>
    </w:p>
    <w:p w:rsidR="00B47BF1" w:rsidRDefault="00B47BF1" w:rsidP="0043749B">
      <w:pPr>
        <w:spacing w:line="360" w:lineRule="auto"/>
      </w:pPr>
    </w:p>
    <w:p w:rsidR="002763A9" w:rsidRDefault="00AE0B8E" w:rsidP="0043749B">
      <w:pPr>
        <w:spacing w:line="360" w:lineRule="auto"/>
      </w:pPr>
      <w:r>
        <w:t>T</w:t>
      </w:r>
      <w:r>
        <w:rPr>
          <w:rFonts w:hint="eastAsia"/>
        </w:rPr>
        <w:t xml:space="preserve">ake </w:t>
      </w:r>
      <w:r w:rsidR="00B47BF1">
        <w:rPr>
          <w:rFonts w:hint="eastAsia"/>
        </w:rPr>
        <w:t>a TDD subframe with DL:UL=3:1</w:t>
      </w:r>
      <w:r>
        <w:rPr>
          <w:rFonts w:hint="eastAsia"/>
        </w:rPr>
        <w:t xml:space="preserve"> as shown in Fig.1 for example,</w:t>
      </w:r>
      <w:r w:rsidR="00EE708C">
        <w:rPr>
          <w:rFonts w:hint="eastAsia"/>
        </w:rPr>
        <w:t xml:space="preserve"> </w:t>
      </w:r>
      <w:r>
        <w:rPr>
          <w:rFonts w:hint="eastAsia"/>
        </w:rPr>
        <w:t xml:space="preserve">if </w:t>
      </w:r>
      <w:r w:rsidR="001A554C">
        <w:rPr>
          <w:rFonts w:hint="eastAsia"/>
        </w:rPr>
        <w:t xml:space="preserve">all </w:t>
      </w:r>
      <w:r w:rsidR="00EE708C">
        <w:rPr>
          <w:rFonts w:hint="eastAsia"/>
        </w:rPr>
        <w:t xml:space="preserve">the </w:t>
      </w:r>
      <w:r w:rsidR="001A554C">
        <w:rPr>
          <w:rFonts w:hint="eastAsia"/>
        </w:rPr>
        <w:t xml:space="preserve">resources of </w:t>
      </w:r>
      <w:r w:rsidR="00EE708C">
        <w:rPr>
          <w:rFonts w:hint="eastAsia"/>
        </w:rPr>
        <w:t>UpPTS and uplink subframe</w:t>
      </w:r>
      <w:r w:rsidR="00C06474">
        <w:rPr>
          <w:rFonts w:hint="eastAsia"/>
        </w:rPr>
        <w:t>s</w:t>
      </w:r>
      <w:r w:rsidR="001A554C">
        <w:rPr>
          <w:rFonts w:hint="eastAsia"/>
        </w:rPr>
        <w:t xml:space="preserve"> </w:t>
      </w:r>
      <w:r w:rsidR="00A74727">
        <w:rPr>
          <w:rFonts w:hint="eastAsia"/>
        </w:rPr>
        <w:t xml:space="preserve">or only the uplink subframes </w:t>
      </w:r>
      <w:r w:rsidR="001A554C">
        <w:rPr>
          <w:rFonts w:hint="eastAsia"/>
        </w:rPr>
        <w:t xml:space="preserve">in TDD subframes </w:t>
      </w:r>
      <w:r w:rsidR="00C06474">
        <w:rPr>
          <w:rFonts w:hint="eastAsia"/>
        </w:rPr>
        <w:t>are</w:t>
      </w:r>
      <w:r w:rsidR="001A554C">
        <w:rPr>
          <w:rFonts w:hint="eastAsia"/>
        </w:rPr>
        <w:t xml:space="preserve"> assigned to the uplink transmission of NR, we need to clarify whether </w:t>
      </w:r>
      <w:r w:rsidR="00F70695">
        <w:rPr>
          <w:rFonts w:hint="eastAsia"/>
        </w:rPr>
        <w:t xml:space="preserve">it </w:t>
      </w:r>
      <w:r w:rsidR="001A554C">
        <w:rPr>
          <w:rFonts w:hint="eastAsia"/>
        </w:rPr>
        <w:t>can be defined as SUL frequency</w:t>
      </w:r>
      <w:r w:rsidR="002763A9">
        <w:rPr>
          <w:rFonts w:hint="eastAsia"/>
        </w:rPr>
        <w:t>, or it should be considered in the scope of uplink sharing</w:t>
      </w:r>
      <w:r w:rsidR="001A554C">
        <w:rPr>
          <w:rFonts w:hint="eastAsia"/>
        </w:rPr>
        <w:t>.</w:t>
      </w:r>
    </w:p>
    <w:p w:rsidR="0043749B" w:rsidRDefault="00C06474" w:rsidP="0043749B">
      <w:pPr>
        <w:spacing w:line="360" w:lineRule="auto"/>
      </w:pPr>
      <w:r>
        <w:rPr>
          <w:rFonts w:hint="eastAsia"/>
        </w:rPr>
        <w:t xml:space="preserve">If </w:t>
      </w:r>
      <w:r w:rsidR="00F70695">
        <w:rPr>
          <w:rFonts w:hint="eastAsia"/>
        </w:rPr>
        <w:t>the aforementioned frequency usage can be defined as SUL</w:t>
      </w:r>
      <w:r>
        <w:rPr>
          <w:rFonts w:hint="eastAsia"/>
        </w:rPr>
        <w:t xml:space="preserve">, </w:t>
      </w:r>
      <w:r w:rsidR="00526D55">
        <w:rPr>
          <w:rFonts w:hint="eastAsia"/>
        </w:rPr>
        <w:t xml:space="preserve">TDD bands </w:t>
      </w:r>
      <w:r w:rsidR="006A44DD">
        <w:rPr>
          <w:rFonts w:hint="eastAsia"/>
        </w:rPr>
        <w:t>as</w:t>
      </w:r>
      <w:r>
        <w:rPr>
          <w:rFonts w:hint="eastAsia"/>
        </w:rPr>
        <w:t xml:space="preserve"> </w:t>
      </w:r>
      <w:r w:rsidR="006C2EC8">
        <w:rPr>
          <w:rFonts w:hint="eastAsia"/>
        </w:rPr>
        <w:t xml:space="preserve">shown in </w:t>
      </w:r>
      <w:r>
        <w:rPr>
          <w:rFonts w:hint="eastAsia"/>
        </w:rPr>
        <w:t xml:space="preserve">Table 2-3 </w:t>
      </w:r>
      <w:r w:rsidR="006C2EC8">
        <w:rPr>
          <w:rFonts w:hint="eastAsia"/>
        </w:rPr>
        <w:t xml:space="preserve">can be considered as </w:t>
      </w:r>
      <w:r w:rsidR="00BD4854">
        <w:rPr>
          <w:rFonts w:hint="eastAsia"/>
        </w:rPr>
        <w:t xml:space="preserve">additional </w:t>
      </w:r>
      <w:r w:rsidR="006C2EC8">
        <w:rPr>
          <w:rFonts w:hint="eastAsia"/>
        </w:rPr>
        <w:t>SUL frequenc</w:t>
      </w:r>
      <w:r w:rsidR="00BD4854">
        <w:rPr>
          <w:rFonts w:hint="eastAsia"/>
        </w:rPr>
        <w:t>ies</w:t>
      </w:r>
      <w:r w:rsidR="006C2EC8">
        <w:rPr>
          <w:rFonts w:hint="eastAsia"/>
        </w:rPr>
        <w:t xml:space="preserve">, which will enrich SUL </w:t>
      </w:r>
      <w:r w:rsidR="00F70695">
        <w:rPr>
          <w:rFonts w:hint="eastAsia"/>
        </w:rPr>
        <w:t>frequency and benefit the industry</w:t>
      </w:r>
      <w:r w:rsidR="00526D55">
        <w:rPr>
          <w:rFonts w:hint="eastAsia"/>
        </w:rPr>
        <w:t>.</w:t>
      </w:r>
    </w:p>
    <w:p w:rsidR="00E377CC" w:rsidRDefault="000658EF" w:rsidP="0098599F">
      <w:pPr>
        <w:spacing w:line="360" w:lineRule="auto"/>
        <w:jc w:val="center"/>
      </w:pPr>
      <w:r>
        <w:object w:dxaOrig="10123"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88.9pt" o:ole="">
            <v:imagedata r:id="rId7" o:title=""/>
          </v:shape>
          <o:OLEObject Type="Embed" ProgID="Visio.Drawing.11" ShapeID="_x0000_i1025" DrawAspect="Content" ObjectID="_1564041702" r:id="rId8"/>
        </w:object>
      </w:r>
    </w:p>
    <w:p w:rsidR="00E377CC" w:rsidRDefault="00C871CC" w:rsidP="00982B1F">
      <w:pPr>
        <w:pStyle w:val="a4"/>
      </w:pPr>
      <w:r>
        <w:rPr>
          <w:rFonts w:hint="eastAsia"/>
        </w:rPr>
        <w:t>Fig</w:t>
      </w:r>
      <w:r w:rsidR="00982B1F">
        <w:rPr>
          <w:rFonts w:hint="eastAsia"/>
        </w:rPr>
        <w:t xml:space="preserve">ure </w:t>
      </w:r>
      <w:r>
        <w:rPr>
          <w:rFonts w:hint="eastAsia"/>
        </w:rPr>
        <w:t xml:space="preserve">1 </w:t>
      </w:r>
      <w:r w:rsidRPr="00C871CC">
        <w:rPr>
          <w:rFonts w:hint="eastAsia"/>
        </w:rPr>
        <w:t>TDD subframe with DL:UL=3:1</w:t>
      </w:r>
    </w:p>
    <w:p w:rsidR="00BD4854" w:rsidRDefault="00ED19AF" w:rsidP="00ED19AF">
      <w:pPr>
        <w:pStyle w:val="TH"/>
      </w:pPr>
      <w:r w:rsidRPr="0032110F">
        <w:t xml:space="preserve">Table </w:t>
      </w:r>
      <w:r>
        <w:rPr>
          <w:rFonts w:hint="eastAsia"/>
        </w:rPr>
        <w:t>2-3</w:t>
      </w:r>
      <w:r w:rsidRPr="0032110F">
        <w:t xml:space="preserve">: </w:t>
      </w:r>
      <w:r w:rsidR="00574D98">
        <w:rPr>
          <w:rFonts w:hint="eastAsia"/>
        </w:rPr>
        <w:t xml:space="preserve">SUL bands based on legacy </w:t>
      </w:r>
      <w:r>
        <w:rPr>
          <w:rFonts w:hint="eastAsia"/>
        </w:rPr>
        <w:t>TDD bands</w:t>
      </w:r>
    </w:p>
    <w:tbl>
      <w:tblPr>
        <w:tblW w:w="8531" w:type="dxa"/>
        <w:jc w:val="center"/>
        <w:tblLook w:val="0000"/>
      </w:tblPr>
      <w:tblGrid>
        <w:gridCol w:w="1159"/>
        <w:gridCol w:w="1333"/>
        <w:gridCol w:w="562"/>
        <w:gridCol w:w="1276"/>
        <w:gridCol w:w="1350"/>
        <w:gridCol w:w="562"/>
        <w:gridCol w:w="1305"/>
        <w:gridCol w:w="984"/>
      </w:tblGrid>
      <w:tr w:rsidR="00BD4854" w:rsidRPr="0032110F" w:rsidTr="00280A63">
        <w:trPr>
          <w:jc w:val="center"/>
        </w:trPr>
        <w:tc>
          <w:tcPr>
            <w:tcW w:w="1159" w:type="dxa"/>
            <w:vMerge w:val="restart"/>
            <w:tcBorders>
              <w:top w:val="single" w:sz="4" w:space="0" w:color="auto"/>
              <w:left w:val="single" w:sz="4" w:space="0" w:color="auto"/>
              <w:right w:val="single" w:sz="4" w:space="0" w:color="auto"/>
            </w:tcBorders>
            <w:vAlign w:val="center"/>
          </w:tcPr>
          <w:p w:rsidR="00BD4854" w:rsidRPr="003D01BB" w:rsidRDefault="00BD4854" w:rsidP="00280A63">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rsidR="00BD4854" w:rsidRPr="003D01BB" w:rsidRDefault="00BD4854" w:rsidP="00280A63">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rsidR="00BD4854" w:rsidRPr="003D01BB" w:rsidRDefault="00BD4854" w:rsidP="00280A63">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rsidR="00BD4854" w:rsidRPr="003D01BB" w:rsidRDefault="00BD4854" w:rsidP="00280A63">
            <w:pPr>
              <w:pStyle w:val="TAH"/>
              <w:rPr>
                <w:rFonts w:cs="Arial"/>
              </w:rPr>
            </w:pPr>
            <w:r w:rsidRPr="003D01BB">
              <w:rPr>
                <w:rFonts w:cs="Arial"/>
              </w:rPr>
              <w:t>Duplex Mode</w:t>
            </w:r>
          </w:p>
        </w:tc>
      </w:tr>
      <w:tr w:rsidR="00BD4854" w:rsidRPr="0032110F" w:rsidTr="00280A63">
        <w:trPr>
          <w:jc w:val="center"/>
        </w:trPr>
        <w:tc>
          <w:tcPr>
            <w:tcW w:w="1159" w:type="dxa"/>
            <w:vMerge/>
            <w:tcBorders>
              <w:left w:val="single" w:sz="4" w:space="0" w:color="auto"/>
              <w:bottom w:val="single" w:sz="4" w:space="0" w:color="auto"/>
              <w:right w:val="single" w:sz="4" w:space="0" w:color="auto"/>
            </w:tcBorders>
            <w:vAlign w:val="center"/>
          </w:tcPr>
          <w:p w:rsidR="00BD4854" w:rsidRPr="003D01BB" w:rsidRDefault="00BD4854" w:rsidP="00280A63">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rsidR="00BD4854" w:rsidRPr="003D01BB" w:rsidRDefault="00BD4854" w:rsidP="00280A63">
            <w:pPr>
              <w:pStyle w:val="TAH"/>
              <w:rPr>
                <w:rFonts w:cs="Arial"/>
              </w:rPr>
            </w:pPr>
            <w:r w:rsidRPr="003D01BB">
              <w:rPr>
                <w:rFonts w:cs="Arial"/>
              </w:rPr>
              <w:t>F</w:t>
            </w:r>
            <w:r w:rsidRPr="003D01BB">
              <w:rPr>
                <w:rFonts w:cs="Arial"/>
                <w:vertAlign w:val="subscript"/>
              </w:rPr>
              <w:t>UL_low</w:t>
            </w:r>
            <w:r w:rsidRPr="003D01BB">
              <w:rPr>
                <w:rFonts w:cs="Arial"/>
              </w:rPr>
              <w:t xml:space="preserve">   –  F</w:t>
            </w:r>
            <w:r w:rsidRPr="003D01BB">
              <w:rPr>
                <w:rFonts w:cs="Arial"/>
                <w:vertAlign w:val="subscript"/>
              </w:rPr>
              <w:t>UL_high</w:t>
            </w:r>
          </w:p>
        </w:tc>
        <w:tc>
          <w:tcPr>
            <w:tcW w:w="3217" w:type="dxa"/>
            <w:gridSpan w:val="3"/>
            <w:tcBorders>
              <w:top w:val="single" w:sz="4" w:space="0" w:color="auto"/>
              <w:bottom w:val="single" w:sz="4" w:space="0" w:color="auto"/>
              <w:right w:val="single" w:sz="4" w:space="0" w:color="auto"/>
            </w:tcBorders>
            <w:vAlign w:val="center"/>
          </w:tcPr>
          <w:p w:rsidR="00BD4854" w:rsidRPr="003D01BB" w:rsidRDefault="00BD4854" w:rsidP="00280A63">
            <w:pPr>
              <w:pStyle w:val="TAH"/>
              <w:rPr>
                <w:rFonts w:cs="Arial"/>
              </w:rPr>
            </w:pPr>
            <w:r w:rsidRPr="003D01BB">
              <w:rPr>
                <w:rFonts w:cs="Arial"/>
              </w:rPr>
              <w:t>F</w:t>
            </w:r>
            <w:r w:rsidRPr="003D01BB">
              <w:rPr>
                <w:rFonts w:cs="Arial"/>
                <w:vertAlign w:val="subscript"/>
              </w:rPr>
              <w:t>DL_low</w:t>
            </w:r>
            <w:r w:rsidRPr="003D01BB">
              <w:rPr>
                <w:rFonts w:cs="Arial"/>
              </w:rPr>
              <w:t xml:space="preserve">  –  F</w:t>
            </w:r>
            <w:r w:rsidRPr="003D01BB">
              <w:rPr>
                <w:rFonts w:cs="Arial"/>
                <w:vertAlign w:val="subscript"/>
              </w:rPr>
              <w:t>DL_high</w:t>
            </w:r>
          </w:p>
        </w:tc>
        <w:tc>
          <w:tcPr>
            <w:tcW w:w="984" w:type="dxa"/>
            <w:vMerge/>
            <w:tcBorders>
              <w:left w:val="single" w:sz="4" w:space="0" w:color="auto"/>
              <w:bottom w:val="single" w:sz="4" w:space="0" w:color="auto"/>
              <w:right w:val="single" w:sz="4" w:space="0" w:color="auto"/>
            </w:tcBorders>
          </w:tcPr>
          <w:p w:rsidR="00BD4854" w:rsidRPr="003D01BB" w:rsidRDefault="00BD4854" w:rsidP="00280A63">
            <w:pPr>
              <w:pStyle w:val="TAC"/>
              <w:rPr>
                <w:rFonts w:cs="Arial"/>
              </w:rPr>
            </w:pPr>
          </w:p>
        </w:tc>
      </w:tr>
      <w:tr w:rsidR="00EA02D7" w:rsidRPr="0032110F" w:rsidTr="00280A63">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EA02D7" w:rsidRPr="003D01BB" w:rsidRDefault="00EA02D7" w:rsidP="00280A63">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rsidR="00EA02D7" w:rsidRPr="003D01BB" w:rsidRDefault="00EA02D7" w:rsidP="00280A63">
            <w:pPr>
              <w:pStyle w:val="TAR"/>
              <w:rPr>
                <w:rFonts w:cs="Arial"/>
              </w:rPr>
            </w:pPr>
            <w:r>
              <w:rPr>
                <w:rFonts w:cs="Arial" w:hint="eastAsia"/>
                <w:lang w:eastAsia="zh-CN"/>
              </w:rPr>
              <w:t>703</w:t>
            </w:r>
            <w:r w:rsidRPr="003D01BB">
              <w:rPr>
                <w:rFonts w:cs="Arial"/>
              </w:rPr>
              <w:t xml:space="preserve"> MHz</w:t>
            </w:r>
          </w:p>
        </w:tc>
        <w:tc>
          <w:tcPr>
            <w:tcW w:w="562" w:type="dxa"/>
            <w:tcBorders>
              <w:top w:val="single" w:sz="4" w:space="0" w:color="auto"/>
              <w:bottom w:val="single" w:sz="4" w:space="0" w:color="auto"/>
            </w:tcBorders>
          </w:tcPr>
          <w:p w:rsidR="00EA02D7" w:rsidRPr="003D01BB" w:rsidRDefault="00EA02D7"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EA02D7" w:rsidRPr="003D01BB" w:rsidRDefault="00EA02D7" w:rsidP="00280A63">
            <w:pPr>
              <w:pStyle w:val="TAL"/>
              <w:rPr>
                <w:rFonts w:cs="Arial"/>
              </w:rPr>
            </w:pPr>
            <w:r>
              <w:rPr>
                <w:rFonts w:cs="Arial" w:hint="eastAsia"/>
                <w:lang w:eastAsia="zh-CN"/>
              </w:rPr>
              <w:t>803</w:t>
            </w:r>
            <w:r w:rsidRPr="003D01BB">
              <w:rPr>
                <w:rFonts w:cs="Arial"/>
              </w:rPr>
              <w:t xml:space="preserve"> MHz </w:t>
            </w:r>
          </w:p>
        </w:tc>
        <w:tc>
          <w:tcPr>
            <w:tcW w:w="1350" w:type="dxa"/>
            <w:tcBorders>
              <w:top w:val="single" w:sz="4" w:space="0" w:color="auto"/>
              <w:bottom w:val="single" w:sz="4" w:space="0" w:color="auto"/>
            </w:tcBorders>
            <w:vAlign w:val="center"/>
          </w:tcPr>
          <w:p w:rsidR="00EA02D7" w:rsidRPr="003D01BB" w:rsidRDefault="00EA02D7" w:rsidP="00280A63">
            <w:pPr>
              <w:pStyle w:val="TAR"/>
              <w:rPr>
                <w:rFonts w:cs="Arial"/>
              </w:rPr>
            </w:pPr>
            <w:r>
              <w:rPr>
                <w:rFonts w:cs="Arial" w:hint="eastAsia"/>
                <w:lang w:eastAsia="zh-CN"/>
              </w:rPr>
              <w:t>703</w:t>
            </w:r>
            <w:r w:rsidRPr="003D01BB">
              <w:rPr>
                <w:rFonts w:cs="Arial"/>
              </w:rPr>
              <w:t xml:space="preserve"> MHz</w:t>
            </w:r>
          </w:p>
        </w:tc>
        <w:tc>
          <w:tcPr>
            <w:tcW w:w="562" w:type="dxa"/>
            <w:tcBorders>
              <w:top w:val="single" w:sz="4" w:space="0" w:color="auto"/>
              <w:bottom w:val="single" w:sz="4" w:space="0" w:color="auto"/>
            </w:tcBorders>
          </w:tcPr>
          <w:p w:rsidR="00EA02D7" w:rsidRPr="003D01BB" w:rsidRDefault="00EA02D7" w:rsidP="00280A63">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EA02D7" w:rsidRPr="003D01BB" w:rsidRDefault="00EA02D7" w:rsidP="00280A63">
            <w:pPr>
              <w:pStyle w:val="TAL"/>
              <w:rPr>
                <w:rFonts w:cs="Arial"/>
              </w:rPr>
            </w:pPr>
            <w:r>
              <w:rPr>
                <w:rFonts w:cs="Arial" w:hint="eastAsia"/>
                <w:lang w:eastAsia="zh-CN"/>
              </w:rPr>
              <w:t>803</w:t>
            </w:r>
            <w:r w:rsidRPr="003D01BB">
              <w:rPr>
                <w:rFonts w:cs="Arial"/>
              </w:rPr>
              <w:t xml:space="preserve"> MHz </w:t>
            </w:r>
          </w:p>
        </w:tc>
        <w:tc>
          <w:tcPr>
            <w:tcW w:w="984" w:type="dxa"/>
            <w:tcBorders>
              <w:top w:val="single" w:sz="4" w:space="0" w:color="auto"/>
              <w:left w:val="single" w:sz="4" w:space="0" w:color="auto"/>
              <w:bottom w:val="single" w:sz="4" w:space="0" w:color="auto"/>
              <w:right w:val="single" w:sz="4" w:space="0" w:color="auto"/>
            </w:tcBorders>
          </w:tcPr>
          <w:p w:rsidR="00EA02D7" w:rsidRPr="003D01BB" w:rsidRDefault="00EA02D7" w:rsidP="00280A63">
            <w:pPr>
              <w:pStyle w:val="TAC"/>
              <w:rPr>
                <w:rFonts w:cs="Arial"/>
              </w:rPr>
            </w:pPr>
            <w:r w:rsidRPr="00364145">
              <w:rPr>
                <w:rFonts w:cs="Arial"/>
              </w:rPr>
              <w:t>TDD</w:t>
            </w:r>
          </w:p>
        </w:tc>
      </w:tr>
      <w:tr w:rsidR="00EA02D7" w:rsidRPr="0032110F" w:rsidTr="00280A63">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EA02D7" w:rsidRPr="003D01BB" w:rsidRDefault="00EA02D7" w:rsidP="00280A63">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rsidR="00EA02D7" w:rsidRDefault="00EA02D7" w:rsidP="00280A63">
            <w:pPr>
              <w:pStyle w:val="TAR"/>
              <w:rPr>
                <w:rFonts w:cs="Arial"/>
              </w:rPr>
            </w:pPr>
            <w:r>
              <w:rPr>
                <w:rFonts w:cs="Arial" w:hint="eastAsia"/>
                <w:lang w:eastAsia="zh-CN"/>
              </w:rPr>
              <w:t>1447</w:t>
            </w:r>
            <w:r w:rsidRPr="003D01BB">
              <w:rPr>
                <w:rFonts w:cs="Arial"/>
              </w:rPr>
              <w:t xml:space="preserve"> MHz</w:t>
            </w:r>
          </w:p>
        </w:tc>
        <w:tc>
          <w:tcPr>
            <w:tcW w:w="562" w:type="dxa"/>
            <w:tcBorders>
              <w:top w:val="single" w:sz="4" w:space="0" w:color="auto"/>
              <w:bottom w:val="single" w:sz="4" w:space="0" w:color="auto"/>
            </w:tcBorders>
          </w:tcPr>
          <w:p w:rsidR="00EA02D7" w:rsidRPr="003D01BB" w:rsidRDefault="00EA02D7"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EA02D7" w:rsidRDefault="00EA02D7" w:rsidP="00280A63">
            <w:pPr>
              <w:pStyle w:val="TAL"/>
              <w:rPr>
                <w:rFonts w:cs="Arial"/>
              </w:rPr>
            </w:pPr>
            <w:r>
              <w:rPr>
                <w:rFonts w:cs="Arial" w:hint="eastAsia"/>
                <w:lang w:eastAsia="zh-CN"/>
              </w:rPr>
              <w:t>1467</w:t>
            </w:r>
            <w:r w:rsidRPr="003D01BB">
              <w:rPr>
                <w:rFonts w:cs="Arial"/>
              </w:rPr>
              <w:t xml:space="preserve"> MHz</w:t>
            </w:r>
          </w:p>
        </w:tc>
        <w:tc>
          <w:tcPr>
            <w:tcW w:w="1350" w:type="dxa"/>
            <w:tcBorders>
              <w:top w:val="single" w:sz="4" w:space="0" w:color="auto"/>
              <w:bottom w:val="single" w:sz="4" w:space="0" w:color="auto"/>
            </w:tcBorders>
            <w:vAlign w:val="center"/>
          </w:tcPr>
          <w:p w:rsidR="00EA02D7" w:rsidRDefault="00EA02D7" w:rsidP="00280A63">
            <w:pPr>
              <w:pStyle w:val="TAR"/>
              <w:rPr>
                <w:rFonts w:cs="Arial"/>
              </w:rPr>
            </w:pPr>
            <w:r>
              <w:rPr>
                <w:rFonts w:cs="Arial" w:hint="eastAsia"/>
                <w:lang w:eastAsia="zh-CN"/>
              </w:rPr>
              <w:t>1447</w:t>
            </w:r>
            <w:r w:rsidRPr="003D01BB">
              <w:rPr>
                <w:rFonts w:cs="Arial"/>
              </w:rPr>
              <w:t xml:space="preserve"> MHz</w:t>
            </w:r>
          </w:p>
        </w:tc>
        <w:tc>
          <w:tcPr>
            <w:tcW w:w="562" w:type="dxa"/>
            <w:tcBorders>
              <w:top w:val="single" w:sz="4" w:space="0" w:color="auto"/>
              <w:bottom w:val="single" w:sz="4" w:space="0" w:color="auto"/>
            </w:tcBorders>
          </w:tcPr>
          <w:p w:rsidR="00EA02D7" w:rsidRPr="003D01BB" w:rsidRDefault="00EA02D7" w:rsidP="00280A63">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EA02D7" w:rsidRDefault="00EA02D7" w:rsidP="00280A63">
            <w:pPr>
              <w:pStyle w:val="TAL"/>
              <w:rPr>
                <w:rFonts w:cs="Arial"/>
              </w:rPr>
            </w:pPr>
            <w:r>
              <w:rPr>
                <w:rFonts w:cs="Arial" w:hint="eastAsia"/>
                <w:lang w:eastAsia="zh-CN"/>
              </w:rPr>
              <w:t>1467</w:t>
            </w:r>
            <w:r w:rsidRPr="003D01BB">
              <w:rPr>
                <w:rFonts w:cs="Arial"/>
              </w:rPr>
              <w:t xml:space="preserve"> MHz</w:t>
            </w:r>
          </w:p>
        </w:tc>
        <w:tc>
          <w:tcPr>
            <w:tcW w:w="984" w:type="dxa"/>
            <w:tcBorders>
              <w:top w:val="single" w:sz="4" w:space="0" w:color="auto"/>
              <w:left w:val="single" w:sz="4" w:space="0" w:color="auto"/>
              <w:bottom w:val="single" w:sz="4" w:space="0" w:color="auto"/>
              <w:right w:val="single" w:sz="4" w:space="0" w:color="auto"/>
            </w:tcBorders>
          </w:tcPr>
          <w:p w:rsidR="00EA02D7" w:rsidRDefault="00EA02D7" w:rsidP="00280A63">
            <w:pPr>
              <w:pStyle w:val="TAC"/>
              <w:rPr>
                <w:rFonts w:cs="Arial"/>
              </w:rPr>
            </w:pPr>
            <w:r w:rsidRPr="00364145">
              <w:rPr>
                <w:rFonts w:cs="Arial"/>
              </w:rPr>
              <w:t>TDD</w:t>
            </w:r>
          </w:p>
        </w:tc>
      </w:tr>
      <w:tr w:rsidR="006A4968" w:rsidRPr="0032110F" w:rsidTr="00280A63">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6A4968" w:rsidRPr="003D01BB" w:rsidRDefault="006A4968" w:rsidP="00280A63">
            <w:pPr>
              <w:pStyle w:val="TAC"/>
              <w:rPr>
                <w:rFonts w:cs="Arial"/>
              </w:rPr>
            </w:pPr>
            <w:r>
              <w:rPr>
                <w:rFonts w:cs="Arial" w:hint="eastAsia"/>
              </w:rPr>
              <w:t>3</w:t>
            </w:r>
          </w:p>
        </w:tc>
        <w:tc>
          <w:tcPr>
            <w:tcW w:w="1333" w:type="dxa"/>
            <w:tcBorders>
              <w:top w:val="single" w:sz="4" w:space="0" w:color="auto"/>
              <w:left w:val="single" w:sz="4" w:space="0" w:color="auto"/>
              <w:bottom w:val="single" w:sz="4" w:space="0" w:color="auto"/>
            </w:tcBorders>
            <w:vAlign w:val="center"/>
          </w:tcPr>
          <w:p w:rsidR="006A4968" w:rsidRPr="003D01BB" w:rsidRDefault="006A4968" w:rsidP="00280A63">
            <w:pPr>
              <w:pStyle w:val="TAR"/>
              <w:rPr>
                <w:rFonts w:cs="Arial"/>
              </w:rPr>
            </w:pPr>
            <w:r>
              <w:rPr>
                <w:rFonts w:cs="Arial" w:hint="eastAsia"/>
                <w:lang w:eastAsia="zh-CN"/>
              </w:rPr>
              <w:t>2496</w:t>
            </w:r>
            <w:r w:rsidRPr="003D01BB">
              <w:rPr>
                <w:rFonts w:cs="Arial"/>
              </w:rPr>
              <w:t xml:space="preserve"> MHz</w:t>
            </w:r>
          </w:p>
        </w:tc>
        <w:tc>
          <w:tcPr>
            <w:tcW w:w="562" w:type="dxa"/>
            <w:tcBorders>
              <w:top w:val="single" w:sz="4" w:space="0" w:color="auto"/>
              <w:bottom w:val="single" w:sz="4" w:space="0" w:color="auto"/>
            </w:tcBorders>
          </w:tcPr>
          <w:p w:rsidR="006A4968" w:rsidRPr="003D01BB" w:rsidRDefault="006A4968"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6A4968" w:rsidRPr="003D01BB" w:rsidRDefault="006A4968" w:rsidP="00280A63">
            <w:pPr>
              <w:pStyle w:val="TAL"/>
              <w:rPr>
                <w:rFonts w:cs="Arial"/>
              </w:rPr>
            </w:pPr>
            <w:r>
              <w:rPr>
                <w:rFonts w:cs="Arial" w:hint="eastAsia"/>
                <w:lang w:eastAsia="zh-CN"/>
              </w:rPr>
              <w:t>2690</w:t>
            </w:r>
            <w:r w:rsidRPr="003D01BB">
              <w:rPr>
                <w:rFonts w:cs="Arial"/>
              </w:rPr>
              <w:t xml:space="preserve"> MHz</w:t>
            </w:r>
          </w:p>
        </w:tc>
        <w:tc>
          <w:tcPr>
            <w:tcW w:w="1350" w:type="dxa"/>
            <w:tcBorders>
              <w:top w:val="single" w:sz="4" w:space="0" w:color="auto"/>
              <w:bottom w:val="single" w:sz="4" w:space="0" w:color="auto"/>
            </w:tcBorders>
            <w:vAlign w:val="center"/>
          </w:tcPr>
          <w:p w:rsidR="006A4968" w:rsidRPr="003D01BB" w:rsidRDefault="006A4968" w:rsidP="00280A63">
            <w:pPr>
              <w:pStyle w:val="TAR"/>
              <w:rPr>
                <w:rFonts w:cs="Arial"/>
              </w:rPr>
            </w:pPr>
            <w:r>
              <w:rPr>
                <w:rFonts w:cs="Arial" w:hint="eastAsia"/>
                <w:lang w:eastAsia="zh-CN"/>
              </w:rPr>
              <w:t>2496</w:t>
            </w:r>
            <w:r w:rsidRPr="003D01BB">
              <w:rPr>
                <w:rFonts w:cs="Arial"/>
              </w:rPr>
              <w:t xml:space="preserve"> MHz</w:t>
            </w:r>
          </w:p>
        </w:tc>
        <w:tc>
          <w:tcPr>
            <w:tcW w:w="562" w:type="dxa"/>
            <w:tcBorders>
              <w:top w:val="single" w:sz="4" w:space="0" w:color="auto"/>
              <w:bottom w:val="single" w:sz="4" w:space="0" w:color="auto"/>
            </w:tcBorders>
          </w:tcPr>
          <w:p w:rsidR="006A4968" w:rsidRPr="003D01BB" w:rsidRDefault="006A4968" w:rsidP="00280A63">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rsidR="006A4968" w:rsidRPr="003D01BB" w:rsidRDefault="006A4968" w:rsidP="00280A63">
            <w:pPr>
              <w:pStyle w:val="TAL"/>
              <w:rPr>
                <w:rFonts w:cs="Arial"/>
              </w:rPr>
            </w:pPr>
            <w:r>
              <w:rPr>
                <w:rFonts w:cs="Arial" w:hint="eastAsia"/>
                <w:lang w:eastAsia="zh-CN"/>
              </w:rPr>
              <w:t>2690</w:t>
            </w:r>
            <w:r w:rsidRPr="003D01BB">
              <w:rPr>
                <w:rFonts w:cs="Arial"/>
              </w:rPr>
              <w:t xml:space="preserve"> MHz</w:t>
            </w:r>
          </w:p>
        </w:tc>
        <w:tc>
          <w:tcPr>
            <w:tcW w:w="984" w:type="dxa"/>
            <w:tcBorders>
              <w:top w:val="single" w:sz="4" w:space="0" w:color="auto"/>
              <w:left w:val="single" w:sz="4" w:space="0" w:color="auto"/>
              <w:bottom w:val="single" w:sz="4" w:space="0" w:color="auto"/>
              <w:right w:val="single" w:sz="4" w:space="0" w:color="auto"/>
            </w:tcBorders>
          </w:tcPr>
          <w:p w:rsidR="006A4968" w:rsidRPr="003D01BB" w:rsidRDefault="006A4968" w:rsidP="00280A63">
            <w:pPr>
              <w:pStyle w:val="TAC"/>
              <w:rPr>
                <w:rFonts w:cs="Arial"/>
              </w:rPr>
            </w:pPr>
            <w:r>
              <w:rPr>
                <w:rFonts w:cs="Arial"/>
              </w:rPr>
              <w:t>T</w:t>
            </w:r>
            <w:r w:rsidRPr="003D01BB">
              <w:rPr>
                <w:rFonts w:cs="Arial"/>
              </w:rPr>
              <w:t>DD</w:t>
            </w:r>
          </w:p>
        </w:tc>
      </w:tr>
      <w:tr w:rsidR="00521BC7" w:rsidRPr="0032110F" w:rsidTr="00280A63">
        <w:trPr>
          <w:jc w:val="center"/>
        </w:trPr>
        <w:tc>
          <w:tcPr>
            <w:tcW w:w="1159" w:type="dxa"/>
            <w:tcBorders>
              <w:top w:val="single" w:sz="4" w:space="0" w:color="auto"/>
              <w:left w:val="single" w:sz="4" w:space="0" w:color="auto"/>
              <w:right w:val="single" w:sz="4" w:space="0" w:color="auto"/>
            </w:tcBorders>
            <w:vAlign w:val="center"/>
          </w:tcPr>
          <w:p w:rsidR="00521BC7" w:rsidRPr="003D01BB" w:rsidRDefault="00521BC7" w:rsidP="00280A63">
            <w:pPr>
              <w:pStyle w:val="TAC"/>
              <w:rPr>
                <w:rFonts w:cs="Arial"/>
              </w:rPr>
            </w:pPr>
            <w:r>
              <w:rPr>
                <w:rFonts w:cs="Arial" w:hint="eastAsia"/>
              </w:rPr>
              <w:t>4</w:t>
            </w:r>
          </w:p>
        </w:tc>
        <w:tc>
          <w:tcPr>
            <w:tcW w:w="1333" w:type="dxa"/>
            <w:tcBorders>
              <w:top w:val="single" w:sz="4" w:space="0" w:color="auto"/>
              <w:left w:val="single" w:sz="4" w:space="0" w:color="auto"/>
              <w:bottom w:val="single" w:sz="4" w:space="0" w:color="auto"/>
            </w:tcBorders>
            <w:vAlign w:val="center"/>
          </w:tcPr>
          <w:p w:rsidR="00521BC7" w:rsidRPr="003D01BB" w:rsidRDefault="00521BC7" w:rsidP="00280A63">
            <w:pPr>
              <w:pStyle w:val="TAR"/>
              <w:rPr>
                <w:rFonts w:cs="Arial"/>
              </w:rPr>
            </w:pPr>
            <w:r>
              <w:rPr>
                <w:rFonts w:cs="Arial" w:hint="eastAsia"/>
                <w:lang w:eastAsia="zh-CN"/>
              </w:rPr>
              <w:t>703</w:t>
            </w:r>
            <w:r w:rsidRPr="003D01BB">
              <w:rPr>
                <w:rFonts w:cs="Arial"/>
              </w:rPr>
              <w:t xml:space="preserve"> MHz</w:t>
            </w:r>
          </w:p>
        </w:tc>
        <w:tc>
          <w:tcPr>
            <w:tcW w:w="562" w:type="dxa"/>
            <w:tcBorders>
              <w:top w:val="single" w:sz="4" w:space="0" w:color="auto"/>
              <w:bottom w:val="single" w:sz="4" w:space="0" w:color="auto"/>
            </w:tcBorders>
          </w:tcPr>
          <w:p w:rsidR="00521BC7" w:rsidRPr="003D01BB" w:rsidRDefault="00521BC7"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521BC7" w:rsidRPr="003D01BB" w:rsidRDefault="00521BC7" w:rsidP="00280A63">
            <w:pPr>
              <w:pStyle w:val="TAL"/>
              <w:rPr>
                <w:rFonts w:cs="Arial"/>
              </w:rPr>
            </w:pPr>
            <w:r>
              <w:rPr>
                <w:rFonts w:cs="Arial" w:hint="eastAsia"/>
                <w:lang w:eastAsia="zh-CN"/>
              </w:rPr>
              <w:t>803</w:t>
            </w:r>
            <w:r w:rsidRPr="003D01BB">
              <w:rPr>
                <w:rFonts w:cs="Arial"/>
              </w:rPr>
              <w:t xml:space="preserve"> MHz </w:t>
            </w:r>
          </w:p>
        </w:tc>
        <w:tc>
          <w:tcPr>
            <w:tcW w:w="1350" w:type="dxa"/>
            <w:tcBorders>
              <w:top w:val="single" w:sz="4" w:space="0" w:color="auto"/>
              <w:bottom w:val="single" w:sz="4" w:space="0" w:color="auto"/>
            </w:tcBorders>
            <w:vAlign w:val="center"/>
          </w:tcPr>
          <w:p w:rsidR="00521BC7" w:rsidRPr="003D01BB" w:rsidRDefault="00521BC7" w:rsidP="00280A63">
            <w:pPr>
              <w:pStyle w:val="TAR"/>
              <w:rPr>
                <w:rFonts w:cs="Arial"/>
              </w:rPr>
            </w:pPr>
          </w:p>
        </w:tc>
        <w:tc>
          <w:tcPr>
            <w:tcW w:w="562" w:type="dxa"/>
            <w:tcBorders>
              <w:top w:val="single" w:sz="4" w:space="0" w:color="auto"/>
              <w:bottom w:val="single" w:sz="4" w:space="0" w:color="auto"/>
            </w:tcBorders>
          </w:tcPr>
          <w:p w:rsidR="00521BC7" w:rsidRPr="003D01BB" w:rsidRDefault="00521BC7" w:rsidP="00280A63">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rsidR="00521BC7" w:rsidRPr="003D01BB" w:rsidRDefault="00521BC7" w:rsidP="00280A63">
            <w:pPr>
              <w:pStyle w:val="TAL"/>
              <w:rPr>
                <w:rFonts w:cs="Arial"/>
              </w:rPr>
            </w:pPr>
          </w:p>
        </w:tc>
        <w:tc>
          <w:tcPr>
            <w:tcW w:w="984" w:type="dxa"/>
            <w:tcBorders>
              <w:top w:val="single" w:sz="4" w:space="0" w:color="auto"/>
              <w:left w:val="single" w:sz="4" w:space="0" w:color="auto"/>
              <w:right w:val="single" w:sz="4" w:space="0" w:color="auto"/>
            </w:tcBorders>
            <w:vAlign w:val="center"/>
          </w:tcPr>
          <w:p w:rsidR="00521BC7" w:rsidRPr="003D01BB" w:rsidRDefault="00521BC7" w:rsidP="00280A63">
            <w:pPr>
              <w:pStyle w:val="TAC"/>
              <w:rPr>
                <w:rFonts w:cs="Arial"/>
              </w:rPr>
            </w:pPr>
            <w:r>
              <w:rPr>
                <w:rFonts w:cs="Arial"/>
              </w:rPr>
              <w:t>X</w:t>
            </w:r>
            <w:r w:rsidRPr="003D01BB">
              <w:rPr>
                <w:rFonts w:cs="Arial"/>
              </w:rPr>
              <w:t>DD</w:t>
            </w:r>
          </w:p>
        </w:tc>
      </w:tr>
      <w:tr w:rsidR="00521BC7" w:rsidRPr="0032110F" w:rsidTr="00280A63">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521BC7" w:rsidRPr="003D01BB" w:rsidRDefault="00521BC7" w:rsidP="00280A63">
            <w:pPr>
              <w:pStyle w:val="TAC"/>
              <w:rPr>
                <w:rFonts w:cs="Arial"/>
              </w:rPr>
            </w:pPr>
            <w:r>
              <w:rPr>
                <w:rFonts w:cs="Arial" w:hint="eastAsia"/>
              </w:rPr>
              <w:t>5</w:t>
            </w:r>
          </w:p>
        </w:tc>
        <w:tc>
          <w:tcPr>
            <w:tcW w:w="1333" w:type="dxa"/>
            <w:tcBorders>
              <w:top w:val="single" w:sz="4" w:space="0" w:color="auto"/>
              <w:left w:val="single" w:sz="4" w:space="0" w:color="auto"/>
              <w:bottom w:val="single" w:sz="4" w:space="0" w:color="auto"/>
            </w:tcBorders>
            <w:vAlign w:val="center"/>
          </w:tcPr>
          <w:p w:rsidR="00521BC7" w:rsidRPr="003D01BB" w:rsidRDefault="00521BC7" w:rsidP="00280A63">
            <w:pPr>
              <w:pStyle w:val="TAR"/>
              <w:rPr>
                <w:rFonts w:cs="Arial"/>
              </w:rPr>
            </w:pPr>
            <w:r>
              <w:rPr>
                <w:rFonts w:cs="Arial" w:hint="eastAsia"/>
                <w:lang w:eastAsia="zh-CN"/>
              </w:rPr>
              <w:t>1447</w:t>
            </w:r>
            <w:r w:rsidRPr="003D01BB">
              <w:rPr>
                <w:rFonts w:cs="Arial"/>
              </w:rPr>
              <w:t xml:space="preserve"> MHz</w:t>
            </w:r>
          </w:p>
        </w:tc>
        <w:tc>
          <w:tcPr>
            <w:tcW w:w="562" w:type="dxa"/>
            <w:tcBorders>
              <w:top w:val="single" w:sz="4" w:space="0" w:color="auto"/>
              <w:bottom w:val="single" w:sz="4" w:space="0" w:color="auto"/>
            </w:tcBorders>
          </w:tcPr>
          <w:p w:rsidR="00521BC7" w:rsidRPr="003D01BB" w:rsidRDefault="00521BC7"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521BC7" w:rsidRPr="003D01BB" w:rsidRDefault="00521BC7" w:rsidP="00280A63">
            <w:pPr>
              <w:pStyle w:val="TAL"/>
              <w:rPr>
                <w:rFonts w:cs="Arial"/>
              </w:rPr>
            </w:pPr>
            <w:r>
              <w:rPr>
                <w:rFonts w:cs="Arial" w:hint="eastAsia"/>
                <w:lang w:eastAsia="zh-CN"/>
              </w:rPr>
              <w:t>1467</w:t>
            </w:r>
            <w:r w:rsidRPr="003D01BB">
              <w:rPr>
                <w:rFonts w:cs="Arial"/>
              </w:rPr>
              <w:t xml:space="preserve"> MHz</w:t>
            </w:r>
          </w:p>
        </w:tc>
        <w:tc>
          <w:tcPr>
            <w:tcW w:w="1350" w:type="dxa"/>
            <w:tcBorders>
              <w:top w:val="single" w:sz="4" w:space="0" w:color="auto"/>
              <w:bottom w:val="single" w:sz="4" w:space="0" w:color="auto"/>
            </w:tcBorders>
            <w:vAlign w:val="center"/>
          </w:tcPr>
          <w:p w:rsidR="00521BC7" w:rsidRPr="003D01BB" w:rsidRDefault="00521BC7" w:rsidP="00280A63">
            <w:pPr>
              <w:pStyle w:val="TAR"/>
              <w:rPr>
                <w:rFonts w:cs="Arial"/>
              </w:rPr>
            </w:pPr>
          </w:p>
        </w:tc>
        <w:tc>
          <w:tcPr>
            <w:tcW w:w="562" w:type="dxa"/>
            <w:tcBorders>
              <w:top w:val="single" w:sz="4" w:space="0" w:color="auto"/>
              <w:bottom w:val="single" w:sz="4" w:space="0" w:color="auto"/>
            </w:tcBorders>
          </w:tcPr>
          <w:p w:rsidR="00521BC7" w:rsidRPr="003D01BB" w:rsidRDefault="00521BC7" w:rsidP="00280A63">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rsidR="00521BC7" w:rsidRPr="003D01BB" w:rsidRDefault="00521BC7" w:rsidP="00280A63">
            <w:pPr>
              <w:pStyle w:val="TAL"/>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521BC7" w:rsidRPr="003D01BB" w:rsidRDefault="00521BC7" w:rsidP="00280A63">
            <w:pPr>
              <w:pStyle w:val="TAC"/>
              <w:rPr>
                <w:rFonts w:cs="Arial"/>
              </w:rPr>
            </w:pPr>
            <w:r>
              <w:rPr>
                <w:rFonts w:cs="Arial"/>
              </w:rPr>
              <w:t>X</w:t>
            </w:r>
            <w:r w:rsidRPr="003D01BB">
              <w:rPr>
                <w:rFonts w:cs="Arial"/>
              </w:rPr>
              <w:t>DD</w:t>
            </w:r>
          </w:p>
        </w:tc>
      </w:tr>
      <w:tr w:rsidR="00EA02D7" w:rsidRPr="0032110F" w:rsidTr="00280A63">
        <w:trPr>
          <w:jc w:val="center"/>
        </w:trPr>
        <w:tc>
          <w:tcPr>
            <w:tcW w:w="1159" w:type="dxa"/>
            <w:tcBorders>
              <w:top w:val="single" w:sz="4" w:space="0" w:color="auto"/>
              <w:left w:val="single" w:sz="4" w:space="0" w:color="auto"/>
              <w:bottom w:val="single" w:sz="4" w:space="0" w:color="auto"/>
              <w:right w:val="single" w:sz="4" w:space="0" w:color="auto"/>
            </w:tcBorders>
            <w:vAlign w:val="center"/>
          </w:tcPr>
          <w:p w:rsidR="00EA02D7" w:rsidRDefault="00EA02D7" w:rsidP="00280A63">
            <w:pPr>
              <w:pStyle w:val="TAC"/>
              <w:rPr>
                <w:rFonts w:cs="Arial"/>
                <w:lang w:eastAsia="zh-CN"/>
              </w:rPr>
            </w:pPr>
            <w:r>
              <w:rPr>
                <w:rFonts w:cs="Arial" w:hint="eastAsia"/>
                <w:lang w:eastAsia="zh-CN"/>
              </w:rPr>
              <w:t>6</w:t>
            </w:r>
          </w:p>
        </w:tc>
        <w:tc>
          <w:tcPr>
            <w:tcW w:w="1333" w:type="dxa"/>
            <w:tcBorders>
              <w:top w:val="single" w:sz="4" w:space="0" w:color="auto"/>
              <w:left w:val="single" w:sz="4" w:space="0" w:color="auto"/>
              <w:bottom w:val="single" w:sz="4" w:space="0" w:color="auto"/>
            </w:tcBorders>
            <w:vAlign w:val="center"/>
          </w:tcPr>
          <w:p w:rsidR="00EA02D7" w:rsidRDefault="00EA02D7" w:rsidP="00280A63">
            <w:pPr>
              <w:pStyle w:val="TAR"/>
              <w:rPr>
                <w:rFonts w:cs="Arial"/>
              </w:rPr>
            </w:pPr>
            <w:r>
              <w:rPr>
                <w:rFonts w:cs="Arial" w:hint="eastAsia"/>
                <w:lang w:eastAsia="zh-CN"/>
              </w:rPr>
              <w:t>2496</w:t>
            </w:r>
            <w:r w:rsidRPr="003D01BB">
              <w:rPr>
                <w:rFonts w:cs="Arial"/>
              </w:rPr>
              <w:t xml:space="preserve"> MHz</w:t>
            </w:r>
          </w:p>
        </w:tc>
        <w:tc>
          <w:tcPr>
            <w:tcW w:w="562" w:type="dxa"/>
            <w:tcBorders>
              <w:top w:val="single" w:sz="4" w:space="0" w:color="auto"/>
              <w:bottom w:val="single" w:sz="4" w:space="0" w:color="auto"/>
            </w:tcBorders>
          </w:tcPr>
          <w:p w:rsidR="00EA02D7" w:rsidRPr="003D01BB" w:rsidRDefault="00EA02D7" w:rsidP="00280A63">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rsidR="00EA02D7" w:rsidRDefault="00EA02D7" w:rsidP="00280A63">
            <w:pPr>
              <w:pStyle w:val="TAL"/>
              <w:rPr>
                <w:rFonts w:cs="Arial"/>
              </w:rPr>
            </w:pPr>
            <w:r>
              <w:rPr>
                <w:rFonts w:cs="Arial" w:hint="eastAsia"/>
                <w:lang w:eastAsia="zh-CN"/>
              </w:rPr>
              <w:t>2690</w:t>
            </w:r>
            <w:r w:rsidRPr="003D01BB">
              <w:rPr>
                <w:rFonts w:cs="Arial"/>
              </w:rPr>
              <w:t xml:space="preserve"> MHz</w:t>
            </w:r>
          </w:p>
        </w:tc>
        <w:tc>
          <w:tcPr>
            <w:tcW w:w="1350" w:type="dxa"/>
            <w:tcBorders>
              <w:top w:val="single" w:sz="4" w:space="0" w:color="auto"/>
              <w:bottom w:val="single" w:sz="4" w:space="0" w:color="auto"/>
            </w:tcBorders>
            <w:vAlign w:val="center"/>
          </w:tcPr>
          <w:p w:rsidR="00EA02D7" w:rsidRPr="003D01BB" w:rsidRDefault="00EA02D7" w:rsidP="00280A63">
            <w:pPr>
              <w:pStyle w:val="TAR"/>
              <w:rPr>
                <w:rFonts w:cs="Arial"/>
              </w:rPr>
            </w:pPr>
          </w:p>
        </w:tc>
        <w:tc>
          <w:tcPr>
            <w:tcW w:w="562" w:type="dxa"/>
            <w:tcBorders>
              <w:top w:val="single" w:sz="4" w:space="0" w:color="auto"/>
              <w:bottom w:val="single" w:sz="4" w:space="0" w:color="auto"/>
            </w:tcBorders>
          </w:tcPr>
          <w:p w:rsidR="00EA02D7" w:rsidRPr="003D01BB" w:rsidRDefault="00EA02D7" w:rsidP="00280A63">
            <w:pPr>
              <w:pStyle w:val="TAC"/>
              <w:rPr>
                <w:rFonts w:cs="Arial"/>
                <w:lang w:eastAsia="zh-CN"/>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rsidR="00EA02D7" w:rsidRPr="003D01BB" w:rsidRDefault="00EA02D7" w:rsidP="00280A63">
            <w:pPr>
              <w:pStyle w:val="TAL"/>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EA02D7" w:rsidRDefault="00EA02D7" w:rsidP="00280A63">
            <w:pPr>
              <w:pStyle w:val="TAC"/>
              <w:rPr>
                <w:rFonts w:cs="Arial"/>
              </w:rPr>
            </w:pPr>
            <w:r>
              <w:rPr>
                <w:rFonts w:cs="Arial"/>
              </w:rPr>
              <w:t>X</w:t>
            </w:r>
            <w:r w:rsidRPr="003D01BB">
              <w:rPr>
                <w:rFonts w:cs="Arial"/>
              </w:rPr>
              <w:t>DD</w:t>
            </w:r>
          </w:p>
        </w:tc>
      </w:tr>
    </w:tbl>
    <w:p w:rsidR="00ED19AF" w:rsidRPr="00ED19AF" w:rsidRDefault="00ED19AF" w:rsidP="00ED19AF">
      <w:pPr>
        <w:pStyle w:val="TH"/>
      </w:pPr>
      <w:r>
        <w:rPr>
          <w:rFonts w:hint="eastAsia"/>
        </w:rPr>
        <w:t xml:space="preserve"> </w:t>
      </w:r>
    </w:p>
    <w:p w:rsidR="00ED19AF" w:rsidRPr="00982B1F" w:rsidRDefault="00ED19AF" w:rsidP="00ED19AF">
      <w:pPr>
        <w:spacing w:line="360" w:lineRule="auto"/>
        <w:rPr>
          <w:b/>
        </w:rPr>
      </w:pPr>
      <w:r w:rsidRPr="00982B1F">
        <w:rPr>
          <w:rFonts w:hint="eastAsia"/>
          <w:b/>
        </w:rPr>
        <w:t xml:space="preserve">Proposal 1: We </w:t>
      </w:r>
      <w:r w:rsidR="00F7084F">
        <w:rPr>
          <w:rFonts w:hint="eastAsia"/>
          <w:b/>
        </w:rPr>
        <w:t>kindly ask RAN1</w:t>
      </w:r>
      <w:r w:rsidRPr="00982B1F">
        <w:rPr>
          <w:rFonts w:hint="eastAsia"/>
          <w:b/>
        </w:rPr>
        <w:t xml:space="preserve"> to clarify whether the uplink resources of TDD can be defined as SUL frequency.</w:t>
      </w:r>
    </w:p>
    <w:p w:rsidR="00F47E93" w:rsidRPr="00982B1F" w:rsidRDefault="00F47E93" w:rsidP="00ED19AF">
      <w:pPr>
        <w:spacing w:line="360" w:lineRule="auto"/>
        <w:rPr>
          <w:b/>
        </w:rPr>
      </w:pPr>
      <w:r>
        <w:rPr>
          <w:rFonts w:hint="eastAsia"/>
          <w:b/>
        </w:rPr>
        <w:lastRenderedPageBreak/>
        <w:t xml:space="preserve">Proposal </w:t>
      </w:r>
      <w:r w:rsidR="00B14C1D">
        <w:rPr>
          <w:rFonts w:hint="eastAsia"/>
          <w:b/>
        </w:rPr>
        <w:t>2</w:t>
      </w:r>
      <w:r>
        <w:rPr>
          <w:rFonts w:hint="eastAsia"/>
          <w:b/>
        </w:rPr>
        <w:t>:</w:t>
      </w:r>
      <w:r w:rsidRPr="00F47E93">
        <w:rPr>
          <w:rFonts w:hint="eastAsia"/>
          <w:b/>
        </w:rPr>
        <w:t xml:space="preserve"> </w:t>
      </w:r>
      <w:r w:rsidRPr="00982B1F">
        <w:rPr>
          <w:b/>
        </w:rPr>
        <w:t>If</w:t>
      </w:r>
      <w:r w:rsidRPr="00982B1F">
        <w:rPr>
          <w:rFonts w:hint="eastAsia"/>
          <w:b/>
        </w:rPr>
        <w:t xml:space="preserve"> the uplink resources of TDD can be defined as SUL frequency,</w:t>
      </w:r>
      <w:r>
        <w:rPr>
          <w:rFonts w:hint="eastAsia"/>
          <w:b/>
        </w:rPr>
        <w:t xml:space="preserve"> s</w:t>
      </w:r>
      <w:r w:rsidRPr="00F47E93">
        <w:rPr>
          <w:b/>
        </w:rPr>
        <w:t>en</w:t>
      </w:r>
      <w:r>
        <w:rPr>
          <w:rFonts w:hint="eastAsia"/>
          <w:b/>
        </w:rPr>
        <w:t>d</w:t>
      </w:r>
      <w:r w:rsidRPr="00F47E93">
        <w:rPr>
          <w:b/>
        </w:rPr>
        <w:t xml:space="preserve"> LS to RAN2 and RAN4</w:t>
      </w:r>
      <w:r>
        <w:rPr>
          <w:rFonts w:hint="eastAsia"/>
          <w:b/>
        </w:rPr>
        <w:t xml:space="preserve"> about the clarification.</w:t>
      </w:r>
    </w:p>
    <w:p w:rsidR="00ED19AF" w:rsidRPr="00ED19AF" w:rsidRDefault="00ED19AF" w:rsidP="00FF1F3A">
      <w:pPr>
        <w:spacing w:line="360" w:lineRule="auto"/>
      </w:pPr>
    </w:p>
    <w:p w:rsidR="00557405" w:rsidRPr="00FF1F3A" w:rsidRDefault="00927BC5" w:rsidP="00857077">
      <w:pPr>
        <w:pStyle w:val="2"/>
      </w:pPr>
      <w:r>
        <w:t>S</w:t>
      </w:r>
      <w:r>
        <w:rPr>
          <w:rFonts w:hint="eastAsia"/>
        </w:rPr>
        <w:t xml:space="preserve">ome </w:t>
      </w:r>
      <w:r w:rsidR="00B14C1D">
        <w:t>considerations</w:t>
      </w:r>
      <w:r>
        <w:rPr>
          <w:rFonts w:hint="eastAsia"/>
        </w:rPr>
        <w:t xml:space="preserve"> on TD</w:t>
      </w:r>
      <w:r w:rsidR="004B7DA6">
        <w:rPr>
          <w:rFonts w:hint="eastAsia"/>
        </w:rPr>
        <w:t>-LTE</w:t>
      </w:r>
    </w:p>
    <w:p w:rsidR="000C5519" w:rsidRDefault="000C5519" w:rsidP="003649A2">
      <w:pPr>
        <w:spacing w:line="360" w:lineRule="auto"/>
      </w:pPr>
      <w:r>
        <w:rPr>
          <w:rFonts w:hint="eastAsia"/>
        </w:rPr>
        <w:t xml:space="preserve">To support the uplink transmission of NR, the uplink resources </w:t>
      </w:r>
      <w:r w:rsidR="004B7DA6">
        <w:rPr>
          <w:rFonts w:hint="eastAsia"/>
        </w:rPr>
        <w:t xml:space="preserve">of TD-LTE </w:t>
      </w:r>
      <w:r>
        <w:rPr>
          <w:rFonts w:hint="eastAsia"/>
        </w:rPr>
        <w:t xml:space="preserve">can be assigned to NR. There are three </w:t>
      </w:r>
      <w:r w:rsidR="007E65B3" w:rsidRPr="007E65B3">
        <w:t>resource allocation</w:t>
      </w:r>
      <w:r w:rsidR="007E65B3" w:rsidRPr="007E65B3">
        <w:rPr>
          <w:rFonts w:hint="eastAsia"/>
        </w:rPr>
        <w:t xml:space="preserve"> </w:t>
      </w:r>
      <w:r>
        <w:rPr>
          <w:rFonts w:hint="eastAsia"/>
        </w:rPr>
        <w:t xml:space="preserve">schemes can </w:t>
      </w:r>
      <w:r w:rsidR="00A27A76">
        <w:rPr>
          <w:rFonts w:hint="eastAsia"/>
        </w:rPr>
        <w:t xml:space="preserve">be </w:t>
      </w:r>
      <w:r>
        <w:rPr>
          <w:rFonts w:hint="eastAsia"/>
        </w:rPr>
        <w:t xml:space="preserve">considered. </w:t>
      </w:r>
    </w:p>
    <w:p w:rsidR="008A2B08" w:rsidRDefault="00B75F54" w:rsidP="00B75F54">
      <w:pPr>
        <w:spacing w:line="360" w:lineRule="auto"/>
      </w:pPr>
      <w:r>
        <w:rPr>
          <w:rFonts w:hint="eastAsia"/>
        </w:rPr>
        <w:t>1</w:t>
      </w:r>
      <w:r>
        <w:rPr>
          <w:rFonts w:hint="eastAsia"/>
        </w:rPr>
        <w:t>）</w:t>
      </w:r>
      <w:r w:rsidR="00F47BC3">
        <w:rPr>
          <w:rFonts w:hint="eastAsia"/>
        </w:rPr>
        <w:t>Option</w:t>
      </w:r>
      <w:r w:rsidR="00C924A4">
        <w:rPr>
          <w:rFonts w:hint="eastAsia"/>
        </w:rPr>
        <w:t xml:space="preserve"> 1: </w:t>
      </w:r>
      <w:r w:rsidR="001F20DE">
        <w:t>O</w:t>
      </w:r>
      <w:r w:rsidR="001F20DE">
        <w:rPr>
          <w:rFonts w:hint="eastAsia"/>
        </w:rPr>
        <w:t>nly t</w:t>
      </w:r>
      <w:r w:rsidR="004B7DA6">
        <w:rPr>
          <w:rFonts w:hint="eastAsia"/>
        </w:rPr>
        <w:t xml:space="preserve">he uplink </w:t>
      </w:r>
      <w:r w:rsidR="00F47BC3">
        <w:rPr>
          <w:rFonts w:hint="eastAsia"/>
        </w:rPr>
        <w:t xml:space="preserve">normal </w:t>
      </w:r>
      <w:r w:rsidR="004B7DA6">
        <w:rPr>
          <w:rFonts w:hint="eastAsia"/>
        </w:rPr>
        <w:t>subframes</w:t>
      </w:r>
      <w:r w:rsidR="00B65DD5">
        <w:rPr>
          <w:rFonts w:hint="eastAsia"/>
        </w:rPr>
        <w:t xml:space="preserve"> </w:t>
      </w:r>
      <w:r w:rsidR="00DA2C31">
        <w:rPr>
          <w:rFonts w:hint="eastAsia"/>
        </w:rPr>
        <w:t>is defined for SUL</w:t>
      </w:r>
    </w:p>
    <w:p w:rsidR="00C924A4" w:rsidRDefault="008741FA" w:rsidP="00B75F54">
      <w:pPr>
        <w:spacing w:line="360" w:lineRule="auto"/>
      </w:pPr>
      <w:r>
        <w:t>C</w:t>
      </w:r>
      <w:r>
        <w:rPr>
          <w:rFonts w:hint="eastAsia"/>
        </w:rPr>
        <w:t xml:space="preserve">onsidering </w:t>
      </w:r>
      <w:r>
        <w:t>that</w:t>
      </w:r>
      <w:r>
        <w:rPr>
          <w:rFonts w:hint="eastAsia"/>
        </w:rPr>
        <w:t xml:space="preserve"> TD-LTE may adopt Massive MIMO to enhance the network ability,</w:t>
      </w:r>
      <w:r w:rsidR="003C3ADB">
        <w:rPr>
          <w:rFonts w:hint="eastAsia"/>
        </w:rPr>
        <w:t xml:space="preserve"> only the uplink subframes</w:t>
      </w:r>
      <w:r w:rsidR="004A11FB">
        <w:rPr>
          <w:rFonts w:hint="eastAsia"/>
        </w:rPr>
        <w:t xml:space="preserve"> of TD-LTE</w:t>
      </w:r>
      <w:r w:rsidR="003C3ADB">
        <w:rPr>
          <w:rFonts w:hint="eastAsia"/>
        </w:rPr>
        <w:t xml:space="preserve"> is assigned to the uplink transmission of NR</w:t>
      </w:r>
      <w:r>
        <w:rPr>
          <w:rFonts w:hint="eastAsia"/>
        </w:rPr>
        <w:t xml:space="preserve"> in scheme 1</w:t>
      </w:r>
      <w:r w:rsidR="003C3ADB">
        <w:rPr>
          <w:rFonts w:hint="eastAsia"/>
        </w:rPr>
        <w:t xml:space="preserve">. The UpPTS used for </w:t>
      </w:r>
      <w:r w:rsidR="00A27A76">
        <w:rPr>
          <w:rFonts w:hint="eastAsia"/>
        </w:rPr>
        <w:t xml:space="preserve">LTE </w:t>
      </w:r>
      <w:r w:rsidR="003C3ADB">
        <w:rPr>
          <w:rFonts w:hint="eastAsia"/>
        </w:rPr>
        <w:t>SRS transmission is reserved to TD-LTE</w:t>
      </w:r>
      <w:r>
        <w:rPr>
          <w:rFonts w:hint="eastAsia"/>
        </w:rPr>
        <w:t xml:space="preserve"> to acquire channel </w:t>
      </w:r>
      <w:r w:rsidRPr="008741FA">
        <w:t>reciprocity</w:t>
      </w:r>
      <w:r w:rsidR="003C3ADB">
        <w:rPr>
          <w:rFonts w:hint="eastAsia"/>
        </w:rPr>
        <w:t>.</w:t>
      </w:r>
    </w:p>
    <w:p w:rsidR="004B7DA6" w:rsidRDefault="00B75F54" w:rsidP="00B75F54">
      <w:pPr>
        <w:spacing w:line="360" w:lineRule="auto"/>
      </w:pPr>
      <w:r>
        <w:rPr>
          <w:rFonts w:hint="eastAsia"/>
        </w:rPr>
        <w:t>2</w:t>
      </w:r>
      <w:r>
        <w:rPr>
          <w:rFonts w:hint="eastAsia"/>
        </w:rPr>
        <w:t>）</w:t>
      </w:r>
      <w:r w:rsidR="00B32C3F">
        <w:rPr>
          <w:rFonts w:hint="eastAsia"/>
        </w:rPr>
        <w:t>Option</w:t>
      </w:r>
      <w:r w:rsidR="00C924A4">
        <w:rPr>
          <w:rFonts w:hint="eastAsia"/>
        </w:rPr>
        <w:t xml:space="preserve">2: </w:t>
      </w:r>
      <w:r w:rsidR="00073CE8">
        <w:rPr>
          <w:rFonts w:hint="eastAsia"/>
        </w:rPr>
        <w:t>All</w:t>
      </w:r>
      <w:r w:rsidR="00A27A76">
        <w:rPr>
          <w:rFonts w:hint="eastAsia"/>
        </w:rPr>
        <w:t xml:space="preserve"> the </w:t>
      </w:r>
      <w:r w:rsidR="004B7DA6">
        <w:rPr>
          <w:rFonts w:hint="eastAsia"/>
        </w:rPr>
        <w:t>uplink</w:t>
      </w:r>
      <w:r w:rsidR="007611FD">
        <w:rPr>
          <w:rFonts w:hint="eastAsia"/>
        </w:rPr>
        <w:t xml:space="preserve"> </w:t>
      </w:r>
      <w:r w:rsidR="007611FD">
        <w:rPr>
          <w:rFonts w:hint="eastAsia"/>
        </w:rPr>
        <w:t>normal</w:t>
      </w:r>
      <w:r w:rsidR="004B7DA6">
        <w:rPr>
          <w:rFonts w:hint="eastAsia"/>
        </w:rPr>
        <w:t xml:space="preserve"> subframe</w:t>
      </w:r>
      <w:r w:rsidR="001F20DE">
        <w:rPr>
          <w:rFonts w:hint="eastAsia"/>
        </w:rPr>
        <w:t>s</w:t>
      </w:r>
      <w:r w:rsidR="004B7DA6">
        <w:rPr>
          <w:rFonts w:hint="eastAsia"/>
        </w:rPr>
        <w:t xml:space="preserve"> </w:t>
      </w:r>
      <w:r w:rsidR="00B65DD5">
        <w:rPr>
          <w:rFonts w:hint="eastAsia"/>
        </w:rPr>
        <w:t>and</w:t>
      </w:r>
      <w:r w:rsidR="004B7DA6">
        <w:rPr>
          <w:rFonts w:hint="eastAsia"/>
        </w:rPr>
        <w:t xml:space="preserve"> UpPTS</w:t>
      </w:r>
      <w:r w:rsidR="001F20DE">
        <w:rPr>
          <w:rFonts w:hint="eastAsia"/>
        </w:rPr>
        <w:t xml:space="preserve"> </w:t>
      </w:r>
      <w:r w:rsidR="00DA2C31">
        <w:rPr>
          <w:rFonts w:hint="eastAsia"/>
        </w:rPr>
        <w:t>are defined for SUL</w:t>
      </w:r>
    </w:p>
    <w:p w:rsidR="00B65DD5" w:rsidRDefault="004A11FB" w:rsidP="00B75F54">
      <w:pPr>
        <w:spacing w:line="360" w:lineRule="auto"/>
      </w:pPr>
      <w:r>
        <w:rPr>
          <w:rFonts w:hint="eastAsia"/>
        </w:rPr>
        <w:t xml:space="preserve">In scheme 2, all the uplink subframes and UpPTS of TD-LTE are allocated to NR to provide better uplink coverage. </w:t>
      </w:r>
    </w:p>
    <w:p w:rsidR="001F20DE" w:rsidRDefault="00B75F54" w:rsidP="00B75F54">
      <w:pPr>
        <w:spacing w:line="360" w:lineRule="auto"/>
      </w:pPr>
      <w:r>
        <w:rPr>
          <w:rFonts w:hint="eastAsia"/>
        </w:rPr>
        <w:t>3</w:t>
      </w:r>
      <w:r>
        <w:rPr>
          <w:rFonts w:hint="eastAsia"/>
        </w:rPr>
        <w:t>）</w:t>
      </w:r>
      <w:r w:rsidR="00B32C3F">
        <w:rPr>
          <w:rFonts w:hint="eastAsia"/>
        </w:rPr>
        <w:t>Option</w:t>
      </w:r>
      <w:r w:rsidR="00C924A4">
        <w:rPr>
          <w:rFonts w:hint="eastAsia"/>
        </w:rPr>
        <w:t xml:space="preserve"> 3: </w:t>
      </w:r>
      <w:r w:rsidR="00073CE8">
        <w:rPr>
          <w:rFonts w:hint="eastAsia"/>
        </w:rPr>
        <w:t>All</w:t>
      </w:r>
      <w:r w:rsidR="00664E97">
        <w:rPr>
          <w:rFonts w:hint="eastAsia"/>
        </w:rPr>
        <w:t xml:space="preserve"> the </w:t>
      </w:r>
      <w:r w:rsidR="001F20DE">
        <w:rPr>
          <w:rFonts w:hint="eastAsia"/>
        </w:rPr>
        <w:t xml:space="preserve">uplink </w:t>
      </w:r>
      <w:r w:rsidR="007611FD">
        <w:rPr>
          <w:rFonts w:hint="eastAsia"/>
        </w:rPr>
        <w:t>normal</w:t>
      </w:r>
      <w:r w:rsidR="007611FD">
        <w:rPr>
          <w:rFonts w:hint="eastAsia"/>
        </w:rPr>
        <w:t xml:space="preserve"> </w:t>
      </w:r>
      <w:r w:rsidR="001F20DE">
        <w:rPr>
          <w:rFonts w:hint="eastAsia"/>
        </w:rPr>
        <w:t xml:space="preserve">subframes </w:t>
      </w:r>
      <w:r w:rsidR="00B65DD5">
        <w:rPr>
          <w:rFonts w:hint="eastAsia"/>
        </w:rPr>
        <w:t>and</w:t>
      </w:r>
      <w:r w:rsidR="001F20DE">
        <w:rPr>
          <w:rFonts w:hint="eastAsia"/>
        </w:rPr>
        <w:t xml:space="preserve"> UpPTS </w:t>
      </w:r>
      <w:r w:rsidR="00073CE8">
        <w:rPr>
          <w:rFonts w:hint="eastAsia"/>
        </w:rPr>
        <w:t>except</w:t>
      </w:r>
      <w:r w:rsidR="001F20DE">
        <w:rPr>
          <w:rFonts w:hint="eastAsia"/>
        </w:rPr>
        <w:t xml:space="preserve"> </w:t>
      </w:r>
      <w:r w:rsidR="00073CE8">
        <w:rPr>
          <w:rFonts w:hint="eastAsia"/>
        </w:rPr>
        <w:t xml:space="preserve">those </w:t>
      </w:r>
      <w:r w:rsidR="001F20DE">
        <w:rPr>
          <w:rFonts w:hint="eastAsia"/>
        </w:rPr>
        <w:t xml:space="preserve">for periodic </w:t>
      </w:r>
      <w:r w:rsidR="00AE1779">
        <w:rPr>
          <w:rFonts w:hint="eastAsia"/>
        </w:rPr>
        <w:t xml:space="preserve">or aperiodic </w:t>
      </w:r>
      <w:r w:rsidR="00073CE8">
        <w:rPr>
          <w:rFonts w:hint="eastAsia"/>
        </w:rPr>
        <w:t xml:space="preserve">LTE </w:t>
      </w:r>
      <w:r w:rsidR="001F20DE">
        <w:rPr>
          <w:rFonts w:hint="eastAsia"/>
        </w:rPr>
        <w:t xml:space="preserve">SRS </w:t>
      </w:r>
      <w:r w:rsidR="00073CE8">
        <w:rPr>
          <w:rFonts w:hint="eastAsia"/>
        </w:rPr>
        <w:t>are defined for SUL</w:t>
      </w:r>
    </w:p>
    <w:p w:rsidR="004B7DA6" w:rsidRDefault="00B32C3F" w:rsidP="00B75F54">
      <w:pPr>
        <w:spacing w:line="360" w:lineRule="auto"/>
      </w:pPr>
      <w:r>
        <w:rPr>
          <w:rFonts w:hint="eastAsia"/>
        </w:rPr>
        <w:t xml:space="preserve">Option </w:t>
      </w:r>
      <w:r w:rsidR="00AE1779">
        <w:rPr>
          <w:rFonts w:hint="eastAsia"/>
        </w:rPr>
        <w:t xml:space="preserve">3 is a </w:t>
      </w:r>
      <w:r w:rsidR="00AE1779" w:rsidRPr="00AE1779">
        <w:t>compromise between</w:t>
      </w:r>
      <w:r w:rsidR="00AE1779">
        <w:rPr>
          <w:rFonts w:hint="eastAsia"/>
        </w:rPr>
        <w:t xml:space="preserve"> </w:t>
      </w:r>
      <w:r>
        <w:rPr>
          <w:rFonts w:hint="eastAsia"/>
        </w:rPr>
        <w:t xml:space="preserve">Option </w:t>
      </w:r>
      <w:r w:rsidR="00AE1779">
        <w:rPr>
          <w:rFonts w:hint="eastAsia"/>
        </w:rPr>
        <w:t xml:space="preserve">1 and </w:t>
      </w:r>
      <w:r>
        <w:rPr>
          <w:rFonts w:hint="eastAsia"/>
        </w:rPr>
        <w:t>Option</w:t>
      </w:r>
      <w:r w:rsidR="00AE1779">
        <w:rPr>
          <w:rFonts w:hint="eastAsia"/>
        </w:rPr>
        <w:t xml:space="preserve"> 2. It reserves</w:t>
      </w:r>
      <w:r w:rsidR="00D85B12">
        <w:rPr>
          <w:rFonts w:hint="eastAsia"/>
        </w:rPr>
        <w:t xml:space="preserve"> some </w:t>
      </w:r>
      <w:r w:rsidR="00D85B12" w:rsidRPr="00D85B12">
        <w:t>necessary</w:t>
      </w:r>
      <w:r w:rsidR="00AE1779">
        <w:rPr>
          <w:rFonts w:hint="eastAsia"/>
        </w:rPr>
        <w:t xml:space="preserve"> resources</w:t>
      </w:r>
      <w:r w:rsidR="00D85B12">
        <w:rPr>
          <w:rFonts w:hint="eastAsia"/>
        </w:rPr>
        <w:t xml:space="preserve"> </w:t>
      </w:r>
      <w:r w:rsidR="009118B9">
        <w:rPr>
          <w:rFonts w:hint="eastAsia"/>
        </w:rPr>
        <w:t xml:space="preserve">for </w:t>
      </w:r>
      <w:r w:rsidR="00AE1779">
        <w:rPr>
          <w:rFonts w:hint="eastAsia"/>
        </w:rPr>
        <w:t>TD-LTE</w:t>
      </w:r>
      <w:r w:rsidR="009118B9">
        <w:rPr>
          <w:rFonts w:hint="eastAsia"/>
        </w:rPr>
        <w:t xml:space="preserve"> </w:t>
      </w:r>
      <w:r w:rsidR="00D85B12">
        <w:rPr>
          <w:rFonts w:hint="eastAsia"/>
        </w:rPr>
        <w:t>(</w:t>
      </w:r>
      <w:r w:rsidR="00AE1779">
        <w:rPr>
          <w:rFonts w:hint="eastAsia"/>
        </w:rPr>
        <w:t>with Massive MIMO</w:t>
      </w:r>
      <w:r w:rsidR="00D85B12">
        <w:rPr>
          <w:rFonts w:hint="eastAsia"/>
        </w:rPr>
        <w:t>)</w:t>
      </w:r>
      <w:r w:rsidR="00AE1779">
        <w:rPr>
          <w:rFonts w:hint="eastAsia"/>
        </w:rPr>
        <w:t xml:space="preserve"> </w:t>
      </w:r>
      <w:r w:rsidR="009118B9">
        <w:rPr>
          <w:rFonts w:hint="eastAsia"/>
        </w:rPr>
        <w:t>SRS</w:t>
      </w:r>
      <w:r>
        <w:rPr>
          <w:rFonts w:hint="eastAsia"/>
        </w:rPr>
        <w:t xml:space="preserve"> for acquiring </w:t>
      </w:r>
      <w:r w:rsidR="00AE1779">
        <w:rPr>
          <w:rFonts w:hint="eastAsia"/>
        </w:rPr>
        <w:t>channel reciprocity.</w:t>
      </w:r>
    </w:p>
    <w:p w:rsidR="005869D5" w:rsidRPr="004B7DA6" w:rsidRDefault="005869D5" w:rsidP="001F20DE">
      <w:pPr>
        <w:jc w:val="left"/>
      </w:pPr>
    </w:p>
    <w:p w:rsidR="008A2B08" w:rsidRPr="007F66E5" w:rsidRDefault="007F66E5" w:rsidP="000A4996">
      <w:pPr>
        <w:spacing w:line="360" w:lineRule="auto"/>
        <w:rPr>
          <w:b/>
        </w:rPr>
      </w:pPr>
      <w:bookmarkStart w:id="16" w:name="OLE_LINK105"/>
      <w:bookmarkStart w:id="17" w:name="OLE_LINK106"/>
      <w:r w:rsidRPr="00521501">
        <w:rPr>
          <w:b/>
        </w:rPr>
        <w:t xml:space="preserve">Proposal </w:t>
      </w:r>
      <w:r w:rsidR="00B14C1D">
        <w:rPr>
          <w:rFonts w:hint="eastAsia"/>
          <w:b/>
        </w:rPr>
        <w:t>3</w:t>
      </w:r>
      <w:r w:rsidRPr="00521501">
        <w:rPr>
          <w:b/>
        </w:rPr>
        <w:t xml:space="preserve">: </w:t>
      </w:r>
      <w:r w:rsidR="000A4996" w:rsidRPr="00521501">
        <w:rPr>
          <w:rFonts w:hint="eastAsia"/>
          <w:b/>
        </w:rPr>
        <w:t>Th</w:t>
      </w:r>
      <w:r w:rsidR="00B32C3F">
        <w:rPr>
          <w:rFonts w:hint="eastAsia"/>
          <w:b/>
        </w:rPr>
        <w:t>re</w:t>
      </w:r>
      <w:r w:rsidR="000A4996" w:rsidRPr="00521501">
        <w:rPr>
          <w:rFonts w:hint="eastAsia"/>
          <w:b/>
        </w:rPr>
        <w:t xml:space="preserve">e resource allocation </w:t>
      </w:r>
      <w:r w:rsidR="00B32C3F">
        <w:rPr>
          <w:rFonts w:hint="eastAsia"/>
          <w:b/>
        </w:rPr>
        <w:t xml:space="preserve">options </w:t>
      </w:r>
      <w:r w:rsidR="009118B9">
        <w:rPr>
          <w:rFonts w:hint="eastAsia"/>
          <w:b/>
        </w:rPr>
        <w:t>for SUL</w:t>
      </w:r>
      <w:r w:rsidR="000A4996" w:rsidRPr="00521501">
        <w:rPr>
          <w:rFonts w:hint="eastAsia"/>
          <w:b/>
        </w:rPr>
        <w:t xml:space="preserve"> </w:t>
      </w:r>
      <w:r w:rsidR="009118B9">
        <w:rPr>
          <w:rFonts w:hint="eastAsia"/>
          <w:b/>
        </w:rPr>
        <w:t>on</w:t>
      </w:r>
      <w:r w:rsidR="009118B9" w:rsidRPr="00521501">
        <w:rPr>
          <w:rFonts w:hint="eastAsia"/>
          <w:b/>
        </w:rPr>
        <w:t xml:space="preserve"> </w:t>
      </w:r>
      <w:r w:rsidR="009118B9">
        <w:rPr>
          <w:rFonts w:hint="eastAsia"/>
          <w:b/>
        </w:rPr>
        <w:t>TDD band</w:t>
      </w:r>
      <w:r w:rsidR="000A4996" w:rsidRPr="00521501">
        <w:rPr>
          <w:rFonts w:hint="eastAsia"/>
          <w:b/>
        </w:rPr>
        <w:t xml:space="preserve"> need to be studied</w:t>
      </w:r>
      <w:r w:rsidR="00607E48" w:rsidRPr="00521501">
        <w:rPr>
          <w:b/>
        </w:rPr>
        <w:t>.</w:t>
      </w:r>
    </w:p>
    <w:bookmarkEnd w:id="16"/>
    <w:bookmarkEnd w:id="17"/>
    <w:p w:rsidR="00803624" w:rsidRPr="00F50E9B" w:rsidRDefault="00C60F2F" w:rsidP="00690B2D">
      <w:pPr>
        <w:pStyle w:val="1"/>
      </w:pPr>
      <w:r w:rsidRPr="00F50E9B">
        <w:t>Conclusion</w:t>
      </w:r>
    </w:p>
    <w:p w:rsidR="00803624" w:rsidRDefault="00C60F2F" w:rsidP="0033232E">
      <w:r w:rsidRPr="0033232E">
        <w:t xml:space="preserve">Based on the </w:t>
      </w:r>
      <w:r w:rsidR="00F47BC3">
        <w:rPr>
          <w:rFonts w:hint="eastAsia"/>
        </w:rPr>
        <w:t xml:space="preserve">above discussion, </w:t>
      </w:r>
      <w:r w:rsidRPr="0033232E">
        <w:t xml:space="preserve">the following </w:t>
      </w:r>
      <w:r w:rsidR="00F47BC3">
        <w:t xml:space="preserve">proposals </w:t>
      </w:r>
      <w:r w:rsidR="00F47BC3">
        <w:rPr>
          <w:rFonts w:hint="eastAsia"/>
        </w:rPr>
        <w:t>are given as below</w:t>
      </w:r>
      <w:r w:rsidRPr="0033232E">
        <w:t>:</w:t>
      </w:r>
    </w:p>
    <w:p w:rsidR="00791699" w:rsidRPr="00982B1F" w:rsidRDefault="00791699" w:rsidP="00791699">
      <w:pPr>
        <w:spacing w:line="360" w:lineRule="auto"/>
        <w:rPr>
          <w:b/>
        </w:rPr>
      </w:pPr>
      <w:r w:rsidRPr="00982B1F">
        <w:rPr>
          <w:rFonts w:hint="eastAsia"/>
          <w:b/>
        </w:rPr>
        <w:t xml:space="preserve">Proposal 1: </w:t>
      </w:r>
      <w:r w:rsidR="00B32C3F" w:rsidRPr="00982B1F">
        <w:rPr>
          <w:rFonts w:hint="eastAsia"/>
          <w:b/>
        </w:rPr>
        <w:t xml:space="preserve">We </w:t>
      </w:r>
      <w:r w:rsidR="00B32C3F">
        <w:rPr>
          <w:rFonts w:hint="eastAsia"/>
          <w:b/>
        </w:rPr>
        <w:t>kindly ask RAN1</w:t>
      </w:r>
      <w:r w:rsidR="00B32C3F" w:rsidRPr="00982B1F">
        <w:rPr>
          <w:rFonts w:hint="eastAsia"/>
          <w:b/>
        </w:rPr>
        <w:t xml:space="preserve"> to clarify whether the uplink resources of TDD can be defined as SUL frequency.</w:t>
      </w:r>
    </w:p>
    <w:p w:rsidR="00DE69F8" w:rsidRPr="00DE69F8" w:rsidRDefault="00DE69F8" w:rsidP="00791699">
      <w:pPr>
        <w:spacing w:line="360" w:lineRule="auto"/>
        <w:rPr>
          <w:b/>
        </w:rPr>
      </w:pPr>
      <w:r>
        <w:rPr>
          <w:rFonts w:hint="eastAsia"/>
          <w:b/>
        </w:rPr>
        <w:t xml:space="preserve">Proposal </w:t>
      </w:r>
      <w:r w:rsidR="00B14C1D">
        <w:rPr>
          <w:rFonts w:hint="eastAsia"/>
          <w:b/>
        </w:rPr>
        <w:t>2</w:t>
      </w:r>
      <w:r>
        <w:rPr>
          <w:rFonts w:hint="eastAsia"/>
          <w:b/>
        </w:rPr>
        <w:t>:</w:t>
      </w:r>
      <w:r w:rsidRPr="00F47E93">
        <w:rPr>
          <w:rFonts w:hint="eastAsia"/>
          <w:b/>
        </w:rPr>
        <w:t xml:space="preserve"> </w:t>
      </w:r>
      <w:r w:rsidRPr="00982B1F">
        <w:rPr>
          <w:b/>
        </w:rPr>
        <w:t>If</w:t>
      </w:r>
      <w:r w:rsidRPr="00982B1F">
        <w:rPr>
          <w:rFonts w:hint="eastAsia"/>
          <w:b/>
        </w:rPr>
        <w:t xml:space="preserve"> the uplink resources of TDD can be defined as SUL frequency,</w:t>
      </w:r>
      <w:r>
        <w:rPr>
          <w:rFonts w:hint="eastAsia"/>
          <w:b/>
        </w:rPr>
        <w:t xml:space="preserve"> s</w:t>
      </w:r>
      <w:r w:rsidRPr="00F47E93">
        <w:rPr>
          <w:b/>
        </w:rPr>
        <w:t>en</w:t>
      </w:r>
      <w:r>
        <w:rPr>
          <w:rFonts w:hint="eastAsia"/>
          <w:b/>
        </w:rPr>
        <w:t>d</w:t>
      </w:r>
      <w:r w:rsidRPr="00F47E93">
        <w:rPr>
          <w:b/>
        </w:rPr>
        <w:t xml:space="preserve"> LS to RAN2 and RAN4</w:t>
      </w:r>
      <w:r>
        <w:rPr>
          <w:rFonts w:hint="eastAsia"/>
          <w:b/>
        </w:rPr>
        <w:t xml:space="preserve"> about the clarification.</w:t>
      </w:r>
    </w:p>
    <w:p w:rsidR="00F55513" w:rsidRPr="00791699" w:rsidRDefault="00791699" w:rsidP="001754D7">
      <w:pPr>
        <w:spacing w:line="360" w:lineRule="auto"/>
        <w:rPr>
          <w:b/>
        </w:rPr>
      </w:pPr>
      <w:r w:rsidRPr="00521501">
        <w:rPr>
          <w:b/>
        </w:rPr>
        <w:t xml:space="preserve">Proposal </w:t>
      </w:r>
      <w:r w:rsidR="00B14C1D">
        <w:rPr>
          <w:rFonts w:hint="eastAsia"/>
          <w:b/>
        </w:rPr>
        <w:t>3</w:t>
      </w:r>
      <w:r w:rsidRPr="00521501">
        <w:rPr>
          <w:b/>
        </w:rPr>
        <w:t xml:space="preserve">: </w:t>
      </w:r>
      <w:r w:rsidRPr="00521501">
        <w:rPr>
          <w:rFonts w:hint="eastAsia"/>
          <w:b/>
        </w:rPr>
        <w:t>Th</w:t>
      </w:r>
      <w:r w:rsidR="00B32C3F">
        <w:rPr>
          <w:rFonts w:hint="eastAsia"/>
          <w:b/>
        </w:rPr>
        <w:t>re</w:t>
      </w:r>
      <w:r w:rsidRPr="00521501">
        <w:rPr>
          <w:rFonts w:hint="eastAsia"/>
          <w:b/>
        </w:rPr>
        <w:t xml:space="preserve">e resource allocation </w:t>
      </w:r>
      <w:r w:rsidR="00B32C3F">
        <w:rPr>
          <w:rFonts w:hint="eastAsia"/>
          <w:b/>
        </w:rPr>
        <w:t>options</w:t>
      </w:r>
      <w:r w:rsidR="00B32C3F" w:rsidRPr="00521501">
        <w:rPr>
          <w:rFonts w:hint="eastAsia"/>
          <w:b/>
        </w:rPr>
        <w:t xml:space="preserve"> </w:t>
      </w:r>
      <w:r w:rsidR="0096640C">
        <w:rPr>
          <w:rFonts w:hint="eastAsia"/>
          <w:b/>
        </w:rPr>
        <w:t>for SUL on TDD band</w:t>
      </w:r>
      <w:r w:rsidRPr="00521501">
        <w:rPr>
          <w:rFonts w:hint="eastAsia"/>
          <w:b/>
        </w:rPr>
        <w:t xml:space="preserve"> need to be studied</w:t>
      </w:r>
      <w:r w:rsidRPr="00521501">
        <w:rPr>
          <w:b/>
        </w:rPr>
        <w:t>.</w:t>
      </w:r>
    </w:p>
    <w:p w:rsidR="0033232E" w:rsidRPr="00F50E9B" w:rsidRDefault="0033232E" w:rsidP="0033232E">
      <w:pPr>
        <w:pStyle w:val="1"/>
      </w:pPr>
      <w:r>
        <w:rPr>
          <w:rFonts w:hint="eastAsia"/>
        </w:rPr>
        <w:t>Reference</w:t>
      </w:r>
    </w:p>
    <w:p w:rsidR="00780AFF" w:rsidRDefault="00780AFF" w:rsidP="00830C54">
      <w:pPr>
        <w:pStyle w:val="References"/>
      </w:pPr>
      <w:bookmarkStart w:id="18" w:name="_Ref473050685"/>
      <w:bookmarkStart w:id="19" w:name="_Ref473013115"/>
      <w:bookmarkStart w:id="20" w:name="_Ref473016322"/>
      <w:bookmarkStart w:id="21" w:name="_Ref477166609"/>
      <w:bookmarkStart w:id="22" w:name="_Ref473886006"/>
      <w:bookmarkStart w:id="23" w:name="_Ref473040244"/>
      <w:bookmarkStart w:id="24" w:name="_Ref473102286"/>
      <w:r w:rsidRPr="00780AFF">
        <w:t>R1-1709732</w:t>
      </w:r>
      <w:r w:rsidRPr="00A27342">
        <w:t>, “</w:t>
      </w:r>
      <w:r w:rsidRPr="00780AFF">
        <w:rPr>
          <w:lang w:val="en-GB"/>
        </w:rPr>
        <w:t>Way forward on the support of Supplementary Uplink in NR</w:t>
      </w:r>
      <w:r w:rsidRPr="00A27342">
        <w:t xml:space="preserve">”, </w:t>
      </w:r>
      <w:r w:rsidRPr="00A25352">
        <w:rPr>
          <w:lang w:val="en-GB"/>
        </w:rPr>
        <w:t>CMCC</w:t>
      </w:r>
      <w:r w:rsidRPr="00A27342">
        <w:t xml:space="preserve">, </w:t>
      </w:r>
      <w:r w:rsidRPr="00780AFF">
        <w:rPr>
          <w:lang w:eastAsia="zh-CN"/>
        </w:rPr>
        <w:t>Hangzhou</w:t>
      </w:r>
      <w:r w:rsidRPr="00A27342">
        <w:t xml:space="preserve">, China, </w:t>
      </w:r>
      <w:r>
        <w:rPr>
          <w:rFonts w:hint="eastAsia"/>
          <w:lang w:eastAsia="zh-CN"/>
        </w:rPr>
        <w:t>15</w:t>
      </w:r>
      <w:r w:rsidRPr="00A27342">
        <w:t>-</w:t>
      </w:r>
      <w:r>
        <w:rPr>
          <w:rFonts w:hint="eastAsia"/>
          <w:lang w:eastAsia="zh-CN"/>
        </w:rPr>
        <w:t>1</w:t>
      </w:r>
      <w:r w:rsidRPr="00A27342">
        <w:t>9</w:t>
      </w:r>
      <w:r w:rsidRPr="00480F57">
        <w:t xml:space="preserve"> </w:t>
      </w:r>
      <w:r>
        <w:rPr>
          <w:rFonts w:hint="eastAsia"/>
          <w:lang w:eastAsia="zh-CN"/>
        </w:rPr>
        <w:t>May</w:t>
      </w:r>
      <w:r w:rsidRPr="00A27342">
        <w:t>, 2017</w:t>
      </w:r>
      <w:r>
        <w:t>.</w:t>
      </w:r>
    </w:p>
    <w:p w:rsidR="00295A6F" w:rsidRPr="0016443B" w:rsidRDefault="00830C54" w:rsidP="00295A6F">
      <w:pPr>
        <w:pStyle w:val="References"/>
      </w:pPr>
      <w:r w:rsidRPr="00ED7D1D">
        <w:rPr>
          <w:lang w:eastAsia="zh-CN"/>
        </w:rPr>
        <w:t>R</w:t>
      </w:r>
      <w:r w:rsidR="00A25352">
        <w:rPr>
          <w:rFonts w:hint="eastAsia"/>
          <w:lang w:eastAsia="zh-CN"/>
        </w:rPr>
        <w:t>4</w:t>
      </w:r>
      <w:r w:rsidRPr="00ED7D1D">
        <w:rPr>
          <w:lang w:eastAsia="zh-CN"/>
        </w:rPr>
        <w:t>-170</w:t>
      </w:r>
      <w:r w:rsidR="00A25352">
        <w:rPr>
          <w:rFonts w:hint="eastAsia"/>
          <w:lang w:eastAsia="zh-CN"/>
        </w:rPr>
        <w:t>696</w:t>
      </w:r>
      <w:r w:rsidRPr="00ED7D1D">
        <w:rPr>
          <w:lang w:eastAsia="zh-CN"/>
        </w:rPr>
        <w:t>6</w:t>
      </w:r>
      <w:r w:rsidRPr="00A27342">
        <w:t>, “</w:t>
      </w:r>
      <w:r w:rsidR="00A25352" w:rsidRPr="00A25352">
        <w:rPr>
          <w:lang w:val="en-GB"/>
        </w:rPr>
        <w:t>WF on SUL band definition</w:t>
      </w:r>
      <w:r w:rsidRPr="00A27342">
        <w:t xml:space="preserve">”, </w:t>
      </w:r>
      <w:r w:rsidR="00A25352" w:rsidRPr="00A25352">
        <w:rPr>
          <w:lang w:val="en-GB"/>
        </w:rPr>
        <w:t>CMCC</w:t>
      </w:r>
      <w:r w:rsidRPr="00A27342">
        <w:t xml:space="preserve">, </w:t>
      </w:r>
      <w:r w:rsidR="00A25352">
        <w:rPr>
          <w:rFonts w:hint="eastAsia"/>
          <w:lang w:eastAsia="zh-CN"/>
        </w:rPr>
        <w:t>Qingdao</w:t>
      </w:r>
      <w:r w:rsidRPr="00A27342">
        <w:t xml:space="preserve">, China, </w:t>
      </w:r>
      <w:r w:rsidR="00A25352">
        <w:rPr>
          <w:rFonts w:hint="eastAsia"/>
          <w:lang w:eastAsia="zh-CN"/>
        </w:rPr>
        <w:t>27</w:t>
      </w:r>
      <w:r w:rsidRPr="00A27342">
        <w:t>-</w:t>
      </w:r>
      <w:r w:rsidR="00A25352">
        <w:rPr>
          <w:rFonts w:hint="eastAsia"/>
          <w:lang w:eastAsia="zh-CN"/>
        </w:rPr>
        <w:t>2</w:t>
      </w:r>
      <w:r w:rsidRPr="00A27342">
        <w:t>9</w:t>
      </w:r>
      <w:r w:rsidRPr="00480F57">
        <w:t xml:space="preserve"> </w:t>
      </w:r>
      <w:r w:rsidR="00A25352">
        <w:rPr>
          <w:rFonts w:hint="eastAsia"/>
          <w:lang w:eastAsia="zh-CN"/>
        </w:rPr>
        <w:t>June</w:t>
      </w:r>
      <w:r w:rsidRPr="00A27342">
        <w:t>, 2017</w:t>
      </w:r>
      <w:r>
        <w:t>.</w:t>
      </w:r>
      <w:bookmarkEnd w:id="18"/>
      <w:bookmarkEnd w:id="19"/>
      <w:bookmarkEnd w:id="20"/>
      <w:bookmarkEnd w:id="21"/>
      <w:bookmarkEnd w:id="22"/>
      <w:bookmarkEnd w:id="23"/>
      <w:bookmarkEnd w:id="24"/>
    </w:p>
    <w:p w:rsidR="00803624" w:rsidRPr="00A25352" w:rsidRDefault="00803624" w:rsidP="001E4CE7">
      <w:pPr>
        <w:pStyle w:val="Reference"/>
        <w:numPr>
          <w:ilvl w:val="0"/>
          <w:numId w:val="0"/>
        </w:numPr>
        <w:ind w:left="567" w:hanging="567"/>
        <w:jc w:val="center"/>
      </w:pPr>
    </w:p>
    <w:sectPr w:rsidR="00803624" w:rsidRPr="00A25352" w:rsidSect="001D13AD">
      <w:head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86E" w:rsidRDefault="0007586E">
      <w:r>
        <w:separator/>
      </w:r>
    </w:p>
  </w:endnote>
  <w:endnote w:type="continuationSeparator" w:id="1">
    <w:p w:rsidR="0007586E" w:rsidRDefault="000758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C98" w:rsidRDefault="00090C98" w:rsidP="00313FD6">
    <w:pPr>
      <w:pStyle w:val="ac"/>
      <w:tabs>
        <w:tab w:val="center" w:pos="4820"/>
        <w:tab w:val="right" w:pos="9639"/>
      </w:tabs>
      <w:jc w:val="left"/>
    </w:pPr>
    <w:r>
      <w:tab/>
    </w:r>
    <w:r w:rsidR="00745A52">
      <w:rPr>
        <w:rStyle w:val="ae"/>
        <w:rFonts w:cs="Arial"/>
      </w:rPr>
      <w:fldChar w:fldCharType="begin"/>
    </w:r>
    <w:r>
      <w:rPr>
        <w:rStyle w:val="ae"/>
        <w:rFonts w:cs="Arial"/>
      </w:rPr>
      <w:instrText xml:space="preserve"> PAGE </w:instrText>
    </w:r>
    <w:r w:rsidR="00745A52">
      <w:rPr>
        <w:rStyle w:val="ae"/>
        <w:rFonts w:cs="Arial"/>
      </w:rPr>
      <w:fldChar w:fldCharType="separate"/>
    </w:r>
    <w:r w:rsidR="004C3445">
      <w:rPr>
        <w:rStyle w:val="ae"/>
        <w:rFonts w:cs="Arial"/>
        <w:noProof/>
      </w:rPr>
      <w:t>3</w:t>
    </w:r>
    <w:r w:rsidR="00745A52">
      <w:rPr>
        <w:rStyle w:val="ae"/>
        <w:rFonts w:cs="Arial"/>
      </w:rPr>
      <w:fldChar w:fldCharType="end"/>
    </w:r>
    <w:r>
      <w:rPr>
        <w:rStyle w:val="ae"/>
        <w:rFonts w:cs="Arial"/>
      </w:rPr>
      <w:t>/</w:t>
    </w:r>
    <w:r w:rsidR="00745A52">
      <w:rPr>
        <w:rStyle w:val="ae"/>
        <w:rFonts w:cs="Arial"/>
      </w:rPr>
      <w:fldChar w:fldCharType="begin"/>
    </w:r>
    <w:r>
      <w:rPr>
        <w:rStyle w:val="ae"/>
        <w:rFonts w:cs="Arial"/>
      </w:rPr>
      <w:instrText xml:space="preserve"> NUMPAGES </w:instrText>
    </w:r>
    <w:r w:rsidR="00745A52">
      <w:rPr>
        <w:rStyle w:val="ae"/>
        <w:rFonts w:cs="Arial"/>
      </w:rPr>
      <w:fldChar w:fldCharType="separate"/>
    </w:r>
    <w:r w:rsidR="004C3445">
      <w:rPr>
        <w:rStyle w:val="ae"/>
        <w:rFonts w:cs="Arial"/>
        <w:noProof/>
      </w:rPr>
      <w:t>3</w:t>
    </w:r>
    <w:r w:rsidR="00745A52">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86E" w:rsidRDefault="0007586E">
      <w:r>
        <w:separator/>
      </w:r>
    </w:p>
  </w:footnote>
  <w:footnote w:type="continuationSeparator" w:id="1">
    <w:p w:rsidR="0007586E" w:rsidRDefault="00075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C98" w:rsidRDefault="00090C98">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10128FE"/>
    <w:multiLevelType w:val="hybridMultilevel"/>
    <w:tmpl w:val="D6840174"/>
    <w:lvl w:ilvl="0" w:tplc="C2E2D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949A9"/>
    <w:multiLevelType w:val="hybridMultilevel"/>
    <w:tmpl w:val="570CE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F46E2"/>
    <w:multiLevelType w:val="hybridMultilevel"/>
    <w:tmpl w:val="37A40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61134C"/>
    <w:multiLevelType w:val="hybridMultilevel"/>
    <w:tmpl w:val="762C112E"/>
    <w:lvl w:ilvl="0" w:tplc="EF8A4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C63790"/>
    <w:multiLevelType w:val="hybridMultilevel"/>
    <w:tmpl w:val="4246F314"/>
    <w:lvl w:ilvl="0" w:tplc="AB08F97C">
      <w:numFmt w:val="bullet"/>
      <w:lvlText w:val="-"/>
      <w:lvlJc w:val="left"/>
      <w:pPr>
        <w:ind w:left="904" w:hanging="420"/>
      </w:pPr>
      <w:rPr>
        <w:rFonts w:ascii="Times New Roman" w:eastAsia="Calibri" w:hAnsi="Times New Roman" w:cs="Times New Roman" w:hint="default"/>
      </w:rPr>
    </w:lvl>
    <w:lvl w:ilvl="1" w:tplc="B2448674">
      <w:numFmt w:val="bullet"/>
      <w:lvlText w:val="–"/>
      <w:lvlJc w:val="left"/>
      <w:pPr>
        <w:ind w:left="1324" w:hanging="420"/>
      </w:pPr>
      <w:rPr>
        <w:rFonts w:ascii="Times New Roman" w:hAnsi="Times New Roman"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7522958"/>
    <w:multiLevelType w:val="hybridMultilevel"/>
    <w:tmpl w:val="139EFE86"/>
    <w:lvl w:ilvl="0" w:tplc="4586B7BA">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470C06"/>
    <w:multiLevelType w:val="hybridMultilevel"/>
    <w:tmpl w:val="6B38A4F4"/>
    <w:lvl w:ilvl="0" w:tplc="99AC0492">
      <w:start w:val="1"/>
      <w:numFmt w:val="bullet"/>
      <w:lvlText w:val="•"/>
      <w:lvlJc w:val="left"/>
      <w:pPr>
        <w:ind w:left="704" w:hanging="420"/>
      </w:pPr>
      <w:rPr>
        <w:rFonts w:ascii="Times New Roman" w:hAnsi="Times New Roman" w:hint="default"/>
      </w:rPr>
    </w:lvl>
    <w:lvl w:ilvl="1" w:tplc="8744E2DC">
      <w:numFmt w:val="bullet"/>
      <w:lvlText w:val="–"/>
      <w:lvlJc w:val="left"/>
      <w:pPr>
        <w:ind w:left="1064" w:hanging="360"/>
      </w:pPr>
      <w:rPr>
        <w:rFonts w:ascii="MS Mincho" w:eastAsia="MS Mincho" w:hAnsi="MS Mincho" w:cs="Times New Roman" w:hint="eastAsia"/>
      </w:rPr>
    </w:lvl>
    <w:lvl w:ilvl="2" w:tplc="99AC0492">
      <w:start w:val="1"/>
      <w:numFmt w:val="bullet"/>
      <w:lvlText w:val="•"/>
      <w:lvlJc w:val="left"/>
      <w:pPr>
        <w:ind w:left="1544" w:hanging="420"/>
      </w:pPr>
      <w:rPr>
        <w:rFonts w:ascii="Times New Roman" w:hAnsi="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3311BA4"/>
    <w:multiLevelType w:val="hybridMultilevel"/>
    <w:tmpl w:val="580EA63C"/>
    <w:lvl w:ilvl="0" w:tplc="CCDE0752">
      <w:start w:val="1"/>
      <w:numFmt w:val="bullet"/>
      <w:lvlText w:val="•"/>
      <w:lvlJc w:val="left"/>
      <w:pPr>
        <w:tabs>
          <w:tab w:val="num" w:pos="720"/>
        </w:tabs>
        <w:ind w:left="720" w:hanging="360"/>
      </w:pPr>
      <w:rPr>
        <w:rFonts w:ascii="Arial" w:hAnsi="Arial" w:cs="Times New Roman" w:hint="default"/>
      </w:rPr>
    </w:lvl>
    <w:lvl w:ilvl="1" w:tplc="0F127A80">
      <w:numFmt w:val="bullet"/>
      <w:lvlText w:val="–"/>
      <w:lvlJc w:val="left"/>
      <w:pPr>
        <w:tabs>
          <w:tab w:val="num" w:pos="1440"/>
        </w:tabs>
        <w:ind w:left="1440" w:hanging="360"/>
      </w:pPr>
      <w:rPr>
        <w:rFonts w:ascii="Arial" w:hAnsi="Arial" w:cs="Times New Roman" w:hint="default"/>
      </w:rPr>
    </w:lvl>
    <w:lvl w:ilvl="2" w:tplc="FA927B12">
      <w:start w:val="1"/>
      <w:numFmt w:val="bullet"/>
      <w:lvlText w:val="•"/>
      <w:lvlJc w:val="left"/>
      <w:pPr>
        <w:tabs>
          <w:tab w:val="num" w:pos="2160"/>
        </w:tabs>
        <w:ind w:left="2160" w:hanging="360"/>
      </w:pPr>
      <w:rPr>
        <w:rFonts w:ascii="Arial" w:hAnsi="Arial" w:cs="Times New Roman" w:hint="default"/>
      </w:rPr>
    </w:lvl>
    <w:lvl w:ilvl="3" w:tplc="FB0A6BCC">
      <w:start w:val="1"/>
      <w:numFmt w:val="bullet"/>
      <w:lvlText w:val="•"/>
      <w:lvlJc w:val="left"/>
      <w:pPr>
        <w:tabs>
          <w:tab w:val="num" w:pos="2880"/>
        </w:tabs>
        <w:ind w:left="2880" w:hanging="360"/>
      </w:pPr>
      <w:rPr>
        <w:rFonts w:ascii="Arial" w:hAnsi="Arial" w:cs="Times New Roman" w:hint="default"/>
      </w:rPr>
    </w:lvl>
    <w:lvl w:ilvl="4" w:tplc="CC80D834">
      <w:start w:val="1"/>
      <w:numFmt w:val="bullet"/>
      <w:lvlText w:val="•"/>
      <w:lvlJc w:val="left"/>
      <w:pPr>
        <w:tabs>
          <w:tab w:val="num" w:pos="3600"/>
        </w:tabs>
        <w:ind w:left="3600" w:hanging="360"/>
      </w:pPr>
      <w:rPr>
        <w:rFonts w:ascii="Arial" w:hAnsi="Arial" w:cs="Times New Roman" w:hint="default"/>
      </w:rPr>
    </w:lvl>
    <w:lvl w:ilvl="5" w:tplc="C3229756">
      <w:start w:val="1"/>
      <w:numFmt w:val="bullet"/>
      <w:lvlText w:val="•"/>
      <w:lvlJc w:val="left"/>
      <w:pPr>
        <w:tabs>
          <w:tab w:val="num" w:pos="4320"/>
        </w:tabs>
        <w:ind w:left="4320" w:hanging="360"/>
      </w:pPr>
      <w:rPr>
        <w:rFonts w:ascii="Arial" w:hAnsi="Arial" w:cs="Times New Roman" w:hint="default"/>
      </w:rPr>
    </w:lvl>
    <w:lvl w:ilvl="6" w:tplc="22D0E0C6">
      <w:start w:val="1"/>
      <w:numFmt w:val="bullet"/>
      <w:lvlText w:val="•"/>
      <w:lvlJc w:val="left"/>
      <w:pPr>
        <w:tabs>
          <w:tab w:val="num" w:pos="5040"/>
        </w:tabs>
        <w:ind w:left="5040" w:hanging="360"/>
      </w:pPr>
      <w:rPr>
        <w:rFonts w:ascii="Arial" w:hAnsi="Arial" w:cs="Times New Roman" w:hint="default"/>
      </w:rPr>
    </w:lvl>
    <w:lvl w:ilvl="7" w:tplc="899810F8">
      <w:start w:val="1"/>
      <w:numFmt w:val="bullet"/>
      <w:lvlText w:val="•"/>
      <w:lvlJc w:val="left"/>
      <w:pPr>
        <w:tabs>
          <w:tab w:val="num" w:pos="5760"/>
        </w:tabs>
        <w:ind w:left="5760" w:hanging="360"/>
      </w:pPr>
      <w:rPr>
        <w:rFonts w:ascii="Arial" w:hAnsi="Arial" w:cs="Times New Roman" w:hint="default"/>
      </w:rPr>
    </w:lvl>
    <w:lvl w:ilvl="8" w:tplc="7190016A">
      <w:start w:val="1"/>
      <w:numFmt w:val="bullet"/>
      <w:lvlText w:val="•"/>
      <w:lvlJc w:val="left"/>
      <w:pPr>
        <w:tabs>
          <w:tab w:val="num" w:pos="6480"/>
        </w:tabs>
        <w:ind w:left="6480" w:hanging="360"/>
      </w:pPr>
      <w:rPr>
        <w:rFonts w:ascii="Arial" w:hAnsi="Arial" w:cs="Times New Roman" w:hint="default"/>
      </w:rPr>
    </w:lvl>
  </w:abstractNum>
  <w:abstractNum w:abstractNumId="16">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04509D"/>
    <w:multiLevelType w:val="hybridMultilevel"/>
    <w:tmpl w:val="A2704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007AB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8"/>
  </w:num>
  <w:num w:numId="4">
    <w:abstractNumId w:val="6"/>
  </w:num>
  <w:num w:numId="5">
    <w:abstractNumId w:val="9"/>
  </w:num>
  <w:num w:numId="6">
    <w:abstractNumId w:val="13"/>
  </w:num>
  <w:num w:numId="7">
    <w:abstractNumId w:val="7"/>
  </w:num>
  <w:num w:numId="8">
    <w:abstractNumId w:val="11"/>
  </w:num>
  <w:num w:numId="9">
    <w:abstractNumId w:val="19"/>
  </w:num>
  <w:num w:numId="10">
    <w:abstractNumId w:val="18"/>
  </w:num>
  <w:num w:numId="11">
    <w:abstractNumId w:val="15"/>
  </w:num>
  <w:num w:numId="12">
    <w:abstractNumId w:val="2"/>
  </w:num>
  <w:num w:numId="13">
    <w:abstractNumId w:val="17"/>
  </w:num>
  <w:num w:numId="14">
    <w:abstractNumId w:val="1"/>
  </w:num>
  <w:num w:numId="15">
    <w:abstractNumId w:val="3"/>
  </w:num>
  <w:num w:numId="16">
    <w:abstractNumId w:val="16"/>
  </w:num>
  <w:num w:numId="17">
    <w:abstractNumId w:val="14"/>
  </w:num>
  <w:num w:numId="18">
    <w:abstractNumId w:val="12"/>
  </w:num>
  <w:num w:numId="19">
    <w:abstractNumId w:val="5"/>
  </w:num>
  <w:num w:numId="20">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ttachedTemplate r:id="rId1"/>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6146"/>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4517A0"/>
    <w:rsid w:val="000006E1"/>
    <w:rsid w:val="00000A53"/>
    <w:rsid w:val="00000D5C"/>
    <w:rsid w:val="00001D90"/>
    <w:rsid w:val="0000200F"/>
    <w:rsid w:val="00002A37"/>
    <w:rsid w:val="00002EF6"/>
    <w:rsid w:val="00006446"/>
    <w:rsid w:val="00006896"/>
    <w:rsid w:val="00007CDC"/>
    <w:rsid w:val="0001008F"/>
    <w:rsid w:val="00010EB3"/>
    <w:rsid w:val="00011980"/>
    <w:rsid w:val="00011B28"/>
    <w:rsid w:val="00011D12"/>
    <w:rsid w:val="00013E1A"/>
    <w:rsid w:val="00015D15"/>
    <w:rsid w:val="000162F2"/>
    <w:rsid w:val="00016725"/>
    <w:rsid w:val="000172BB"/>
    <w:rsid w:val="0001768B"/>
    <w:rsid w:val="00017783"/>
    <w:rsid w:val="00022729"/>
    <w:rsid w:val="0002564D"/>
    <w:rsid w:val="00025ECA"/>
    <w:rsid w:val="00030EFC"/>
    <w:rsid w:val="000325B8"/>
    <w:rsid w:val="00033015"/>
    <w:rsid w:val="00033023"/>
    <w:rsid w:val="00034C15"/>
    <w:rsid w:val="00035D1B"/>
    <w:rsid w:val="00036BA1"/>
    <w:rsid w:val="000374BB"/>
    <w:rsid w:val="00037A09"/>
    <w:rsid w:val="000406DA"/>
    <w:rsid w:val="00041780"/>
    <w:rsid w:val="000422E2"/>
    <w:rsid w:val="00042C2F"/>
    <w:rsid w:val="00042F22"/>
    <w:rsid w:val="00043F67"/>
    <w:rsid w:val="000444EF"/>
    <w:rsid w:val="00044885"/>
    <w:rsid w:val="00047EB9"/>
    <w:rsid w:val="00047F80"/>
    <w:rsid w:val="00052A07"/>
    <w:rsid w:val="00052D84"/>
    <w:rsid w:val="000531C1"/>
    <w:rsid w:val="000534E3"/>
    <w:rsid w:val="0005413C"/>
    <w:rsid w:val="0005497F"/>
    <w:rsid w:val="00054BE3"/>
    <w:rsid w:val="00054C91"/>
    <w:rsid w:val="00055DFF"/>
    <w:rsid w:val="0005606A"/>
    <w:rsid w:val="00056511"/>
    <w:rsid w:val="00056C96"/>
    <w:rsid w:val="00057117"/>
    <w:rsid w:val="000573EB"/>
    <w:rsid w:val="00060E68"/>
    <w:rsid w:val="000616E7"/>
    <w:rsid w:val="00061A9B"/>
    <w:rsid w:val="00062125"/>
    <w:rsid w:val="00062D79"/>
    <w:rsid w:val="0006487E"/>
    <w:rsid w:val="00064E06"/>
    <w:rsid w:val="00065236"/>
    <w:rsid w:val="00065596"/>
    <w:rsid w:val="000658EF"/>
    <w:rsid w:val="00065E1A"/>
    <w:rsid w:val="000662CF"/>
    <w:rsid w:val="00066C0D"/>
    <w:rsid w:val="00067009"/>
    <w:rsid w:val="00067ABE"/>
    <w:rsid w:val="00070282"/>
    <w:rsid w:val="00070AB2"/>
    <w:rsid w:val="00070FC3"/>
    <w:rsid w:val="00072693"/>
    <w:rsid w:val="00072DA2"/>
    <w:rsid w:val="000733C2"/>
    <w:rsid w:val="00073CE8"/>
    <w:rsid w:val="0007536D"/>
    <w:rsid w:val="0007586E"/>
    <w:rsid w:val="00076C37"/>
    <w:rsid w:val="00076E3A"/>
    <w:rsid w:val="000772F1"/>
    <w:rsid w:val="00077C0B"/>
    <w:rsid w:val="00077E5F"/>
    <w:rsid w:val="0008036A"/>
    <w:rsid w:val="000807DE"/>
    <w:rsid w:val="0008099B"/>
    <w:rsid w:val="00080B4D"/>
    <w:rsid w:val="00080C8F"/>
    <w:rsid w:val="00081AE6"/>
    <w:rsid w:val="000826C2"/>
    <w:rsid w:val="00084895"/>
    <w:rsid w:val="00084899"/>
    <w:rsid w:val="00084C22"/>
    <w:rsid w:val="00084E76"/>
    <w:rsid w:val="000855EB"/>
    <w:rsid w:val="0008599D"/>
    <w:rsid w:val="00085B52"/>
    <w:rsid w:val="000866F2"/>
    <w:rsid w:val="00090034"/>
    <w:rsid w:val="0009009F"/>
    <w:rsid w:val="00090C98"/>
    <w:rsid w:val="00091557"/>
    <w:rsid w:val="0009226C"/>
    <w:rsid w:val="000924C1"/>
    <w:rsid w:val="000924F0"/>
    <w:rsid w:val="0009293D"/>
    <w:rsid w:val="00092E79"/>
    <w:rsid w:val="00093474"/>
    <w:rsid w:val="00093F63"/>
    <w:rsid w:val="0009510F"/>
    <w:rsid w:val="00097376"/>
    <w:rsid w:val="000A03A0"/>
    <w:rsid w:val="000A078A"/>
    <w:rsid w:val="000A1977"/>
    <w:rsid w:val="000A1B7B"/>
    <w:rsid w:val="000A1C1E"/>
    <w:rsid w:val="000A4996"/>
    <w:rsid w:val="000A56F2"/>
    <w:rsid w:val="000A5B97"/>
    <w:rsid w:val="000A67C0"/>
    <w:rsid w:val="000B0117"/>
    <w:rsid w:val="000B04E2"/>
    <w:rsid w:val="000B122B"/>
    <w:rsid w:val="000B124F"/>
    <w:rsid w:val="000B1AE2"/>
    <w:rsid w:val="000B1CDE"/>
    <w:rsid w:val="000B25E0"/>
    <w:rsid w:val="000B2719"/>
    <w:rsid w:val="000B3A8F"/>
    <w:rsid w:val="000B40FB"/>
    <w:rsid w:val="000B4AB9"/>
    <w:rsid w:val="000B4FDB"/>
    <w:rsid w:val="000B58C3"/>
    <w:rsid w:val="000B5F71"/>
    <w:rsid w:val="000B61E9"/>
    <w:rsid w:val="000B7DD4"/>
    <w:rsid w:val="000C165A"/>
    <w:rsid w:val="000C262D"/>
    <w:rsid w:val="000C2E19"/>
    <w:rsid w:val="000C322C"/>
    <w:rsid w:val="000C33FE"/>
    <w:rsid w:val="000C50DC"/>
    <w:rsid w:val="000C5519"/>
    <w:rsid w:val="000C5B7C"/>
    <w:rsid w:val="000D04B4"/>
    <w:rsid w:val="000D0D07"/>
    <w:rsid w:val="000D4797"/>
    <w:rsid w:val="000D5B78"/>
    <w:rsid w:val="000D6AB8"/>
    <w:rsid w:val="000D6D5F"/>
    <w:rsid w:val="000D7227"/>
    <w:rsid w:val="000D72DC"/>
    <w:rsid w:val="000E0527"/>
    <w:rsid w:val="000E1E92"/>
    <w:rsid w:val="000E1F9E"/>
    <w:rsid w:val="000E2161"/>
    <w:rsid w:val="000E3F66"/>
    <w:rsid w:val="000E4D35"/>
    <w:rsid w:val="000E4EEC"/>
    <w:rsid w:val="000E5723"/>
    <w:rsid w:val="000E60CC"/>
    <w:rsid w:val="000F06D6"/>
    <w:rsid w:val="000F0EB1"/>
    <w:rsid w:val="000F1106"/>
    <w:rsid w:val="000F3BE9"/>
    <w:rsid w:val="000F3F6C"/>
    <w:rsid w:val="000F425D"/>
    <w:rsid w:val="000F44F6"/>
    <w:rsid w:val="000F4BB2"/>
    <w:rsid w:val="000F6DF3"/>
    <w:rsid w:val="000F733C"/>
    <w:rsid w:val="001005FF"/>
    <w:rsid w:val="00100911"/>
    <w:rsid w:val="00101670"/>
    <w:rsid w:val="0010185D"/>
    <w:rsid w:val="00101F6A"/>
    <w:rsid w:val="0010226C"/>
    <w:rsid w:val="0010333D"/>
    <w:rsid w:val="0010395C"/>
    <w:rsid w:val="0010401A"/>
    <w:rsid w:val="00104F05"/>
    <w:rsid w:val="001062FB"/>
    <w:rsid w:val="001063E6"/>
    <w:rsid w:val="0010725E"/>
    <w:rsid w:val="00111DCE"/>
    <w:rsid w:val="001129CA"/>
    <w:rsid w:val="00112D9D"/>
    <w:rsid w:val="00112FBF"/>
    <w:rsid w:val="00113CF4"/>
    <w:rsid w:val="00114107"/>
    <w:rsid w:val="00114641"/>
    <w:rsid w:val="00114C2F"/>
    <w:rsid w:val="001153EA"/>
    <w:rsid w:val="0011562D"/>
    <w:rsid w:val="00115643"/>
    <w:rsid w:val="001156C2"/>
    <w:rsid w:val="00116765"/>
    <w:rsid w:val="00120BD6"/>
    <w:rsid w:val="00121078"/>
    <w:rsid w:val="001219F5"/>
    <w:rsid w:val="00121A20"/>
    <w:rsid w:val="0012360A"/>
    <w:rsid w:val="0012377F"/>
    <w:rsid w:val="001242B5"/>
    <w:rsid w:val="00124314"/>
    <w:rsid w:val="001247EF"/>
    <w:rsid w:val="00124863"/>
    <w:rsid w:val="001255A7"/>
    <w:rsid w:val="001260DD"/>
    <w:rsid w:val="00126B4A"/>
    <w:rsid w:val="00126EE7"/>
    <w:rsid w:val="001276D3"/>
    <w:rsid w:val="001316F8"/>
    <w:rsid w:val="00132FD0"/>
    <w:rsid w:val="001344C0"/>
    <w:rsid w:val="001346FA"/>
    <w:rsid w:val="00135252"/>
    <w:rsid w:val="001363BA"/>
    <w:rsid w:val="00137239"/>
    <w:rsid w:val="001374B7"/>
    <w:rsid w:val="00137AB5"/>
    <w:rsid w:val="00137F0B"/>
    <w:rsid w:val="001401A7"/>
    <w:rsid w:val="00140493"/>
    <w:rsid w:val="001409A8"/>
    <w:rsid w:val="00141EAE"/>
    <w:rsid w:val="001439DE"/>
    <w:rsid w:val="001441E0"/>
    <w:rsid w:val="00144219"/>
    <w:rsid w:val="001456C6"/>
    <w:rsid w:val="00150C3C"/>
    <w:rsid w:val="00150CD9"/>
    <w:rsid w:val="00151035"/>
    <w:rsid w:val="00151B78"/>
    <w:rsid w:val="00151E23"/>
    <w:rsid w:val="001526E0"/>
    <w:rsid w:val="0015330B"/>
    <w:rsid w:val="001551B5"/>
    <w:rsid w:val="00157F85"/>
    <w:rsid w:val="00160379"/>
    <w:rsid w:val="00161D4B"/>
    <w:rsid w:val="00162838"/>
    <w:rsid w:val="00162994"/>
    <w:rsid w:val="00162FFC"/>
    <w:rsid w:val="00163000"/>
    <w:rsid w:val="001634C1"/>
    <w:rsid w:val="0016413E"/>
    <w:rsid w:val="0016443B"/>
    <w:rsid w:val="001645B6"/>
    <w:rsid w:val="00164BBC"/>
    <w:rsid w:val="001659C1"/>
    <w:rsid w:val="0016604B"/>
    <w:rsid w:val="00167403"/>
    <w:rsid w:val="001674C0"/>
    <w:rsid w:val="001674F5"/>
    <w:rsid w:val="00167AF3"/>
    <w:rsid w:val="00171142"/>
    <w:rsid w:val="00171BD7"/>
    <w:rsid w:val="0017210A"/>
    <w:rsid w:val="00172611"/>
    <w:rsid w:val="00172681"/>
    <w:rsid w:val="001729F9"/>
    <w:rsid w:val="0017314E"/>
    <w:rsid w:val="00173A8E"/>
    <w:rsid w:val="001742A6"/>
    <w:rsid w:val="001754D7"/>
    <w:rsid w:val="00175B6B"/>
    <w:rsid w:val="0018038B"/>
    <w:rsid w:val="001808E0"/>
    <w:rsid w:val="00180C59"/>
    <w:rsid w:val="0018143F"/>
    <w:rsid w:val="00182064"/>
    <w:rsid w:val="0018263A"/>
    <w:rsid w:val="00182B2B"/>
    <w:rsid w:val="00183368"/>
    <w:rsid w:val="00183839"/>
    <w:rsid w:val="001856DB"/>
    <w:rsid w:val="00185CDC"/>
    <w:rsid w:val="00186794"/>
    <w:rsid w:val="001902EF"/>
    <w:rsid w:val="00190AC1"/>
    <w:rsid w:val="00190F81"/>
    <w:rsid w:val="00191873"/>
    <w:rsid w:val="0019202D"/>
    <w:rsid w:val="00192359"/>
    <w:rsid w:val="00192528"/>
    <w:rsid w:val="0019341A"/>
    <w:rsid w:val="001934E1"/>
    <w:rsid w:val="00193AB0"/>
    <w:rsid w:val="0019413A"/>
    <w:rsid w:val="00194461"/>
    <w:rsid w:val="00195049"/>
    <w:rsid w:val="00195608"/>
    <w:rsid w:val="00195CFB"/>
    <w:rsid w:val="00196756"/>
    <w:rsid w:val="00196841"/>
    <w:rsid w:val="00196BAA"/>
    <w:rsid w:val="00196DC4"/>
    <w:rsid w:val="00197699"/>
    <w:rsid w:val="00197C67"/>
    <w:rsid w:val="00197DF9"/>
    <w:rsid w:val="001A01FB"/>
    <w:rsid w:val="001A0A45"/>
    <w:rsid w:val="001A105A"/>
    <w:rsid w:val="001A1987"/>
    <w:rsid w:val="001A2564"/>
    <w:rsid w:val="001A32B5"/>
    <w:rsid w:val="001A41B3"/>
    <w:rsid w:val="001A554C"/>
    <w:rsid w:val="001A6173"/>
    <w:rsid w:val="001A67ED"/>
    <w:rsid w:val="001A6CBA"/>
    <w:rsid w:val="001A7488"/>
    <w:rsid w:val="001A7B81"/>
    <w:rsid w:val="001B029F"/>
    <w:rsid w:val="001B0D97"/>
    <w:rsid w:val="001B23D0"/>
    <w:rsid w:val="001B2546"/>
    <w:rsid w:val="001B2842"/>
    <w:rsid w:val="001B332A"/>
    <w:rsid w:val="001B374C"/>
    <w:rsid w:val="001B378F"/>
    <w:rsid w:val="001B5824"/>
    <w:rsid w:val="001B5A58"/>
    <w:rsid w:val="001B5A5D"/>
    <w:rsid w:val="001C100C"/>
    <w:rsid w:val="001C1CE5"/>
    <w:rsid w:val="001C29A4"/>
    <w:rsid w:val="001C3D2A"/>
    <w:rsid w:val="001C4817"/>
    <w:rsid w:val="001C5D25"/>
    <w:rsid w:val="001C5E66"/>
    <w:rsid w:val="001C7B5B"/>
    <w:rsid w:val="001D0F07"/>
    <w:rsid w:val="001D11FB"/>
    <w:rsid w:val="001D13AD"/>
    <w:rsid w:val="001D1C60"/>
    <w:rsid w:val="001D21B5"/>
    <w:rsid w:val="001D269F"/>
    <w:rsid w:val="001D2D27"/>
    <w:rsid w:val="001D428C"/>
    <w:rsid w:val="001D431B"/>
    <w:rsid w:val="001D4458"/>
    <w:rsid w:val="001D51BA"/>
    <w:rsid w:val="001D61AF"/>
    <w:rsid w:val="001D6342"/>
    <w:rsid w:val="001D6D53"/>
    <w:rsid w:val="001D72FA"/>
    <w:rsid w:val="001D7F2C"/>
    <w:rsid w:val="001E0C1D"/>
    <w:rsid w:val="001E0EA7"/>
    <w:rsid w:val="001E43E1"/>
    <w:rsid w:val="001E4BF5"/>
    <w:rsid w:val="001E4CE7"/>
    <w:rsid w:val="001E4F34"/>
    <w:rsid w:val="001E511A"/>
    <w:rsid w:val="001E58E2"/>
    <w:rsid w:val="001E6A4C"/>
    <w:rsid w:val="001E722B"/>
    <w:rsid w:val="001E75E4"/>
    <w:rsid w:val="001E7AED"/>
    <w:rsid w:val="001F0B08"/>
    <w:rsid w:val="001F11CB"/>
    <w:rsid w:val="001F20DE"/>
    <w:rsid w:val="001F33DF"/>
    <w:rsid w:val="001F3529"/>
    <w:rsid w:val="001F3916"/>
    <w:rsid w:val="001F39E9"/>
    <w:rsid w:val="001F54C5"/>
    <w:rsid w:val="001F662C"/>
    <w:rsid w:val="001F7074"/>
    <w:rsid w:val="001F70B0"/>
    <w:rsid w:val="001F7153"/>
    <w:rsid w:val="001F7E29"/>
    <w:rsid w:val="00200490"/>
    <w:rsid w:val="00200C02"/>
    <w:rsid w:val="00201BDB"/>
    <w:rsid w:val="00201F3A"/>
    <w:rsid w:val="00202B24"/>
    <w:rsid w:val="00203946"/>
    <w:rsid w:val="00203F96"/>
    <w:rsid w:val="002061ED"/>
    <w:rsid w:val="002069B2"/>
    <w:rsid w:val="0020727A"/>
    <w:rsid w:val="002075D3"/>
    <w:rsid w:val="00207E1E"/>
    <w:rsid w:val="00207FA3"/>
    <w:rsid w:val="002102AA"/>
    <w:rsid w:val="00210CB6"/>
    <w:rsid w:val="00211E05"/>
    <w:rsid w:val="0021317E"/>
    <w:rsid w:val="0021474F"/>
    <w:rsid w:val="00214DA8"/>
    <w:rsid w:val="00214EF9"/>
    <w:rsid w:val="00215423"/>
    <w:rsid w:val="0021564E"/>
    <w:rsid w:val="002158FA"/>
    <w:rsid w:val="00216AFA"/>
    <w:rsid w:val="00217A24"/>
    <w:rsid w:val="00220379"/>
    <w:rsid w:val="0022049A"/>
    <w:rsid w:val="00220600"/>
    <w:rsid w:val="002224DB"/>
    <w:rsid w:val="00223C45"/>
    <w:rsid w:val="00223FCB"/>
    <w:rsid w:val="00224383"/>
    <w:rsid w:val="00224FAC"/>
    <w:rsid w:val="002252C3"/>
    <w:rsid w:val="00225427"/>
    <w:rsid w:val="0022547B"/>
    <w:rsid w:val="00225C54"/>
    <w:rsid w:val="00227C40"/>
    <w:rsid w:val="00230765"/>
    <w:rsid w:val="00230F0F"/>
    <w:rsid w:val="00230F57"/>
    <w:rsid w:val="0023145E"/>
    <w:rsid w:val="0023150C"/>
    <w:rsid w:val="002319E4"/>
    <w:rsid w:val="00231F00"/>
    <w:rsid w:val="0023329D"/>
    <w:rsid w:val="002337C5"/>
    <w:rsid w:val="00233C7F"/>
    <w:rsid w:val="00234DA3"/>
    <w:rsid w:val="00234F52"/>
    <w:rsid w:val="002351ED"/>
    <w:rsid w:val="00235632"/>
    <w:rsid w:val="00235872"/>
    <w:rsid w:val="00241559"/>
    <w:rsid w:val="002420C2"/>
    <w:rsid w:val="0024252B"/>
    <w:rsid w:val="002435B3"/>
    <w:rsid w:val="00243DF7"/>
    <w:rsid w:val="00244205"/>
    <w:rsid w:val="002447A8"/>
    <w:rsid w:val="00244AA6"/>
    <w:rsid w:val="002458EB"/>
    <w:rsid w:val="00245DFB"/>
    <w:rsid w:val="00246FF8"/>
    <w:rsid w:val="002476CE"/>
    <w:rsid w:val="002500C8"/>
    <w:rsid w:val="00250411"/>
    <w:rsid w:val="00250BFA"/>
    <w:rsid w:val="00250BFB"/>
    <w:rsid w:val="00252445"/>
    <w:rsid w:val="002528E3"/>
    <w:rsid w:val="0025311D"/>
    <w:rsid w:val="00253D0E"/>
    <w:rsid w:val="0025626C"/>
    <w:rsid w:val="002568A6"/>
    <w:rsid w:val="00256E82"/>
    <w:rsid w:val="00257543"/>
    <w:rsid w:val="002617E7"/>
    <w:rsid w:val="002633CA"/>
    <w:rsid w:val="00263517"/>
    <w:rsid w:val="00263832"/>
    <w:rsid w:val="00263A96"/>
    <w:rsid w:val="00264228"/>
    <w:rsid w:val="00264334"/>
    <w:rsid w:val="0026473E"/>
    <w:rsid w:val="00266098"/>
    <w:rsid w:val="00266214"/>
    <w:rsid w:val="002668D0"/>
    <w:rsid w:val="0026727F"/>
    <w:rsid w:val="00267C83"/>
    <w:rsid w:val="00267DC1"/>
    <w:rsid w:val="00267DC9"/>
    <w:rsid w:val="0027144F"/>
    <w:rsid w:val="00271CAD"/>
    <w:rsid w:val="00271F3A"/>
    <w:rsid w:val="002727E8"/>
    <w:rsid w:val="00273278"/>
    <w:rsid w:val="002737F4"/>
    <w:rsid w:val="00274DAE"/>
    <w:rsid w:val="00275229"/>
    <w:rsid w:val="002758C2"/>
    <w:rsid w:val="002763A9"/>
    <w:rsid w:val="002776E9"/>
    <w:rsid w:val="00280356"/>
    <w:rsid w:val="002805F5"/>
    <w:rsid w:val="00280751"/>
    <w:rsid w:val="002807E0"/>
    <w:rsid w:val="00280A63"/>
    <w:rsid w:val="0028122D"/>
    <w:rsid w:val="002812EC"/>
    <w:rsid w:val="0028160B"/>
    <w:rsid w:val="0028217D"/>
    <w:rsid w:val="0028271A"/>
    <w:rsid w:val="0028280A"/>
    <w:rsid w:val="002830EF"/>
    <w:rsid w:val="002831DD"/>
    <w:rsid w:val="002834E1"/>
    <w:rsid w:val="00284102"/>
    <w:rsid w:val="002853AA"/>
    <w:rsid w:val="00285F0A"/>
    <w:rsid w:val="00286ACD"/>
    <w:rsid w:val="00287838"/>
    <w:rsid w:val="002907B5"/>
    <w:rsid w:val="002917E4"/>
    <w:rsid w:val="00291E47"/>
    <w:rsid w:val="00292780"/>
    <w:rsid w:val="002927CC"/>
    <w:rsid w:val="00292EB7"/>
    <w:rsid w:val="002951E2"/>
    <w:rsid w:val="00295A6F"/>
    <w:rsid w:val="00295E81"/>
    <w:rsid w:val="00296227"/>
    <w:rsid w:val="00296F44"/>
    <w:rsid w:val="0029777D"/>
    <w:rsid w:val="002A055E"/>
    <w:rsid w:val="002A09B0"/>
    <w:rsid w:val="002A163B"/>
    <w:rsid w:val="002A1D4E"/>
    <w:rsid w:val="002A1DD2"/>
    <w:rsid w:val="002A221D"/>
    <w:rsid w:val="002A2869"/>
    <w:rsid w:val="002A2CA5"/>
    <w:rsid w:val="002A3245"/>
    <w:rsid w:val="002A3EA8"/>
    <w:rsid w:val="002A48A0"/>
    <w:rsid w:val="002A5AF2"/>
    <w:rsid w:val="002A5DA5"/>
    <w:rsid w:val="002A62B3"/>
    <w:rsid w:val="002A695F"/>
    <w:rsid w:val="002B22A9"/>
    <w:rsid w:val="002B24D6"/>
    <w:rsid w:val="002B2905"/>
    <w:rsid w:val="002B3309"/>
    <w:rsid w:val="002B33ED"/>
    <w:rsid w:val="002B3EFC"/>
    <w:rsid w:val="002B5DDA"/>
    <w:rsid w:val="002B740F"/>
    <w:rsid w:val="002C1967"/>
    <w:rsid w:val="002C1CE4"/>
    <w:rsid w:val="002C3322"/>
    <w:rsid w:val="002C35CB"/>
    <w:rsid w:val="002C394D"/>
    <w:rsid w:val="002C41E6"/>
    <w:rsid w:val="002C50BD"/>
    <w:rsid w:val="002C5327"/>
    <w:rsid w:val="002C6B54"/>
    <w:rsid w:val="002C6EBA"/>
    <w:rsid w:val="002C7347"/>
    <w:rsid w:val="002C7F6B"/>
    <w:rsid w:val="002D071A"/>
    <w:rsid w:val="002D183C"/>
    <w:rsid w:val="002D18A8"/>
    <w:rsid w:val="002D29DA"/>
    <w:rsid w:val="002D34B2"/>
    <w:rsid w:val="002D5648"/>
    <w:rsid w:val="002D70EB"/>
    <w:rsid w:val="002D7637"/>
    <w:rsid w:val="002E17F2"/>
    <w:rsid w:val="002E420F"/>
    <w:rsid w:val="002E4257"/>
    <w:rsid w:val="002E4635"/>
    <w:rsid w:val="002E4E6F"/>
    <w:rsid w:val="002E5443"/>
    <w:rsid w:val="002E7CAE"/>
    <w:rsid w:val="002F186B"/>
    <w:rsid w:val="002F203B"/>
    <w:rsid w:val="002F2771"/>
    <w:rsid w:val="002F37A9"/>
    <w:rsid w:val="002F49A9"/>
    <w:rsid w:val="002F4CB2"/>
    <w:rsid w:val="002F78C0"/>
    <w:rsid w:val="00300C36"/>
    <w:rsid w:val="00300CCD"/>
    <w:rsid w:val="00301CE6"/>
    <w:rsid w:val="003022CB"/>
    <w:rsid w:val="0030256B"/>
    <w:rsid w:val="0030340F"/>
    <w:rsid w:val="00303C16"/>
    <w:rsid w:val="00303E36"/>
    <w:rsid w:val="0030501F"/>
    <w:rsid w:val="00306A25"/>
    <w:rsid w:val="00306DF0"/>
    <w:rsid w:val="00306EA3"/>
    <w:rsid w:val="00307378"/>
    <w:rsid w:val="00307BA1"/>
    <w:rsid w:val="00310926"/>
    <w:rsid w:val="00310DFB"/>
    <w:rsid w:val="00311315"/>
    <w:rsid w:val="00311702"/>
    <w:rsid w:val="0031173A"/>
    <w:rsid w:val="00311E82"/>
    <w:rsid w:val="00313B8A"/>
    <w:rsid w:val="00313FD6"/>
    <w:rsid w:val="003143BD"/>
    <w:rsid w:val="003152B9"/>
    <w:rsid w:val="0031729B"/>
    <w:rsid w:val="00317DE5"/>
    <w:rsid w:val="003203ED"/>
    <w:rsid w:val="0032053E"/>
    <w:rsid w:val="00322C9F"/>
    <w:rsid w:val="003232B5"/>
    <w:rsid w:val="00323806"/>
    <w:rsid w:val="00324D23"/>
    <w:rsid w:val="00325D85"/>
    <w:rsid w:val="003274AB"/>
    <w:rsid w:val="00331751"/>
    <w:rsid w:val="003317BF"/>
    <w:rsid w:val="00332082"/>
    <w:rsid w:val="0033232E"/>
    <w:rsid w:val="00332604"/>
    <w:rsid w:val="003332A6"/>
    <w:rsid w:val="00333596"/>
    <w:rsid w:val="00334579"/>
    <w:rsid w:val="00334D0B"/>
    <w:rsid w:val="00335711"/>
    <w:rsid w:val="00335858"/>
    <w:rsid w:val="003361A9"/>
    <w:rsid w:val="00336BDA"/>
    <w:rsid w:val="003400FA"/>
    <w:rsid w:val="003416F4"/>
    <w:rsid w:val="00342BD7"/>
    <w:rsid w:val="00343700"/>
    <w:rsid w:val="00343987"/>
    <w:rsid w:val="00343A8E"/>
    <w:rsid w:val="00343B4D"/>
    <w:rsid w:val="00343D99"/>
    <w:rsid w:val="00345E40"/>
    <w:rsid w:val="00346984"/>
    <w:rsid w:val="00346DB5"/>
    <w:rsid w:val="00346F15"/>
    <w:rsid w:val="0034714C"/>
    <w:rsid w:val="003477B1"/>
    <w:rsid w:val="003509F2"/>
    <w:rsid w:val="0035157F"/>
    <w:rsid w:val="00354486"/>
    <w:rsid w:val="00355600"/>
    <w:rsid w:val="003570E4"/>
    <w:rsid w:val="00357380"/>
    <w:rsid w:val="00357D2F"/>
    <w:rsid w:val="003602B9"/>
    <w:rsid w:val="003602D9"/>
    <w:rsid w:val="003604CE"/>
    <w:rsid w:val="003608BA"/>
    <w:rsid w:val="00360F8B"/>
    <w:rsid w:val="00361620"/>
    <w:rsid w:val="00361EF4"/>
    <w:rsid w:val="00362C83"/>
    <w:rsid w:val="00363084"/>
    <w:rsid w:val="003649A2"/>
    <w:rsid w:val="00364C0F"/>
    <w:rsid w:val="00364E3C"/>
    <w:rsid w:val="003655ED"/>
    <w:rsid w:val="003664DD"/>
    <w:rsid w:val="00366B77"/>
    <w:rsid w:val="00366CED"/>
    <w:rsid w:val="00366DC9"/>
    <w:rsid w:val="00367BF2"/>
    <w:rsid w:val="00370E47"/>
    <w:rsid w:val="00371009"/>
    <w:rsid w:val="003723A3"/>
    <w:rsid w:val="003728C3"/>
    <w:rsid w:val="0037363E"/>
    <w:rsid w:val="00374018"/>
    <w:rsid w:val="003742AC"/>
    <w:rsid w:val="00375FC3"/>
    <w:rsid w:val="00376823"/>
    <w:rsid w:val="00377B2E"/>
    <w:rsid w:val="00377CE1"/>
    <w:rsid w:val="003807A0"/>
    <w:rsid w:val="003811F6"/>
    <w:rsid w:val="003815B7"/>
    <w:rsid w:val="00383D8B"/>
    <w:rsid w:val="00385BF0"/>
    <w:rsid w:val="0038717A"/>
    <w:rsid w:val="00387665"/>
    <w:rsid w:val="0039177A"/>
    <w:rsid w:val="0039222D"/>
    <w:rsid w:val="00392567"/>
    <w:rsid w:val="003939FF"/>
    <w:rsid w:val="00397502"/>
    <w:rsid w:val="003979B9"/>
    <w:rsid w:val="003A0BE4"/>
    <w:rsid w:val="003A2223"/>
    <w:rsid w:val="003A22E2"/>
    <w:rsid w:val="003A2666"/>
    <w:rsid w:val="003A2A0F"/>
    <w:rsid w:val="003A45A1"/>
    <w:rsid w:val="003A4B5B"/>
    <w:rsid w:val="003A4C7C"/>
    <w:rsid w:val="003A4D27"/>
    <w:rsid w:val="003A5B0A"/>
    <w:rsid w:val="003A66A1"/>
    <w:rsid w:val="003A6BAC"/>
    <w:rsid w:val="003A77E4"/>
    <w:rsid w:val="003A7EF3"/>
    <w:rsid w:val="003B0520"/>
    <w:rsid w:val="003B0B37"/>
    <w:rsid w:val="003B1476"/>
    <w:rsid w:val="003B159C"/>
    <w:rsid w:val="003B1BFE"/>
    <w:rsid w:val="003B2618"/>
    <w:rsid w:val="003B2776"/>
    <w:rsid w:val="003B369F"/>
    <w:rsid w:val="003B36A3"/>
    <w:rsid w:val="003B3B05"/>
    <w:rsid w:val="003B558F"/>
    <w:rsid w:val="003B6A45"/>
    <w:rsid w:val="003B7B8B"/>
    <w:rsid w:val="003B7E0F"/>
    <w:rsid w:val="003B7FE5"/>
    <w:rsid w:val="003C0087"/>
    <w:rsid w:val="003C11C8"/>
    <w:rsid w:val="003C2702"/>
    <w:rsid w:val="003C3ADB"/>
    <w:rsid w:val="003C4A80"/>
    <w:rsid w:val="003C52D8"/>
    <w:rsid w:val="003C69E6"/>
    <w:rsid w:val="003C7806"/>
    <w:rsid w:val="003D109F"/>
    <w:rsid w:val="003D2439"/>
    <w:rsid w:val="003D2478"/>
    <w:rsid w:val="003D3C45"/>
    <w:rsid w:val="003D42DA"/>
    <w:rsid w:val="003D5B1F"/>
    <w:rsid w:val="003D602B"/>
    <w:rsid w:val="003D6E5A"/>
    <w:rsid w:val="003D747A"/>
    <w:rsid w:val="003D7B19"/>
    <w:rsid w:val="003E05DD"/>
    <w:rsid w:val="003E0B27"/>
    <w:rsid w:val="003E15FA"/>
    <w:rsid w:val="003E1C59"/>
    <w:rsid w:val="003E2018"/>
    <w:rsid w:val="003E22DD"/>
    <w:rsid w:val="003E3332"/>
    <w:rsid w:val="003E4297"/>
    <w:rsid w:val="003E4A8A"/>
    <w:rsid w:val="003E4D29"/>
    <w:rsid w:val="003E55E4"/>
    <w:rsid w:val="003E6F29"/>
    <w:rsid w:val="003E74E3"/>
    <w:rsid w:val="003F05C7"/>
    <w:rsid w:val="003F05E9"/>
    <w:rsid w:val="003F0AAD"/>
    <w:rsid w:val="003F1E8E"/>
    <w:rsid w:val="003F2120"/>
    <w:rsid w:val="003F2469"/>
    <w:rsid w:val="003F2CD4"/>
    <w:rsid w:val="003F33C8"/>
    <w:rsid w:val="003F3958"/>
    <w:rsid w:val="003F4BE4"/>
    <w:rsid w:val="003F6BBE"/>
    <w:rsid w:val="003F6FEE"/>
    <w:rsid w:val="004000E8"/>
    <w:rsid w:val="00402E2B"/>
    <w:rsid w:val="00403018"/>
    <w:rsid w:val="00403485"/>
    <w:rsid w:val="00403B42"/>
    <w:rsid w:val="0040452E"/>
    <w:rsid w:val="00404AFF"/>
    <w:rsid w:val="0040512B"/>
    <w:rsid w:val="00405357"/>
    <w:rsid w:val="00405CA5"/>
    <w:rsid w:val="00405F8F"/>
    <w:rsid w:val="00406CA3"/>
    <w:rsid w:val="004076C1"/>
    <w:rsid w:val="00407CD3"/>
    <w:rsid w:val="00410134"/>
    <w:rsid w:val="00410B72"/>
    <w:rsid w:val="00410F18"/>
    <w:rsid w:val="004112A2"/>
    <w:rsid w:val="00411B8C"/>
    <w:rsid w:val="00411C5E"/>
    <w:rsid w:val="0041263E"/>
    <w:rsid w:val="00412BB1"/>
    <w:rsid w:val="00413A38"/>
    <w:rsid w:val="00413AAC"/>
    <w:rsid w:val="004143C0"/>
    <w:rsid w:val="004147E4"/>
    <w:rsid w:val="004177E5"/>
    <w:rsid w:val="0042038B"/>
    <w:rsid w:val="00421105"/>
    <w:rsid w:val="0042185B"/>
    <w:rsid w:val="0042411E"/>
    <w:rsid w:val="004242F4"/>
    <w:rsid w:val="004253AE"/>
    <w:rsid w:val="00425878"/>
    <w:rsid w:val="00425C45"/>
    <w:rsid w:val="00426E63"/>
    <w:rsid w:val="00427248"/>
    <w:rsid w:val="004275DB"/>
    <w:rsid w:val="00427B63"/>
    <w:rsid w:val="0043010D"/>
    <w:rsid w:val="004302D0"/>
    <w:rsid w:val="0043094D"/>
    <w:rsid w:val="004318ED"/>
    <w:rsid w:val="004319FA"/>
    <w:rsid w:val="0043237C"/>
    <w:rsid w:val="00432957"/>
    <w:rsid w:val="0043310D"/>
    <w:rsid w:val="0043424A"/>
    <w:rsid w:val="004370C4"/>
    <w:rsid w:val="00437447"/>
    <w:rsid w:val="0043749B"/>
    <w:rsid w:val="004406F3"/>
    <w:rsid w:val="004409BC"/>
    <w:rsid w:val="00440C81"/>
    <w:rsid w:val="0044194A"/>
    <w:rsid w:val="00441A92"/>
    <w:rsid w:val="00441F7B"/>
    <w:rsid w:val="00442DBF"/>
    <w:rsid w:val="00443789"/>
    <w:rsid w:val="00443FB9"/>
    <w:rsid w:val="00444F56"/>
    <w:rsid w:val="004451A7"/>
    <w:rsid w:val="0044602F"/>
    <w:rsid w:val="00446476"/>
    <w:rsid w:val="00446488"/>
    <w:rsid w:val="00451785"/>
    <w:rsid w:val="004517A0"/>
    <w:rsid w:val="004517AA"/>
    <w:rsid w:val="00452CAC"/>
    <w:rsid w:val="00454191"/>
    <w:rsid w:val="00454ACB"/>
    <w:rsid w:val="00454F70"/>
    <w:rsid w:val="00454FE8"/>
    <w:rsid w:val="00456C50"/>
    <w:rsid w:val="00457565"/>
    <w:rsid w:val="00457AD0"/>
    <w:rsid w:val="00457B71"/>
    <w:rsid w:val="00457F56"/>
    <w:rsid w:val="0046099C"/>
    <w:rsid w:val="00460B62"/>
    <w:rsid w:val="0046207D"/>
    <w:rsid w:val="0046283F"/>
    <w:rsid w:val="00462882"/>
    <w:rsid w:val="00462B13"/>
    <w:rsid w:val="00462E0D"/>
    <w:rsid w:val="004635A1"/>
    <w:rsid w:val="00463BDD"/>
    <w:rsid w:val="00463DB1"/>
    <w:rsid w:val="00463E38"/>
    <w:rsid w:val="00465D2B"/>
    <w:rsid w:val="00466121"/>
    <w:rsid w:val="0046696C"/>
    <w:rsid w:val="004669E2"/>
    <w:rsid w:val="004706F9"/>
    <w:rsid w:val="00470C31"/>
    <w:rsid w:val="00471739"/>
    <w:rsid w:val="00471DDC"/>
    <w:rsid w:val="004734D0"/>
    <w:rsid w:val="00473E22"/>
    <w:rsid w:val="00475383"/>
    <w:rsid w:val="0047556B"/>
    <w:rsid w:val="00477768"/>
    <w:rsid w:val="00482852"/>
    <w:rsid w:val="00483676"/>
    <w:rsid w:val="00484658"/>
    <w:rsid w:val="00484796"/>
    <w:rsid w:val="00485692"/>
    <w:rsid w:val="00487E12"/>
    <w:rsid w:val="00490516"/>
    <w:rsid w:val="00490755"/>
    <w:rsid w:val="004910D7"/>
    <w:rsid w:val="004916D7"/>
    <w:rsid w:val="00491D63"/>
    <w:rsid w:val="00492BC5"/>
    <w:rsid w:val="004936FE"/>
    <w:rsid w:val="004937B8"/>
    <w:rsid w:val="00495500"/>
    <w:rsid w:val="004964F1"/>
    <w:rsid w:val="00497453"/>
    <w:rsid w:val="004A0153"/>
    <w:rsid w:val="004A0CB7"/>
    <w:rsid w:val="004A0F85"/>
    <w:rsid w:val="004A11FB"/>
    <w:rsid w:val="004A15F2"/>
    <w:rsid w:val="004A16BC"/>
    <w:rsid w:val="004A1DB2"/>
    <w:rsid w:val="004A22B2"/>
    <w:rsid w:val="004A2B94"/>
    <w:rsid w:val="004A3FEE"/>
    <w:rsid w:val="004A40FE"/>
    <w:rsid w:val="004A5677"/>
    <w:rsid w:val="004A5F9A"/>
    <w:rsid w:val="004A6581"/>
    <w:rsid w:val="004A7240"/>
    <w:rsid w:val="004A768C"/>
    <w:rsid w:val="004A7925"/>
    <w:rsid w:val="004A7B5A"/>
    <w:rsid w:val="004B06E7"/>
    <w:rsid w:val="004B07C5"/>
    <w:rsid w:val="004B17F2"/>
    <w:rsid w:val="004B1F40"/>
    <w:rsid w:val="004B3EF5"/>
    <w:rsid w:val="004B448D"/>
    <w:rsid w:val="004B6DF1"/>
    <w:rsid w:val="004B7C0C"/>
    <w:rsid w:val="004B7DA6"/>
    <w:rsid w:val="004C3445"/>
    <w:rsid w:val="004C3898"/>
    <w:rsid w:val="004C39B9"/>
    <w:rsid w:val="004C3F84"/>
    <w:rsid w:val="004C45CE"/>
    <w:rsid w:val="004C5F6A"/>
    <w:rsid w:val="004C61A3"/>
    <w:rsid w:val="004C65C8"/>
    <w:rsid w:val="004C73CA"/>
    <w:rsid w:val="004C77E0"/>
    <w:rsid w:val="004D22FD"/>
    <w:rsid w:val="004D23E4"/>
    <w:rsid w:val="004D36B1"/>
    <w:rsid w:val="004D5499"/>
    <w:rsid w:val="004D7B7E"/>
    <w:rsid w:val="004D7EBD"/>
    <w:rsid w:val="004E0CDC"/>
    <w:rsid w:val="004E1710"/>
    <w:rsid w:val="004E1891"/>
    <w:rsid w:val="004E264A"/>
    <w:rsid w:val="004E2680"/>
    <w:rsid w:val="004E28F9"/>
    <w:rsid w:val="004E32E1"/>
    <w:rsid w:val="004E3F80"/>
    <w:rsid w:val="004E462E"/>
    <w:rsid w:val="004E4EED"/>
    <w:rsid w:val="004E5104"/>
    <w:rsid w:val="004E56DC"/>
    <w:rsid w:val="004E649B"/>
    <w:rsid w:val="004E76F4"/>
    <w:rsid w:val="004F001B"/>
    <w:rsid w:val="004F007A"/>
    <w:rsid w:val="004F0318"/>
    <w:rsid w:val="004F056F"/>
    <w:rsid w:val="004F0B4E"/>
    <w:rsid w:val="004F0B6C"/>
    <w:rsid w:val="004F1FD1"/>
    <w:rsid w:val="004F2078"/>
    <w:rsid w:val="004F3F7F"/>
    <w:rsid w:val="004F44F1"/>
    <w:rsid w:val="004F4DA3"/>
    <w:rsid w:val="004F5549"/>
    <w:rsid w:val="004F6173"/>
    <w:rsid w:val="004F6187"/>
    <w:rsid w:val="004F62DD"/>
    <w:rsid w:val="004F6A8E"/>
    <w:rsid w:val="004F6C5A"/>
    <w:rsid w:val="004F736F"/>
    <w:rsid w:val="00501662"/>
    <w:rsid w:val="0050330B"/>
    <w:rsid w:val="00503874"/>
    <w:rsid w:val="005046DE"/>
    <w:rsid w:val="00505BCA"/>
    <w:rsid w:val="00506557"/>
    <w:rsid w:val="0050677A"/>
    <w:rsid w:val="00506CC6"/>
    <w:rsid w:val="00506CE5"/>
    <w:rsid w:val="005077A2"/>
    <w:rsid w:val="005108D8"/>
    <w:rsid w:val="005116F9"/>
    <w:rsid w:val="00511D19"/>
    <w:rsid w:val="005137E8"/>
    <w:rsid w:val="00514113"/>
    <w:rsid w:val="00515080"/>
    <w:rsid w:val="005153A7"/>
    <w:rsid w:val="00515DE8"/>
    <w:rsid w:val="00516D44"/>
    <w:rsid w:val="005176F2"/>
    <w:rsid w:val="00517BD9"/>
    <w:rsid w:val="00517E09"/>
    <w:rsid w:val="00520189"/>
    <w:rsid w:val="005207B7"/>
    <w:rsid w:val="005210CF"/>
    <w:rsid w:val="00521120"/>
    <w:rsid w:val="00521501"/>
    <w:rsid w:val="005219CF"/>
    <w:rsid w:val="00521BC7"/>
    <w:rsid w:val="005227A7"/>
    <w:rsid w:val="0052348E"/>
    <w:rsid w:val="00523503"/>
    <w:rsid w:val="0052496C"/>
    <w:rsid w:val="00525AA3"/>
    <w:rsid w:val="00526D55"/>
    <w:rsid w:val="00527FF7"/>
    <w:rsid w:val="005300EC"/>
    <w:rsid w:val="00531233"/>
    <w:rsid w:val="005331C4"/>
    <w:rsid w:val="00534B59"/>
    <w:rsid w:val="0053620D"/>
    <w:rsid w:val="00536759"/>
    <w:rsid w:val="00537C62"/>
    <w:rsid w:val="00540CA0"/>
    <w:rsid w:val="0054241B"/>
    <w:rsid w:val="0054416D"/>
    <w:rsid w:val="005462E2"/>
    <w:rsid w:val="00546970"/>
    <w:rsid w:val="00547174"/>
    <w:rsid w:val="00547C2D"/>
    <w:rsid w:val="00550C66"/>
    <w:rsid w:val="00551833"/>
    <w:rsid w:val="00553235"/>
    <w:rsid w:val="005539DA"/>
    <w:rsid w:val="00554E19"/>
    <w:rsid w:val="00555728"/>
    <w:rsid w:val="005558E1"/>
    <w:rsid w:val="00557405"/>
    <w:rsid w:val="005608C6"/>
    <w:rsid w:val="0056121F"/>
    <w:rsid w:val="005612A6"/>
    <w:rsid w:val="005620A5"/>
    <w:rsid w:val="0056230E"/>
    <w:rsid w:val="005624EF"/>
    <w:rsid w:val="00562A38"/>
    <w:rsid w:val="00566D05"/>
    <w:rsid w:val="00567EE9"/>
    <w:rsid w:val="005700D4"/>
    <w:rsid w:val="005703EC"/>
    <w:rsid w:val="00570439"/>
    <w:rsid w:val="00570847"/>
    <w:rsid w:val="00571013"/>
    <w:rsid w:val="00572505"/>
    <w:rsid w:val="00572812"/>
    <w:rsid w:val="005728F7"/>
    <w:rsid w:val="005730DD"/>
    <w:rsid w:val="0057459C"/>
    <w:rsid w:val="00574D98"/>
    <w:rsid w:val="00577351"/>
    <w:rsid w:val="00577D79"/>
    <w:rsid w:val="00580E4E"/>
    <w:rsid w:val="00582809"/>
    <w:rsid w:val="0058386B"/>
    <w:rsid w:val="00585BC7"/>
    <w:rsid w:val="0058639C"/>
    <w:rsid w:val="005869D5"/>
    <w:rsid w:val="00586E5B"/>
    <w:rsid w:val="0058755D"/>
    <w:rsid w:val="0058798C"/>
    <w:rsid w:val="005900FA"/>
    <w:rsid w:val="00590991"/>
    <w:rsid w:val="00590AE1"/>
    <w:rsid w:val="0059150E"/>
    <w:rsid w:val="00592436"/>
    <w:rsid w:val="005932F2"/>
    <w:rsid w:val="005935A4"/>
    <w:rsid w:val="00593D24"/>
    <w:rsid w:val="0059473E"/>
    <w:rsid w:val="005948C2"/>
    <w:rsid w:val="00594CA8"/>
    <w:rsid w:val="0059578A"/>
    <w:rsid w:val="00595CD0"/>
    <w:rsid w:val="00595D25"/>
    <w:rsid w:val="00595DCA"/>
    <w:rsid w:val="00596411"/>
    <w:rsid w:val="0059665B"/>
    <w:rsid w:val="00596702"/>
    <w:rsid w:val="00597738"/>
    <w:rsid w:val="0059779B"/>
    <w:rsid w:val="00597F0C"/>
    <w:rsid w:val="005A0B5C"/>
    <w:rsid w:val="005A12AA"/>
    <w:rsid w:val="005A209A"/>
    <w:rsid w:val="005A245B"/>
    <w:rsid w:val="005A3B7D"/>
    <w:rsid w:val="005A662D"/>
    <w:rsid w:val="005A6753"/>
    <w:rsid w:val="005B35D7"/>
    <w:rsid w:val="005B392A"/>
    <w:rsid w:val="005B3AA3"/>
    <w:rsid w:val="005B3FAA"/>
    <w:rsid w:val="005B49F7"/>
    <w:rsid w:val="005B4E28"/>
    <w:rsid w:val="005B4FC4"/>
    <w:rsid w:val="005B5C1E"/>
    <w:rsid w:val="005B60AC"/>
    <w:rsid w:val="005B6F83"/>
    <w:rsid w:val="005B6FC0"/>
    <w:rsid w:val="005B7884"/>
    <w:rsid w:val="005C2B10"/>
    <w:rsid w:val="005C3804"/>
    <w:rsid w:val="005C4464"/>
    <w:rsid w:val="005C4F2F"/>
    <w:rsid w:val="005C5A76"/>
    <w:rsid w:val="005C6AF5"/>
    <w:rsid w:val="005C74FB"/>
    <w:rsid w:val="005D1602"/>
    <w:rsid w:val="005D4C9E"/>
    <w:rsid w:val="005D53C4"/>
    <w:rsid w:val="005D5445"/>
    <w:rsid w:val="005D55A9"/>
    <w:rsid w:val="005E0C72"/>
    <w:rsid w:val="005E133A"/>
    <w:rsid w:val="005E2E8B"/>
    <w:rsid w:val="005E385F"/>
    <w:rsid w:val="005E394B"/>
    <w:rsid w:val="005E3E4B"/>
    <w:rsid w:val="005E5B6F"/>
    <w:rsid w:val="005E5B81"/>
    <w:rsid w:val="005E5D7C"/>
    <w:rsid w:val="005E7495"/>
    <w:rsid w:val="005F0087"/>
    <w:rsid w:val="005F14A2"/>
    <w:rsid w:val="005F253A"/>
    <w:rsid w:val="005F2CB1"/>
    <w:rsid w:val="005F3025"/>
    <w:rsid w:val="005F37EC"/>
    <w:rsid w:val="005F3C82"/>
    <w:rsid w:val="005F3CCA"/>
    <w:rsid w:val="005F4BF4"/>
    <w:rsid w:val="005F5F91"/>
    <w:rsid w:val="005F618C"/>
    <w:rsid w:val="005F70BD"/>
    <w:rsid w:val="00600096"/>
    <w:rsid w:val="006005C2"/>
    <w:rsid w:val="006008AA"/>
    <w:rsid w:val="00601205"/>
    <w:rsid w:val="00601D0E"/>
    <w:rsid w:val="0060283C"/>
    <w:rsid w:val="0060332A"/>
    <w:rsid w:val="00603758"/>
    <w:rsid w:val="00604EC7"/>
    <w:rsid w:val="00604F14"/>
    <w:rsid w:val="0060503D"/>
    <w:rsid w:val="00605E41"/>
    <w:rsid w:val="0060618E"/>
    <w:rsid w:val="00606539"/>
    <w:rsid w:val="006066A9"/>
    <w:rsid w:val="00606CDB"/>
    <w:rsid w:val="00607E48"/>
    <w:rsid w:val="00610259"/>
    <w:rsid w:val="00610E77"/>
    <w:rsid w:val="00611B83"/>
    <w:rsid w:val="0061200D"/>
    <w:rsid w:val="00612057"/>
    <w:rsid w:val="0061258C"/>
    <w:rsid w:val="00612DF0"/>
    <w:rsid w:val="00613257"/>
    <w:rsid w:val="00613949"/>
    <w:rsid w:val="0061461F"/>
    <w:rsid w:val="006147A2"/>
    <w:rsid w:val="00615810"/>
    <w:rsid w:val="00616CA2"/>
    <w:rsid w:val="00620A71"/>
    <w:rsid w:val="00620D80"/>
    <w:rsid w:val="00620F64"/>
    <w:rsid w:val="00622DAD"/>
    <w:rsid w:val="006234A6"/>
    <w:rsid w:val="00623B22"/>
    <w:rsid w:val="00623EBB"/>
    <w:rsid w:val="006255CE"/>
    <w:rsid w:val="00625834"/>
    <w:rsid w:val="0062715C"/>
    <w:rsid w:val="006272F4"/>
    <w:rsid w:val="006278E5"/>
    <w:rsid w:val="00630001"/>
    <w:rsid w:val="00630775"/>
    <w:rsid w:val="006311B3"/>
    <w:rsid w:val="0063284C"/>
    <w:rsid w:val="00633DB0"/>
    <w:rsid w:val="00634D0B"/>
    <w:rsid w:val="00634D72"/>
    <w:rsid w:val="00634EBE"/>
    <w:rsid w:val="006358DB"/>
    <w:rsid w:val="00635BE7"/>
    <w:rsid w:val="00636398"/>
    <w:rsid w:val="006368D3"/>
    <w:rsid w:val="006377EC"/>
    <w:rsid w:val="00640EDB"/>
    <w:rsid w:val="0064151F"/>
    <w:rsid w:val="00641533"/>
    <w:rsid w:val="00641B2F"/>
    <w:rsid w:val="0064208D"/>
    <w:rsid w:val="00642181"/>
    <w:rsid w:val="00642932"/>
    <w:rsid w:val="00643072"/>
    <w:rsid w:val="00643475"/>
    <w:rsid w:val="0064396A"/>
    <w:rsid w:val="00645B82"/>
    <w:rsid w:val="0064624E"/>
    <w:rsid w:val="00646D38"/>
    <w:rsid w:val="00647A03"/>
    <w:rsid w:val="00647E1B"/>
    <w:rsid w:val="00650AB9"/>
    <w:rsid w:val="006510AD"/>
    <w:rsid w:val="00653FBD"/>
    <w:rsid w:val="006543C6"/>
    <w:rsid w:val="00655733"/>
    <w:rsid w:val="006559FE"/>
    <w:rsid w:val="00655ACD"/>
    <w:rsid w:val="006563A4"/>
    <w:rsid w:val="006568BE"/>
    <w:rsid w:val="00656A92"/>
    <w:rsid w:val="00656DDE"/>
    <w:rsid w:val="00657AEC"/>
    <w:rsid w:val="0066011D"/>
    <w:rsid w:val="006607C0"/>
    <w:rsid w:val="006613A6"/>
    <w:rsid w:val="006627A2"/>
    <w:rsid w:val="006634E6"/>
    <w:rsid w:val="00664E97"/>
    <w:rsid w:val="00665113"/>
    <w:rsid w:val="006654B4"/>
    <w:rsid w:val="006655EE"/>
    <w:rsid w:val="00665763"/>
    <w:rsid w:val="00665C96"/>
    <w:rsid w:val="00666208"/>
    <w:rsid w:val="006668E7"/>
    <w:rsid w:val="006673BA"/>
    <w:rsid w:val="006673FC"/>
    <w:rsid w:val="00667540"/>
    <w:rsid w:val="00667EE7"/>
    <w:rsid w:val="00670922"/>
    <w:rsid w:val="00670BE1"/>
    <w:rsid w:val="00671995"/>
    <w:rsid w:val="0067218F"/>
    <w:rsid w:val="0067397C"/>
    <w:rsid w:val="006741F2"/>
    <w:rsid w:val="006745F1"/>
    <w:rsid w:val="00674CC3"/>
    <w:rsid w:val="006755E9"/>
    <w:rsid w:val="006755FE"/>
    <w:rsid w:val="00675C72"/>
    <w:rsid w:val="006771F9"/>
    <w:rsid w:val="00677322"/>
    <w:rsid w:val="006776D7"/>
    <w:rsid w:val="00677A08"/>
    <w:rsid w:val="006802A0"/>
    <w:rsid w:val="00681003"/>
    <w:rsid w:val="00681515"/>
    <w:rsid w:val="006817C9"/>
    <w:rsid w:val="0068364A"/>
    <w:rsid w:val="00683ECE"/>
    <w:rsid w:val="00683F4A"/>
    <w:rsid w:val="006855AC"/>
    <w:rsid w:val="006871D2"/>
    <w:rsid w:val="0068724A"/>
    <w:rsid w:val="0068731C"/>
    <w:rsid w:val="006875C4"/>
    <w:rsid w:val="00687ABD"/>
    <w:rsid w:val="00690B2D"/>
    <w:rsid w:val="00690F88"/>
    <w:rsid w:val="0069106C"/>
    <w:rsid w:val="00691FF8"/>
    <w:rsid w:val="00693AE2"/>
    <w:rsid w:val="006949AC"/>
    <w:rsid w:val="00694D5C"/>
    <w:rsid w:val="00695FC2"/>
    <w:rsid w:val="00696949"/>
    <w:rsid w:val="00697052"/>
    <w:rsid w:val="00697135"/>
    <w:rsid w:val="006978A9"/>
    <w:rsid w:val="00697AE5"/>
    <w:rsid w:val="006A2E84"/>
    <w:rsid w:val="006A2FDB"/>
    <w:rsid w:val="006A3FA1"/>
    <w:rsid w:val="006A44DD"/>
    <w:rsid w:val="006A46FB"/>
    <w:rsid w:val="006A4968"/>
    <w:rsid w:val="006A5614"/>
    <w:rsid w:val="006A5E28"/>
    <w:rsid w:val="006A61E4"/>
    <w:rsid w:val="006A697B"/>
    <w:rsid w:val="006A704F"/>
    <w:rsid w:val="006A7AFF"/>
    <w:rsid w:val="006B01F3"/>
    <w:rsid w:val="006B0638"/>
    <w:rsid w:val="006B1816"/>
    <w:rsid w:val="006B2099"/>
    <w:rsid w:val="006B25E3"/>
    <w:rsid w:val="006B2F55"/>
    <w:rsid w:val="006B390C"/>
    <w:rsid w:val="006B50CF"/>
    <w:rsid w:val="006B5B80"/>
    <w:rsid w:val="006B6B33"/>
    <w:rsid w:val="006C0099"/>
    <w:rsid w:val="006C03B8"/>
    <w:rsid w:val="006C2EC8"/>
    <w:rsid w:val="006C3298"/>
    <w:rsid w:val="006C3369"/>
    <w:rsid w:val="006C34CF"/>
    <w:rsid w:val="006C409D"/>
    <w:rsid w:val="006C48DF"/>
    <w:rsid w:val="006C4E96"/>
    <w:rsid w:val="006C5D90"/>
    <w:rsid w:val="006C5EC9"/>
    <w:rsid w:val="006C6059"/>
    <w:rsid w:val="006C6591"/>
    <w:rsid w:val="006C7522"/>
    <w:rsid w:val="006C7768"/>
    <w:rsid w:val="006D01CC"/>
    <w:rsid w:val="006D0684"/>
    <w:rsid w:val="006D0943"/>
    <w:rsid w:val="006D1067"/>
    <w:rsid w:val="006D1507"/>
    <w:rsid w:val="006D1FC4"/>
    <w:rsid w:val="006D234D"/>
    <w:rsid w:val="006D2777"/>
    <w:rsid w:val="006D286A"/>
    <w:rsid w:val="006D29DA"/>
    <w:rsid w:val="006D4AF8"/>
    <w:rsid w:val="006D4D62"/>
    <w:rsid w:val="006D5CEB"/>
    <w:rsid w:val="006D6F08"/>
    <w:rsid w:val="006D7367"/>
    <w:rsid w:val="006E062C"/>
    <w:rsid w:val="006E12F5"/>
    <w:rsid w:val="006E15FC"/>
    <w:rsid w:val="006E28B7"/>
    <w:rsid w:val="006E304B"/>
    <w:rsid w:val="006E3310"/>
    <w:rsid w:val="006E46CC"/>
    <w:rsid w:val="006E47BA"/>
    <w:rsid w:val="006E4E39"/>
    <w:rsid w:val="006E4E58"/>
    <w:rsid w:val="006E565E"/>
    <w:rsid w:val="006E5FB3"/>
    <w:rsid w:val="006E673D"/>
    <w:rsid w:val="006E7D3B"/>
    <w:rsid w:val="006F19EB"/>
    <w:rsid w:val="006F1B70"/>
    <w:rsid w:val="006F2205"/>
    <w:rsid w:val="006F341D"/>
    <w:rsid w:val="006F3CDE"/>
    <w:rsid w:val="006F4045"/>
    <w:rsid w:val="006F4CC9"/>
    <w:rsid w:val="006F58D4"/>
    <w:rsid w:val="006F5D1E"/>
    <w:rsid w:val="006F5E4F"/>
    <w:rsid w:val="006F62A8"/>
    <w:rsid w:val="0070346E"/>
    <w:rsid w:val="007036D0"/>
    <w:rsid w:val="00704EDB"/>
    <w:rsid w:val="00705003"/>
    <w:rsid w:val="00705D99"/>
    <w:rsid w:val="00706101"/>
    <w:rsid w:val="00706783"/>
    <w:rsid w:val="00707072"/>
    <w:rsid w:val="0070730A"/>
    <w:rsid w:val="00707D61"/>
    <w:rsid w:val="00707E99"/>
    <w:rsid w:val="00707F42"/>
    <w:rsid w:val="00710282"/>
    <w:rsid w:val="00711136"/>
    <w:rsid w:val="00712287"/>
    <w:rsid w:val="00712772"/>
    <w:rsid w:val="0071372B"/>
    <w:rsid w:val="007148D3"/>
    <w:rsid w:val="00715B9A"/>
    <w:rsid w:val="0071716F"/>
    <w:rsid w:val="00720408"/>
    <w:rsid w:val="0072220D"/>
    <w:rsid w:val="007225CE"/>
    <w:rsid w:val="00722F57"/>
    <w:rsid w:val="007240B7"/>
    <w:rsid w:val="00724922"/>
    <w:rsid w:val="00725EB0"/>
    <w:rsid w:val="00725EBE"/>
    <w:rsid w:val="0072699F"/>
    <w:rsid w:val="00726A5E"/>
    <w:rsid w:val="00726EA6"/>
    <w:rsid w:val="0072709F"/>
    <w:rsid w:val="00727208"/>
    <w:rsid w:val="00727680"/>
    <w:rsid w:val="00730271"/>
    <w:rsid w:val="0073048E"/>
    <w:rsid w:val="00731086"/>
    <w:rsid w:val="00731F26"/>
    <w:rsid w:val="00732742"/>
    <w:rsid w:val="00733639"/>
    <w:rsid w:val="007348B1"/>
    <w:rsid w:val="007349F4"/>
    <w:rsid w:val="00735207"/>
    <w:rsid w:val="00735B3D"/>
    <w:rsid w:val="00735FB0"/>
    <w:rsid w:val="007362A6"/>
    <w:rsid w:val="00736748"/>
    <w:rsid w:val="00736D7D"/>
    <w:rsid w:val="0074013E"/>
    <w:rsid w:val="00740517"/>
    <w:rsid w:val="00740940"/>
    <w:rsid w:val="00740E58"/>
    <w:rsid w:val="007411E8"/>
    <w:rsid w:val="00741697"/>
    <w:rsid w:val="0074202E"/>
    <w:rsid w:val="007445A0"/>
    <w:rsid w:val="0074524B"/>
    <w:rsid w:val="00745606"/>
    <w:rsid w:val="00745A52"/>
    <w:rsid w:val="00745D18"/>
    <w:rsid w:val="00746028"/>
    <w:rsid w:val="0074651D"/>
    <w:rsid w:val="00747D8B"/>
    <w:rsid w:val="00751228"/>
    <w:rsid w:val="00751915"/>
    <w:rsid w:val="00751ADB"/>
    <w:rsid w:val="00751DCC"/>
    <w:rsid w:val="00752922"/>
    <w:rsid w:val="00754249"/>
    <w:rsid w:val="0075583A"/>
    <w:rsid w:val="007571E1"/>
    <w:rsid w:val="0075753B"/>
    <w:rsid w:val="00757FA5"/>
    <w:rsid w:val="007604B2"/>
    <w:rsid w:val="00761125"/>
    <w:rsid w:val="007611FD"/>
    <w:rsid w:val="00761FCF"/>
    <w:rsid w:val="00762255"/>
    <w:rsid w:val="0076330E"/>
    <w:rsid w:val="0076398B"/>
    <w:rsid w:val="00764B15"/>
    <w:rsid w:val="00764BE2"/>
    <w:rsid w:val="00765281"/>
    <w:rsid w:val="00765EF0"/>
    <w:rsid w:val="00766B2E"/>
    <w:rsid w:val="00766B51"/>
    <w:rsid w:val="00766BAD"/>
    <w:rsid w:val="00767CFB"/>
    <w:rsid w:val="0077008A"/>
    <w:rsid w:val="007710CE"/>
    <w:rsid w:val="0077253A"/>
    <w:rsid w:val="007735E4"/>
    <w:rsid w:val="007750C4"/>
    <w:rsid w:val="007755A3"/>
    <w:rsid w:val="007755F2"/>
    <w:rsid w:val="00775C85"/>
    <w:rsid w:val="00776452"/>
    <w:rsid w:val="00776971"/>
    <w:rsid w:val="00777811"/>
    <w:rsid w:val="00777EAB"/>
    <w:rsid w:val="00777FE6"/>
    <w:rsid w:val="00780AFF"/>
    <w:rsid w:val="00780F92"/>
    <w:rsid w:val="007816A7"/>
    <w:rsid w:val="0078177E"/>
    <w:rsid w:val="00781D6D"/>
    <w:rsid w:val="007824C8"/>
    <w:rsid w:val="0078298C"/>
    <w:rsid w:val="0078304C"/>
    <w:rsid w:val="00783673"/>
    <w:rsid w:val="007837A9"/>
    <w:rsid w:val="00783855"/>
    <w:rsid w:val="0078428F"/>
    <w:rsid w:val="00785490"/>
    <w:rsid w:val="00785C78"/>
    <w:rsid w:val="00786225"/>
    <w:rsid w:val="0078653B"/>
    <w:rsid w:val="0078744C"/>
    <w:rsid w:val="0079057B"/>
    <w:rsid w:val="00791699"/>
    <w:rsid w:val="007925EA"/>
    <w:rsid w:val="007927D5"/>
    <w:rsid w:val="00793456"/>
    <w:rsid w:val="00793CD8"/>
    <w:rsid w:val="0079443A"/>
    <w:rsid w:val="0079467C"/>
    <w:rsid w:val="00794BD1"/>
    <w:rsid w:val="00795C92"/>
    <w:rsid w:val="00796231"/>
    <w:rsid w:val="0079625F"/>
    <w:rsid w:val="0079628F"/>
    <w:rsid w:val="0079688B"/>
    <w:rsid w:val="0079778A"/>
    <w:rsid w:val="007A0002"/>
    <w:rsid w:val="007A064B"/>
    <w:rsid w:val="007A1CB3"/>
    <w:rsid w:val="007A2BAE"/>
    <w:rsid w:val="007A306F"/>
    <w:rsid w:val="007A3827"/>
    <w:rsid w:val="007A43A6"/>
    <w:rsid w:val="007A4DDD"/>
    <w:rsid w:val="007A5094"/>
    <w:rsid w:val="007A58A6"/>
    <w:rsid w:val="007A72AE"/>
    <w:rsid w:val="007A7586"/>
    <w:rsid w:val="007B05FC"/>
    <w:rsid w:val="007B08B9"/>
    <w:rsid w:val="007B3D2D"/>
    <w:rsid w:val="007B50AE"/>
    <w:rsid w:val="007B51DF"/>
    <w:rsid w:val="007B5A7C"/>
    <w:rsid w:val="007B74D6"/>
    <w:rsid w:val="007B7B9E"/>
    <w:rsid w:val="007B7E2F"/>
    <w:rsid w:val="007B7E85"/>
    <w:rsid w:val="007C0093"/>
    <w:rsid w:val="007C05DD"/>
    <w:rsid w:val="007C1EF4"/>
    <w:rsid w:val="007C2646"/>
    <w:rsid w:val="007C3333"/>
    <w:rsid w:val="007C3D18"/>
    <w:rsid w:val="007C42B6"/>
    <w:rsid w:val="007C48AC"/>
    <w:rsid w:val="007C4C86"/>
    <w:rsid w:val="007C4FC2"/>
    <w:rsid w:val="007C5A97"/>
    <w:rsid w:val="007C60BF"/>
    <w:rsid w:val="007C6595"/>
    <w:rsid w:val="007C6A07"/>
    <w:rsid w:val="007C6A44"/>
    <w:rsid w:val="007C7481"/>
    <w:rsid w:val="007C750F"/>
    <w:rsid w:val="007C75A1"/>
    <w:rsid w:val="007C77A5"/>
    <w:rsid w:val="007C7A9D"/>
    <w:rsid w:val="007D04E5"/>
    <w:rsid w:val="007D1083"/>
    <w:rsid w:val="007D156C"/>
    <w:rsid w:val="007D2582"/>
    <w:rsid w:val="007D2E4A"/>
    <w:rsid w:val="007D30C7"/>
    <w:rsid w:val="007D418D"/>
    <w:rsid w:val="007D4268"/>
    <w:rsid w:val="007D42F6"/>
    <w:rsid w:val="007D5901"/>
    <w:rsid w:val="007D7526"/>
    <w:rsid w:val="007E1F92"/>
    <w:rsid w:val="007E23AE"/>
    <w:rsid w:val="007E289E"/>
    <w:rsid w:val="007E28EF"/>
    <w:rsid w:val="007E4610"/>
    <w:rsid w:val="007E4715"/>
    <w:rsid w:val="007E4A63"/>
    <w:rsid w:val="007E505B"/>
    <w:rsid w:val="007E551A"/>
    <w:rsid w:val="007E63EC"/>
    <w:rsid w:val="007E65B3"/>
    <w:rsid w:val="007E7091"/>
    <w:rsid w:val="007F0867"/>
    <w:rsid w:val="007F181D"/>
    <w:rsid w:val="007F346E"/>
    <w:rsid w:val="007F380B"/>
    <w:rsid w:val="007F3A3F"/>
    <w:rsid w:val="007F5EB2"/>
    <w:rsid w:val="007F5F59"/>
    <w:rsid w:val="007F66E5"/>
    <w:rsid w:val="007F6EC3"/>
    <w:rsid w:val="00800E9A"/>
    <w:rsid w:val="00803624"/>
    <w:rsid w:val="00803FAE"/>
    <w:rsid w:val="00804380"/>
    <w:rsid w:val="00804956"/>
    <w:rsid w:val="008053E7"/>
    <w:rsid w:val="0080605F"/>
    <w:rsid w:val="008062DC"/>
    <w:rsid w:val="00807786"/>
    <w:rsid w:val="008105CB"/>
    <w:rsid w:val="00810A06"/>
    <w:rsid w:val="00811675"/>
    <w:rsid w:val="0081188F"/>
    <w:rsid w:val="00811FCB"/>
    <w:rsid w:val="0081268B"/>
    <w:rsid w:val="008136EE"/>
    <w:rsid w:val="00814013"/>
    <w:rsid w:val="00814E61"/>
    <w:rsid w:val="008158D6"/>
    <w:rsid w:val="00816513"/>
    <w:rsid w:val="00816D7F"/>
    <w:rsid w:val="00817196"/>
    <w:rsid w:val="00817F43"/>
    <w:rsid w:val="00820A8B"/>
    <w:rsid w:val="00820D8A"/>
    <w:rsid w:val="0082175A"/>
    <w:rsid w:val="00821947"/>
    <w:rsid w:val="00821E47"/>
    <w:rsid w:val="008234B2"/>
    <w:rsid w:val="008235DB"/>
    <w:rsid w:val="00823690"/>
    <w:rsid w:val="00824AB4"/>
    <w:rsid w:val="00824C59"/>
    <w:rsid w:val="00824DF3"/>
    <w:rsid w:val="00825C42"/>
    <w:rsid w:val="00825D25"/>
    <w:rsid w:val="008266E1"/>
    <w:rsid w:val="008271AB"/>
    <w:rsid w:val="00827648"/>
    <w:rsid w:val="00827D6F"/>
    <w:rsid w:val="00830C54"/>
    <w:rsid w:val="00831573"/>
    <w:rsid w:val="00831EE7"/>
    <w:rsid w:val="008321DB"/>
    <w:rsid w:val="0083269A"/>
    <w:rsid w:val="00832977"/>
    <w:rsid w:val="00832AA9"/>
    <w:rsid w:val="00835AB0"/>
    <w:rsid w:val="00835DAD"/>
    <w:rsid w:val="00836F19"/>
    <w:rsid w:val="008376AC"/>
    <w:rsid w:val="00837863"/>
    <w:rsid w:val="00840574"/>
    <w:rsid w:val="008413D1"/>
    <w:rsid w:val="00841A6F"/>
    <w:rsid w:val="00842158"/>
    <w:rsid w:val="008425D4"/>
    <w:rsid w:val="008444E8"/>
    <w:rsid w:val="00844B0E"/>
    <w:rsid w:val="00844E80"/>
    <w:rsid w:val="00846414"/>
    <w:rsid w:val="008467A6"/>
    <w:rsid w:val="00846FE7"/>
    <w:rsid w:val="00847D43"/>
    <w:rsid w:val="00851A83"/>
    <w:rsid w:val="00852E2F"/>
    <w:rsid w:val="008539CE"/>
    <w:rsid w:val="00853C3D"/>
    <w:rsid w:val="00854356"/>
    <w:rsid w:val="00854975"/>
    <w:rsid w:val="00855753"/>
    <w:rsid w:val="0085640D"/>
    <w:rsid w:val="00856911"/>
    <w:rsid w:val="00857077"/>
    <w:rsid w:val="00857CAE"/>
    <w:rsid w:val="00861311"/>
    <w:rsid w:val="00865031"/>
    <w:rsid w:val="00866569"/>
    <w:rsid w:val="00866ABE"/>
    <w:rsid w:val="008677FD"/>
    <w:rsid w:val="008703E9"/>
    <w:rsid w:val="008706D4"/>
    <w:rsid w:val="00870DAD"/>
    <w:rsid w:val="00870F8A"/>
    <w:rsid w:val="008719A4"/>
    <w:rsid w:val="00871D23"/>
    <w:rsid w:val="00872012"/>
    <w:rsid w:val="008725AC"/>
    <w:rsid w:val="0087295E"/>
    <w:rsid w:val="00873787"/>
    <w:rsid w:val="00873F15"/>
    <w:rsid w:val="008740E5"/>
    <w:rsid w:val="008741FA"/>
    <w:rsid w:val="00874312"/>
    <w:rsid w:val="0087437C"/>
    <w:rsid w:val="00874D7C"/>
    <w:rsid w:val="00875988"/>
    <w:rsid w:val="00875CD7"/>
    <w:rsid w:val="008764AE"/>
    <w:rsid w:val="00876776"/>
    <w:rsid w:val="00876B4D"/>
    <w:rsid w:val="00876CB6"/>
    <w:rsid w:val="00877071"/>
    <w:rsid w:val="00877F18"/>
    <w:rsid w:val="0088087B"/>
    <w:rsid w:val="00881870"/>
    <w:rsid w:val="00882202"/>
    <w:rsid w:val="008830FD"/>
    <w:rsid w:val="0088372D"/>
    <w:rsid w:val="00885144"/>
    <w:rsid w:val="00885EAB"/>
    <w:rsid w:val="008900D0"/>
    <w:rsid w:val="00893CEC"/>
    <w:rsid w:val="00894A88"/>
    <w:rsid w:val="00894FF6"/>
    <w:rsid w:val="00895386"/>
    <w:rsid w:val="00895E17"/>
    <w:rsid w:val="00896A69"/>
    <w:rsid w:val="008A063F"/>
    <w:rsid w:val="008A0F8A"/>
    <w:rsid w:val="008A14C6"/>
    <w:rsid w:val="008A169B"/>
    <w:rsid w:val="008A181E"/>
    <w:rsid w:val="008A21FF"/>
    <w:rsid w:val="008A2B08"/>
    <w:rsid w:val="008A2CE2"/>
    <w:rsid w:val="008A30AC"/>
    <w:rsid w:val="008A44B8"/>
    <w:rsid w:val="008A4D1D"/>
    <w:rsid w:val="008A51A8"/>
    <w:rsid w:val="008A54C7"/>
    <w:rsid w:val="008A5E64"/>
    <w:rsid w:val="008A77D8"/>
    <w:rsid w:val="008A7F46"/>
    <w:rsid w:val="008B030A"/>
    <w:rsid w:val="008B0483"/>
    <w:rsid w:val="008B085D"/>
    <w:rsid w:val="008B0C25"/>
    <w:rsid w:val="008B0C56"/>
    <w:rsid w:val="008B120C"/>
    <w:rsid w:val="008B27B2"/>
    <w:rsid w:val="008B2EB4"/>
    <w:rsid w:val="008B420C"/>
    <w:rsid w:val="008B48CC"/>
    <w:rsid w:val="008B5192"/>
    <w:rsid w:val="008B51A0"/>
    <w:rsid w:val="008B58FE"/>
    <w:rsid w:val="008B592A"/>
    <w:rsid w:val="008B5E8E"/>
    <w:rsid w:val="008B661E"/>
    <w:rsid w:val="008B7B5C"/>
    <w:rsid w:val="008C0C99"/>
    <w:rsid w:val="008C1107"/>
    <w:rsid w:val="008C2017"/>
    <w:rsid w:val="008C2059"/>
    <w:rsid w:val="008C210F"/>
    <w:rsid w:val="008C4958"/>
    <w:rsid w:val="008C4BAA"/>
    <w:rsid w:val="008C4EFA"/>
    <w:rsid w:val="008C61B8"/>
    <w:rsid w:val="008C6AE8"/>
    <w:rsid w:val="008C701B"/>
    <w:rsid w:val="008C7573"/>
    <w:rsid w:val="008C79FA"/>
    <w:rsid w:val="008D12FF"/>
    <w:rsid w:val="008D2559"/>
    <w:rsid w:val="008D3119"/>
    <w:rsid w:val="008D327F"/>
    <w:rsid w:val="008D34F1"/>
    <w:rsid w:val="008D39D8"/>
    <w:rsid w:val="008D3DBE"/>
    <w:rsid w:val="008D4932"/>
    <w:rsid w:val="008D4B4B"/>
    <w:rsid w:val="008D57C2"/>
    <w:rsid w:val="008D6D1A"/>
    <w:rsid w:val="008D716D"/>
    <w:rsid w:val="008E065E"/>
    <w:rsid w:val="008E0927"/>
    <w:rsid w:val="008E0B6F"/>
    <w:rsid w:val="008E14C5"/>
    <w:rsid w:val="008E184B"/>
    <w:rsid w:val="008E1909"/>
    <w:rsid w:val="008E26CE"/>
    <w:rsid w:val="008E3A27"/>
    <w:rsid w:val="008E4E19"/>
    <w:rsid w:val="008E4F08"/>
    <w:rsid w:val="008E5A95"/>
    <w:rsid w:val="008E6404"/>
    <w:rsid w:val="008E6591"/>
    <w:rsid w:val="008E7104"/>
    <w:rsid w:val="008E762F"/>
    <w:rsid w:val="008E7BD2"/>
    <w:rsid w:val="008F04C6"/>
    <w:rsid w:val="008F0E04"/>
    <w:rsid w:val="008F1EAB"/>
    <w:rsid w:val="008F334A"/>
    <w:rsid w:val="008F33DC"/>
    <w:rsid w:val="008F4366"/>
    <w:rsid w:val="008F477F"/>
    <w:rsid w:val="008F60AF"/>
    <w:rsid w:val="008F6CB1"/>
    <w:rsid w:val="0090077E"/>
    <w:rsid w:val="00902341"/>
    <w:rsid w:val="00902350"/>
    <w:rsid w:val="00902814"/>
    <w:rsid w:val="0090336B"/>
    <w:rsid w:val="00903F23"/>
    <w:rsid w:val="00904E0B"/>
    <w:rsid w:val="009050FD"/>
    <w:rsid w:val="009053AA"/>
    <w:rsid w:val="0090541F"/>
    <w:rsid w:val="00905C15"/>
    <w:rsid w:val="00905CA6"/>
    <w:rsid w:val="00906459"/>
    <w:rsid w:val="00906939"/>
    <w:rsid w:val="009101DC"/>
    <w:rsid w:val="00910B7D"/>
    <w:rsid w:val="009116F8"/>
    <w:rsid w:val="009118B9"/>
    <w:rsid w:val="00911DFB"/>
    <w:rsid w:val="009139D9"/>
    <w:rsid w:val="00913D3D"/>
    <w:rsid w:val="00914AD8"/>
    <w:rsid w:val="00915055"/>
    <w:rsid w:val="009159DB"/>
    <w:rsid w:val="00915D06"/>
    <w:rsid w:val="00916079"/>
    <w:rsid w:val="0091665B"/>
    <w:rsid w:val="00917CE9"/>
    <w:rsid w:val="00920BF2"/>
    <w:rsid w:val="00921D6D"/>
    <w:rsid w:val="00922010"/>
    <w:rsid w:val="00922914"/>
    <w:rsid w:val="00922D2F"/>
    <w:rsid w:val="00922EC1"/>
    <w:rsid w:val="00922FE2"/>
    <w:rsid w:val="00923075"/>
    <w:rsid w:val="00924398"/>
    <w:rsid w:val="009248FD"/>
    <w:rsid w:val="00927BC5"/>
    <w:rsid w:val="00930228"/>
    <w:rsid w:val="00930533"/>
    <w:rsid w:val="00931557"/>
    <w:rsid w:val="00931BD9"/>
    <w:rsid w:val="00932520"/>
    <w:rsid w:val="00932849"/>
    <w:rsid w:val="009331D3"/>
    <w:rsid w:val="009335B3"/>
    <w:rsid w:val="009336D4"/>
    <w:rsid w:val="00934034"/>
    <w:rsid w:val="00934298"/>
    <w:rsid w:val="00934678"/>
    <w:rsid w:val="00935226"/>
    <w:rsid w:val="00935D96"/>
    <w:rsid w:val="00935F20"/>
    <w:rsid w:val="009368F3"/>
    <w:rsid w:val="00936EA2"/>
    <w:rsid w:val="00940689"/>
    <w:rsid w:val="009407C3"/>
    <w:rsid w:val="00941636"/>
    <w:rsid w:val="00941EC6"/>
    <w:rsid w:val="00942405"/>
    <w:rsid w:val="00942BFD"/>
    <w:rsid w:val="00943742"/>
    <w:rsid w:val="0094538E"/>
    <w:rsid w:val="00945C05"/>
    <w:rsid w:val="00946945"/>
    <w:rsid w:val="00946AFC"/>
    <w:rsid w:val="0094726C"/>
    <w:rsid w:val="00947645"/>
    <w:rsid w:val="00947713"/>
    <w:rsid w:val="009501D1"/>
    <w:rsid w:val="00950DE7"/>
    <w:rsid w:val="009524F0"/>
    <w:rsid w:val="00952F0C"/>
    <w:rsid w:val="009536E1"/>
    <w:rsid w:val="00953920"/>
    <w:rsid w:val="00953927"/>
    <w:rsid w:val="00953D47"/>
    <w:rsid w:val="00954631"/>
    <w:rsid w:val="0095681E"/>
    <w:rsid w:val="009572D4"/>
    <w:rsid w:val="00960E52"/>
    <w:rsid w:val="0096152E"/>
    <w:rsid w:val="00961921"/>
    <w:rsid w:val="00962FD1"/>
    <w:rsid w:val="009630C9"/>
    <w:rsid w:val="0096430A"/>
    <w:rsid w:val="009651F6"/>
    <w:rsid w:val="0096554B"/>
    <w:rsid w:val="0096584A"/>
    <w:rsid w:val="0096640C"/>
    <w:rsid w:val="00966E32"/>
    <w:rsid w:val="0097075E"/>
    <w:rsid w:val="00971939"/>
    <w:rsid w:val="00971F08"/>
    <w:rsid w:val="009741B4"/>
    <w:rsid w:val="009746ED"/>
    <w:rsid w:val="00974FF4"/>
    <w:rsid w:val="00975C0B"/>
    <w:rsid w:val="0097603D"/>
    <w:rsid w:val="00976463"/>
    <w:rsid w:val="00976949"/>
    <w:rsid w:val="009802EA"/>
    <w:rsid w:val="00980477"/>
    <w:rsid w:val="0098067E"/>
    <w:rsid w:val="00982B1F"/>
    <w:rsid w:val="00983067"/>
    <w:rsid w:val="009835A7"/>
    <w:rsid w:val="00984F95"/>
    <w:rsid w:val="00985253"/>
    <w:rsid w:val="009853B3"/>
    <w:rsid w:val="0098599F"/>
    <w:rsid w:val="00990630"/>
    <w:rsid w:val="00991505"/>
    <w:rsid w:val="00991761"/>
    <w:rsid w:val="00991C47"/>
    <w:rsid w:val="00991D5D"/>
    <w:rsid w:val="00994DCA"/>
    <w:rsid w:val="00995A48"/>
    <w:rsid w:val="00995F0E"/>
    <w:rsid w:val="009960EC"/>
    <w:rsid w:val="0099675C"/>
    <w:rsid w:val="00996944"/>
    <w:rsid w:val="00996A40"/>
    <w:rsid w:val="009970DD"/>
    <w:rsid w:val="009A0425"/>
    <w:rsid w:val="009A0D9F"/>
    <w:rsid w:val="009A0FBA"/>
    <w:rsid w:val="009A1286"/>
    <w:rsid w:val="009A1601"/>
    <w:rsid w:val="009A21F3"/>
    <w:rsid w:val="009A3066"/>
    <w:rsid w:val="009A34F3"/>
    <w:rsid w:val="009A39FA"/>
    <w:rsid w:val="009A462D"/>
    <w:rsid w:val="009A5CBA"/>
    <w:rsid w:val="009A5DAA"/>
    <w:rsid w:val="009A7255"/>
    <w:rsid w:val="009A7A31"/>
    <w:rsid w:val="009B032A"/>
    <w:rsid w:val="009B0E66"/>
    <w:rsid w:val="009B1A80"/>
    <w:rsid w:val="009B1D6B"/>
    <w:rsid w:val="009B1F30"/>
    <w:rsid w:val="009B22E3"/>
    <w:rsid w:val="009B2490"/>
    <w:rsid w:val="009B27CD"/>
    <w:rsid w:val="009B2A93"/>
    <w:rsid w:val="009B32A6"/>
    <w:rsid w:val="009B364D"/>
    <w:rsid w:val="009B370C"/>
    <w:rsid w:val="009B3AC2"/>
    <w:rsid w:val="009B3CC0"/>
    <w:rsid w:val="009B3E2D"/>
    <w:rsid w:val="009B4DF4"/>
    <w:rsid w:val="009B553D"/>
    <w:rsid w:val="009B564E"/>
    <w:rsid w:val="009B7319"/>
    <w:rsid w:val="009B7E87"/>
    <w:rsid w:val="009C0222"/>
    <w:rsid w:val="009C0A90"/>
    <w:rsid w:val="009C1CA4"/>
    <w:rsid w:val="009C1F32"/>
    <w:rsid w:val="009C273B"/>
    <w:rsid w:val="009C403E"/>
    <w:rsid w:val="009C4C72"/>
    <w:rsid w:val="009C63E5"/>
    <w:rsid w:val="009C6A45"/>
    <w:rsid w:val="009D0288"/>
    <w:rsid w:val="009D1560"/>
    <w:rsid w:val="009D1A64"/>
    <w:rsid w:val="009D20B8"/>
    <w:rsid w:val="009D2386"/>
    <w:rsid w:val="009D261C"/>
    <w:rsid w:val="009D3AE9"/>
    <w:rsid w:val="009D4700"/>
    <w:rsid w:val="009D4FF0"/>
    <w:rsid w:val="009D703C"/>
    <w:rsid w:val="009D718F"/>
    <w:rsid w:val="009D7461"/>
    <w:rsid w:val="009E020E"/>
    <w:rsid w:val="009E068F"/>
    <w:rsid w:val="009E14E0"/>
    <w:rsid w:val="009E270D"/>
    <w:rsid w:val="009E35DB"/>
    <w:rsid w:val="009E39D5"/>
    <w:rsid w:val="009E47A3"/>
    <w:rsid w:val="009E50A9"/>
    <w:rsid w:val="009E65F4"/>
    <w:rsid w:val="009E6A11"/>
    <w:rsid w:val="009E7AFB"/>
    <w:rsid w:val="009F08F3"/>
    <w:rsid w:val="009F14BB"/>
    <w:rsid w:val="009F14CF"/>
    <w:rsid w:val="009F2511"/>
    <w:rsid w:val="009F2A88"/>
    <w:rsid w:val="009F344F"/>
    <w:rsid w:val="009F39DD"/>
    <w:rsid w:val="009F3AFC"/>
    <w:rsid w:val="009F49D7"/>
    <w:rsid w:val="009F572B"/>
    <w:rsid w:val="009F5F16"/>
    <w:rsid w:val="009F674E"/>
    <w:rsid w:val="009F7337"/>
    <w:rsid w:val="009F73BC"/>
    <w:rsid w:val="00A0031E"/>
    <w:rsid w:val="00A0189F"/>
    <w:rsid w:val="00A03014"/>
    <w:rsid w:val="00A045BB"/>
    <w:rsid w:val="00A048A8"/>
    <w:rsid w:val="00A04F49"/>
    <w:rsid w:val="00A05673"/>
    <w:rsid w:val="00A06A53"/>
    <w:rsid w:val="00A06D0A"/>
    <w:rsid w:val="00A074E6"/>
    <w:rsid w:val="00A07AFE"/>
    <w:rsid w:val="00A11188"/>
    <w:rsid w:val="00A12BDE"/>
    <w:rsid w:val="00A13E54"/>
    <w:rsid w:val="00A146E7"/>
    <w:rsid w:val="00A14BDB"/>
    <w:rsid w:val="00A152E5"/>
    <w:rsid w:val="00A15848"/>
    <w:rsid w:val="00A17728"/>
    <w:rsid w:val="00A17F63"/>
    <w:rsid w:val="00A21839"/>
    <w:rsid w:val="00A2193B"/>
    <w:rsid w:val="00A225ED"/>
    <w:rsid w:val="00A2351A"/>
    <w:rsid w:val="00A2352F"/>
    <w:rsid w:val="00A23A10"/>
    <w:rsid w:val="00A250B5"/>
    <w:rsid w:val="00A25352"/>
    <w:rsid w:val="00A255F2"/>
    <w:rsid w:val="00A25D8F"/>
    <w:rsid w:val="00A261B5"/>
    <w:rsid w:val="00A264A9"/>
    <w:rsid w:val="00A26974"/>
    <w:rsid w:val="00A27785"/>
    <w:rsid w:val="00A27A76"/>
    <w:rsid w:val="00A27F5A"/>
    <w:rsid w:val="00A30187"/>
    <w:rsid w:val="00A30D45"/>
    <w:rsid w:val="00A3178B"/>
    <w:rsid w:val="00A31BA7"/>
    <w:rsid w:val="00A3303E"/>
    <w:rsid w:val="00A33C3B"/>
    <w:rsid w:val="00A3448A"/>
    <w:rsid w:val="00A352E2"/>
    <w:rsid w:val="00A35AD9"/>
    <w:rsid w:val="00A36297"/>
    <w:rsid w:val="00A36D3D"/>
    <w:rsid w:val="00A37542"/>
    <w:rsid w:val="00A375B4"/>
    <w:rsid w:val="00A37812"/>
    <w:rsid w:val="00A40513"/>
    <w:rsid w:val="00A40E00"/>
    <w:rsid w:val="00A41E2B"/>
    <w:rsid w:val="00A42C29"/>
    <w:rsid w:val="00A459E3"/>
    <w:rsid w:val="00A45B74"/>
    <w:rsid w:val="00A462FE"/>
    <w:rsid w:val="00A46671"/>
    <w:rsid w:val="00A50B25"/>
    <w:rsid w:val="00A5156E"/>
    <w:rsid w:val="00A5182E"/>
    <w:rsid w:val="00A52C8C"/>
    <w:rsid w:val="00A52CC3"/>
    <w:rsid w:val="00A52E1D"/>
    <w:rsid w:val="00A532A3"/>
    <w:rsid w:val="00A53478"/>
    <w:rsid w:val="00A534C4"/>
    <w:rsid w:val="00A5354D"/>
    <w:rsid w:val="00A5460B"/>
    <w:rsid w:val="00A54B86"/>
    <w:rsid w:val="00A61499"/>
    <w:rsid w:val="00A62A77"/>
    <w:rsid w:val="00A62D48"/>
    <w:rsid w:val="00A62EA6"/>
    <w:rsid w:val="00A62F11"/>
    <w:rsid w:val="00A63483"/>
    <w:rsid w:val="00A63834"/>
    <w:rsid w:val="00A657D7"/>
    <w:rsid w:val="00A65DC4"/>
    <w:rsid w:val="00A65EDF"/>
    <w:rsid w:val="00A6608D"/>
    <w:rsid w:val="00A660AC"/>
    <w:rsid w:val="00A67727"/>
    <w:rsid w:val="00A67E6C"/>
    <w:rsid w:val="00A7011C"/>
    <w:rsid w:val="00A71B99"/>
    <w:rsid w:val="00A71DCD"/>
    <w:rsid w:val="00A72071"/>
    <w:rsid w:val="00A72D72"/>
    <w:rsid w:val="00A72FAD"/>
    <w:rsid w:val="00A739D0"/>
    <w:rsid w:val="00A74727"/>
    <w:rsid w:val="00A751EE"/>
    <w:rsid w:val="00A761D4"/>
    <w:rsid w:val="00A76BDF"/>
    <w:rsid w:val="00A77E21"/>
    <w:rsid w:val="00A77EC4"/>
    <w:rsid w:val="00A813F9"/>
    <w:rsid w:val="00A81557"/>
    <w:rsid w:val="00A83AFA"/>
    <w:rsid w:val="00A8467C"/>
    <w:rsid w:val="00A871C7"/>
    <w:rsid w:val="00A90438"/>
    <w:rsid w:val="00A9240B"/>
    <w:rsid w:val="00A92879"/>
    <w:rsid w:val="00A92D6C"/>
    <w:rsid w:val="00A93B8C"/>
    <w:rsid w:val="00A9442A"/>
    <w:rsid w:val="00A95E96"/>
    <w:rsid w:val="00AA016F"/>
    <w:rsid w:val="00AA040D"/>
    <w:rsid w:val="00AA1A5D"/>
    <w:rsid w:val="00AA1ED6"/>
    <w:rsid w:val="00AA3240"/>
    <w:rsid w:val="00AA37DA"/>
    <w:rsid w:val="00AA3ECF"/>
    <w:rsid w:val="00AA485A"/>
    <w:rsid w:val="00AA51D6"/>
    <w:rsid w:val="00AA6A51"/>
    <w:rsid w:val="00AA7678"/>
    <w:rsid w:val="00AB04D4"/>
    <w:rsid w:val="00AB072A"/>
    <w:rsid w:val="00AB0BC8"/>
    <w:rsid w:val="00AB11CA"/>
    <w:rsid w:val="00AB14D9"/>
    <w:rsid w:val="00AB178E"/>
    <w:rsid w:val="00AB17CF"/>
    <w:rsid w:val="00AB2F84"/>
    <w:rsid w:val="00AB4115"/>
    <w:rsid w:val="00AB4AB8"/>
    <w:rsid w:val="00AB5537"/>
    <w:rsid w:val="00AB655E"/>
    <w:rsid w:val="00AB6CFF"/>
    <w:rsid w:val="00AB767D"/>
    <w:rsid w:val="00AB7691"/>
    <w:rsid w:val="00AC007F"/>
    <w:rsid w:val="00AC0786"/>
    <w:rsid w:val="00AC0965"/>
    <w:rsid w:val="00AC1CBD"/>
    <w:rsid w:val="00AC2818"/>
    <w:rsid w:val="00AC2ECD"/>
    <w:rsid w:val="00AC3119"/>
    <w:rsid w:val="00AC395E"/>
    <w:rsid w:val="00AC3D00"/>
    <w:rsid w:val="00AC49FB"/>
    <w:rsid w:val="00AC58AD"/>
    <w:rsid w:val="00AC5A10"/>
    <w:rsid w:val="00AC6FB0"/>
    <w:rsid w:val="00AC71CF"/>
    <w:rsid w:val="00AD0AA3"/>
    <w:rsid w:val="00AD0FEB"/>
    <w:rsid w:val="00AD17AD"/>
    <w:rsid w:val="00AD18E2"/>
    <w:rsid w:val="00AD19A1"/>
    <w:rsid w:val="00AD26FE"/>
    <w:rsid w:val="00AD2E42"/>
    <w:rsid w:val="00AD3220"/>
    <w:rsid w:val="00AD3672"/>
    <w:rsid w:val="00AD3F94"/>
    <w:rsid w:val="00AD4808"/>
    <w:rsid w:val="00AD4A5A"/>
    <w:rsid w:val="00AD58D2"/>
    <w:rsid w:val="00AD6B3B"/>
    <w:rsid w:val="00AD6FFF"/>
    <w:rsid w:val="00AD7D28"/>
    <w:rsid w:val="00AE0B8E"/>
    <w:rsid w:val="00AE10D7"/>
    <w:rsid w:val="00AE112E"/>
    <w:rsid w:val="00AE1779"/>
    <w:rsid w:val="00AE20BB"/>
    <w:rsid w:val="00AE2229"/>
    <w:rsid w:val="00AE27AC"/>
    <w:rsid w:val="00AE2955"/>
    <w:rsid w:val="00AE3919"/>
    <w:rsid w:val="00AE3A9D"/>
    <w:rsid w:val="00AE3F73"/>
    <w:rsid w:val="00AE40E0"/>
    <w:rsid w:val="00AE43C0"/>
    <w:rsid w:val="00AE4B8C"/>
    <w:rsid w:val="00AE4BC7"/>
    <w:rsid w:val="00AE4DBA"/>
    <w:rsid w:val="00AE4F07"/>
    <w:rsid w:val="00AE59C5"/>
    <w:rsid w:val="00AE6DFF"/>
    <w:rsid w:val="00AF008E"/>
    <w:rsid w:val="00AF1C5D"/>
    <w:rsid w:val="00AF2377"/>
    <w:rsid w:val="00AF328E"/>
    <w:rsid w:val="00AF37C9"/>
    <w:rsid w:val="00AF4230"/>
    <w:rsid w:val="00AF42D7"/>
    <w:rsid w:val="00B00501"/>
    <w:rsid w:val="00B006FE"/>
    <w:rsid w:val="00B007CB"/>
    <w:rsid w:val="00B00AB8"/>
    <w:rsid w:val="00B02AA9"/>
    <w:rsid w:val="00B02FA3"/>
    <w:rsid w:val="00B0353A"/>
    <w:rsid w:val="00B0439E"/>
    <w:rsid w:val="00B05084"/>
    <w:rsid w:val="00B051EC"/>
    <w:rsid w:val="00B0674E"/>
    <w:rsid w:val="00B069F6"/>
    <w:rsid w:val="00B06E60"/>
    <w:rsid w:val="00B07292"/>
    <w:rsid w:val="00B12555"/>
    <w:rsid w:val="00B13047"/>
    <w:rsid w:val="00B13638"/>
    <w:rsid w:val="00B13876"/>
    <w:rsid w:val="00B14C1D"/>
    <w:rsid w:val="00B1519D"/>
    <w:rsid w:val="00B157F9"/>
    <w:rsid w:val="00B160E8"/>
    <w:rsid w:val="00B16DFC"/>
    <w:rsid w:val="00B20256"/>
    <w:rsid w:val="00B20618"/>
    <w:rsid w:val="00B207AF"/>
    <w:rsid w:val="00B20D09"/>
    <w:rsid w:val="00B20D1D"/>
    <w:rsid w:val="00B2381A"/>
    <w:rsid w:val="00B23F71"/>
    <w:rsid w:val="00B24B08"/>
    <w:rsid w:val="00B25C5B"/>
    <w:rsid w:val="00B25E35"/>
    <w:rsid w:val="00B2763F"/>
    <w:rsid w:val="00B27AAC"/>
    <w:rsid w:val="00B30008"/>
    <w:rsid w:val="00B306E4"/>
    <w:rsid w:val="00B30929"/>
    <w:rsid w:val="00B32614"/>
    <w:rsid w:val="00B32A64"/>
    <w:rsid w:val="00B32C3F"/>
    <w:rsid w:val="00B33931"/>
    <w:rsid w:val="00B33A0C"/>
    <w:rsid w:val="00B3404A"/>
    <w:rsid w:val="00B35A4D"/>
    <w:rsid w:val="00B3714F"/>
    <w:rsid w:val="00B372AA"/>
    <w:rsid w:val="00B40445"/>
    <w:rsid w:val="00B414F7"/>
    <w:rsid w:val="00B41888"/>
    <w:rsid w:val="00B41E67"/>
    <w:rsid w:val="00B4331C"/>
    <w:rsid w:val="00B43CCC"/>
    <w:rsid w:val="00B44019"/>
    <w:rsid w:val="00B44CC6"/>
    <w:rsid w:val="00B45A52"/>
    <w:rsid w:val="00B46175"/>
    <w:rsid w:val="00B46181"/>
    <w:rsid w:val="00B466F8"/>
    <w:rsid w:val="00B4684C"/>
    <w:rsid w:val="00B4689D"/>
    <w:rsid w:val="00B47737"/>
    <w:rsid w:val="00B47BF1"/>
    <w:rsid w:val="00B47E93"/>
    <w:rsid w:val="00B50864"/>
    <w:rsid w:val="00B50DB2"/>
    <w:rsid w:val="00B517FB"/>
    <w:rsid w:val="00B52FA7"/>
    <w:rsid w:val="00B5353E"/>
    <w:rsid w:val="00B53B67"/>
    <w:rsid w:val="00B54A19"/>
    <w:rsid w:val="00B55B7D"/>
    <w:rsid w:val="00B56C65"/>
    <w:rsid w:val="00B57B99"/>
    <w:rsid w:val="00B57BA9"/>
    <w:rsid w:val="00B60417"/>
    <w:rsid w:val="00B620D6"/>
    <w:rsid w:val="00B6227D"/>
    <w:rsid w:val="00B629F0"/>
    <w:rsid w:val="00B6460C"/>
    <w:rsid w:val="00B64B29"/>
    <w:rsid w:val="00B64D1E"/>
    <w:rsid w:val="00B65C7F"/>
    <w:rsid w:val="00B65DD5"/>
    <w:rsid w:val="00B65E6E"/>
    <w:rsid w:val="00B6601D"/>
    <w:rsid w:val="00B664C7"/>
    <w:rsid w:val="00B66869"/>
    <w:rsid w:val="00B679EF"/>
    <w:rsid w:val="00B67E05"/>
    <w:rsid w:val="00B713FC"/>
    <w:rsid w:val="00B739F6"/>
    <w:rsid w:val="00B73CCC"/>
    <w:rsid w:val="00B75F54"/>
    <w:rsid w:val="00B7785C"/>
    <w:rsid w:val="00B77BC4"/>
    <w:rsid w:val="00B77BD8"/>
    <w:rsid w:val="00B8047E"/>
    <w:rsid w:val="00B80523"/>
    <w:rsid w:val="00B812F3"/>
    <w:rsid w:val="00B81A6C"/>
    <w:rsid w:val="00B81B31"/>
    <w:rsid w:val="00B83B18"/>
    <w:rsid w:val="00B84CBA"/>
    <w:rsid w:val="00B85197"/>
    <w:rsid w:val="00B854CB"/>
    <w:rsid w:val="00B85DE5"/>
    <w:rsid w:val="00B90E10"/>
    <w:rsid w:val="00B90F73"/>
    <w:rsid w:val="00B91244"/>
    <w:rsid w:val="00B91438"/>
    <w:rsid w:val="00B9145C"/>
    <w:rsid w:val="00B92B73"/>
    <w:rsid w:val="00B93B59"/>
    <w:rsid w:val="00B9406A"/>
    <w:rsid w:val="00B946A9"/>
    <w:rsid w:val="00B9619E"/>
    <w:rsid w:val="00B96BC3"/>
    <w:rsid w:val="00B972FB"/>
    <w:rsid w:val="00BA0112"/>
    <w:rsid w:val="00BA1415"/>
    <w:rsid w:val="00BA1716"/>
    <w:rsid w:val="00BA210F"/>
    <w:rsid w:val="00BA2280"/>
    <w:rsid w:val="00BA2A08"/>
    <w:rsid w:val="00BA38B2"/>
    <w:rsid w:val="00BA42E9"/>
    <w:rsid w:val="00BA4603"/>
    <w:rsid w:val="00BA4BB9"/>
    <w:rsid w:val="00BA51CA"/>
    <w:rsid w:val="00BA56D2"/>
    <w:rsid w:val="00BA5E5D"/>
    <w:rsid w:val="00BA68D3"/>
    <w:rsid w:val="00BA74FE"/>
    <w:rsid w:val="00BA76E0"/>
    <w:rsid w:val="00BA772D"/>
    <w:rsid w:val="00BB2A25"/>
    <w:rsid w:val="00BB4FF7"/>
    <w:rsid w:val="00BB51E9"/>
    <w:rsid w:val="00BC0FDC"/>
    <w:rsid w:val="00BC10AA"/>
    <w:rsid w:val="00BC213B"/>
    <w:rsid w:val="00BC2AF9"/>
    <w:rsid w:val="00BC3053"/>
    <w:rsid w:val="00BC43AF"/>
    <w:rsid w:val="00BC472E"/>
    <w:rsid w:val="00BC4D2E"/>
    <w:rsid w:val="00BC4F08"/>
    <w:rsid w:val="00BC5954"/>
    <w:rsid w:val="00BC5B7E"/>
    <w:rsid w:val="00BC689F"/>
    <w:rsid w:val="00BC72EC"/>
    <w:rsid w:val="00BC7BA5"/>
    <w:rsid w:val="00BD30BD"/>
    <w:rsid w:val="00BD3787"/>
    <w:rsid w:val="00BD3AC8"/>
    <w:rsid w:val="00BD4854"/>
    <w:rsid w:val="00BD48AC"/>
    <w:rsid w:val="00BD4E37"/>
    <w:rsid w:val="00BD519E"/>
    <w:rsid w:val="00BD5C13"/>
    <w:rsid w:val="00BD5F1A"/>
    <w:rsid w:val="00BD7778"/>
    <w:rsid w:val="00BE012F"/>
    <w:rsid w:val="00BE0153"/>
    <w:rsid w:val="00BE0BD4"/>
    <w:rsid w:val="00BE0FE0"/>
    <w:rsid w:val="00BE1234"/>
    <w:rsid w:val="00BE1CA8"/>
    <w:rsid w:val="00BE2B93"/>
    <w:rsid w:val="00BE2FA6"/>
    <w:rsid w:val="00BE32E6"/>
    <w:rsid w:val="00BE333F"/>
    <w:rsid w:val="00BE44A4"/>
    <w:rsid w:val="00BE4725"/>
    <w:rsid w:val="00BE5FC0"/>
    <w:rsid w:val="00BE7406"/>
    <w:rsid w:val="00BE7603"/>
    <w:rsid w:val="00BE7A3C"/>
    <w:rsid w:val="00BF0D07"/>
    <w:rsid w:val="00BF18E8"/>
    <w:rsid w:val="00BF2601"/>
    <w:rsid w:val="00BF2655"/>
    <w:rsid w:val="00BF3279"/>
    <w:rsid w:val="00BF4A03"/>
    <w:rsid w:val="00BF4E65"/>
    <w:rsid w:val="00BF60D6"/>
    <w:rsid w:val="00BF74C7"/>
    <w:rsid w:val="00C0025B"/>
    <w:rsid w:val="00C00CC0"/>
    <w:rsid w:val="00C015F1"/>
    <w:rsid w:val="00C01D5A"/>
    <w:rsid w:val="00C01DD0"/>
    <w:rsid w:val="00C01F33"/>
    <w:rsid w:val="00C02CB8"/>
    <w:rsid w:val="00C02CC6"/>
    <w:rsid w:val="00C039F4"/>
    <w:rsid w:val="00C03B17"/>
    <w:rsid w:val="00C040F7"/>
    <w:rsid w:val="00C044AB"/>
    <w:rsid w:val="00C0467B"/>
    <w:rsid w:val="00C049F9"/>
    <w:rsid w:val="00C05706"/>
    <w:rsid w:val="00C06073"/>
    <w:rsid w:val="00C061C3"/>
    <w:rsid w:val="00C06474"/>
    <w:rsid w:val="00C07377"/>
    <w:rsid w:val="00C076EA"/>
    <w:rsid w:val="00C10478"/>
    <w:rsid w:val="00C11FBF"/>
    <w:rsid w:val="00C12107"/>
    <w:rsid w:val="00C1339E"/>
    <w:rsid w:val="00C14D4B"/>
    <w:rsid w:val="00C154BB"/>
    <w:rsid w:val="00C15F89"/>
    <w:rsid w:val="00C16E0B"/>
    <w:rsid w:val="00C201A2"/>
    <w:rsid w:val="00C20B75"/>
    <w:rsid w:val="00C21D68"/>
    <w:rsid w:val="00C2217F"/>
    <w:rsid w:val="00C2252E"/>
    <w:rsid w:val="00C2258D"/>
    <w:rsid w:val="00C22964"/>
    <w:rsid w:val="00C23637"/>
    <w:rsid w:val="00C279B5"/>
    <w:rsid w:val="00C27C45"/>
    <w:rsid w:val="00C30D59"/>
    <w:rsid w:val="00C3255C"/>
    <w:rsid w:val="00C326AB"/>
    <w:rsid w:val="00C334A7"/>
    <w:rsid w:val="00C33BE7"/>
    <w:rsid w:val="00C34CC9"/>
    <w:rsid w:val="00C3719D"/>
    <w:rsid w:val="00C373F8"/>
    <w:rsid w:val="00C3796A"/>
    <w:rsid w:val="00C40381"/>
    <w:rsid w:val="00C41598"/>
    <w:rsid w:val="00C420E3"/>
    <w:rsid w:val="00C42709"/>
    <w:rsid w:val="00C42B43"/>
    <w:rsid w:val="00C44561"/>
    <w:rsid w:val="00C45569"/>
    <w:rsid w:val="00C459A3"/>
    <w:rsid w:val="00C459F4"/>
    <w:rsid w:val="00C45BEB"/>
    <w:rsid w:val="00C45CD3"/>
    <w:rsid w:val="00C46042"/>
    <w:rsid w:val="00C4660D"/>
    <w:rsid w:val="00C467EA"/>
    <w:rsid w:val="00C46EAC"/>
    <w:rsid w:val="00C47BD2"/>
    <w:rsid w:val="00C501B7"/>
    <w:rsid w:val="00C50606"/>
    <w:rsid w:val="00C50E52"/>
    <w:rsid w:val="00C519CC"/>
    <w:rsid w:val="00C51E83"/>
    <w:rsid w:val="00C51FDB"/>
    <w:rsid w:val="00C52116"/>
    <w:rsid w:val="00C524BB"/>
    <w:rsid w:val="00C5266F"/>
    <w:rsid w:val="00C5301F"/>
    <w:rsid w:val="00C54995"/>
    <w:rsid w:val="00C54D41"/>
    <w:rsid w:val="00C56B53"/>
    <w:rsid w:val="00C57135"/>
    <w:rsid w:val="00C604C7"/>
    <w:rsid w:val="00C60783"/>
    <w:rsid w:val="00C60D16"/>
    <w:rsid w:val="00C60D4B"/>
    <w:rsid w:val="00C60F2F"/>
    <w:rsid w:val="00C61509"/>
    <w:rsid w:val="00C61F5C"/>
    <w:rsid w:val="00C626A0"/>
    <w:rsid w:val="00C62B77"/>
    <w:rsid w:val="00C62CC8"/>
    <w:rsid w:val="00C63974"/>
    <w:rsid w:val="00C64181"/>
    <w:rsid w:val="00C643AB"/>
    <w:rsid w:val="00C64672"/>
    <w:rsid w:val="00C66128"/>
    <w:rsid w:val="00C67981"/>
    <w:rsid w:val="00C70697"/>
    <w:rsid w:val="00C72EF4"/>
    <w:rsid w:val="00C7396D"/>
    <w:rsid w:val="00C73B5B"/>
    <w:rsid w:val="00C75D2F"/>
    <w:rsid w:val="00C767BE"/>
    <w:rsid w:val="00C76A5A"/>
    <w:rsid w:val="00C76B1A"/>
    <w:rsid w:val="00C76E3C"/>
    <w:rsid w:val="00C7789E"/>
    <w:rsid w:val="00C77A12"/>
    <w:rsid w:val="00C804EF"/>
    <w:rsid w:val="00C81568"/>
    <w:rsid w:val="00C82154"/>
    <w:rsid w:val="00C827F2"/>
    <w:rsid w:val="00C84B6F"/>
    <w:rsid w:val="00C84FFE"/>
    <w:rsid w:val="00C853CA"/>
    <w:rsid w:val="00C871CC"/>
    <w:rsid w:val="00C87C77"/>
    <w:rsid w:val="00C9027A"/>
    <w:rsid w:val="00C903A5"/>
    <w:rsid w:val="00C9068E"/>
    <w:rsid w:val="00C91437"/>
    <w:rsid w:val="00C924A4"/>
    <w:rsid w:val="00C92A95"/>
    <w:rsid w:val="00C92ACC"/>
    <w:rsid w:val="00C92E91"/>
    <w:rsid w:val="00C93C4B"/>
    <w:rsid w:val="00C941EA"/>
    <w:rsid w:val="00C944AB"/>
    <w:rsid w:val="00C95B40"/>
    <w:rsid w:val="00C960E1"/>
    <w:rsid w:val="00CA0212"/>
    <w:rsid w:val="00CA05A3"/>
    <w:rsid w:val="00CA0BD2"/>
    <w:rsid w:val="00CA1ED8"/>
    <w:rsid w:val="00CA2C2A"/>
    <w:rsid w:val="00CA37E6"/>
    <w:rsid w:val="00CA5406"/>
    <w:rsid w:val="00CA5A21"/>
    <w:rsid w:val="00CA7D68"/>
    <w:rsid w:val="00CB06FF"/>
    <w:rsid w:val="00CB1436"/>
    <w:rsid w:val="00CB1A93"/>
    <w:rsid w:val="00CB1B62"/>
    <w:rsid w:val="00CB1F63"/>
    <w:rsid w:val="00CB243E"/>
    <w:rsid w:val="00CB3C99"/>
    <w:rsid w:val="00CB41E6"/>
    <w:rsid w:val="00CB4D97"/>
    <w:rsid w:val="00CB543B"/>
    <w:rsid w:val="00CB6752"/>
    <w:rsid w:val="00CB7170"/>
    <w:rsid w:val="00CB7301"/>
    <w:rsid w:val="00CC040E"/>
    <w:rsid w:val="00CC0C1E"/>
    <w:rsid w:val="00CC111F"/>
    <w:rsid w:val="00CC1C33"/>
    <w:rsid w:val="00CC2011"/>
    <w:rsid w:val="00CC355C"/>
    <w:rsid w:val="00CC389A"/>
    <w:rsid w:val="00CC3EA0"/>
    <w:rsid w:val="00CC3EF8"/>
    <w:rsid w:val="00CC4260"/>
    <w:rsid w:val="00CC5A9C"/>
    <w:rsid w:val="00CC5DD1"/>
    <w:rsid w:val="00CC7B45"/>
    <w:rsid w:val="00CD0422"/>
    <w:rsid w:val="00CD1188"/>
    <w:rsid w:val="00CD15C8"/>
    <w:rsid w:val="00CD1EB7"/>
    <w:rsid w:val="00CD22AA"/>
    <w:rsid w:val="00CD233F"/>
    <w:rsid w:val="00CD2ED1"/>
    <w:rsid w:val="00CD30B9"/>
    <w:rsid w:val="00CD31ED"/>
    <w:rsid w:val="00CD337B"/>
    <w:rsid w:val="00CD3C43"/>
    <w:rsid w:val="00CD50AB"/>
    <w:rsid w:val="00CD5C84"/>
    <w:rsid w:val="00CE0180"/>
    <w:rsid w:val="00CE0424"/>
    <w:rsid w:val="00CE080F"/>
    <w:rsid w:val="00CE0C39"/>
    <w:rsid w:val="00CE131F"/>
    <w:rsid w:val="00CE136D"/>
    <w:rsid w:val="00CE296E"/>
    <w:rsid w:val="00CE4C01"/>
    <w:rsid w:val="00CE6556"/>
    <w:rsid w:val="00CE7561"/>
    <w:rsid w:val="00CE7FAB"/>
    <w:rsid w:val="00CF106A"/>
    <w:rsid w:val="00CF1217"/>
    <w:rsid w:val="00CF1354"/>
    <w:rsid w:val="00CF1B58"/>
    <w:rsid w:val="00CF26D9"/>
    <w:rsid w:val="00CF2F2E"/>
    <w:rsid w:val="00CF304D"/>
    <w:rsid w:val="00CF3B1F"/>
    <w:rsid w:val="00CF3BF6"/>
    <w:rsid w:val="00CF515F"/>
    <w:rsid w:val="00CF573E"/>
    <w:rsid w:val="00CF5BDF"/>
    <w:rsid w:val="00CF625B"/>
    <w:rsid w:val="00CF6791"/>
    <w:rsid w:val="00CF687E"/>
    <w:rsid w:val="00CF691C"/>
    <w:rsid w:val="00D01FEB"/>
    <w:rsid w:val="00D023E2"/>
    <w:rsid w:val="00D02A36"/>
    <w:rsid w:val="00D0349B"/>
    <w:rsid w:val="00D04917"/>
    <w:rsid w:val="00D05B8D"/>
    <w:rsid w:val="00D05C18"/>
    <w:rsid w:val="00D06288"/>
    <w:rsid w:val="00D06EAF"/>
    <w:rsid w:val="00D0778D"/>
    <w:rsid w:val="00D10249"/>
    <w:rsid w:val="00D115C3"/>
    <w:rsid w:val="00D11897"/>
    <w:rsid w:val="00D11DF6"/>
    <w:rsid w:val="00D12501"/>
    <w:rsid w:val="00D13135"/>
    <w:rsid w:val="00D13602"/>
    <w:rsid w:val="00D138AA"/>
    <w:rsid w:val="00D13CD7"/>
    <w:rsid w:val="00D13E4E"/>
    <w:rsid w:val="00D14EFA"/>
    <w:rsid w:val="00D16A4C"/>
    <w:rsid w:val="00D233F2"/>
    <w:rsid w:val="00D234C5"/>
    <w:rsid w:val="00D239A7"/>
    <w:rsid w:val="00D23F47"/>
    <w:rsid w:val="00D23FBB"/>
    <w:rsid w:val="00D32439"/>
    <w:rsid w:val="00D32723"/>
    <w:rsid w:val="00D33247"/>
    <w:rsid w:val="00D33D76"/>
    <w:rsid w:val="00D36758"/>
    <w:rsid w:val="00D36E71"/>
    <w:rsid w:val="00D37656"/>
    <w:rsid w:val="00D3770F"/>
    <w:rsid w:val="00D37CC9"/>
    <w:rsid w:val="00D37D87"/>
    <w:rsid w:val="00D40B33"/>
    <w:rsid w:val="00D41138"/>
    <w:rsid w:val="00D41D41"/>
    <w:rsid w:val="00D4231F"/>
    <w:rsid w:val="00D42383"/>
    <w:rsid w:val="00D42AFB"/>
    <w:rsid w:val="00D4300F"/>
    <w:rsid w:val="00D4318F"/>
    <w:rsid w:val="00D438BF"/>
    <w:rsid w:val="00D439C7"/>
    <w:rsid w:val="00D440F8"/>
    <w:rsid w:val="00D44733"/>
    <w:rsid w:val="00D44922"/>
    <w:rsid w:val="00D44A4C"/>
    <w:rsid w:val="00D44F56"/>
    <w:rsid w:val="00D450BF"/>
    <w:rsid w:val="00D45E2F"/>
    <w:rsid w:val="00D47593"/>
    <w:rsid w:val="00D5350B"/>
    <w:rsid w:val="00D546FF"/>
    <w:rsid w:val="00D55AD5"/>
    <w:rsid w:val="00D55DB9"/>
    <w:rsid w:val="00D56793"/>
    <w:rsid w:val="00D57235"/>
    <w:rsid w:val="00D576CA"/>
    <w:rsid w:val="00D60A23"/>
    <w:rsid w:val="00D6190C"/>
    <w:rsid w:val="00D61AF5"/>
    <w:rsid w:val="00D63523"/>
    <w:rsid w:val="00D63538"/>
    <w:rsid w:val="00D63A48"/>
    <w:rsid w:val="00D65045"/>
    <w:rsid w:val="00D650E1"/>
    <w:rsid w:val="00D651ED"/>
    <w:rsid w:val="00D652B5"/>
    <w:rsid w:val="00D66155"/>
    <w:rsid w:val="00D666B2"/>
    <w:rsid w:val="00D676C7"/>
    <w:rsid w:val="00D67C55"/>
    <w:rsid w:val="00D708B0"/>
    <w:rsid w:val="00D70F6F"/>
    <w:rsid w:val="00D717DF"/>
    <w:rsid w:val="00D7534F"/>
    <w:rsid w:val="00D768CE"/>
    <w:rsid w:val="00D77B1D"/>
    <w:rsid w:val="00D77EB3"/>
    <w:rsid w:val="00D8021F"/>
    <w:rsid w:val="00D80383"/>
    <w:rsid w:val="00D80AFF"/>
    <w:rsid w:val="00D80F29"/>
    <w:rsid w:val="00D81B97"/>
    <w:rsid w:val="00D823C6"/>
    <w:rsid w:val="00D83D54"/>
    <w:rsid w:val="00D84129"/>
    <w:rsid w:val="00D846DC"/>
    <w:rsid w:val="00D857F5"/>
    <w:rsid w:val="00D85B12"/>
    <w:rsid w:val="00D868B9"/>
    <w:rsid w:val="00D86CA3"/>
    <w:rsid w:val="00D871CE"/>
    <w:rsid w:val="00D874B0"/>
    <w:rsid w:val="00D90F74"/>
    <w:rsid w:val="00D9196D"/>
    <w:rsid w:val="00D92246"/>
    <w:rsid w:val="00D92982"/>
    <w:rsid w:val="00D93149"/>
    <w:rsid w:val="00D957B2"/>
    <w:rsid w:val="00D97067"/>
    <w:rsid w:val="00D97D9E"/>
    <w:rsid w:val="00DA23A5"/>
    <w:rsid w:val="00DA2772"/>
    <w:rsid w:val="00DA2BD7"/>
    <w:rsid w:val="00DA2C31"/>
    <w:rsid w:val="00DA305E"/>
    <w:rsid w:val="00DA377E"/>
    <w:rsid w:val="00DA5417"/>
    <w:rsid w:val="00DA56E8"/>
    <w:rsid w:val="00DA602E"/>
    <w:rsid w:val="00DA67F2"/>
    <w:rsid w:val="00DA6886"/>
    <w:rsid w:val="00DA7EED"/>
    <w:rsid w:val="00DB0A86"/>
    <w:rsid w:val="00DB0A9F"/>
    <w:rsid w:val="00DB10BB"/>
    <w:rsid w:val="00DB221B"/>
    <w:rsid w:val="00DB2F7B"/>
    <w:rsid w:val="00DB377D"/>
    <w:rsid w:val="00DB3E8B"/>
    <w:rsid w:val="00DB4C44"/>
    <w:rsid w:val="00DB5478"/>
    <w:rsid w:val="00DB6574"/>
    <w:rsid w:val="00DB7002"/>
    <w:rsid w:val="00DB742E"/>
    <w:rsid w:val="00DC0163"/>
    <w:rsid w:val="00DC062E"/>
    <w:rsid w:val="00DC1E5F"/>
    <w:rsid w:val="00DC225A"/>
    <w:rsid w:val="00DC2D36"/>
    <w:rsid w:val="00DC3CC3"/>
    <w:rsid w:val="00DC53EF"/>
    <w:rsid w:val="00DC54F5"/>
    <w:rsid w:val="00DC56B5"/>
    <w:rsid w:val="00DD09B9"/>
    <w:rsid w:val="00DD27B2"/>
    <w:rsid w:val="00DD2BC0"/>
    <w:rsid w:val="00DD2D80"/>
    <w:rsid w:val="00DD5D11"/>
    <w:rsid w:val="00DD6DB9"/>
    <w:rsid w:val="00DE08C0"/>
    <w:rsid w:val="00DE184E"/>
    <w:rsid w:val="00DE34C7"/>
    <w:rsid w:val="00DE4A39"/>
    <w:rsid w:val="00DE55AB"/>
    <w:rsid w:val="00DE5608"/>
    <w:rsid w:val="00DE58D0"/>
    <w:rsid w:val="00DE5B2E"/>
    <w:rsid w:val="00DE62EB"/>
    <w:rsid w:val="00DE6514"/>
    <w:rsid w:val="00DE654F"/>
    <w:rsid w:val="00DE69F8"/>
    <w:rsid w:val="00DF0B6E"/>
    <w:rsid w:val="00DF15E0"/>
    <w:rsid w:val="00DF1611"/>
    <w:rsid w:val="00DF1BF6"/>
    <w:rsid w:val="00DF2029"/>
    <w:rsid w:val="00DF29CE"/>
    <w:rsid w:val="00DF3111"/>
    <w:rsid w:val="00DF37A0"/>
    <w:rsid w:val="00DF46C0"/>
    <w:rsid w:val="00E01A8E"/>
    <w:rsid w:val="00E03255"/>
    <w:rsid w:val="00E05FEB"/>
    <w:rsid w:val="00E071B2"/>
    <w:rsid w:val="00E07551"/>
    <w:rsid w:val="00E07BC5"/>
    <w:rsid w:val="00E07F96"/>
    <w:rsid w:val="00E10E08"/>
    <w:rsid w:val="00E10FD0"/>
    <w:rsid w:val="00E110E7"/>
    <w:rsid w:val="00E11B20"/>
    <w:rsid w:val="00E11FC3"/>
    <w:rsid w:val="00E130A9"/>
    <w:rsid w:val="00E13FB7"/>
    <w:rsid w:val="00E14965"/>
    <w:rsid w:val="00E155EA"/>
    <w:rsid w:val="00E15CFD"/>
    <w:rsid w:val="00E160B3"/>
    <w:rsid w:val="00E17FA2"/>
    <w:rsid w:val="00E2094E"/>
    <w:rsid w:val="00E209CB"/>
    <w:rsid w:val="00E217DC"/>
    <w:rsid w:val="00E21A78"/>
    <w:rsid w:val="00E21D75"/>
    <w:rsid w:val="00E22330"/>
    <w:rsid w:val="00E238B9"/>
    <w:rsid w:val="00E24B74"/>
    <w:rsid w:val="00E24C18"/>
    <w:rsid w:val="00E24F63"/>
    <w:rsid w:val="00E269DB"/>
    <w:rsid w:val="00E30B5A"/>
    <w:rsid w:val="00E3123D"/>
    <w:rsid w:val="00E31461"/>
    <w:rsid w:val="00E31D43"/>
    <w:rsid w:val="00E32608"/>
    <w:rsid w:val="00E33430"/>
    <w:rsid w:val="00E34188"/>
    <w:rsid w:val="00E34B6E"/>
    <w:rsid w:val="00E35559"/>
    <w:rsid w:val="00E364EC"/>
    <w:rsid w:val="00E37225"/>
    <w:rsid w:val="00E3723A"/>
    <w:rsid w:val="00E377CC"/>
    <w:rsid w:val="00E37860"/>
    <w:rsid w:val="00E40754"/>
    <w:rsid w:val="00E411C5"/>
    <w:rsid w:val="00E4146C"/>
    <w:rsid w:val="00E42287"/>
    <w:rsid w:val="00E43E5F"/>
    <w:rsid w:val="00E446F1"/>
    <w:rsid w:val="00E45D69"/>
    <w:rsid w:val="00E466E4"/>
    <w:rsid w:val="00E46886"/>
    <w:rsid w:val="00E4702B"/>
    <w:rsid w:val="00E47AEF"/>
    <w:rsid w:val="00E500DC"/>
    <w:rsid w:val="00E5028E"/>
    <w:rsid w:val="00E5085C"/>
    <w:rsid w:val="00E512C9"/>
    <w:rsid w:val="00E52E22"/>
    <w:rsid w:val="00E52EF5"/>
    <w:rsid w:val="00E53B75"/>
    <w:rsid w:val="00E541DB"/>
    <w:rsid w:val="00E5449A"/>
    <w:rsid w:val="00E549C8"/>
    <w:rsid w:val="00E54C18"/>
    <w:rsid w:val="00E54E3B"/>
    <w:rsid w:val="00E55C3F"/>
    <w:rsid w:val="00E57565"/>
    <w:rsid w:val="00E60392"/>
    <w:rsid w:val="00E610B9"/>
    <w:rsid w:val="00E611E9"/>
    <w:rsid w:val="00E61DE0"/>
    <w:rsid w:val="00E63838"/>
    <w:rsid w:val="00E643B3"/>
    <w:rsid w:val="00E64434"/>
    <w:rsid w:val="00E65E41"/>
    <w:rsid w:val="00E67059"/>
    <w:rsid w:val="00E67C51"/>
    <w:rsid w:val="00E70F3F"/>
    <w:rsid w:val="00E71F9C"/>
    <w:rsid w:val="00E72892"/>
    <w:rsid w:val="00E72EFC"/>
    <w:rsid w:val="00E74583"/>
    <w:rsid w:val="00E745C9"/>
    <w:rsid w:val="00E74751"/>
    <w:rsid w:val="00E74A57"/>
    <w:rsid w:val="00E758EC"/>
    <w:rsid w:val="00E7764C"/>
    <w:rsid w:val="00E776E5"/>
    <w:rsid w:val="00E77BE0"/>
    <w:rsid w:val="00E81A57"/>
    <w:rsid w:val="00E8234C"/>
    <w:rsid w:val="00E829FF"/>
    <w:rsid w:val="00E8358D"/>
    <w:rsid w:val="00E83AA9"/>
    <w:rsid w:val="00E83EE0"/>
    <w:rsid w:val="00E84FF9"/>
    <w:rsid w:val="00E85928"/>
    <w:rsid w:val="00E86C9C"/>
    <w:rsid w:val="00E87486"/>
    <w:rsid w:val="00E87822"/>
    <w:rsid w:val="00E902AC"/>
    <w:rsid w:val="00E90395"/>
    <w:rsid w:val="00E90E49"/>
    <w:rsid w:val="00E917F9"/>
    <w:rsid w:val="00E91AC0"/>
    <w:rsid w:val="00E9291C"/>
    <w:rsid w:val="00E935FA"/>
    <w:rsid w:val="00E93FFE"/>
    <w:rsid w:val="00E94F8A"/>
    <w:rsid w:val="00E9635C"/>
    <w:rsid w:val="00E97568"/>
    <w:rsid w:val="00EA02D7"/>
    <w:rsid w:val="00EA2252"/>
    <w:rsid w:val="00EA23EC"/>
    <w:rsid w:val="00EA2423"/>
    <w:rsid w:val="00EA39C8"/>
    <w:rsid w:val="00EA3B31"/>
    <w:rsid w:val="00EA3DB2"/>
    <w:rsid w:val="00EA40FB"/>
    <w:rsid w:val="00EA56C2"/>
    <w:rsid w:val="00EA62A0"/>
    <w:rsid w:val="00EA6948"/>
    <w:rsid w:val="00EA7A41"/>
    <w:rsid w:val="00EB06DB"/>
    <w:rsid w:val="00EB077B"/>
    <w:rsid w:val="00EB1161"/>
    <w:rsid w:val="00EB2A38"/>
    <w:rsid w:val="00EB2A4C"/>
    <w:rsid w:val="00EB3353"/>
    <w:rsid w:val="00EB4EA2"/>
    <w:rsid w:val="00EB6B64"/>
    <w:rsid w:val="00EB6F58"/>
    <w:rsid w:val="00EB7CF3"/>
    <w:rsid w:val="00EC08AC"/>
    <w:rsid w:val="00EC1261"/>
    <w:rsid w:val="00EC27C6"/>
    <w:rsid w:val="00EC3820"/>
    <w:rsid w:val="00EC3ABE"/>
    <w:rsid w:val="00EC4207"/>
    <w:rsid w:val="00EC4B82"/>
    <w:rsid w:val="00EC4C77"/>
    <w:rsid w:val="00EC4E74"/>
    <w:rsid w:val="00EC5653"/>
    <w:rsid w:val="00EC6082"/>
    <w:rsid w:val="00EC66C6"/>
    <w:rsid w:val="00EC71CE"/>
    <w:rsid w:val="00ED02AC"/>
    <w:rsid w:val="00ED0639"/>
    <w:rsid w:val="00ED1006"/>
    <w:rsid w:val="00ED11CD"/>
    <w:rsid w:val="00ED19AF"/>
    <w:rsid w:val="00ED3F2F"/>
    <w:rsid w:val="00ED4753"/>
    <w:rsid w:val="00ED552B"/>
    <w:rsid w:val="00ED5606"/>
    <w:rsid w:val="00ED699E"/>
    <w:rsid w:val="00ED7D52"/>
    <w:rsid w:val="00EE0C01"/>
    <w:rsid w:val="00EE19BC"/>
    <w:rsid w:val="00EE27D5"/>
    <w:rsid w:val="00EE280A"/>
    <w:rsid w:val="00EE2E68"/>
    <w:rsid w:val="00EE464D"/>
    <w:rsid w:val="00EE4BBA"/>
    <w:rsid w:val="00EE674D"/>
    <w:rsid w:val="00EE708C"/>
    <w:rsid w:val="00EE71C6"/>
    <w:rsid w:val="00EE7DD9"/>
    <w:rsid w:val="00EE7EB4"/>
    <w:rsid w:val="00EF02F8"/>
    <w:rsid w:val="00EF0B0E"/>
    <w:rsid w:val="00EF16C0"/>
    <w:rsid w:val="00EF18FE"/>
    <w:rsid w:val="00EF2BD7"/>
    <w:rsid w:val="00EF5787"/>
    <w:rsid w:val="00EF60D0"/>
    <w:rsid w:val="00F004F0"/>
    <w:rsid w:val="00F0208D"/>
    <w:rsid w:val="00F02588"/>
    <w:rsid w:val="00F03140"/>
    <w:rsid w:val="00F045A4"/>
    <w:rsid w:val="00F0528D"/>
    <w:rsid w:val="00F064EC"/>
    <w:rsid w:val="00F06C67"/>
    <w:rsid w:val="00F06DFD"/>
    <w:rsid w:val="00F07160"/>
    <w:rsid w:val="00F071D1"/>
    <w:rsid w:val="00F07533"/>
    <w:rsid w:val="00F10629"/>
    <w:rsid w:val="00F12E1E"/>
    <w:rsid w:val="00F138EE"/>
    <w:rsid w:val="00F15350"/>
    <w:rsid w:val="00F15FA5"/>
    <w:rsid w:val="00F16CCD"/>
    <w:rsid w:val="00F17DEB"/>
    <w:rsid w:val="00F209B7"/>
    <w:rsid w:val="00F220C2"/>
    <w:rsid w:val="00F22A78"/>
    <w:rsid w:val="00F2376F"/>
    <w:rsid w:val="00F23A16"/>
    <w:rsid w:val="00F23A3D"/>
    <w:rsid w:val="00F243D8"/>
    <w:rsid w:val="00F25FF3"/>
    <w:rsid w:val="00F26D1C"/>
    <w:rsid w:val="00F3009D"/>
    <w:rsid w:val="00F30828"/>
    <w:rsid w:val="00F308A2"/>
    <w:rsid w:val="00F313D6"/>
    <w:rsid w:val="00F316F2"/>
    <w:rsid w:val="00F3318F"/>
    <w:rsid w:val="00F347F6"/>
    <w:rsid w:val="00F34B3D"/>
    <w:rsid w:val="00F36112"/>
    <w:rsid w:val="00F3612D"/>
    <w:rsid w:val="00F362BE"/>
    <w:rsid w:val="00F36C5E"/>
    <w:rsid w:val="00F36DE5"/>
    <w:rsid w:val="00F40180"/>
    <w:rsid w:val="00F4063B"/>
    <w:rsid w:val="00F40F0C"/>
    <w:rsid w:val="00F42776"/>
    <w:rsid w:val="00F452A2"/>
    <w:rsid w:val="00F46FBD"/>
    <w:rsid w:val="00F4766C"/>
    <w:rsid w:val="00F47BC3"/>
    <w:rsid w:val="00F47E93"/>
    <w:rsid w:val="00F507D1"/>
    <w:rsid w:val="00F50A96"/>
    <w:rsid w:val="00F50E9B"/>
    <w:rsid w:val="00F516AB"/>
    <w:rsid w:val="00F51945"/>
    <w:rsid w:val="00F519CE"/>
    <w:rsid w:val="00F51ADA"/>
    <w:rsid w:val="00F52F52"/>
    <w:rsid w:val="00F5498A"/>
    <w:rsid w:val="00F55513"/>
    <w:rsid w:val="00F57DF7"/>
    <w:rsid w:val="00F607BE"/>
    <w:rsid w:val="00F607C5"/>
    <w:rsid w:val="00F60A6C"/>
    <w:rsid w:val="00F60DEA"/>
    <w:rsid w:val="00F6293F"/>
    <w:rsid w:val="00F6302A"/>
    <w:rsid w:val="00F64C2B"/>
    <w:rsid w:val="00F651BE"/>
    <w:rsid w:val="00F65459"/>
    <w:rsid w:val="00F65B26"/>
    <w:rsid w:val="00F65ECF"/>
    <w:rsid w:val="00F671F8"/>
    <w:rsid w:val="00F67548"/>
    <w:rsid w:val="00F67917"/>
    <w:rsid w:val="00F67E5C"/>
    <w:rsid w:val="00F67F53"/>
    <w:rsid w:val="00F703BE"/>
    <w:rsid w:val="00F70695"/>
    <w:rsid w:val="00F7084F"/>
    <w:rsid w:val="00F709EF"/>
    <w:rsid w:val="00F71F69"/>
    <w:rsid w:val="00F72B72"/>
    <w:rsid w:val="00F73519"/>
    <w:rsid w:val="00F73752"/>
    <w:rsid w:val="00F74BB9"/>
    <w:rsid w:val="00F75582"/>
    <w:rsid w:val="00F7669D"/>
    <w:rsid w:val="00F76BA0"/>
    <w:rsid w:val="00F76EFA"/>
    <w:rsid w:val="00F77219"/>
    <w:rsid w:val="00F804BE"/>
    <w:rsid w:val="00F81337"/>
    <w:rsid w:val="00F817CE"/>
    <w:rsid w:val="00F833A0"/>
    <w:rsid w:val="00F84048"/>
    <w:rsid w:val="00F84151"/>
    <w:rsid w:val="00F8456C"/>
    <w:rsid w:val="00F846E9"/>
    <w:rsid w:val="00F85654"/>
    <w:rsid w:val="00F859D8"/>
    <w:rsid w:val="00F85C24"/>
    <w:rsid w:val="00F8607E"/>
    <w:rsid w:val="00F868F5"/>
    <w:rsid w:val="00F9056A"/>
    <w:rsid w:val="00F90EDA"/>
    <w:rsid w:val="00F90F8D"/>
    <w:rsid w:val="00F91A9B"/>
    <w:rsid w:val="00F91B72"/>
    <w:rsid w:val="00F91CA2"/>
    <w:rsid w:val="00F924F1"/>
    <w:rsid w:val="00F92782"/>
    <w:rsid w:val="00F929D3"/>
    <w:rsid w:val="00F93AA9"/>
    <w:rsid w:val="00F94374"/>
    <w:rsid w:val="00F948D7"/>
    <w:rsid w:val="00F96985"/>
    <w:rsid w:val="00F97838"/>
    <w:rsid w:val="00FA1BC5"/>
    <w:rsid w:val="00FA1DC1"/>
    <w:rsid w:val="00FA2BB3"/>
    <w:rsid w:val="00FA370B"/>
    <w:rsid w:val="00FA38B0"/>
    <w:rsid w:val="00FA4846"/>
    <w:rsid w:val="00FA4A08"/>
    <w:rsid w:val="00FA5783"/>
    <w:rsid w:val="00FA733C"/>
    <w:rsid w:val="00FA7586"/>
    <w:rsid w:val="00FA7671"/>
    <w:rsid w:val="00FB1E2E"/>
    <w:rsid w:val="00FB1FCC"/>
    <w:rsid w:val="00FB2A37"/>
    <w:rsid w:val="00FB34A6"/>
    <w:rsid w:val="00FB4C80"/>
    <w:rsid w:val="00FB51DC"/>
    <w:rsid w:val="00FB565A"/>
    <w:rsid w:val="00FB5733"/>
    <w:rsid w:val="00FB58BE"/>
    <w:rsid w:val="00FB6A6A"/>
    <w:rsid w:val="00FB7896"/>
    <w:rsid w:val="00FC05B7"/>
    <w:rsid w:val="00FC0A88"/>
    <w:rsid w:val="00FC1AC1"/>
    <w:rsid w:val="00FC21A1"/>
    <w:rsid w:val="00FC36B8"/>
    <w:rsid w:val="00FC3CF9"/>
    <w:rsid w:val="00FC3D91"/>
    <w:rsid w:val="00FC43CE"/>
    <w:rsid w:val="00FC5FCA"/>
    <w:rsid w:val="00FC6146"/>
    <w:rsid w:val="00FC65D1"/>
    <w:rsid w:val="00FC66DC"/>
    <w:rsid w:val="00FC7429"/>
    <w:rsid w:val="00FC7765"/>
    <w:rsid w:val="00FC77AF"/>
    <w:rsid w:val="00FC7EB3"/>
    <w:rsid w:val="00FD07F6"/>
    <w:rsid w:val="00FD1EC8"/>
    <w:rsid w:val="00FD3513"/>
    <w:rsid w:val="00FD47ED"/>
    <w:rsid w:val="00FD566F"/>
    <w:rsid w:val="00FD59CD"/>
    <w:rsid w:val="00FD5BF2"/>
    <w:rsid w:val="00FD64C1"/>
    <w:rsid w:val="00FD653D"/>
    <w:rsid w:val="00FD66E3"/>
    <w:rsid w:val="00FD683E"/>
    <w:rsid w:val="00FD73EB"/>
    <w:rsid w:val="00FD74DB"/>
    <w:rsid w:val="00FD7660"/>
    <w:rsid w:val="00FE04B2"/>
    <w:rsid w:val="00FE0655"/>
    <w:rsid w:val="00FE1466"/>
    <w:rsid w:val="00FE224C"/>
    <w:rsid w:val="00FE22C5"/>
    <w:rsid w:val="00FE2365"/>
    <w:rsid w:val="00FE3171"/>
    <w:rsid w:val="00FE4061"/>
    <w:rsid w:val="00FE446C"/>
    <w:rsid w:val="00FE4C7B"/>
    <w:rsid w:val="00FE6907"/>
    <w:rsid w:val="00FE6A7A"/>
    <w:rsid w:val="00FE7336"/>
    <w:rsid w:val="00FE787C"/>
    <w:rsid w:val="00FE78A7"/>
    <w:rsid w:val="00FF01CF"/>
    <w:rsid w:val="00FF04F0"/>
    <w:rsid w:val="00FF1F3A"/>
    <w:rsid w:val="00FF45A5"/>
    <w:rsid w:val="00FF556C"/>
    <w:rsid w:val="00FF5C91"/>
    <w:rsid w:val="00FF77D2"/>
    <w:rsid w:val="00FF7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10"/>
      </w:numPr>
      <w:pBdr>
        <w:top w:val="single" w:sz="12" w:space="3" w:color="auto"/>
      </w:pBdr>
      <w:spacing w:before="240" w:after="180"/>
      <w:jc w:val="left"/>
      <w:outlineLvl w:val="0"/>
    </w:pPr>
    <w:rPr>
      <w:sz w:val="36"/>
      <w:szCs w:val="36"/>
    </w:rPr>
  </w:style>
  <w:style w:type="paragraph" w:styleId="2">
    <w:name w:val="heading 2"/>
    <w:basedOn w:val="1"/>
    <w:next w:val="a0"/>
    <w:link w:val="2Char"/>
    <w:autoRedefine/>
    <w:qFormat/>
    <w:rsid w:val="00011980"/>
    <w:pPr>
      <w:numPr>
        <w:ilvl w:val="1"/>
      </w:numPr>
      <w:pBdr>
        <w:top w:val="none" w:sz="0" w:space="0" w:color="auto"/>
      </w:pBdr>
      <w:spacing w:before="180"/>
      <w:outlineLvl w:val="1"/>
    </w:pPr>
    <w:rPr>
      <w:sz w:val="28"/>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tabs>
        <w:tab w:val="num" w:pos="720"/>
        <w:tab w:val="num" w:pos="780"/>
      </w:tabs>
      <w:spacing w:before="120"/>
      <w:outlineLvl w:val="2"/>
    </w:pPr>
    <w:rPr>
      <w:szCs w:val="28"/>
    </w:rPr>
  </w:style>
  <w:style w:type="paragraph" w:styleId="40">
    <w:name w:val="heading 4"/>
    <w:basedOn w:val="30"/>
    <w:next w:val="a0"/>
    <w:link w:val="4Char"/>
    <w:uiPriority w:val="99"/>
    <w:qFormat/>
    <w:rsid w:val="009E35DB"/>
    <w:pPr>
      <w:numPr>
        <w:ilvl w:val="3"/>
      </w:numPr>
      <w:tabs>
        <w:tab w:val="num" w:pos="780"/>
      </w:tabs>
      <w:outlineLvl w:val="3"/>
    </w:pPr>
    <w:rPr>
      <w:sz w:val="24"/>
      <w:szCs w:val="24"/>
    </w:rPr>
  </w:style>
  <w:style w:type="paragraph" w:styleId="50">
    <w:name w:val="heading 5"/>
    <w:basedOn w:val="40"/>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10"/>
      </w:numPr>
      <w:spacing w:before="120"/>
      <w:outlineLvl w:val="5"/>
    </w:pPr>
  </w:style>
  <w:style w:type="paragraph" w:styleId="7">
    <w:name w:val="heading 7"/>
    <w:basedOn w:val="a0"/>
    <w:next w:val="a0"/>
    <w:link w:val="7Char"/>
    <w:uiPriority w:val="99"/>
    <w:qFormat/>
    <w:rsid w:val="009E35DB"/>
    <w:pPr>
      <w:keepNext/>
      <w:keepLines/>
      <w:numPr>
        <w:ilvl w:val="6"/>
        <w:numId w:val="10"/>
      </w:numPr>
      <w:spacing w:before="120"/>
      <w:outlineLvl w:val="6"/>
    </w:p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rsid w:val="00011980"/>
    <w:rPr>
      <w:rFonts w:ascii="Arial" w:hAnsi="Arial"/>
      <w:sz w:val="28"/>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uiPriority w:val="99"/>
    <w:rsid w:val="00C46361"/>
    <w:rPr>
      <w:rFonts w:ascii="Arial" w:hAnsi="Arial"/>
      <w:sz w:val="28"/>
      <w:szCs w:val="28"/>
      <w:lang w:val="en-GB"/>
    </w:rPr>
  </w:style>
  <w:style w:type="character" w:customStyle="1" w:styleId="4Char">
    <w:name w:val="标题 4 Char"/>
    <w:link w:val="40"/>
    <w:uiPriority w:val="99"/>
    <w:rsid w:val="00C46361"/>
    <w:rPr>
      <w:rFonts w:ascii="Arial" w:hAnsi="Arial"/>
      <w:sz w:val="24"/>
      <w:szCs w:val="24"/>
      <w:lang w:val="en-GB"/>
    </w:rPr>
  </w:style>
  <w:style w:type="character" w:customStyle="1" w:styleId="5Char">
    <w:name w:val="标题 5 Char"/>
    <w:link w:val="50"/>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0"/>
    <w:uiPriority w:val="99"/>
    <w:semiHidden/>
    <w:rsid w:val="009E35DB"/>
    <w:pPr>
      <w:ind w:left="1134" w:hanging="1134"/>
    </w:pPr>
  </w:style>
  <w:style w:type="paragraph" w:styleId="20">
    <w:name w:val="toc 2"/>
    <w:basedOn w:val="10"/>
    <w:uiPriority w:val="99"/>
    <w:semiHidden/>
    <w:rsid w:val="009E35DB"/>
    <w:pPr>
      <w:keepNext w:val="0"/>
      <w:spacing w:before="0"/>
      <w:ind w:left="851" w:hanging="851"/>
    </w:pPr>
    <w:rPr>
      <w:szCs w:val="20"/>
    </w:rPr>
  </w:style>
  <w:style w:type="paragraph" w:styleId="21">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imes New Roman" w:hAnsi="Times New Roman"/>
      <w:sz w:val="0"/>
      <w:szCs w:val="0"/>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2">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8"/>
      <w:szCs w:val="18"/>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3">
    <w:name w:val="List Bullet 2"/>
    <w:basedOn w:val="a"/>
    <w:uiPriority w:val="99"/>
    <w:rsid w:val="00F313D6"/>
    <w:pPr>
      <w:tabs>
        <w:tab w:val="clear" w:pos="510"/>
        <w:tab w:val="num" w:pos="794"/>
        <w:tab w:val="num" w:pos="1620"/>
      </w:tabs>
      <w:ind w:left="794" w:hanging="360"/>
    </w:pPr>
  </w:style>
  <w:style w:type="paragraph" w:styleId="a">
    <w:name w:val="List Bullet"/>
    <w:basedOn w:val="ab"/>
    <w:uiPriority w:val="99"/>
    <w:rsid w:val="00F313D6"/>
    <w:pPr>
      <w:numPr>
        <w:numId w:val="4"/>
      </w:numPr>
    </w:pPr>
  </w:style>
  <w:style w:type="paragraph" w:styleId="3">
    <w:name w:val="List Bullet 3"/>
    <w:basedOn w:val="23"/>
    <w:uiPriority w:val="99"/>
    <w:rsid w:val="00F313D6"/>
    <w:pPr>
      <w:numPr>
        <w:numId w:val="6"/>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aliases w:val="EN"/>
    <w:basedOn w:val="a0"/>
    <w:link w:val="EditorsNoteCharChar"/>
    <w:rsid w:val="009960EC"/>
    <w:pPr>
      <w:keepLines/>
      <w:spacing w:after="180"/>
      <w:ind w:left="1135" w:hanging="851"/>
      <w:jc w:val="left"/>
    </w:pPr>
    <w:rPr>
      <w:color w:val="FF0000"/>
      <w:lang w:eastAsia="en-US"/>
    </w:rPr>
  </w:style>
  <w:style w:type="paragraph" w:styleId="4">
    <w:name w:val="List Bullet 4"/>
    <w:basedOn w:val="3"/>
    <w:uiPriority w:val="99"/>
    <w:rsid w:val="00641533"/>
    <w:pPr>
      <w:numPr>
        <w:numId w:val="7"/>
      </w:numPr>
      <w:tabs>
        <w:tab w:val="num" w:pos="432"/>
      </w:tabs>
      <w:ind w:hanging="432"/>
    </w:pPr>
  </w:style>
  <w:style w:type="paragraph" w:styleId="5">
    <w:name w:val="List Bullet 5"/>
    <w:basedOn w:val="4"/>
    <w:uiPriority w:val="99"/>
    <w:rsid w:val="00641533"/>
    <w:pPr>
      <w:numPr>
        <w:numId w:val="3"/>
      </w:numPr>
      <w:tabs>
        <w:tab w:val="num" w:pos="1361"/>
      </w:tabs>
    </w:pPr>
  </w:style>
  <w:style w:type="paragraph" w:styleId="ac">
    <w:name w:val="footer"/>
    <w:basedOn w:val="a8"/>
    <w:link w:val="Char2"/>
    <w:uiPriority w:val="99"/>
    <w:semiHidden/>
    <w:rsid w:val="009E35DB"/>
    <w:pPr>
      <w:jc w:val="center"/>
    </w:pPr>
    <w:rPr>
      <w:rFonts w:cs="Times New Roman"/>
      <w:b w:val="0"/>
      <w:bCs w:val="0"/>
      <w:noProof w:val="0"/>
      <w:lang w:val="en-GB"/>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2"/>
      </w:numPr>
    </w:pPr>
  </w:style>
  <w:style w:type="paragraph" w:styleId="ad">
    <w:name w:val="Balloon Text"/>
    <w:basedOn w:val="a0"/>
    <w:link w:val="Char3"/>
    <w:uiPriority w:val="99"/>
    <w:semiHidden/>
    <w:rsid w:val="009E35DB"/>
    <w:rPr>
      <w:sz w:val="0"/>
      <w:szCs w:val="0"/>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customStyle="1" w:styleId="af0">
    <w:name w:val="访问过的超链接"/>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uiPriority w:val="99"/>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rsid w:val="009960EC"/>
    <w:pPr>
      <w:keepNext/>
      <w:keepLines/>
      <w:spacing w:before="60" w:after="180"/>
      <w:jc w:val="center"/>
    </w:pPr>
    <w:rPr>
      <w:b/>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8"/>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uiPriority w:val="59"/>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B1Zchn">
    <w:name w:val="B1 Zchn"/>
    <w:rsid w:val="00CF26D9"/>
    <w:rPr>
      <w:rFonts w:ascii="Arial" w:eastAsia="MS Mincho" w:hAnsi="Arial" w:cs="Arial"/>
      <w:color w:val="0000FF"/>
      <w:kern w:val="2"/>
      <w:lang w:val="en-GB" w:eastAsia="en-US" w:bidi="ar-SA"/>
    </w:rPr>
  </w:style>
  <w:style w:type="paragraph" w:customStyle="1" w:styleId="Guidance">
    <w:name w:val="Guidance"/>
    <w:basedOn w:val="a0"/>
    <w:rsid w:val="00230F57"/>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word">
    <w:name w:val="word"/>
    <w:basedOn w:val="a1"/>
    <w:rsid w:val="005C4F2F"/>
  </w:style>
  <w:style w:type="character" w:customStyle="1" w:styleId="NOZchn">
    <w:name w:val="NO Zchn"/>
    <w:rsid w:val="00D06288"/>
    <w:rPr>
      <w:lang w:val="en-GB" w:eastAsia="en-US"/>
    </w:rPr>
  </w:style>
  <w:style w:type="character" w:customStyle="1" w:styleId="EditorsNoteCharChar">
    <w:name w:val="Editor's Note Char Char"/>
    <w:link w:val="EditorsNote"/>
    <w:rsid w:val="00DC56B5"/>
    <w:rPr>
      <w:rFonts w:ascii="Arial" w:hAnsi="Arial"/>
      <w:color w:val="FF0000"/>
      <w:lang w:val="en-GB" w:eastAsia="en-US"/>
    </w:rPr>
  </w:style>
  <w:style w:type="character" w:customStyle="1" w:styleId="af9">
    <w:name w:val="页眉 字符"/>
    <w:aliases w:val="header odd 字符"/>
    <w:rsid w:val="00932849"/>
    <w:rPr>
      <w:rFonts w:ascii="Arial" w:eastAsia="Times New Roman" w:hAnsi="Arial"/>
      <w:b/>
      <w:noProof/>
      <w:sz w:val="18"/>
      <w:lang w:eastAsia="en-US"/>
    </w:rPr>
  </w:style>
  <w:style w:type="paragraph" w:customStyle="1" w:styleId="CRCoverPage">
    <w:name w:val="CR Cover Page"/>
    <w:rsid w:val="00932849"/>
    <w:pPr>
      <w:spacing w:after="120"/>
    </w:pPr>
    <w:rPr>
      <w:rFonts w:ascii="Arial" w:eastAsia="MS Mincho" w:hAnsi="Arial"/>
      <w:lang w:val="en-GB" w:eastAsia="en-US"/>
    </w:rPr>
  </w:style>
  <w:style w:type="paragraph" w:styleId="afa">
    <w:name w:val="No Spacing"/>
    <w:basedOn w:val="a0"/>
    <w:uiPriority w:val="1"/>
    <w:qFormat/>
    <w:rsid w:val="00FD5BF2"/>
    <w:pPr>
      <w:overflowPunct/>
      <w:autoSpaceDE/>
      <w:autoSpaceDN/>
      <w:adjustRightInd/>
      <w:spacing w:after="0"/>
      <w:jc w:val="left"/>
      <w:textAlignment w:val="auto"/>
    </w:pPr>
    <w:rPr>
      <w:rFonts w:ascii="Calibri" w:eastAsia="Calibri" w:hAnsi="Calibri"/>
      <w:sz w:val="22"/>
      <w:szCs w:val="22"/>
      <w:lang w:eastAsia="en-GB"/>
    </w:rPr>
  </w:style>
  <w:style w:type="paragraph" w:customStyle="1" w:styleId="References">
    <w:name w:val="References"/>
    <w:basedOn w:val="a0"/>
    <w:next w:val="a0"/>
    <w:rsid w:val="00830C54"/>
    <w:pPr>
      <w:numPr>
        <w:numId w:val="16"/>
      </w:numPr>
      <w:overflowPunct/>
      <w:adjustRightInd/>
      <w:snapToGrid w:val="0"/>
      <w:spacing w:after="60"/>
      <w:ind w:left="360"/>
      <w:jc w:val="left"/>
      <w:textAlignment w:val="auto"/>
    </w:pPr>
    <w:rPr>
      <w:rFonts w:ascii="Times New Roman" w:hAnsi="Times New Roman"/>
      <w:szCs w:val="16"/>
      <w:lang w:val="en-US" w:eastAsia="en-US"/>
    </w:rPr>
  </w:style>
  <w:style w:type="character" w:customStyle="1" w:styleId="TACChar">
    <w:name w:val="TAC Char"/>
    <w:link w:val="TAC"/>
    <w:rsid w:val="0043749B"/>
    <w:rPr>
      <w:rFonts w:ascii="Arial" w:hAnsi="Arial"/>
      <w:sz w:val="18"/>
      <w:lang w:val="en-GB" w:eastAsia="en-US"/>
    </w:rPr>
  </w:style>
  <w:style w:type="character" w:customStyle="1" w:styleId="TALChar">
    <w:name w:val="TAL Char"/>
    <w:rsid w:val="0043749B"/>
    <w:rPr>
      <w:rFonts w:ascii="Arial" w:hAnsi="Arial"/>
      <w:sz w:val="18"/>
      <w:lang w:val="en-GB" w:eastAsia="ja-JP" w:bidi="ar-SA"/>
    </w:rPr>
  </w:style>
  <w:style w:type="character" w:customStyle="1" w:styleId="TAHCar">
    <w:name w:val="TAH Car"/>
    <w:link w:val="TAH"/>
    <w:rsid w:val="0043749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27562665">
      <w:bodyDiv w:val="1"/>
      <w:marLeft w:val="0"/>
      <w:marRight w:val="0"/>
      <w:marTop w:val="0"/>
      <w:marBottom w:val="0"/>
      <w:divBdr>
        <w:top w:val="none" w:sz="0" w:space="0" w:color="auto"/>
        <w:left w:val="none" w:sz="0" w:space="0" w:color="auto"/>
        <w:bottom w:val="none" w:sz="0" w:space="0" w:color="auto"/>
        <w:right w:val="none" w:sz="0" w:space="0" w:color="auto"/>
      </w:divBdr>
      <w:divsChild>
        <w:div w:id="85462113">
          <w:marLeft w:val="1166"/>
          <w:marRight w:val="0"/>
          <w:marTop w:val="91"/>
          <w:marBottom w:val="0"/>
          <w:divBdr>
            <w:top w:val="none" w:sz="0" w:space="0" w:color="auto"/>
            <w:left w:val="none" w:sz="0" w:space="0" w:color="auto"/>
            <w:bottom w:val="none" w:sz="0" w:space="0" w:color="auto"/>
            <w:right w:val="none" w:sz="0" w:space="0" w:color="auto"/>
          </w:divBdr>
        </w:div>
        <w:div w:id="86509412">
          <w:marLeft w:val="1166"/>
          <w:marRight w:val="0"/>
          <w:marTop w:val="91"/>
          <w:marBottom w:val="0"/>
          <w:divBdr>
            <w:top w:val="none" w:sz="0" w:space="0" w:color="auto"/>
            <w:left w:val="none" w:sz="0" w:space="0" w:color="auto"/>
            <w:bottom w:val="none" w:sz="0" w:space="0" w:color="auto"/>
            <w:right w:val="none" w:sz="0" w:space="0" w:color="auto"/>
          </w:divBdr>
        </w:div>
        <w:div w:id="207376460">
          <w:marLeft w:val="1166"/>
          <w:marRight w:val="0"/>
          <w:marTop w:val="91"/>
          <w:marBottom w:val="0"/>
          <w:divBdr>
            <w:top w:val="none" w:sz="0" w:space="0" w:color="auto"/>
            <w:left w:val="none" w:sz="0" w:space="0" w:color="auto"/>
            <w:bottom w:val="none" w:sz="0" w:space="0" w:color="auto"/>
            <w:right w:val="none" w:sz="0" w:space="0" w:color="auto"/>
          </w:divBdr>
        </w:div>
        <w:div w:id="347367221">
          <w:marLeft w:val="1166"/>
          <w:marRight w:val="0"/>
          <w:marTop w:val="91"/>
          <w:marBottom w:val="0"/>
          <w:divBdr>
            <w:top w:val="none" w:sz="0" w:space="0" w:color="auto"/>
            <w:left w:val="none" w:sz="0" w:space="0" w:color="auto"/>
            <w:bottom w:val="none" w:sz="0" w:space="0" w:color="auto"/>
            <w:right w:val="none" w:sz="0" w:space="0" w:color="auto"/>
          </w:divBdr>
        </w:div>
        <w:div w:id="371460891">
          <w:marLeft w:val="1166"/>
          <w:marRight w:val="0"/>
          <w:marTop w:val="91"/>
          <w:marBottom w:val="0"/>
          <w:divBdr>
            <w:top w:val="none" w:sz="0" w:space="0" w:color="auto"/>
            <w:left w:val="none" w:sz="0" w:space="0" w:color="auto"/>
            <w:bottom w:val="none" w:sz="0" w:space="0" w:color="auto"/>
            <w:right w:val="none" w:sz="0" w:space="0" w:color="auto"/>
          </w:divBdr>
        </w:div>
        <w:div w:id="472645765">
          <w:marLeft w:val="1166"/>
          <w:marRight w:val="0"/>
          <w:marTop w:val="91"/>
          <w:marBottom w:val="0"/>
          <w:divBdr>
            <w:top w:val="none" w:sz="0" w:space="0" w:color="auto"/>
            <w:left w:val="none" w:sz="0" w:space="0" w:color="auto"/>
            <w:bottom w:val="none" w:sz="0" w:space="0" w:color="auto"/>
            <w:right w:val="none" w:sz="0" w:space="0" w:color="auto"/>
          </w:divBdr>
        </w:div>
        <w:div w:id="1259757301">
          <w:marLeft w:val="547"/>
          <w:marRight w:val="0"/>
          <w:marTop w:val="144"/>
          <w:marBottom w:val="0"/>
          <w:divBdr>
            <w:top w:val="none" w:sz="0" w:space="0" w:color="auto"/>
            <w:left w:val="none" w:sz="0" w:space="0" w:color="auto"/>
            <w:bottom w:val="none" w:sz="0" w:space="0" w:color="auto"/>
            <w:right w:val="none" w:sz="0" w:space="0" w:color="auto"/>
          </w:divBdr>
        </w:div>
        <w:div w:id="1675719401">
          <w:marLeft w:val="1166"/>
          <w:marRight w:val="0"/>
          <w:marTop w:val="91"/>
          <w:marBottom w:val="0"/>
          <w:divBdr>
            <w:top w:val="none" w:sz="0" w:space="0" w:color="auto"/>
            <w:left w:val="none" w:sz="0" w:space="0" w:color="auto"/>
            <w:bottom w:val="none" w:sz="0" w:space="0" w:color="auto"/>
            <w:right w:val="none" w:sz="0" w:space="0" w:color="auto"/>
          </w:divBdr>
        </w:div>
        <w:div w:id="1917588385">
          <w:marLeft w:val="1166"/>
          <w:marRight w:val="0"/>
          <w:marTop w:val="91"/>
          <w:marBottom w:val="0"/>
          <w:divBdr>
            <w:top w:val="none" w:sz="0" w:space="0" w:color="auto"/>
            <w:left w:val="none" w:sz="0" w:space="0" w:color="auto"/>
            <w:bottom w:val="none" w:sz="0" w:space="0" w:color="auto"/>
            <w:right w:val="none" w:sz="0" w:space="0" w:color="auto"/>
          </w:divBdr>
        </w:div>
        <w:div w:id="2127965234">
          <w:marLeft w:val="1166"/>
          <w:marRight w:val="0"/>
          <w:marTop w:val="91"/>
          <w:marBottom w:val="0"/>
          <w:divBdr>
            <w:top w:val="none" w:sz="0" w:space="0" w:color="auto"/>
            <w:left w:val="none" w:sz="0" w:space="0" w:color="auto"/>
            <w:bottom w:val="none" w:sz="0" w:space="0" w:color="auto"/>
            <w:right w:val="none" w:sz="0" w:space="0" w:color="auto"/>
          </w:divBdr>
        </w:div>
      </w:divsChild>
    </w:div>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514804240">
      <w:bodyDiv w:val="1"/>
      <w:marLeft w:val="0"/>
      <w:marRight w:val="0"/>
      <w:marTop w:val="0"/>
      <w:marBottom w:val="0"/>
      <w:divBdr>
        <w:top w:val="none" w:sz="0" w:space="0" w:color="auto"/>
        <w:left w:val="none" w:sz="0" w:space="0" w:color="auto"/>
        <w:bottom w:val="none" w:sz="0" w:space="0" w:color="auto"/>
        <w:right w:val="none" w:sz="0" w:space="0" w:color="auto"/>
      </w:divBdr>
    </w:div>
    <w:div w:id="517240201">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759987600">
      <w:bodyDiv w:val="1"/>
      <w:marLeft w:val="0"/>
      <w:marRight w:val="0"/>
      <w:marTop w:val="0"/>
      <w:marBottom w:val="0"/>
      <w:divBdr>
        <w:top w:val="none" w:sz="0" w:space="0" w:color="auto"/>
        <w:left w:val="none" w:sz="0" w:space="0" w:color="auto"/>
        <w:bottom w:val="none" w:sz="0" w:space="0" w:color="auto"/>
        <w:right w:val="none" w:sz="0" w:space="0" w:color="auto"/>
      </w:divBdr>
    </w:div>
    <w:div w:id="769617725">
      <w:bodyDiv w:val="1"/>
      <w:marLeft w:val="0"/>
      <w:marRight w:val="0"/>
      <w:marTop w:val="0"/>
      <w:marBottom w:val="0"/>
      <w:divBdr>
        <w:top w:val="none" w:sz="0" w:space="0" w:color="auto"/>
        <w:left w:val="none" w:sz="0" w:space="0" w:color="auto"/>
        <w:bottom w:val="none" w:sz="0" w:space="0" w:color="auto"/>
        <w:right w:val="none" w:sz="0" w:space="0" w:color="auto"/>
      </w:divBdr>
    </w:div>
    <w:div w:id="786392917">
      <w:bodyDiv w:val="1"/>
      <w:marLeft w:val="0"/>
      <w:marRight w:val="0"/>
      <w:marTop w:val="0"/>
      <w:marBottom w:val="0"/>
      <w:divBdr>
        <w:top w:val="none" w:sz="0" w:space="0" w:color="auto"/>
        <w:left w:val="none" w:sz="0" w:space="0" w:color="auto"/>
        <w:bottom w:val="none" w:sz="0" w:space="0" w:color="auto"/>
        <w:right w:val="none" w:sz="0" w:space="0" w:color="auto"/>
      </w:divBdr>
    </w:div>
    <w:div w:id="1070731614">
      <w:bodyDiv w:val="1"/>
      <w:marLeft w:val="0"/>
      <w:marRight w:val="0"/>
      <w:marTop w:val="0"/>
      <w:marBottom w:val="0"/>
      <w:divBdr>
        <w:top w:val="none" w:sz="0" w:space="0" w:color="auto"/>
        <w:left w:val="none" w:sz="0" w:space="0" w:color="auto"/>
        <w:bottom w:val="none" w:sz="0" w:space="0" w:color="auto"/>
        <w:right w:val="none" w:sz="0" w:space="0" w:color="auto"/>
      </w:divBdr>
    </w:div>
    <w:div w:id="1140534746">
      <w:bodyDiv w:val="1"/>
      <w:marLeft w:val="0"/>
      <w:marRight w:val="0"/>
      <w:marTop w:val="0"/>
      <w:marBottom w:val="0"/>
      <w:divBdr>
        <w:top w:val="none" w:sz="0" w:space="0" w:color="auto"/>
        <w:left w:val="none" w:sz="0" w:space="0" w:color="auto"/>
        <w:bottom w:val="none" w:sz="0" w:space="0" w:color="auto"/>
        <w:right w:val="none" w:sz="0" w:space="0" w:color="auto"/>
      </w:divBdr>
    </w:div>
    <w:div w:id="1202017158">
      <w:bodyDiv w:val="1"/>
      <w:marLeft w:val="0"/>
      <w:marRight w:val="0"/>
      <w:marTop w:val="0"/>
      <w:marBottom w:val="0"/>
      <w:divBdr>
        <w:top w:val="none" w:sz="0" w:space="0" w:color="auto"/>
        <w:left w:val="none" w:sz="0" w:space="0" w:color="auto"/>
        <w:bottom w:val="none" w:sz="0" w:space="0" w:color="auto"/>
        <w:right w:val="none" w:sz="0" w:space="0" w:color="auto"/>
      </w:divBdr>
    </w:div>
    <w:div w:id="1283153710">
      <w:bodyDiv w:val="1"/>
      <w:marLeft w:val="0"/>
      <w:marRight w:val="0"/>
      <w:marTop w:val="0"/>
      <w:marBottom w:val="0"/>
      <w:divBdr>
        <w:top w:val="none" w:sz="0" w:space="0" w:color="auto"/>
        <w:left w:val="none" w:sz="0" w:space="0" w:color="auto"/>
        <w:bottom w:val="none" w:sz="0" w:space="0" w:color="auto"/>
        <w:right w:val="none" w:sz="0" w:space="0" w:color="auto"/>
      </w:divBdr>
    </w:div>
    <w:div w:id="133464782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457487578">
      <w:bodyDiv w:val="1"/>
      <w:marLeft w:val="0"/>
      <w:marRight w:val="0"/>
      <w:marTop w:val="0"/>
      <w:marBottom w:val="0"/>
      <w:divBdr>
        <w:top w:val="none" w:sz="0" w:space="0" w:color="auto"/>
        <w:left w:val="none" w:sz="0" w:space="0" w:color="auto"/>
        <w:bottom w:val="none" w:sz="0" w:space="0" w:color="auto"/>
        <w:right w:val="none" w:sz="0" w:space="0" w:color="auto"/>
      </w:divBdr>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581521378">
      <w:bodyDiv w:val="1"/>
      <w:marLeft w:val="0"/>
      <w:marRight w:val="0"/>
      <w:marTop w:val="0"/>
      <w:marBottom w:val="0"/>
      <w:divBdr>
        <w:top w:val="none" w:sz="0" w:space="0" w:color="auto"/>
        <w:left w:val="none" w:sz="0" w:space="0" w:color="auto"/>
        <w:bottom w:val="none" w:sz="0" w:space="0" w:color="auto"/>
        <w:right w:val="none" w:sz="0" w:space="0" w:color="auto"/>
      </w:divBdr>
    </w:div>
    <w:div w:id="1628318752">
      <w:bodyDiv w:val="1"/>
      <w:marLeft w:val="0"/>
      <w:marRight w:val="0"/>
      <w:marTop w:val="0"/>
      <w:marBottom w:val="0"/>
      <w:divBdr>
        <w:top w:val="none" w:sz="0" w:space="0" w:color="auto"/>
        <w:left w:val="none" w:sz="0" w:space="0" w:color="auto"/>
        <w:bottom w:val="none" w:sz="0" w:space="0" w:color="auto"/>
        <w:right w:val="none" w:sz="0" w:space="0" w:color="auto"/>
      </w:divBdr>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926105300">
      <w:bodyDiv w:val="1"/>
      <w:marLeft w:val="0"/>
      <w:marRight w:val="0"/>
      <w:marTop w:val="0"/>
      <w:marBottom w:val="0"/>
      <w:divBdr>
        <w:top w:val="none" w:sz="0" w:space="0" w:color="auto"/>
        <w:left w:val="none" w:sz="0" w:space="0" w:color="auto"/>
        <w:bottom w:val="none" w:sz="0" w:space="0" w:color="auto"/>
        <w:right w:val="none" w:sz="0" w:space="0" w:color="auto"/>
      </w:divBdr>
      <w:divsChild>
        <w:div w:id="74714441">
          <w:marLeft w:val="1166"/>
          <w:marRight w:val="0"/>
          <w:marTop w:val="96"/>
          <w:marBottom w:val="0"/>
          <w:divBdr>
            <w:top w:val="none" w:sz="0" w:space="0" w:color="auto"/>
            <w:left w:val="none" w:sz="0" w:space="0" w:color="auto"/>
            <w:bottom w:val="none" w:sz="0" w:space="0" w:color="auto"/>
            <w:right w:val="none" w:sz="0" w:space="0" w:color="auto"/>
          </w:divBdr>
        </w:div>
        <w:div w:id="249779345">
          <w:marLeft w:val="1166"/>
          <w:marRight w:val="0"/>
          <w:marTop w:val="96"/>
          <w:marBottom w:val="0"/>
          <w:divBdr>
            <w:top w:val="none" w:sz="0" w:space="0" w:color="auto"/>
            <w:left w:val="none" w:sz="0" w:space="0" w:color="auto"/>
            <w:bottom w:val="none" w:sz="0" w:space="0" w:color="auto"/>
            <w:right w:val="none" w:sz="0" w:space="0" w:color="auto"/>
          </w:divBdr>
        </w:div>
        <w:div w:id="305277208">
          <w:marLeft w:val="547"/>
          <w:marRight w:val="0"/>
          <w:marTop w:val="154"/>
          <w:marBottom w:val="0"/>
          <w:divBdr>
            <w:top w:val="none" w:sz="0" w:space="0" w:color="auto"/>
            <w:left w:val="none" w:sz="0" w:space="0" w:color="auto"/>
            <w:bottom w:val="none" w:sz="0" w:space="0" w:color="auto"/>
            <w:right w:val="none" w:sz="0" w:space="0" w:color="auto"/>
          </w:divBdr>
        </w:div>
        <w:div w:id="475416892">
          <w:marLeft w:val="1166"/>
          <w:marRight w:val="0"/>
          <w:marTop w:val="96"/>
          <w:marBottom w:val="0"/>
          <w:divBdr>
            <w:top w:val="none" w:sz="0" w:space="0" w:color="auto"/>
            <w:left w:val="none" w:sz="0" w:space="0" w:color="auto"/>
            <w:bottom w:val="none" w:sz="0" w:space="0" w:color="auto"/>
            <w:right w:val="none" w:sz="0" w:space="0" w:color="auto"/>
          </w:divBdr>
        </w:div>
        <w:div w:id="690110779">
          <w:marLeft w:val="547"/>
          <w:marRight w:val="0"/>
          <w:marTop w:val="154"/>
          <w:marBottom w:val="0"/>
          <w:divBdr>
            <w:top w:val="none" w:sz="0" w:space="0" w:color="auto"/>
            <w:left w:val="none" w:sz="0" w:space="0" w:color="auto"/>
            <w:bottom w:val="none" w:sz="0" w:space="0" w:color="auto"/>
            <w:right w:val="none" w:sz="0" w:space="0" w:color="auto"/>
          </w:divBdr>
        </w:div>
        <w:div w:id="851528492">
          <w:marLeft w:val="1166"/>
          <w:marRight w:val="0"/>
          <w:marTop w:val="96"/>
          <w:marBottom w:val="0"/>
          <w:divBdr>
            <w:top w:val="none" w:sz="0" w:space="0" w:color="auto"/>
            <w:left w:val="none" w:sz="0" w:space="0" w:color="auto"/>
            <w:bottom w:val="none" w:sz="0" w:space="0" w:color="auto"/>
            <w:right w:val="none" w:sz="0" w:space="0" w:color="auto"/>
          </w:divBdr>
        </w:div>
        <w:div w:id="1091780223">
          <w:marLeft w:val="547"/>
          <w:marRight w:val="0"/>
          <w:marTop w:val="154"/>
          <w:marBottom w:val="0"/>
          <w:divBdr>
            <w:top w:val="none" w:sz="0" w:space="0" w:color="auto"/>
            <w:left w:val="none" w:sz="0" w:space="0" w:color="auto"/>
            <w:bottom w:val="none" w:sz="0" w:space="0" w:color="auto"/>
            <w:right w:val="none" w:sz="0" w:space="0" w:color="auto"/>
          </w:divBdr>
        </w:div>
        <w:div w:id="1170363552">
          <w:marLeft w:val="1166"/>
          <w:marRight w:val="0"/>
          <w:marTop w:val="96"/>
          <w:marBottom w:val="0"/>
          <w:divBdr>
            <w:top w:val="none" w:sz="0" w:space="0" w:color="auto"/>
            <w:left w:val="none" w:sz="0" w:space="0" w:color="auto"/>
            <w:bottom w:val="none" w:sz="0" w:space="0" w:color="auto"/>
            <w:right w:val="none" w:sz="0" w:space="0" w:color="auto"/>
          </w:divBdr>
        </w:div>
        <w:div w:id="1816793853">
          <w:marLeft w:val="1166"/>
          <w:marRight w:val="0"/>
          <w:marTop w:val="96"/>
          <w:marBottom w:val="0"/>
          <w:divBdr>
            <w:top w:val="none" w:sz="0" w:space="0" w:color="auto"/>
            <w:left w:val="none" w:sz="0" w:space="0" w:color="auto"/>
            <w:bottom w:val="none" w:sz="0" w:space="0" w:color="auto"/>
            <w:right w:val="none" w:sz="0" w:space="0" w:color="auto"/>
          </w:divBdr>
        </w:div>
      </w:divsChild>
    </w:div>
    <w:div w:id="211367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846</Words>
  <Characters>4828</Characters>
  <Application>Microsoft Office Word</Application>
  <DocSecurity>0</DocSecurity>
  <Lines>40</Lines>
  <Paragraphs>11</Paragraphs>
  <ScaleCrop>false</ScaleCrop>
  <Company>Ericsson</Company>
  <LinksUpToDate>false</LinksUpToDate>
  <CharactersWithSpaces>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RAN3#91 Contribution</dc:title>
  <dc:creator>CATT</dc:creator>
  <cp:keywords>CATT</cp:keywords>
  <cp:lastModifiedBy>许森</cp:lastModifiedBy>
  <cp:revision>6</cp:revision>
  <cp:lastPrinted>2008-01-31T00:09:00Z</cp:lastPrinted>
  <dcterms:created xsi:type="dcterms:W3CDTF">2017-08-12T02:17:00Z</dcterms:created>
  <dcterms:modified xsi:type="dcterms:W3CDTF">2017-08-12T03:15:00Z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