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8578B" w14:textId="77777777" w:rsidR="00D23A75" w:rsidRDefault="00D23A75" w:rsidP="00FB5498">
      <w:pPr>
        <w:pStyle w:val="3GPPHeader"/>
        <w:spacing w:after="60"/>
        <w:rPr>
          <w:bCs/>
          <w:sz w:val="22"/>
        </w:rPr>
      </w:pPr>
    </w:p>
    <w:p w14:paraId="0C301931" w14:textId="2F86BB9C" w:rsidR="00FB5498" w:rsidRPr="00D376C5" w:rsidRDefault="00FB5498" w:rsidP="00FB5498">
      <w:pPr>
        <w:pStyle w:val="3GPPHeader"/>
        <w:spacing w:after="60"/>
        <w:rPr>
          <w:bCs/>
          <w:sz w:val="22"/>
        </w:rPr>
      </w:pPr>
      <w:r w:rsidRPr="00D376C5">
        <w:rPr>
          <w:bCs/>
          <w:sz w:val="22"/>
        </w:rPr>
        <w:t xml:space="preserve">3GPP TSG RAN WG1 </w:t>
      </w:r>
      <w:r w:rsidR="00D23A75">
        <w:rPr>
          <w:bCs/>
          <w:sz w:val="22"/>
        </w:rPr>
        <w:t>Meeting</w:t>
      </w:r>
      <w:r w:rsidRPr="00D376C5">
        <w:rPr>
          <w:bCs/>
          <w:sz w:val="22"/>
        </w:rPr>
        <w:t xml:space="preserve">#90                  </w:t>
      </w:r>
      <w:r w:rsidR="00D23A75">
        <w:rPr>
          <w:bCs/>
          <w:sz w:val="22"/>
        </w:rPr>
        <w:t xml:space="preserve">                     </w:t>
      </w:r>
      <w:r w:rsidR="00D23A75">
        <w:rPr>
          <w:bCs/>
          <w:sz w:val="22"/>
        </w:rPr>
        <w:tab/>
        <w:t>R1-1714441</w:t>
      </w:r>
      <w:bookmarkStart w:id="0" w:name="_GoBack"/>
      <w:bookmarkEnd w:id="0"/>
    </w:p>
    <w:p w14:paraId="2C432E5D" w14:textId="77777777" w:rsidR="00FB5498" w:rsidRPr="00D376C5" w:rsidRDefault="00FB5498" w:rsidP="00FB5498">
      <w:pPr>
        <w:pStyle w:val="3GPPHeader"/>
        <w:rPr>
          <w:sz w:val="22"/>
          <w:lang w:val="en-US"/>
        </w:rPr>
      </w:pPr>
      <w:r w:rsidRPr="00D376C5">
        <w:rPr>
          <w:bCs/>
          <w:sz w:val="22"/>
        </w:rPr>
        <w:t>Prague, Czech Republic, 21-25 August 2017</w:t>
      </w:r>
    </w:p>
    <w:p w14:paraId="72E08FCD" w14:textId="77777777" w:rsidR="00F618ED" w:rsidRPr="00060D83" w:rsidRDefault="00F618ED" w:rsidP="00F618ED">
      <w:pPr>
        <w:pStyle w:val="Header"/>
        <w:tabs>
          <w:tab w:val="clear" w:pos="4536"/>
          <w:tab w:val="left" w:pos="1800"/>
        </w:tabs>
        <w:ind w:left="1800" w:hanging="1800"/>
        <w:rPr>
          <w:rFonts w:cs="Arial"/>
        </w:rPr>
      </w:pPr>
      <w:r w:rsidRPr="00060D83">
        <w:rPr>
          <w:rFonts w:cs="Arial"/>
        </w:rPr>
        <w:t>Source:</w:t>
      </w:r>
      <w:r w:rsidRPr="00060D83">
        <w:rPr>
          <w:rFonts w:cs="Arial"/>
        </w:rPr>
        <w:tab/>
        <w:t>Ericsson</w:t>
      </w:r>
    </w:p>
    <w:p w14:paraId="2BF99A4B" w14:textId="56A6DEBC" w:rsidR="00F618ED" w:rsidRPr="00060D83" w:rsidRDefault="00F618ED" w:rsidP="00F618ED">
      <w:pPr>
        <w:pStyle w:val="Header"/>
        <w:tabs>
          <w:tab w:val="clear" w:pos="4536"/>
          <w:tab w:val="left" w:pos="1800"/>
        </w:tabs>
        <w:rPr>
          <w:rFonts w:cs="Arial"/>
        </w:rPr>
      </w:pPr>
      <w:r w:rsidRPr="00060D83">
        <w:rPr>
          <w:rFonts w:cs="Arial"/>
        </w:rPr>
        <w:t>Title:</w:t>
      </w:r>
      <w:bookmarkStart w:id="1" w:name="Title"/>
      <w:bookmarkEnd w:id="1"/>
      <w:r w:rsidRPr="00060D83">
        <w:rPr>
          <w:rFonts w:cs="Arial"/>
        </w:rPr>
        <w:tab/>
      </w:r>
      <w:r w:rsidR="00CC2408" w:rsidRPr="00060D83">
        <w:rPr>
          <w:rFonts w:cs="Arial"/>
        </w:rPr>
        <w:t>On Minimum Processing Time and Number of HARQ Processes in NR</w:t>
      </w:r>
    </w:p>
    <w:p w14:paraId="21A0FB9A" w14:textId="5BCC09D6" w:rsidR="00F618ED" w:rsidRPr="00060D83" w:rsidRDefault="00F618ED" w:rsidP="00F618ED">
      <w:pPr>
        <w:pStyle w:val="Header"/>
        <w:tabs>
          <w:tab w:val="left" w:pos="1800"/>
        </w:tabs>
        <w:rPr>
          <w:rFonts w:cs="Arial"/>
        </w:rPr>
      </w:pPr>
      <w:r w:rsidRPr="00060D83">
        <w:rPr>
          <w:rFonts w:cs="Arial"/>
        </w:rPr>
        <w:t>Agenda Item:</w:t>
      </w:r>
      <w:bookmarkStart w:id="2" w:name="Source"/>
      <w:bookmarkEnd w:id="2"/>
      <w:r w:rsidRPr="00060D83">
        <w:rPr>
          <w:rFonts w:cs="Arial"/>
        </w:rPr>
        <w:tab/>
      </w:r>
      <w:r w:rsidR="002806EE">
        <w:rPr>
          <w:rFonts w:cs="Arial"/>
        </w:rPr>
        <w:t>6</w:t>
      </w:r>
      <w:r w:rsidR="005B50D0" w:rsidRPr="00060D83">
        <w:rPr>
          <w:rFonts w:cs="Arial"/>
          <w:sz w:val="22"/>
          <w:szCs w:val="22"/>
        </w:rPr>
        <w:t>.1.3.3.6.1</w:t>
      </w:r>
    </w:p>
    <w:p w14:paraId="37E0F9F2" w14:textId="77777777" w:rsidR="00F618ED" w:rsidRPr="00060D83" w:rsidRDefault="00F618ED" w:rsidP="00F618ED">
      <w:pPr>
        <w:pStyle w:val="Header"/>
        <w:tabs>
          <w:tab w:val="left" w:pos="1800"/>
        </w:tabs>
        <w:rPr>
          <w:rFonts w:cs="Arial"/>
        </w:rPr>
      </w:pPr>
      <w:r w:rsidRPr="00060D83">
        <w:rPr>
          <w:rFonts w:cs="Arial"/>
        </w:rPr>
        <w:t>Document for:</w:t>
      </w:r>
      <w:r w:rsidRPr="00060D83">
        <w:rPr>
          <w:rFonts w:cs="Arial"/>
        </w:rPr>
        <w:tab/>
      </w:r>
      <w:bookmarkStart w:id="3" w:name="DocumentFor"/>
      <w:bookmarkEnd w:id="3"/>
      <w:r w:rsidRPr="00060D83">
        <w:rPr>
          <w:rFonts w:cs="Arial"/>
        </w:rPr>
        <w:t>Discussion and Decision</w:t>
      </w:r>
    </w:p>
    <w:p w14:paraId="4CE178D4" w14:textId="77777777" w:rsidR="00F618ED" w:rsidRPr="00060D83" w:rsidRDefault="00F618ED" w:rsidP="00F618ED">
      <w:pPr>
        <w:pBdr>
          <w:bottom w:val="single" w:sz="4" w:space="1" w:color="auto"/>
        </w:pBdr>
        <w:tabs>
          <w:tab w:val="left" w:pos="2552"/>
        </w:tabs>
        <w:rPr>
          <w:rFonts w:ascii="Arial" w:hAnsi="Arial" w:cs="Arial"/>
        </w:rPr>
      </w:pPr>
    </w:p>
    <w:p w14:paraId="00E53489" w14:textId="00EF9915" w:rsidR="00F618ED" w:rsidRPr="00060D83" w:rsidRDefault="00F618ED" w:rsidP="00F618ED">
      <w:pPr>
        <w:pStyle w:val="Heading1"/>
        <w:spacing w:before="180"/>
        <w:ind w:left="562" w:hanging="562"/>
        <w:rPr>
          <w:rFonts w:ascii="Arial" w:hAnsi="Arial"/>
        </w:rPr>
      </w:pPr>
      <w:r w:rsidRPr="00060D83">
        <w:rPr>
          <w:rFonts w:ascii="Arial" w:hAnsi="Arial"/>
        </w:rPr>
        <w:t>Introduction</w:t>
      </w:r>
    </w:p>
    <w:p w14:paraId="2527E760" w14:textId="25F3B616" w:rsidR="00D573FE" w:rsidRPr="00060D83" w:rsidRDefault="002D488E" w:rsidP="00D573FE">
      <w:pPr>
        <w:pStyle w:val="BodyText"/>
        <w:rPr>
          <w:rFonts w:ascii="Arial" w:hAnsi="Arial" w:cs="Arial"/>
        </w:rPr>
      </w:pPr>
      <w:r w:rsidRPr="00060D83">
        <w:rPr>
          <w:rFonts w:ascii="Arial" w:hAnsi="Arial" w:cs="Arial"/>
        </w:rPr>
        <w:t xml:space="preserve">In RAN1#89, the following agreements on HARQ processes and timing handling were reached </w:t>
      </w:r>
      <w:r w:rsidRPr="00060D83">
        <w:rPr>
          <w:rFonts w:ascii="Arial" w:hAnsi="Arial" w:cs="Arial"/>
        </w:rPr>
        <w:fldChar w:fldCharType="begin"/>
      </w:r>
      <w:r w:rsidRPr="00060D83">
        <w:rPr>
          <w:rFonts w:ascii="Arial" w:hAnsi="Arial" w:cs="Arial"/>
        </w:rPr>
        <w:instrText xml:space="preserve"> REF _Ref484609843 \r \h </w:instrText>
      </w:r>
      <w:r w:rsid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Pr="00060D83">
        <w:rPr>
          <w:rFonts w:ascii="Arial" w:hAnsi="Arial" w:cs="Arial"/>
        </w:rPr>
        <w:t>[2]</w:t>
      </w:r>
      <w:r w:rsidRPr="00060D83">
        <w:rPr>
          <w:rFonts w:ascii="Arial" w:hAnsi="Arial" w:cs="Arial"/>
        </w:rPr>
        <w:fldChar w:fldCharType="end"/>
      </w:r>
      <w:r w:rsidR="00AB18E7" w:rsidRPr="00060D83">
        <w:rPr>
          <w:rFonts w:ascii="Arial" w:hAnsi="Arial" w:cs="Arial"/>
        </w:rPr>
        <w:t>.</w:t>
      </w:r>
    </w:p>
    <w:p w14:paraId="4D72B447" w14:textId="77777777" w:rsidR="00CC4ED6" w:rsidRPr="00060D83" w:rsidRDefault="00CC4ED6" w:rsidP="00CC4ED6">
      <w:pPr>
        <w:ind w:left="720"/>
        <w:rPr>
          <w:rFonts w:ascii="Arial" w:eastAsia="MS Mincho" w:hAnsi="Arial" w:cs="Arial"/>
          <w:b/>
          <w:iCs/>
          <w:highlight w:val="yellow"/>
          <w:u w:val="single"/>
          <w:lang w:eastAsia="ja-JP"/>
        </w:rPr>
      </w:pPr>
      <w:r w:rsidRPr="00060D83">
        <w:rPr>
          <w:rFonts w:ascii="Arial" w:eastAsia="MS Mincho" w:hAnsi="Arial" w:cs="Arial"/>
          <w:b/>
          <w:iCs/>
          <w:highlight w:val="green"/>
          <w:u w:val="single"/>
          <w:lang w:eastAsia="ja-JP"/>
        </w:rPr>
        <w:t>Agreements:</w:t>
      </w:r>
    </w:p>
    <w:p w14:paraId="447AE9B9"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A set of reference parameters is used for the purpose of soft buffer dimensioning</w:t>
      </w:r>
    </w:p>
    <w:p w14:paraId="3A65478F"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A reference set of parameters includes at least DL HARQ RTT [</w:t>
      </w:r>
      <w:r w:rsidRPr="00060D83">
        <w:rPr>
          <w:rFonts w:ascii="Arial" w:eastAsia="MS Mincho" w:hAnsi="Arial" w:cs="Arial"/>
          <w:i/>
          <w:iCs/>
          <w:lang w:eastAsia="ja-JP"/>
        </w:rPr>
        <w:t>Y</w:t>
      </w:r>
      <w:r w:rsidRPr="00060D83">
        <w:rPr>
          <w:rFonts w:ascii="Arial" w:eastAsia="MS Mincho" w:hAnsi="Arial" w:cs="Arial"/>
          <w:iCs/>
          <w:lang w:eastAsia="ja-JP"/>
        </w:rPr>
        <w:t xml:space="preserve"> ms] and data rate(s) of </w:t>
      </w:r>
      <w:r w:rsidRPr="00060D83">
        <w:rPr>
          <w:rFonts w:ascii="Arial" w:eastAsia="MS Mincho" w:hAnsi="Arial" w:cs="Arial"/>
          <w:i/>
          <w:iCs/>
          <w:lang w:eastAsia="ja-JP"/>
        </w:rPr>
        <w:t>X</w:t>
      </w:r>
      <w:r w:rsidRPr="00060D83">
        <w:rPr>
          <w:rFonts w:ascii="Arial" w:eastAsia="MS Mincho" w:hAnsi="Arial" w:cs="Arial"/>
          <w:iCs/>
          <w:lang w:eastAsia="ja-JP"/>
        </w:rPr>
        <w:t xml:space="preserve"> Gbps </w:t>
      </w:r>
    </w:p>
    <w:p w14:paraId="5A76FB42"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 xml:space="preserve">FFS: values of </w:t>
      </w:r>
      <w:r w:rsidRPr="00060D83">
        <w:rPr>
          <w:rFonts w:ascii="Arial" w:eastAsia="MS Mincho" w:hAnsi="Arial" w:cs="Arial"/>
          <w:i/>
          <w:iCs/>
          <w:lang w:eastAsia="ja-JP"/>
        </w:rPr>
        <w:t>X</w:t>
      </w:r>
      <w:r w:rsidRPr="00060D83">
        <w:rPr>
          <w:rFonts w:ascii="Arial" w:eastAsia="MS Mincho" w:hAnsi="Arial" w:cs="Arial"/>
          <w:iCs/>
          <w:lang w:eastAsia="ja-JP"/>
        </w:rPr>
        <w:t xml:space="preserve"> and </w:t>
      </w:r>
      <w:r w:rsidRPr="00060D83">
        <w:rPr>
          <w:rFonts w:ascii="Arial" w:eastAsia="MS Mincho" w:hAnsi="Arial" w:cs="Arial"/>
          <w:i/>
          <w:iCs/>
          <w:lang w:eastAsia="ja-JP"/>
        </w:rPr>
        <w:t>Y</w:t>
      </w:r>
    </w:p>
    <w:p w14:paraId="219209AA"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other conditions</w:t>
      </w:r>
    </w:p>
    <w:p w14:paraId="7A898DCE"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This does not imply UE has to have a HARQ-ACK timing based on the reference HARQ RTT</w:t>
      </w:r>
    </w:p>
    <w:p w14:paraId="0A1209E1"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how different UE categories are defined</w:t>
      </w:r>
    </w:p>
    <w:p w14:paraId="7111C1E5"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LBRM is taken into account</w:t>
      </w:r>
    </w:p>
    <w:p w14:paraId="51486121"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 xml:space="preserve">Maximum number of HARQ processes per carrier supported in NR is 8 or 16 </w:t>
      </w:r>
    </w:p>
    <w:p w14:paraId="60C32167"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This is at least for the single numerology case and a slot-level scheduling and single-TRxP transmission</w:t>
      </w:r>
    </w:p>
    <w:p w14:paraId="38E55445"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down-selection of 8 or 16</w:t>
      </w:r>
    </w:p>
    <w:p w14:paraId="50DEAB77"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FFS: soft-buffer handling</w:t>
      </w:r>
    </w:p>
    <w:p w14:paraId="0964CA40" w14:textId="77777777" w:rsidR="00CC4ED6" w:rsidRPr="00060D83" w:rsidRDefault="00CC4ED6" w:rsidP="00CC4ED6">
      <w:pPr>
        <w:numPr>
          <w:ilvl w:val="1"/>
          <w:numId w:val="37"/>
        </w:numPr>
        <w:tabs>
          <w:tab w:val="clear" w:pos="1440"/>
          <w:tab w:val="num" w:pos="2160"/>
        </w:tabs>
        <w:ind w:left="2160"/>
        <w:rPr>
          <w:rFonts w:ascii="Arial" w:eastAsia="MS Mincho" w:hAnsi="Arial" w:cs="Arial"/>
          <w:iCs/>
          <w:lang w:eastAsia="ja-JP"/>
        </w:rPr>
      </w:pPr>
      <w:r w:rsidRPr="00060D83">
        <w:rPr>
          <w:rFonts w:ascii="Arial" w:eastAsia="MS Mincho" w:hAnsi="Arial" w:cs="Arial"/>
          <w:iCs/>
          <w:lang w:eastAsia="ja-JP"/>
        </w:rPr>
        <w:t xml:space="preserve">FFS: the value may be different depending on a certain condition (e.g., subcarrier spacing) </w:t>
      </w:r>
    </w:p>
    <w:p w14:paraId="7AAFC0CE" w14:textId="77777777" w:rsidR="00CC4ED6" w:rsidRPr="00060D83" w:rsidRDefault="00CC4ED6" w:rsidP="00CC4ED6">
      <w:pPr>
        <w:ind w:left="720"/>
        <w:rPr>
          <w:rFonts w:ascii="Arial" w:eastAsia="MS Mincho" w:hAnsi="Arial" w:cs="Arial"/>
          <w:iCs/>
          <w:lang w:eastAsia="ja-JP"/>
        </w:rPr>
      </w:pPr>
    </w:p>
    <w:p w14:paraId="4EC557C3" w14:textId="77777777" w:rsidR="00CC4ED6" w:rsidRPr="00060D83" w:rsidRDefault="00CC4ED6" w:rsidP="00CC4ED6">
      <w:pPr>
        <w:ind w:left="720"/>
        <w:rPr>
          <w:rFonts w:ascii="Arial" w:eastAsia="MS Mincho" w:hAnsi="Arial" w:cs="Arial"/>
          <w:b/>
          <w:iCs/>
          <w:color w:val="0070C0"/>
          <w:u w:val="single"/>
          <w:lang w:eastAsia="ja-JP"/>
        </w:rPr>
      </w:pPr>
      <w:r w:rsidRPr="00060D83">
        <w:rPr>
          <w:rFonts w:ascii="Arial" w:eastAsia="MS Mincho" w:hAnsi="Arial" w:cs="Arial"/>
          <w:b/>
          <w:iCs/>
          <w:highlight w:val="green"/>
          <w:u w:val="single"/>
          <w:lang w:eastAsia="ja-JP"/>
        </w:rPr>
        <w:t>Agreements:</w:t>
      </w:r>
    </w:p>
    <w:p w14:paraId="03C4A152" w14:textId="77777777" w:rsidR="00CC4ED6" w:rsidRPr="00060D83" w:rsidRDefault="00CC4ED6" w:rsidP="00CC4ED6">
      <w:pPr>
        <w:numPr>
          <w:ilvl w:val="0"/>
          <w:numId w:val="37"/>
        </w:numPr>
        <w:tabs>
          <w:tab w:val="clear" w:pos="720"/>
          <w:tab w:val="num" w:pos="1440"/>
        </w:tabs>
        <w:ind w:left="1440"/>
        <w:rPr>
          <w:rFonts w:ascii="Arial" w:eastAsia="MS Mincho" w:hAnsi="Arial" w:cs="Arial"/>
          <w:iCs/>
          <w:lang w:eastAsia="ja-JP"/>
        </w:rPr>
      </w:pPr>
      <w:r w:rsidRPr="00060D83">
        <w:rPr>
          <w:rFonts w:ascii="Arial" w:eastAsia="MS Mincho" w:hAnsi="Arial" w:cs="Arial"/>
          <w:iCs/>
          <w:lang w:eastAsia="ja-JP"/>
        </w:rPr>
        <w:t xml:space="preserve">All Rel. 15 UE supports minimum value of K0 equal to 0, i.e., DL assignment and the scheduled DL data are in the same slot. </w:t>
      </w:r>
    </w:p>
    <w:p w14:paraId="365BDBD5" w14:textId="36FCE73B" w:rsidR="00CC4ED6" w:rsidRDefault="00CC4ED6" w:rsidP="00D573FE">
      <w:pPr>
        <w:pStyle w:val="BodyText"/>
        <w:rPr>
          <w:rFonts w:ascii="Arial" w:hAnsi="Arial" w:cs="Arial"/>
        </w:rPr>
      </w:pPr>
    </w:p>
    <w:p w14:paraId="1F3FA351" w14:textId="1C1806F6" w:rsidR="00800E83" w:rsidRDefault="00800E83" w:rsidP="00D573FE">
      <w:pPr>
        <w:pStyle w:val="BodyText"/>
        <w:rPr>
          <w:rFonts w:ascii="Arial" w:hAnsi="Arial" w:cs="Arial"/>
        </w:rPr>
      </w:pPr>
      <w:r>
        <w:rPr>
          <w:rFonts w:ascii="Arial" w:hAnsi="Arial" w:cs="Arial"/>
        </w:rPr>
        <w:t>Furthermore, the following agreements on PDCCH/PDSCH from multiple TRPs were reached in RAN1 #89</w:t>
      </w:r>
      <w:r w:rsidRPr="00800E83">
        <w:rPr>
          <w:rFonts w:ascii="Arial" w:hAnsi="Arial" w:cs="Arial"/>
        </w:rPr>
        <w:t xml:space="preserve"> </w:t>
      </w:r>
      <w:r w:rsidRPr="00800E83">
        <w:rPr>
          <w:rFonts w:ascii="Arial" w:hAnsi="Arial" w:cs="Arial"/>
        </w:rPr>
        <w:fldChar w:fldCharType="begin"/>
      </w:r>
      <w:r w:rsidRPr="00800E83">
        <w:rPr>
          <w:rFonts w:ascii="Arial" w:hAnsi="Arial" w:cs="Arial"/>
        </w:rPr>
        <w:instrText xml:space="preserve"> REF _Ref484609843 \r \h  \* MERGEFORMAT </w:instrText>
      </w:r>
      <w:r w:rsidRPr="00800E83">
        <w:rPr>
          <w:rFonts w:ascii="Arial" w:hAnsi="Arial" w:cs="Arial"/>
        </w:rPr>
      </w:r>
      <w:r w:rsidRPr="00800E83">
        <w:rPr>
          <w:rFonts w:ascii="Arial" w:hAnsi="Arial" w:cs="Arial"/>
        </w:rPr>
        <w:fldChar w:fldCharType="separate"/>
      </w:r>
      <w:r w:rsidRPr="00800E83">
        <w:rPr>
          <w:rFonts w:ascii="Arial" w:hAnsi="Arial" w:cs="Arial"/>
        </w:rPr>
        <w:t>[2]</w:t>
      </w:r>
      <w:r w:rsidRPr="00800E83">
        <w:rPr>
          <w:rFonts w:ascii="Arial" w:hAnsi="Arial" w:cs="Arial"/>
        </w:rPr>
        <w:fldChar w:fldCharType="end"/>
      </w:r>
      <w:r>
        <w:rPr>
          <w:rFonts w:ascii="Arial" w:hAnsi="Arial" w:cs="Arial"/>
        </w:rPr>
        <w:t>:</w:t>
      </w:r>
    </w:p>
    <w:p w14:paraId="1A47D48F" w14:textId="77777777" w:rsidR="00800E83" w:rsidRPr="00800E83" w:rsidRDefault="00800E83" w:rsidP="00800E83">
      <w:pPr>
        <w:ind w:left="720"/>
        <w:rPr>
          <w:rFonts w:ascii="Arial" w:eastAsia="MS Mincho" w:hAnsi="Arial" w:cs="Arial"/>
          <w:szCs w:val="20"/>
          <w:lang w:eastAsia="ja-JP"/>
        </w:rPr>
      </w:pPr>
      <w:r w:rsidRPr="00800E83">
        <w:rPr>
          <w:rFonts w:ascii="Arial" w:eastAsia="MS Mincho" w:hAnsi="Arial" w:cs="Arial"/>
          <w:szCs w:val="20"/>
          <w:highlight w:val="green"/>
          <w:lang w:eastAsia="ja-JP"/>
        </w:rPr>
        <w:t>Agreements</w:t>
      </w:r>
      <w:r w:rsidRPr="00800E83">
        <w:rPr>
          <w:rFonts w:ascii="Arial" w:eastAsia="MS Mincho" w:hAnsi="Arial" w:cs="Arial"/>
          <w:szCs w:val="20"/>
          <w:lang w:eastAsia="ja-JP"/>
        </w:rPr>
        <w:t>:</w:t>
      </w:r>
    </w:p>
    <w:p w14:paraId="50B23A67" w14:textId="77777777" w:rsidR="00800E83" w:rsidRPr="00800E83" w:rsidRDefault="00800E83" w:rsidP="00800E83">
      <w:pPr>
        <w:numPr>
          <w:ilvl w:val="0"/>
          <w:numId w:val="42"/>
        </w:numPr>
        <w:tabs>
          <w:tab w:val="clear" w:pos="360"/>
          <w:tab w:val="num" w:pos="1080"/>
        </w:tabs>
        <w:ind w:left="1080"/>
        <w:rPr>
          <w:rFonts w:ascii="Arial" w:hAnsi="Arial" w:cs="Arial"/>
          <w:szCs w:val="20"/>
        </w:rPr>
      </w:pPr>
      <w:r w:rsidRPr="00800E83">
        <w:rPr>
          <w:rFonts w:ascii="Arial" w:hAnsi="Arial" w:cs="Arial"/>
          <w:szCs w:val="20"/>
        </w:rPr>
        <w:t>Adopt the following for NR reception:</w:t>
      </w:r>
    </w:p>
    <w:p w14:paraId="6077740E"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Single NR-PDCCH schedules single NR-PDSCH where separate layers are transmitted from separate TRPs</w:t>
      </w:r>
    </w:p>
    <w:p w14:paraId="61AC39D7"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 xml:space="preserve">Multiple NR-PDCCHs each scheduling a respective NR-PDSCH where each NR-PDSCH is transmitted from a separate TRP </w:t>
      </w:r>
    </w:p>
    <w:p w14:paraId="2733D781" w14:textId="77777777" w:rsidR="00800E83" w:rsidRPr="00800E83" w:rsidRDefault="00800E83" w:rsidP="00800E83">
      <w:pPr>
        <w:numPr>
          <w:ilvl w:val="2"/>
          <w:numId w:val="42"/>
        </w:numPr>
        <w:ind w:left="1800"/>
        <w:rPr>
          <w:rFonts w:ascii="Arial" w:hAnsi="Arial" w:cs="Arial"/>
          <w:szCs w:val="20"/>
        </w:rPr>
      </w:pPr>
      <w:r w:rsidRPr="00800E83">
        <w:rPr>
          <w:rFonts w:ascii="Arial" w:hAnsi="Arial" w:cs="Arial"/>
          <w:szCs w:val="20"/>
        </w:rPr>
        <w:t>Note: the case of single NR-PDCCH schedules single NR-PDSCH where each layer is transmitted from all TRPs jointly can be done in a spec-transparent manner</w:t>
      </w:r>
    </w:p>
    <w:p w14:paraId="0ADF4702" w14:textId="77777777" w:rsidR="00800E83" w:rsidRPr="00800E83" w:rsidRDefault="00800E83" w:rsidP="00800E83">
      <w:pPr>
        <w:numPr>
          <w:ilvl w:val="3"/>
          <w:numId w:val="42"/>
        </w:numPr>
        <w:ind w:left="2520"/>
        <w:rPr>
          <w:rFonts w:ascii="Arial" w:hAnsi="Arial" w:cs="Arial"/>
          <w:szCs w:val="20"/>
        </w:rPr>
      </w:pPr>
      <w:r w:rsidRPr="00800E83">
        <w:rPr>
          <w:rFonts w:ascii="Arial" w:hAnsi="Arial" w:cs="Arial"/>
          <w:szCs w:val="20"/>
        </w:rPr>
        <w:t>Note: CSI feedback details for the above case can be discussed separately</w:t>
      </w:r>
    </w:p>
    <w:p w14:paraId="4C740746" w14:textId="77777777" w:rsidR="00800E83" w:rsidRDefault="00800E83" w:rsidP="00D573FE">
      <w:pPr>
        <w:pStyle w:val="BodyText"/>
        <w:rPr>
          <w:rFonts w:ascii="Arial" w:hAnsi="Arial" w:cs="Arial"/>
        </w:rPr>
      </w:pPr>
    </w:p>
    <w:p w14:paraId="7DB615E4" w14:textId="5230F973" w:rsidR="00CC4ED6" w:rsidRPr="00060D83" w:rsidRDefault="002D488E" w:rsidP="00D573FE">
      <w:pPr>
        <w:pStyle w:val="BodyText"/>
        <w:rPr>
          <w:rFonts w:ascii="Arial" w:hAnsi="Arial" w:cs="Arial"/>
        </w:rPr>
      </w:pPr>
      <w:r w:rsidRPr="00060D83">
        <w:rPr>
          <w:rFonts w:ascii="Arial" w:hAnsi="Arial" w:cs="Arial"/>
        </w:rPr>
        <w:t xml:space="preserve">In this </w:t>
      </w:r>
      <w:r w:rsidR="00800E83" w:rsidRPr="00060D83">
        <w:rPr>
          <w:rFonts w:ascii="Arial" w:hAnsi="Arial" w:cs="Arial"/>
        </w:rPr>
        <w:t>document,</w:t>
      </w:r>
      <w:r w:rsidRPr="00060D83">
        <w:rPr>
          <w:rFonts w:ascii="Arial" w:hAnsi="Arial" w:cs="Arial"/>
        </w:rPr>
        <w:t xml:space="preserve"> the minimum values for these quantities from a UE capability perspective are discussed. Note that the network for different reason may use different timing relations, e.g. hybrid-ARQ feedback later than what the UE is capable of</w:t>
      </w:r>
      <w:r w:rsidR="006D3370" w:rsidRPr="00060D83">
        <w:rPr>
          <w:rFonts w:ascii="Arial" w:hAnsi="Arial" w:cs="Arial"/>
        </w:rPr>
        <w:t>.</w:t>
      </w:r>
    </w:p>
    <w:p w14:paraId="41B1AFA4" w14:textId="7E7C2FF2" w:rsidR="001E76F3" w:rsidRPr="00060D83" w:rsidRDefault="001E76F3" w:rsidP="001E76F3">
      <w:pPr>
        <w:pStyle w:val="Heading1"/>
        <w:spacing w:before="180"/>
        <w:ind w:left="562" w:hanging="562"/>
        <w:rPr>
          <w:rFonts w:ascii="Arial" w:hAnsi="Arial"/>
        </w:rPr>
      </w:pPr>
      <w:r w:rsidRPr="00060D83">
        <w:rPr>
          <w:rFonts w:ascii="Arial" w:hAnsi="Arial"/>
        </w:rPr>
        <w:lastRenderedPageBreak/>
        <w:t>Discussion</w:t>
      </w:r>
    </w:p>
    <w:p w14:paraId="2DFD5735" w14:textId="33479EB7" w:rsidR="00C25EEC" w:rsidRPr="00060D83" w:rsidRDefault="00C25EEC" w:rsidP="00C25EEC">
      <w:pPr>
        <w:pStyle w:val="Heading2"/>
        <w:rPr>
          <w:rFonts w:ascii="Arial" w:hAnsi="Arial"/>
        </w:rPr>
      </w:pPr>
      <w:r w:rsidRPr="00060D83">
        <w:rPr>
          <w:rFonts w:ascii="Arial" w:hAnsi="Arial"/>
        </w:rPr>
        <w:t>LDPC decoder throughput requirement for initial transmissions</w:t>
      </w:r>
    </w:p>
    <w:p w14:paraId="062D13A0" w14:textId="77777777" w:rsidR="00C25EEC" w:rsidRPr="00060D83" w:rsidRDefault="00C25EEC" w:rsidP="00B57557">
      <w:pPr>
        <w:pStyle w:val="BodyText"/>
        <w:rPr>
          <w:rFonts w:ascii="Arial" w:hAnsi="Arial" w:cs="Arial"/>
        </w:rPr>
      </w:pPr>
      <w:r w:rsidRPr="00060D83">
        <w:rPr>
          <w:rFonts w:ascii="Arial" w:hAnsi="Arial" w:cs="Arial"/>
        </w:rPr>
        <w:t xml:space="preserve">For UE category supporting </w:t>
      </w:r>
      <m:oMath>
        <m:r>
          <w:rPr>
            <w:rFonts w:ascii="Cambria Math" w:hAnsi="Cambria Math" w:cs="Arial"/>
          </w:rPr>
          <m:t>ν</m:t>
        </m:r>
      </m:oMath>
      <w:r w:rsidRPr="00060D83">
        <w:rPr>
          <w:rFonts w:ascii="Arial" w:hAnsi="Arial" w:cs="Arial"/>
        </w:rPr>
        <w:t xml:space="preserve"> spatial layers on a bandwidth of </w:t>
      </w:r>
      <m:oMath>
        <m:r>
          <w:rPr>
            <w:rFonts w:ascii="Cambria Math" w:hAnsi="Cambria Math" w:cs="Arial"/>
          </w:rPr>
          <m:t>W</m:t>
        </m:r>
      </m:oMath>
      <w:r w:rsidRPr="00060D83">
        <w:rPr>
          <w:rFonts w:ascii="Arial" w:hAnsi="Arial" w:cs="Arial"/>
        </w:rPr>
        <w:t>, the LDPC decoder hardware can be designed to support the peak rate corresponding to the highest MCS level (e.g., 256QAM @ 8/9 code rate). The hardware should be at least capable of sustaining this data rate when it is scheduled continuously at this MCS level and assuming no retransmission. However, this is in fact not enough for such UEs to operate correctly in the NR network.</w:t>
      </w:r>
    </w:p>
    <w:p w14:paraId="0A5693A1" w14:textId="2C41867D" w:rsidR="00C25EEC" w:rsidRPr="00060D83" w:rsidRDefault="00C25EEC" w:rsidP="00B57557">
      <w:pPr>
        <w:pStyle w:val="BodyText"/>
        <w:rPr>
          <w:rFonts w:ascii="Arial" w:hAnsi="Arial" w:cs="Arial"/>
        </w:rPr>
      </w:pPr>
      <w:r w:rsidRPr="00060D83">
        <w:rPr>
          <w:rFonts w:ascii="Arial" w:hAnsi="Arial" w:cs="Arial"/>
        </w:rPr>
        <w:t xml:space="preserve">As analyzed in </w:t>
      </w:r>
      <w:r w:rsidRPr="00060D83">
        <w:rPr>
          <w:rFonts w:ascii="Arial" w:hAnsi="Arial" w:cs="Arial"/>
        </w:rPr>
        <w:fldChar w:fldCharType="begin"/>
      </w:r>
      <w:r w:rsidRPr="00060D83">
        <w:rPr>
          <w:rFonts w:ascii="Arial" w:hAnsi="Arial" w:cs="Arial"/>
        </w:rPr>
        <w:instrText xml:space="preserve"> REF _Ref481745189 \r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[1]</w:t>
      </w:r>
      <w:r w:rsidRPr="00060D83">
        <w:rPr>
          <w:rFonts w:ascii="Arial" w:hAnsi="Arial" w:cs="Arial"/>
        </w:rPr>
        <w:fldChar w:fldCharType="end"/>
      </w:r>
      <w:r w:rsidRPr="00060D83">
        <w:rPr>
          <w:rFonts w:ascii="Arial" w:hAnsi="Arial" w:cs="Arial"/>
        </w:rPr>
        <w:t xml:space="preserve">, LDPC decoders requires 40% more time to decode the same number of coded bits at 2/3 code rate than at 8/9 code rate. Considering across all MCS range, it is shown in </w:t>
      </w:r>
      <w:r w:rsidRPr="00060D83">
        <w:rPr>
          <w:rFonts w:ascii="Arial" w:hAnsi="Arial" w:cs="Arial"/>
        </w:rPr>
        <w:fldChar w:fldCharType="begin"/>
      </w:r>
      <w:r w:rsidRPr="00060D83">
        <w:rPr>
          <w:rFonts w:ascii="Arial" w:hAnsi="Arial" w:cs="Arial"/>
        </w:rPr>
        <w:instrText xml:space="preserve"> REF _Ref481745189 \r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[1]</w:t>
      </w:r>
      <w:r w:rsidRPr="00060D83">
        <w:rPr>
          <w:rFonts w:ascii="Arial" w:hAnsi="Arial" w:cs="Arial"/>
        </w:rPr>
        <w:fldChar w:fldCharType="end"/>
      </w:r>
      <w:r w:rsidRPr="00060D83">
        <w:rPr>
          <w:rFonts w:ascii="Arial" w:hAnsi="Arial" w:cs="Arial"/>
        </w:rPr>
        <w:t xml:space="preserve"> (copied in </w:t>
      </w:r>
      <w:r w:rsidRPr="00060D83">
        <w:rPr>
          <w:rFonts w:ascii="Arial" w:hAnsi="Arial" w:cs="Arial"/>
        </w:rPr>
        <w:fldChar w:fldCharType="begin"/>
      </w:r>
      <w:r w:rsidRPr="00060D83">
        <w:rPr>
          <w:rFonts w:ascii="Arial" w:hAnsi="Arial" w:cs="Arial"/>
        </w:rPr>
        <w:instrText xml:space="preserve"> REF _Ref481604273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 xml:space="preserve">Figure </w:t>
      </w:r>
      <w:r w:rsidR="008A4BB9" w:rsidRPr="00060D83">
        <w:rPr>
          <w:rFonts w:ascii="Arial" w:hAnsi="Arial" w:cs="Arial"/>
          <w:noProof/>
        </w:rPr>
        <w:t>1</w:t>
      </w:r>
      <w:r w:rsidRPr="00060D83">
        <w:rPr>
          <w:rFonts w:ascii="Arial" w:hAnsi="Arial" w:cs="Arial"/>
        </w:rPr>
        <w:fldChar w:fldCharType="end"/>
      </w:r>
      <w:r w:rsidRPr="00060D83">
        <w:rPr>
          <w:rFonts w:ascii="Arial" w:hAnsi="Arial" w:cs="Arial"/>
        </w:rPr>
        <w:t xml:space="preserve"> below) that more than 10 MCSs out of 26 MCSs requires longer LDPC decoding time than for the peak MCS. If the LDPC decoder hardware is not budgeted to finish decoding these MCSs within a scheduling time unit (e.g., a slot), the UE will always report NACK when these MCSs are scheduled by the gNB. The users will observe the peak data rate only at extreme rate occasion and find the link to achieve no more than half of the advertised peak rate. The NACK feedback will cause the network to unnecessarily retransmit the entire TB(s) further degrading the network performance.</w:t>
      </w:r>
    </w:p>
    <w:p w14:paraId="366A4B4D" w14:textId="77777777" w:rsidR="00C25EEC" w:rsidRPr="00060D83" w:rsidRDefault="00C25EEC" w:rsidP="00C25EEC">
      <w:pPr>
        <w:rPr>
          <w:rFonts w:ascii="Arial" w:hAnsi="Arial" w:cs="Arial"/>
        </w:rPr>
      </w:pPr>
    </w:p>
    <w:p w14:paraId="36045FF9" w14:textId="297D13F7" w:rsidR="00C25EEC" w:rsidRPr="00060D83" w:rsidRDefault="008A4BB9" w:rsidP="008A4BB9">
      <w:pPr>
        <w:spacing w:after="240"/>
        <w:rPr>
          <w:rFonts w:ascii="Arial" w:hAnsi="Arial" w:cs="Arial"/>
          <w:b/>
        </w:rPr>
      </w:pPr>
      <w:r w:rsidRPr="00060D83">
        <w:rPr>
          <w:rFonts w:ascii="Arial" w:hAnsi="Arial" w:cs="Arial"/>
          <w:b/>
        </w:rPr>
        <w:t>Observation 1 More than 1/3 of the MCS levels require longer LDPC decoding times than for the peak MCS level.</w:t>
      </w:r>
    </w:p>
    <w:p w14:paraId="121A1C0B" w14:textId="77777777" w:rsidR="00C25EEC" w:rsidRPr="00060D83" w:rsidRDefault="00C25EEC" w:rsidP="003369F1">
      <w:pPr>
        <w:pStyle w:val="Caption"/>
        <w:keepNext/>
        <w:jc w:val="center"/>
        <w:rPr>
          <w:rFonts w:ascii="Arial" w:hAnsi="Arial" w:cs="Arial"/>
        </w:rPr>
      </w:pPr>
      <w:bookmarkStart w:id="4" w:name="_Ref481574169"/>
      <w:r w:rsidRPr="00060D83">
        <w:rPr>
          <w:rFonts w:ascii="Arial" w:hAnsi="Arial" w:cs="Arial"/>
          <w:noProof/>
          <w:lang w:val="sv-SE" w:eastAsia="sv-SE"/>
        </w:rPr>
        <w:drawing>
          <wp:inline distT="0" distB="0" distL="0" distR="0" wp14:anchorId="7094F1B0" wp14:editId="792ACE5C">
            <wp:extent cx="4261104"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1104" cy="3200400"/>
                    </a:xfrm>
                    <a:prstGeom prst="rect">
                      <a:avLst/>
                    </a:prstGeom>
                    <a:noFill/>
                    <a:ln>
                      <a:noFill/>
                    </a:ln>
                  </pic:spPr>
                </pic:pic>
              </a:graphicData>
            </a:graphic>
          </wp:inline>
        </w:drawing>
      </w:r>
    </w:p>
    <w:p w14:paraId="0EB27DE8" w14:textId="662B76D6" w:rsidR="00C25EEC" w:rsidRPr="00060D83" w:rsidRDefault="00C25EEC" w:rsidP="00C25EEC">
      <w:pPr>
        <w:pStyle w:val="Caption"/>
        <w:jc w:val="both"/>
        <w:rPr>
          <w:rFonts w:ascii="Arial" w:hAnsi="Arial" w:cs="Arial"/>
        </w:rPr>
      </w:pPr>
      <w:bookmarkStart w:id="5" w:name="_Ref481604273"/>
      <w:r w:rsidRPr="00060D83">
        <w:rPr>
          <w:rFonts w:ascii="Arial" w:hAnsi="Arial" w:cs="Arial"/>
        </w:rPr>
        <w:t xml:space="preserve">Figure </w:t>
      </w:r>
      <w:r w:rsidR="000467C5" w:rsidRPr="00060D83">
        <w:rPr>
          <w:rFonts w:ascii="Arial" w:hAnsi="Arial" w:cs="Arial"/>
        </w:rPr>
        <w:fldChar w:fldCharType="begin"/>
      </w:r>
      <w:r w:rsidR="000467C5" w:rsidRPr="00060D83">
        <w:rPr>
          <w:rFonts w:ascii="Arial" w:hAnsi="Arial" w:cs="Arial"/>
        </w:rPr>
        <w:instrText xml:space="preserve"> SEQ Figure \* ARABIC </w:instrText>
      </w:r>
      <w:r w:rsidR="000467C5" w:rsidRPr="00060D83">
        <w:rPr>
          <w:rFonts w:ascii="Arial" w:hAnsi="Arial" w:cs="Arial"/>
        </w:rPr>
        <w:fldChar w:fldCharType="separate"/>
      </w:r>
      <w:r w:rsidR="008A4BB9" w:rsidRPr="00060D83">
        <w:rPr>
          <w:rFonts w:ascii="Arial" w:hAnsi="Arial" w:cs="Arial"/>
          <w:noProof/>
        </w:rPr>
        <w:t>1</w:t>
      </w:r>
      <w:r w:rsidR="000467C5" w:rsidRPr="00060D83">
        <w:rPr>
          <w:rFonts w:ascii="Arial" w:hAnsi="Arial" w:cs="Arial"/>
          <w:noProof/>
        </w:rPr>
        <w:fldChar w:fldCharType="end"/>
      </w:r>
      <w:bookmarkEnd w:id="5"/>
      <w:r w:rsidRPr="00060D83">
        <w:rPr>
          <w:rFonts w:ascii="Arial" w:hAnsi="Arial" w:cs="Arial"/>
        </w:rPr>
        <w:t xml:space="preserve"> Normalized decoding latency vs. MCS index. For the 11 MCS levels above the red dashed line, the LDPC decoder requires longer decoding time than for the peak MCS.</w:t>
      </w:r>
    </w:p>
    <w:p w14:paraId="499D6FD0" w14:textId="68D13948" w:rsidR="003369F1" w:rsidRPr="00060D83" w:rsidRDefault="003369F1" w:rsidP="00B57557">
      <w:pPr>
        <w:pStyle w:val="BodyText"/>
        <w:rPr>
          <w:rFonts w:ascii="Arial" w:hAnsi="Arial" w:cs="Arial"/>
        </w:rPr>
      </w:pPr>
      <w:r w:rsidRPr="00060D83">
        <w:rPr>
          <w:rFonts w:ascii="Arial" w:hAnsi="Arial" w:cs="Arial"/>
        </w:rPr>
        <w:t xml:space="preserve">It is therefore necessary to set requirement such that a UE category supporting </w:t>
      </w:r>
      <m:oMath>
        <m:r>
          <w:rPr>
            <w:rFonts w:ascii="Cambria Math" w:hAnsi="Cambria Math" w:cs="Arial"/>
          </w:rPr>
          <m:t>ν</m:t>
        </m:r>
      </m:oMath>
      <w:r w:rsidRPr="00060D83">
        <w:rPr>
          <w:rFonts w:ascii="Arial" w:hAnsi="Arial" w:cs="Arial"/>
        </w:rPr>
        <w:t xml:space="preserve"> spatial layers on a bandwidth of </w:t>
      </w:r>
      <m:oMath>
        <m:r>
          <w:rPr>
            <w:rFonts w:ascii="Cambria Math" w:hAnsi="Cambria Math" w:cs="Arial"/>
          </w:rPr>
          <m:t>W</m:t>
        </m:r>
      </m:oMath>
      <w:r w:rsidRPr="00060D83">
        <w:rPr>
          <w:rFonts w:ascii="Arial" w:hAnsi="Arial" w:cs="Arial"/>
        </w:rPr>
        <w:t xml:space="preserve"> shall sustain continuous reception of any MCS scheduled on these spatial layers and bandwidth assuming no retransmissions. This requirement can be enforced by designing a RAN4 throughput test for the MCS corresponding to the lowest code rate of the highest modulation order (e.g., MCS 20 in </w:t>
      </w:r>
      <w:r w:rsidRPr="00060D83">
        <w:rPr>
          <w:rFonts w:ascii="Arial" w:hAnsi="Arial" w:cs="Arial"/>
        </w:rPr>
        <w:fldChar w:fldCharType="begin"/>
      </w:r>
      <w:r w:rsidRPr="00060D83">
        <w:rPr>
          <w:rFonts w:ascii="Arial" w:hAnsi="Arial" w:cs="Arial"/>
        </w:rPr>
        <w:instrText xml:space="preserve"> REF _Ref481604273 \h </w:instrText>
      </w:r>
      <w:r w:rsidR="005B50D0" w:rsidRPr="00060D83">
        <w:rPr>
          <w:rFonts w:ascii="Arial" w:hAnsi="Arial" w:cs="Arial"/>
        </w:rPr>
        <w:instrText xml:space="preserve"> \* MERGEFORMAT </w:instrText>
      </w:r>
      <w:r w:rsidRPr="00060D83">
        <w:rPr>
          <w:rFonts w:ascii="Arial" w:hAnsi="Arial" w:cs="Arial"/>
        </w:rPr>
      </w:r>
      <w:r w:rsidRPr="00060D83">
        <w:rPr>
          <w:rFonts w:ascii="Arial" w:hAnsi="Arial" w:cs="Arial"/>
        </w:rPr>
        <w:fldChar w:fldCharType="separate"/>
      </w:r>
      <w:r w:rsidR="008A4BB9" w:rsidRPr="00060D83">
        <w:rPr>
          <w:rFonts w:ascii="Arial" w:hAnsi="Arial" w:cs="Arial"/>
        </w:rPr>
        <w:t xml:space="preserve">Figure </w:t>
      </w:r>
      <w:r w:rsidR="008A4BB9" w:rsidRPr="00060D83">
        <w:rPr>
          <w:rFonts w:ascii="Arial" w:hAnsi="Arial" w:cs="Arial"/>
          <w:noProof/>
        </w:rPr>
        <w:t>1</w:t>
      </w:r>
      <w:r w:rsidRPr="00060D83">
        <w:rPr>
          <w:rFonts w:ascii="Arial" w:hAnsi="Arial" w:cs="Arial"/>
        </w:rPr>
        <w:fldChar w:fldCharType="end"/>
      </w:r>
      <w:r w:rsidRPr="00060D83">
        <w:rPr>
          <w:rFonts w:ascii="Arial" w:hAnsi="Arial" w:cs="Arial"/>
        </w:rPr>
        <w:t>). For this test, a 99% normalized throughput point should be checked.</w:t>
      </w:r>
    </w:p>
    <w:p w14:paraId="37D7643E" w14:textId="77777777" w:rsidR="003369F1" w:rsidRPr="00060D83" w:rsidRDefault="003369F1" w:rsidP="003369F1">
      <w:pPr>
        <w:rPr>
          <w:rFonts w:ascii="Arial" w:hAnsi="Arial" w:cs="Arial"/>
        </w:rPr>
      </w:pPr>
    </w:p>
    <w:p w14:paraId="5D2D64A8" w14:textId="2721EA55" w:rsidR="003369F1" w:rsidRPr="00060D83" w:rsidRDefault="003369F1" w:rsidP="003369F1">
      <w:pPr>
        <w:rPr>
          <w:rFonts w:ascii="Arial" w:hAnsi="Arial" w:cs="Arial"/>
          <w:b/>
        </w:rPr>
      </w:pPr>
      <w:r w:rsidRPr="00060D83">
        <w:rPr>
          <w:rFonts w:ascii="Arial" w:hAnsi="Arial" w:cs="Arial"/>
          <w:b/>
        </w:rPr>
        <w:t xml:space="preserve">Proposal 1 a UE category supporting </w:t>
      </w:r>
      <m:oMath>
        <m:r>
          <m:rPr>
            <m:sty m:val="bi"/>
          </m:rPr>
          <w:rPr>
            <w:rFonts w:ascii="Cambria Math" w:hAnsi="Cambria Math" w:cs="Arial"/>
          </w:rPr>
          <m:t>ν</m:t>
        </m:r>
      </m:oMath>
      <w:r w:rsidRPr="00060D83">
        <w:rPr>
          <w:rFonts w:ascii="Arial" w:hAnsi="Arial" w:cs="Arial"/>
          <w:b/>
        </w:rPr>
        <w:t xml:space="preserve"> spatial layers on a bandwidth of W shall sustain continuous reception of any MCS scheduled on these spatial layers and bandwidth assuming no retransmissions.</w:t>
      </w:r>
    </w:p>
    <w:p w14:paraId="7644D49D" w14:textId="77777777" w:rsidR="003369F1" w:rsidRPr="00060D83" w:rsidRDefault="003369F1" w:rsidP="003369F1">
      <w:pPr>
        <w:rPr>
          <w:rFonts w:ascii="Arial" w:hAnsi="Arial" w:cs="Arial"/>
        </w:rPr>
      </w:pPr>
    </w:p>
    <w:bookmarkEnd w:id="4"/>
    <w:p w14:paraId="4D4AD293" w14:textId="5170A26A" w:rsidR="00C25EEC" w:rsidRPr="00060D83" w:rsidRDefault="00C25EEC" w:rsidP="00C25EEC">
      <w:pPr>
        <w:pStyle w:val="Heading2"/>
        <w:rPr>
          <w:rFonts w:ascii="Arial" w:hAnsi="Arial"/>
        </w:rPr>
      </w:pPr>
      <w:r w:rsidRPr="00060D83">
        <w:rPr>
          <w:rFonts w:ascii="Arial" w:hAnsi="Arial"/>
        </w:rPr>
        <w:lastRenderedPageBreak/>
        <w:t>Scheduling and HARQ-ACK timing</w:t>
      </w:r>
    </w:p>
    <w:p w14:paraId="58AC036A" w14:textId="77777777" w:rsidR="001E76F3" w:rsidRPr="00060D83" w:rsidRDefault="001E76F3" w:rsidP="001E76F3">
      <w:pPr>
        <w:pStyle w:val="BodyText"/>
        <w:rPr>
          <w:rFonts w:ascii="Arial" w:hAnsi="Arial" w:cs="Arial"/>
        </w:rPr>
      </w:pPr>
      <w:r w:rsidRPr="00060D83">
        <w:rPr>
          <w:rFonts w:ascii="Arial" w:hAnsi="Arial" w:cs="Arial"/>
        </w:rPr>
        <w:t>The different timing relations (in slots) are listed below, including our preference in minimum values.</w:t>
      </w:r>
    </w:p>
    <w:p w14:paraId="5A0BD55E"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K0: Delay between DL grant and corresponding DL data (PDSCH) reception</w:t>
      </w:r>
    </w:p>
    <w:p w14:paraId="13056B84" w14:textId="0A018CA4"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 xml:space="preserve">LTE supports K0=0 and this should obviously be supported by all NR UEs as well, i.e. all UEs are capable of receiving DL control in the same slot as the associated DL data. </w:t>
      </w:r>
      <w:r w:rsidR="008303E7">
        <w:rPr>
          <w:rFonts w:ascii="Arial" w:hAnsi="Arial" w:cs="Arial"/>
          <w:sz w:val="20"/>
          <w:szCs w:val="20"/>
        </w:rPr>
        <w:t>This has been agreed in RAN1 #89.</w:t>
      </w:r>
    </w:p>
    <w:p w14:paraId="51FA5DCD"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K1: Delay between DL data (PDSCH) reception and corresponding acknowledgement transmission on UL</w:t>
      </w:r>
    </w:p>
    <w:p w14:paraId="0CED59D1" w14:textId="081A63F9"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 xml:space="preserve">It is important to have the possibility for ‘same slot’ ACK, i.e. K1=0. If it is agreed that some low-end UEs cannot support K1=0 the specifications must support an alternative value. </w:t>
      </w:r>
      <w:r w:rsidR="00DB1C52">
        <w:rPr>
          <w:rFonts w:ascii="Arial" w:hAnsi="Arial" w:cs="Arial"/>
          <w:sz w:val="20"/>
          <w:szCs w:val="20"/>
        </w:rPr>
        <w:t xml:space="preserve">Before going down in that direction it would be good to consider the aspects discussed in </w:t>
      </w:r>
      <w:r w:rsidR="00DB1C52">
        <w:rPr>
          <w:rFonts w:ascii="Arial" w:hAnsi="Arial" w:cs="Arial"/>
          <w:sz w:val="20"/>
          <w:szCs w:val="20"/>
        </w:rPr>
        <w:fldChar w:fldCharType="begin"/>
      </w:r>
      <w:r w:rsidR="00DB1C52">
        <w:rPr>
          <w:rFonts w:ascii="Arial" w:hAnsi="Arial" w:cs="Arial"/>
          <w:sz w:val="20"/>
          <w:szCs w:val="20"/>
        </w:rPr>
        <w:instrText xml:space="preserve"> REF _Ref485401467 \r \h </w:instrText>
      </w:r>
      <w:r w:rsidR="00DB1C52">
        <w:rPr>
          <w:rFonts w:ascii="Arial" w:hAnsi="Arial" w:cs="Arial"/>
          <w:sz w:val="20"/>
          <w:szCs w:val="20"/>
        </w:rPr>
      </w:r>
      <w:r w:rsidR="00DB1C52">
        <w:rPr>
          <w:rFonts w:ascii="Arial" w:hAnsi="Arial" w:cs="Arial"/>
          <w:sz w:val="20"/>
          <w:szCs w:val="20"/>
        </w:rPr>
        <w:fldChar w:fldCharType="separate"/>
      </w:r>
      <w:r w:rsidR="00DB1C52">
        <w:rPr>
          <w:rFonts w:ascii="Arial" w:hAnsi="Arial" w:cs="Arial"/>
          <w:sz w:val="20"/>
          <w:szCs w:val="20"/>
        </w:rPr>
        <w:t>[3]</w:t>
      </w:r>
      <w:r w:rsidR="00DB1C52">
        <w:rPr>
          <w:rFonts w:ascii="Arial" w:hAnsi="Arial" w:cs="Arial"/>
          <w:sz w:val="20"/>
          <w:szCs w:val="20"/>
        </w:rPr>
        <w:fldChar w:fldCharType="end"/>
      </w:r>
      <w:r w:rsidR="00DB1C52">
        <w:rPr>
          <w:rFonts w:ascii="Arial" w:hAnsi="Arial" w:cs="Arial"/>
          <w:sz w:val="20"/>
          <w:szCs w:val="20"/>
        </w:rPr>
        <w:t xml:space="preserve">. </w:t>
      </w:r>
    </w:p>
    <w:p w14:paraId="089B6053"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K2: Delay between UL grant reception in DL and UL data (PUSCH) transmission</w:t>
      </w:r>
    </w:p>
    <w:p w14:paraId="4BCB08DF" w14:textId="7B28CE28"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For the same reasons, the specifications should support K2=0 while some low-end UEs may support K2=1 only.</w:t>
      </w:r>
      <w:r w:rsidR="00DB1C52">
        <w:rPr>
          <w:rFonts w:ascii="Arial" w:hAnsi="Arial" w:cs="Arial"/>
          <w:sz w:val="20"/>
          <w:szCs w:val="20"/>
        </w:rPr>
        <w:t xml:space="preserve"> Before considering K2=1 it would be good to consider the aspects discussed in </w:t>
      </w:r>
      <w:r w:rsidR="00DB1C52">
        <w:rPr>
          <w:rFonts w:ascii="Arial" w:hAnsi="Arial" w:cs="Arial"/>
          <w:sz w:val="20"/>
          <w:szCs w:val="20"/>
        </w:rPr>
        <w:fldChar w:fldCharType="begin"/>
      </w:r>
      <w:r w:rsidR="00DB1C52">
        <w:rPr>
          <w:rFonts w:ascii="Arial" w:hAnsi="Arial" w:cs="Arial"/>
          <w:sz w:val="20"/>
          <w:szCs w:val="20"/>
        </w:rPr>
        <w:instrText xml:space="preserve"> REF _Ref485401467 \r \h </w:instrText>
      </w:r>
      <w:r w:rsidR="00DB1C52">
        <w:rPr>
          <w:rFonts w:ascii="Arial" w:hAnsi="Arial" w:cs="Arial"/>
          <w:sz w:val="20"/>
          <w:szCs w:val="20"/>
        </w:rPr>
      </w:r>
      <w:r w:rsidR="00DB1C52">
        <w:rPr>
          <w:rFonts w:ascii="Arial" w:hAnsi="Arial" w:cs="Arial"/>
          <w:sz w:val="20"/>
          <w:szCs w:val="20"/>
        </w:rPr>
        <w:fldChar w:fldCharType="separate"/>
      </w:r>
      <w:r w:rsidR="00DB1C52">
        <w:rPr>
          <w:rFonts w:ascii="Arial" w:hAnsi="Arial" w:cs="Arial"/>
          <w:sz w:val="20"/>
          <w:szCs w:val="20"/>
        </w:rPr>
        <w:t>[3]</w:t>
      </w:r>
      <w:r w:rsidR="00DB1C52">
        <w:rPr>
          <w:rFonts w:ascii="Arial" w:hAnsi="Arial" w:cs="Arial"/>
          <w:sz w:val="20"/>
          <w:szCs w:val="20"/>
        </w:rPr>
        <w:fldChar w:fldCharType="end"/>
      </w:r>
      <w:r w:rsidR="00DB1C52">
        <w:rPr>
          <w:rFonts w:ascii="Arial" w:hAnsi="Arial" w:cs="Arial"/>
          <w:sz w:val="20"/>
          <w:szCs w:val="20"/>
        </w:rPr>
        <w:t>.</w:t>
      </w:r>
    </w:p>
    <w:p w14:paraId="4720401B" w14:textId="77777777" w:rsidR="001E76F3" w:rsidRPr="00060D83" w:rsidRDefault="001E76F3" w:rsidP="001E76F3">
      <w:pPr>
        <w:pStyle w:val="ListParagraph"/>
        <w:numPr>
          <w:ilvl w:val="0"/>
          <w:numId w:val="31"/>
        </w:numPr>
        <w:spacing w:after="120"/>
        <w:rPr>
          <w:rFonts w:ascii="Arial" w:hAnsi="Arial" w:cs="Arial"/>
          <w:sz w:val="20"/>
          <w:szCs w:val="20"/>
        </w:rPr>
      </w:pPr>
      <w:r w:rsidRPr="00060D83">
        <w:rPr>
          <w:rFonts w:ascii="Arial" w:hAnsi="Arial" w:cs="Arial"/>
          <w:sz w:val="20"/>
          <w:szCs w:val="20"/>
        </w:rPr>
        <w:t>K3: Delay between ACK/NAK reception in UL and corresponding retransmission of data (PDSCH) on DL</w:t>
      </w:r>
    </w:p>
    <w:p w14:paraId="3B4837A2" w14:textId="77777777" w:rsidR="001E76F3" w:rsidRPr="00060D83" w:rsidRDefault="001E76F3" w:rsidP="001E76F3">
      <w:pPr>
        <w:pStyle w:val="ListParagraph"/>
        <w:numPr>
          <w:ilvl w:val="1"/>
          <w:numId w:val="31"/>
        </w:numPr>
        <w:spacing w:after="120"/>
        <w:rPr>
          <w:rFonts w:ascii="Arial" w:hAnsi="Arial" w:cs="Arial"/>
          <w:sz w:val="20"/>
          <w:szCs w:val="20"/>
        </w:rPr>
      </w:pPr>
      <w:r w:rsidRPr="00060D83">
        <w:rPr>
          <w:rFonts w:ascii="Arial" w:hAnsi="Arial" w:cs="Arial"/>
          <w:sz w:val="20"/>
          <w:szCs w:val="20"/>
        </w:rPr>
        <w:t>This is up to the implementation; no need to specify anything.</w:t>
      </w:r>
    </w:p>
    <w:p w14:paraId="5C8B03F0" w14:textId="77777777" w:rsidR="001E76F3" w:rsidRPr="00060D83" w:rsidRDefault="001E76F3" w:rsidP="00B57557">
      <w:pPr>
        <w:pStyle w:val="BodyText"/>
        <w:rPr>
          <w:rFonts w:ascii="Arial" w:hAnsi="Arial" w:cs="Arial"/>
        </w:rPr>
      </w:pPr>
      <w:r w:rsidRPr="00060D83">
        <w:rPr>
          <w:rFonts w:ascii="Arial" w:hAnsi="Arial" w:cs="Arial"/>
        </w:rPr>
        <w:t xml:space="preserve">The timing relations above are given under the assumption that the same numerology is used for control and data. If different numerologies are used, the length of a slot depends on the numerology used. </w:t>
      </w:r>
    </w:p>
    <w:p w14:paraId="5C22EFF8" w14:textId="77777777" w:rsidR="001E76F3" w:rsidRPr="00060D83" w:rsidRDefault="001E76F3" w:rsidP="00B57557">
      <w:pPr>
        <w:pStyle w:val="BodyText"/>
        <w:rPr>
          <w:rFonts w:ascii="Arial" w:hAnsi="Arial" w:cs="Arial"/>
        </w:rPr>
      </w:pPr>
      <w:r w:rsidRPr="00060D83">
        <w:rPr>
          <w:rFonts w:ascii="Arial" w:hAnsi="Arial" w:cs="Arial"/>
        </w:rPr>
        <w:t>Note that the processing times above are what a UE should be capable of. The network may for different reason use different timing relations, e.g. hybrid-ARQ feedback later than what the UE is capable in order to coexist with TD-LTE.</w:t>
      </w:r>
    </w:p>
    <w:p w14:paraId="435CD882" w14:textId="7A3BA53E" w:rsidR="001E76F3" w:rsidRPr="00060D83" w:rsidRDefault="001E76F3" w:rsidP="00B57557">
      <w:pPr>
        <w:pStyle w:val="BodyText"/>
        <w:rPr>
          <w:rFonts w:ascii="Arial" w:hAnsi="Arial" w:cs="Arial"/>
        </w:rPr>
      </w:pPr>
      <w:r w:rsidRPr="00060D83">
        <w:rPr>
          <w:rFonts w:ascii="Arial" w:hAnsi="Arial" w:cs="Arial"/>
        </w:rPr>
        <w:t>Finally, if multiple values of K1 and K2 are supported, the longer value should be the default during e.g. initial access before the UE has declared its capabilities.</w:t>
      </w:r>
    </w:p>
    <w:p w14:paraId="5D3F253F" w14:textId="77777777" w:rsidR="009C1920" w:rsidRPr="00060D83" w:rsidRDefault="009C1920" w:rsidP="00B57557">
      <w:pPr>
        <w:pStyle w:val="BodyText"/>
        <w:rPr>
          <w:rFonts w:ascii="Arial" w:hAnsi="Arial" w:cs="Arial"/>
        </w:rPr>
      </w:pPr>
    </w:p>
    <w:p w14:paraId="318BDD23" w14:textId="6D510085" w:rsidR="00C25EEC" w:rsidRPr="00060D83" w:rsidRDefault="00C25EEC" w:rsidP="00564160">
      <w:pPr>
        <w:rPr>
          <w:rFonts w:ascii="Arial" w:hAnsi="Arial" w:cs="Arial"/>
          <w:b/>
        </w:rPr>
      </w:pPr>
      <w:r w:rsidRPr="00060D83">
        <w:rPr>
          <w:rFonts w:ascii="Arial" w:hAnsi="Arial" w:cs="Arial"/>
          <w:b/>
        </w:rPr>
        <w:t>Proposal 2 Adopt the following timing relations for NR:</w:t>
      </w:r>
    </w:p>
    <w:p w14:paraId="5CCEA1CA" w14:textId="22CD52B4" w:rsidR="00C25EEC" w:rsidRPr="00060D83" w:rsidRDefault="00C25EEC" w:rsidP="00564160">
      <w:pPr>
        <w:pStyle w:val="BodyText"/>
        <w:numPr>
          <w:ilvl w:val="0"/>
          <w:numId w:val="33"/>
        </w:numPr>
        <w:spacing w:after="0"/>
        <w:rPr>
          <w:rFonts w:ascii="Arial" w:hAnsi="Arial" w:cs="Arial"/>
          <w:b/>
        </w:rPr>
      </w:pPr>
      <w:r w:rsidRPr="00060D83">
        <w:rPr>
          <w:rFonts w:ascii="Arial" w:hAnsi="Arial" w:cs="Arial"/>
          <w:b/>
        </w:rPr>
        <w:t>K1=0</w:t>
      </w:r>
    </w:p>
    <w:p w14:paraId="7E21B1CC" w14:textId="0186934B" w:rsidR="00C25EEC" w:rsidRPr="00060D83" w:rsidRDefault="00DB1C52" w:rsidP="00564160">
      <w:pPr>
        <w:pStyle w:val="BodyText"/>
        <w:numPr>
          <w:ilvl w:val="0"/>
          <w:numId w:val="33"/>
        </w:numPr>
        <w:spacing w:after="0"/>
        <w:rPr>
          <w:rFonts w:ascii="Arial" w:hAnsi="Arial" w:cs="Arial"/>
          <w:b/>
        </w:rPr>
      </w:pPr>
      <w:r>
        <w:rPr>
          <w:rFonts w:ascii="Arial" w:hAnsi="Arial" w:cs="Arial"/>
          <w:b/>
        </w:rPr>
        <w:t>K2=0</w:t>
      </w:r>
    </w:p>
    <w:p w14:paraId="6DAEE321" w14:textId="350BD50E" w:rsidR="00C25EEC" w:rsidRPr="00060D83" w:rsidRDefault="00C25EEC" w:rsidP="00C25EEC">
      <w:pPr>
        <w:pStyle w:val="BodyText"/>
        <w:numPr>
          <w:ilvl w:val="0"/>
          <w:numId w:val="33"/>
        </w:numPr>
        <w:rPr>
          <w:rFonts w:ascii="Arial" w:hAnsi="Arial" w:cs="Arial"/>
          <w:b/>
        </w:rPr>
      </w:pPr>
      <w:r w:rsidRPr="00060D83">
        <w:rPr>
          <w:rFonts w:ascii="Arial" w:hAnsi="Arial" w:cs="Arial"/>
          <w:b/>
        </w:rPr>
        <w:t>No need to specify K3.</w:t>
      </w:r>
    </w:p>
    <w:p w14:paraId="21F947A4" w14:textId="772F2F83" w:rsidR="009C1920" w:rsidRPr="00060D83" w:rsidRDefault="009C1920" w:rsidP="009C1920">
      <w:pPr>
        <w:pStyle w:val="BodyText"/>
        <w:rPr>
          <w:rFonts w:ascii="Arial" w:hAnsi="Arial" w:cs="Arial"/>
          <w:b/>
        </w:rPr>
      </w:pPr>
    </w:p>
    <w:p w14:paraId="45384033" w14:textId="77777777" w:rsidR="006D3370" w:rsidRPr="00060D83" w:rsidRDefault="006D3370" w:rsidP="006D3370">
      <w:pPr>
        <w:pStyle w:val="Heading2"/>
        <w:rPr>
          <w:rFonts w:ascii="Arial" w:hAnsi="Arial"/>
        </w:rPr>
      </w:pPr>
      <w:r w:rsidRPr="00060D83">
        <w:rPr>
          <w:rFonts w:ascii="Arial" w:hAnsi="Arial"/>
        </w:rPr>
        <w:t>The number of HARQ processes</w:t>
      </w:r>
    </w:p>
    <w:p w14:paraId="1A03BAFF" w14:textId="77777777" w:rsidR="006D3370" w:rsidRPr="00060D83" w:rsidRDefault="006D3370" w:rsidP="006D3370">
      <w:pPr>
        <w:pStyle w:val="BodyText"/>
        <w:rPr>
          <w:rFonts w:ascii="Arial" w:hAnsi="Arial" w:cs="Arial"/>
        </w:rPr>
      </w:pPr>
      <w:r w:rsidRPr="00060D83">
        <w:rPr>
          <w:rFonts w:ascii="Arial" w:hAnsi="Arial" w:cs="Arial"/>
        </w:rPr>
        <w:t>Retransmissions are scheduled in a similar way as the original transmission. Hence, upon reception of a negative acknowledgement (for downlink data transmissions) or detection of incorrectly received uplink data (for uplink data transmission), the gNodeB needs to schedule a retransmission.</w:t>
      </w:r>
    </w:p>
    <w:p w14:paraId="1C2993A4" w14:textId="77777777" w:rsidR="006D3370" w:rsidRPr="00060D83" w:rsidRDefault="006D3370" w:rsidP="006D3370">
      <w:pPr>
        <w:pStyle w:val="BodyText"/>
        <w:rPr>
          <w:rFonts w:ascii="Arial" w:hAnsi="Arial" w:cs="Arial"/>
        </w:rPr>
      </w:pPr>
      <w:r w:rsidRPr="00060D83">
        <w:rPr>
          <w:rFonts w:ascii="Arial" w:hAnsi="Arial" w:cs="Arial"/>
        </w:rPr>
        <w:t xml:space="preserve">The number of hybrid ARQ processes depends on the overall roundtrip time. For downlink data transmission this includes the UE processing time to generate the acknowledgement, network-side processing time for scheduling the retransmission, and front-haul delays in case remote radio units are used to separate the baseband processing from the actual transmission site. </w:t>
      </w:r>
    </w:p>
    <w:p w14:paraId="0211CD9A" w14:textId="77777777" w:rsidR="006D3370" w:rsidRPr="00060D83" w:rsidRDefault="006D3370" w:rsidP="006D3370">
      <w:pPr>
        <w:pStyle w:val="BodyText"/>
        <w:rPr>
          <w:rFonts w:ascii="Arial" w:hAnsi="Arial" w:cs="Arial"/>
        </w:rPr>
      </w:pPr>
      <w:r w:rsidRPr="00060D83">
        <w:rPr>
          <w:rFonts w:ascii="Arial" w:hAnsi="Arial" w:cs="Arial"/>
        </w:rPr>
        <w:t>The speed of light in an optical fiber is approximatively 2·10</w:t>
      </w:r>
      <w:r w:rsidRPr="00060D83">
        <w:rPr>
          <w:rFonts w:ascii="Arial" w:hAnsi="Arial" w:cs="Arial"/>
          <w:vertAlign w:val="superscript"/>
        </w:rPr>
        <w:t>8</w:t>
      </w:r>
      <w:r w:rsidRPr="00060D83">
        <w:rPr>
          <w:rFonts w:ascii="Arial" w:hAnsi="Arial" w:cs="Arial"/>
        </w:rPr>
        <w:t xml:space="preserve"> m/s. Hence, for a 15 km distance, which is not an unlikely distance, the two-way delay is 150 μs. The scheduling delays can be in a similar range, depending on implementation, network load, scheduling complexity in terms of quality-of-service handling, exploitation of channel conditions, multi-user MIMO aspects, etc. As a comparison, the slot length is 125 μs assuming 14 symbol slots and 120 kHz subcarrier spacing.</w:t>
      </w:r>
    </w:p>
    <w:p w14:paraId="00094A51" w14:textId="77777777" w:rsidR="006D3370" w:rsidRPr="00060D83" w:rsidRDefault="006D3370" w:rsidP="006D3370">
      <w:pPr>
        <w:pStyle w:val="BodyText"/>
        <w:rPr>
          <w:rFonts w:ascii="Arial" w:hAnsi="Arial" w:cs="Arial"/>
        </w:rPr>
      </w:pPr>
      <w:r w:rsidRPr="00060D83">
        <w:rPr>
          <w:rFonts w:ascii="Arial" w:hAnsi="Arial" w:cs="Arial"/>
        </w:rPr>
        <w:t xml:space="preserve">Coexistence with TD-LTE is another example where multiple hybrid-ARQ processes are needed as there, for coexistence reasons, can be multiple slots (corresponding to LTE subframes) where it is not possible to transmit an uplink acknowledgement. For a typical case of TDD uplink-downlink allocation #2, there are four downlink slots followed by one uplink slot. In principle, four processes would be </w:t>
      </w:r>
      <w:r w:rsidRPr="00060D83">
        <w:rPr>
          <w:rFonts w:ascii="Arial" w:hAnsi="Arial" w:cs="Arial"/>
        </w:rPr>
        <w:lastRenderedPageBreak/>
        <w:t>sufficient to handle this if the UE is capable of ‘same slot’ ACK, otherwise a couple of more processes are needed. Furthermore, LTE supports several uplink-downlink allocations, many of which are not used in practice, and it can be considered if coexistence with all these possibilities need to be able to support the peak data rate.</w:t>
      </w:r>
    </w:p>
    <w:p w14:paraId="7F74AFD6" w14:textId="77777777" w:rsidR="006D3370" w:rsidRPr="00060D83" w:rsidRDefault="006D3370" w:rsidP="006D3370">
      <w:pPr>
        <w:pStyle w:val="BodyText"/>
        <w:rPr>
          <w:rFonts w:ascii="Arial" w:hAnsi="Arial" w:cs="Arial"/>
        </w:rPr>
      </w:pPr>
      <w:r w:rsidRPr="00060D83">
        <w:rPr>
          <w:rFonts w:ascii="Arial" w:hAnsi="Arial" w:cs="Arial"/>
        </w:rPr>
        <w:t>From the simplified discussion above, it is seen that the time from transmission to retransmission can be in the order of several slots, motivating multiple hybrid-ARQ processes. At the same time, it is beneficial to keep the number of hybrid-ARQ processes small as NR is supposed to provide low latency. Furthermore, supporting different number of hybrid-ARQ processes for different numerologies would complicate the overall structure and a single number is preferable. It is therefore recommended to support 8 hybrid-ARQ processes in NR, i.e. use 3 bits for the hybrid-ARQ process number in the DCI.</w:t>
      </w:r>
    </w:p>
    <w:p w14:paraId="3A8A8E3C" w14:textId="77777777" w:rsidR="006D3370" w:rsidRPr="00060D83" w:rsidRDefault="006D3370" w:rsidP="00FF69F7">
      <w:pPr>
        <w:pStyle w:val="Heading3"/>
      </w:pPr>
      <w:r w:rsidRPr="00060D83">
        <w:t>Slots and mini-slot</w:t>
      </w:r>
    </w:p>
    <w:p w14:paraId="707F7979" w14:textId="6DB25724" w:rsidR="006D3370" w:rsidRDefault="006D3370" w:rsidP="006D3370">
      <w:pPr>
        <w:pStyle w:val="BodyText"/>
        <w:rPr>
          <w:rFonts w:ascii="Arial" w:hAnsi="Arial" w:cs="Arial"/>
        </w:rPr>
      </w:pPr>
      <w:r w:rsidRPr="00060D83">
        <w:rPr>
          <w:rFonts w:ascii="Arial" w:hAnsi="Arial" w:cs="Arial"/>
        </w:rPr>
        <w:t xml:space="preserve">For the scheduling purpose either a slot or mini-slot can be scheduled on a specific carrier. To allow full flexibility in scheduling within a single carrier it would make sense to have the same HARQ processes being applicable for both mini-slots and slots. This allows the gNodeb to dynamically move between slot and mini-slot transmission and is in line with the general intention in RAN1 to harmonize slots and mini-slots into the same framework. </w:t>
      </w:r>
    </w:p>
    <w:p w14:paraId="5B56F1E8" w14:textId="77777777" w:rsidR="008B0AF4" w:rsidRPr="00DB1C52" w:rsidRDefault="008B0AF4" w:rsidP="002B3257">
      <w:pPr>
        <w:pStyle w:val="BodyText"/>
      </w:pPr>
      <w:r w:rsidRPr="00DB1C52">
        <w:t>To be able to support different services it is assumed in the discussion currently that the UE can be assigned with multiple PDSCH within the same subframe. To get sufficient flexibility we see that it is sufficient to be able to handle 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 if they do not overlap in time.</w:t>
      </w:r>
    </w:p>
    <w:p w14:paraId="3AB7857A" w14:textId="77777777" w:rsidR="008B0AF4" w:rsidRDefault="008B0AF4" w:rsidP="008B0AF4">
      <w:pPr>
        <w:rPr>
          <w:b/>
        </w:rPr>
      </w:pPr>
    </w:p>
    <w:p w14:paraId="318B30D1" w14:textId="71047F7E" w:rsidR="008B0AF4" w:rsidRDefault="008B0AF4" w:rsidP="008B0AF4">
      <w:pPr>
        <w:rPr>
          <w:b/>
        </w:rPr>
      </w:pPr>
      <w:r w:rsidRPr="005A195D">
        <w:rPr>
          <w:b/>
        </w:rPr>
        <w:t>Proposal</w:t>
      </w:r>
      <w:r w:rsidR="002B3257">
        <w:rPr>
          <w:b/>
        </w:rPr>
        <w:t xml:space="preserve"> 3</w:t>
      </w:r>
      <w:r w:rsidR="00DB1C52">
        <w:rPr>
          <w:b/>
        </w:rPr>
        <w:t xml:space="preserve">: </w:t>
      </w:r>
    </w:p>
    <w:p w14:paraId="43DC8C1B" w14:textId="4E3D6011" w:rsidR="008B0AF4" w:rsidRPr="00DB1C52" w:rsidRDefault="008B0AF4" w:rsidP="008B0AF4">
      <w:pPr>
        <w:pStyle w:val="ListParagraph"/>
        <w:numPr>
          <w:ilvl w:val="0"/>
          <w:numId w:val="45"/>
        </w:numPr>
        <w:rPr>
          <w:b/>
          <w:i/>
        </w:rPr>
      </w:pPr>
      <w:r w:rsidRPr="00DB1C52">
        <w:rPr>
          <w:b/>
          <w:i/>
        </w:rPr>
        <w:t>In total the UE can receive two PDSCH(s) that overlap in time on the same carrier</w:t>
      </w:r>
      <w:r w:rsidR="00DB1C52" w:rsidRPr="00DB1C52">
        <w:rPr>
          <w:b/>
          <w:i/>
        </w:rPr>
        <w:t xml:space="preserve"> for unicast</w:t>
      </w:r>
    </w:p>
    <w:p w14:paraId="6DC5E108" w14:textId="40740506" w:rsidR="008B0AF4" w:rsidRPr="00DB1C52" w:rsidRDefault="008B0AF4" w:rsidP="00DB1C52">
      <w:pPr>
        <w:pStyle w:val="ListParagraph"/>
        <w:numPr>
          <w:ilvl w:val="1"/>
          <w:numId w:val="45"/>
        </w:numPr>
        <w:rPr>
          <w:b/>
          <w:i/>
        </w:rPr>
      </w:pPr>
      <w:r w:rsidRPr="00DB1C52">
        <w:rPr>
          <w:b/>
          <w:i/>
        </w:rPr>
        <w:t>Note they may also overlap in frequency</w:t>
      </w:r>
    </w:p>
    <w:p w14:paraId="1E5C209A" w14:textId="77777777" w:rsidR="00E57214" w:rsidRPr="00060D83" w:rsidRDefault="00E57214" w:rsidP="00E57214">
      <w:pPr>
        <w:pStyle w:val="Heading3"/>
      </w:pPr>
      <w:r w:rsidRPr="00060D83">
        <w:t>Carrier aggregation</w:t>
      </w:r>
    </w:p>
    <w:p w14:paraId="09F378B1" w14:textId="20EF4EEF" w:rsidR="000B7FB0" w:rsidRPr="00E14820" w:rsidRDefault="00E57214" w:rsidP="00E14820">
      <w:pPr>
        <w:pStyle w:val="BodyText"/>
        <w:rPr>
          <w:rFonts w:ascii="Arial" w:hAnsi="Arial" w:cs="Arial"/>
        </w:rPr>
      </w:pPr>
      <w:r w:rsidRPr="00060D83">
        <w:rPr>
          <w:rFonts w:ascii="Arial" w:hAnsi="Arial" w:cs="Arial"/>
        </w:rPr>
        <w:t xml:space="preserve">An additional aspect to consider is whether a single HARQ processes can be moved across component carriers or not. It can be noted that this aspect has been discussed for LTE and not introduced there. There are multiple aspects to consider for this topic. Firstly, how to address the HARQ processes on L1 and the MAC handling for this. The specific gains for the feature in itself is at the same time not directly clear, although increased frequency diversity gains could potentially be achieved. It is noted further that if the feature is not supported on L1 and MAC it will be supported on RLC level. </w:t>
      </w:r>
    </w:p>
    <w:p w14:paraId="5BEABDC7" w14:textId="3634CA57" w:rsidR="001E76F3" w:rsidRPr="00060D83" w:rsidRDefault="001E76F3" w:rsidP="001E76F3">
      <w:pPr>
        <w:pStyle w:val="Heading1"/>
        <w:spacing w:before="180"/>
        <w:ind w:left="562" w:hanging="562"/>
        <w:rPr>
          <w:rFonts w:ascii="Arial" w:hAnsi="Arial"/>
        </w:rPr>
      </w:pPr>
      <w:r w:rsidRPr="00060D83">
        <w:rPr>
          <w:rFonts w:ascii="Arial" w:hAnsi="Arial"/>
        </w:rPr>
        <w:t>Conclusion</w:t>
      </w:r>
    </w:p>
    <w:p w14:paraId="7A1E4068" w14:textId="4D6F257C" w:rsidR="00C25EEC" w:rsidRPr="00060D83" w:rsidRDefault="00C25EEC" w:rsidP="00C25EEC">
      <w:pPr>
        <w:pStyle w:val="BodyText"/>
        <w:rPr>
          <w:rFonts w:ascii="Arial" w:hAnsi="Arial" w:cs="Arial"/>
        </w:rPr>
      </w:pPr>
      <w:r w:rsidRPr="00060D83">
        <w:rPr>
          <w:rFonts w:ascii="Arial" w:hAnsi="Arial" w:cs="Arial"/>
        </w:rPr>
        <w:t xml:space="preserve">We analyzed the </w:t>
      </w:r>
      <w:r w:rsidR="00564160" w:rsidRPr="00060D83">
        <w:rPr>
          <w:rFonts w:ascii="Arial" w:hAnsi="Arial" w:cs="Arial"/>
        </w:rPr>
        <w:t>processing time and made the following observation:</w:t>
      </w:r>
    </w:p>
    <w:p w14:paraId="734B31BE" w14:textId="3DCC179C" w:rsidR="00564160" w:rsidRPr="00060D83" w:rsidRDefault="00564160" w:rsidP="00F126E3">
      <w:pPr>
        <w:spacing w:after="240"/>
        <w:rPr>
          <w:rFonts w:ascii="Arial" w:hAnsi="Arial" w:cs="Arial"/>
          <w:b/>
        </w:rPr>
      </w:pPr>
      <w:r w:rsidRPr="00060D83">
        <w:rPr>
          <w:rFonts w:ascii="Arial" w:hAnsi="Arial" w:cs="Arial"/>
          <w:b/>
        </w:rPr>
        <w:t xml:space="preserve">Observation 1 More than 1/3 of </w:t>
      </w:r>
      <w:r w:rsidR="008A4BB9" w:rsidRPr="00060D83">
        <w:rPr>
          <w:rFonts w:ascii="Arial" w:hAnsi="Arial" w:cs="Arial"/>
          <w:b/>
        </w:rPr>
        <w:t xml:space="preserve">the </w:t>
      </w:r>
      <w:r w:rsidRPr="00060D83">
        <w:rPr>
          <w:rFonts w:ascii="Arial" w:hAnsi="Arial" w:cs="Arial"/>
          <w:b/>
        </w:rPr>
        <w:t>MCS levels require longer LDPC decoding time</w:t>
      </w:r>
      <w:r w:rsidR="008A4BB9" w:rsidRPr="00060D83">
        <w:rPr>
          <w:rFonts w:ascii="Arial" w:hAnsi="Arial" w:cs="Arial"/>
          <w:b/>
        </w:rPr>
        <w:t>s</w:t>
      </w:r>
      <w:r w:rsidRPr="00060D83">
        <w:rPr>
          <w:rFonts w:ascii="Arial" w:hAnsi="Arial" w:cs="Arial"/>
          <w:b/>
        </w:rPr>
        <w:t xml:space="preserve"> than for the peak MCS</w:t>
      </w:r>
      <w:r w:rsidR="008A4BB9" w:rsidRPr="00060D83">
        <w:rPr>
          <w:rFonts w:ascii="Arial" w:hAnsi="Arial" w:cs="Arial"/>
          <w:b/>
        </w:rPr>
        <w:t xml:space="preserve"> level</w:t>
      </w:r>
      <w:r w:rsidRPr="00060D83">
        <w:rPr>
          <w:rFonts w:ascii="Arial" w:hAnsi="Arial" w:cs="Arial"/>
          <w:b/>
        </w:rPr>
        <w:t>.</w:t>
      </w:r>
    </w:p>
    <w:p w14:paraId="75D271C7" w14:textId="450D58B8" w:rsidR="00564160" w:rsidRPr="00060D83" w:rsidRDefault="00564160" w:rsidP="001E76F3">
      <w:pPr>
        <w:pStyle w:val="BodyText"/>
        <w:rPr>
          <w:rFonts w:ascii="Arial" w:hAnsi="Arial" w:cs="Arial"/>
        </w:rPr>
      </w:pPr>
      <w:r w:rsidRPr="00060D83">
        <w:rPr>
          <w:rFonts w:ascii="Arial" w:hAnsi="Arial" w:cs="Arial"/>
        </w:rPr>
        <w:t>We hence propose</w:t>
      </w:r>
    </w:p>
    <w:p w14:paraId="2B661451" w14:textId="77777777" w:rsidR="00564160" w:rsidRPr="00060D83" w:rsidRDefault="00564160" w:rsidP="00564160">
      <w:pPr>
        <w:rPr>
          <w:rFonts w:ascii="Arial" w:hAnsi="Arial" w:cs="Arial"/>
          <w:b/>
        </w:rPr>
      </w:pPr>
      <w:r w:rsidRPr="00060D83">
        <w:rPr>
          <w:rFonts w:ascii="Arial" w:hAnsi="Arial" w:cs="Arial"/>
          <w:b/>
        </w:rPr>
        <w:t>Proposal 1 a UE category supporting ν spatial layers on a bandwidth of W shall sustain continuous reception of any MCS scheduled on these spatial layers and bandwidth assuming no retransmissions.</w:t>
      </w:r>
    </w:p>
    <w:p w14:paraId="7790143C" w14:textId="77777777" w:rsidR="00564160" w:rsidRPr="00060D83" w:rsidRDefault="00564160" w:rsidP="00564160">
      <w:pPr>
        <w:spacing w:before="240"/>
        <w:rPr>
          <w:rFonts w:ascii="Arial" w:hAnsi="Arial" w:cs="Arial"/>
          <w:b/>
        </w:rPr>
      </w:pPr>
      <w:r w:rsidRPr="00060D83">
        <w:rPr>
          <w:rFonts w:ascii="Arial" w:hAnsi="Arial" w:cs="Arial"/>
          <w:b/>
        </w:rPr>
        <w:t>Proposal 2 Adopt the following timing relations for NR:</w:t>
      </w:r>
    </w:p>
    <w:p w14:paraId="613D04C3" w14:textId="1E37CF0F" w:rsidR="00564160" w:rsidRPr="00060D83" w:rsidRDefault="00564160" w:rsidP="00564160">
      <w:pPr>
        <w:pStyle w:val="BodyText"/>
        <w:numPr>
          <w:ilvl w:val="0"/>
          <w:numId w:val="33"/>
        </w:numPr>
        <w:spacing w:after="0"/>
        <w:rPr>
          <w:rFonts w:ascii="Arial" w:hAnsi="Arial" w:cs="Arial"/>
          <w:b/>
        </w:rPr>
      </w:pPr>
      <w:r w:rsidRPr="00060D83">
        <w:rPr>
          <w:rFonts w:ascii="Arial" w:hAnsi="Arial" w:cs="Arial"/>
          <w:b/>
        </w:rPr>
        <w:t>K1=0</w:t>
      </w:r>
    </w:p>
    <w:p w14:paraId="7CEC94E9" w14:textId="5798DBDF" w:rsidR="00564160" w:rsidRPr="00060D83" w:rsidRDefault="00DB1C52" w:rsidP="00564160">
      <w:pPr>
        <w:pStyle w:val="BodyText"/>
        <w:numPr>
          <w:ilvl w:val="0"/>
          <w:numId w:val="33"/>
        </w:numPr>
        <w:spacing w:after="0"/>
        <w:rPr>
          <w:rFonts w:ascii="Arial" w:hAnsi="Arial" w:cs="Arial"/>
          <w:b/>
        </w:rPr>
      </w:pPr>
      <w:r>
        <w:rPr>
          <w:rFonts w:ascii="Arial" w:hAnsi="Arial" w:cs="Arial"/>
          <w:b/>
        </w:rPr>
        <w:t>K2=0</w:t>
      </w:r>
    </w:p>
    <w:p w14:paraId="1B19BA50" w14:textId="093CBF8E" w:rsidR="00564160" w:rsidRDefault="00564160" w:rsidP="00564160">
      <w:pPr>
        <w:pStyle w:val="BodyText"/>
        <w:numPr>
          <w:ilvl w:val="0"/>
          <w:numId w:val="33"/>
        </w:numPr>
        <w:rPr>
          <w:rFonts w:ascii="Arial" w:hAnsi="Arial" w:cs="Arial"/>
          <w:b/>
        </w:rPr>
      </w:pPr>
      <w:r w:rsidRPr="00060D83">
        <w:rPr>
          <w:rFonts w:ascii="Arial" w:hAnsi="Arial" w:cs="Arial"/>
          <w:b/>
        </w:rPr>
        <w:t>No need to specify K3.</w:t>
      </w:r>
    </w:p>
    <w:p w14:paraId="7A8D5CB6" w14:textId="2E3C0894" w:rsidR="00DB1C52" w:rsidRDefault="00DB1C52" w:rsidP="00DB1C52">
      <w:pPr>
        <w:pStyle w:val="BodyText"/>
        <w:rPr>
          <w:rFonts w:ascii="Arial" w:hAnsi="Arial" w:cs="Arial"/>
          <w:b/>
        </w:rPr>
      </w:pPr>
      <w:r>
        <w:rPr>
          <w:rFonts w:ascii="Arial" w:hAnsi="Arial" w:cs="Arial"/>
          <w:b/>
        </w:rPr>
        <w:t>Proposal 3:</w:t>
      </w:r>
    </w:p>
    <w:p w14:paraId="3C4334E9" w14:textId="77777777" w:rsidR="00DB1C52" w:rsidRPr="00DB1C52" w:rsidRDefault="00DB1C52" w:rsidP="00DB1C52">
      <w:pPr>
        <w:pStyle w:val="ListParagraph"/>
        <w:numPr>
          <w:ilvl w:val="0"/>
          <w:numId w:val="45"/>
        </w:numPr>
        <w:rPr>
          <w:b/>
        </w:rPr>
      </w:pPr>
      <w:r w:rsidRPr="00DB1C52">
        <w:rPr>
          <w:b/>
        </w:rPr>
        <w:t>In total the UE can receive two PDSCH(s) that overlap in time on the same carrier for unicast</w:t>
      </w:r>
    </w:p>
    <w:p w14:paraId="7951A02A" w14:textId="77777777" w:rsidR="00DB1C52" w:rsidRPr="00DB1C52" w:rsidRDefault="00DB1C52" w:rsidP="00DB1C52">
      <w:pPr>
        <w:pStyle w:val="ListParagraph"/>
        <w:numPr>
          <w:ilvl w:val="1"/>
          <w:numId w:val="45"/>
        </w:numPr>
        <w:rPr>
          <w:b/>
        </w:rPr>
      </w:pPr>
      <w:r w:rsidRPr="00DB1C52">
        <w:rPr>
          <w:b/>
        </w:rPr>
        <w:lastRenderedPageBreak/>
        <w:t>Note they may also overlap in frequency</w:t>
      </w:r>
    </w:p>
    <w:p w14:paraId="5C02576D" w14:textId="77777777" w:rsidR="00C25EEC" w:rsidRPr="00060D83" w:rsidRDefault="00C25EEC" w:rsidP="00C25EEC">
      <w:pPr>
        <w:pStyle w:val="Heading1"/>
        <w:rPr>
          <w:rFonts w:ascii="Arial" w:hAnsi="Arial"/>
        </w:rPr>
      </w:pPr>
      <w:r w:rsidRPr="00060D83">
        <w:rPr>
          <w:rFonts w:ascii="Arial" w:hAnsi="Arial"/>
        </w:rPr>
        <w:t>References</w:t>
      </w:r>
    </w:p>
    <w:p w14:paraId="74F77404" w14:textId="77777777" w:rsidR="00C25EEC" w:rsidRPr="00060D83" w:rsidRDefault="00C25EEC" w:rsidP="00C25EEC">
      <w:pPr>
        <w:pStyle w:val="Reference"/>
        <w:rPr>
          <w:rFonts w:cs="Arial"/>
          <w:lang w:val="en-US"/>
        </w:rPr>
      </w:pPr>
      <w:bookmarkStart w:id="6" w:name="_Ref481745189"/>
      <w:r w:rsidRPr="00060D83">
        <w:rPr>
          <w:rFonts w:cs="Arial"/>
          <w:lang w:val="en-US"/>
        </w:rPr>
        <w:t>R1-1707069 Throughput Requirements of LDPC Decoder, Ericsson</w:t>
      </w:r>
      <w:bookmarkEnd w:id="6"/>
    </w:p>
    <w:p w14:paraId="39028F18" w14:textId="5E0F2C24" w:rsidR="00CC4ED6" w:rsidRDefault="00CC4ED6" w:rsidP="00CC4ED6">
      <w:pPr>
        <w:pStyle w:val="Reference"/>
        <w:rPr>
          <w:rFonts w:cs="Arial"/>
          <w:lang w:val="en-US"/>
        </w:rPr>
      </w:pPr>
      <w:bookmarkStart w:id="7" w:name="_Ref473934775"/>
      <w:bookmarkStart w:id="8" w:name="_Ref481744756"/>
      <w:bookmarkStart w:id="9" w:name="_Ref484609843"/>
      <w:bookmarkStart w:id="10" w:name="_Ref174151459"/>
      <w:bookmarkStart w:id="11" w:name="_Ref189809556"/>
      <w:r w:rsidRPr="00060D83">
        <w:rPr>
          <w:rFonts w:cs="Arial"/>
          <w:lang w:val="en-US"/>
        </w:rPr>
        <w:t>Chairman’s Notes, 3GPP TSG RAN WG1 Meeting#8</w:t>
      </w:r>
      <w:bookmarkEnd w:id="7"/>
      <w:bookmarkEnd w:id="8"/>
      <w:r w:rsidRPr="00060D83">
        <w:rPr>
          <w:rFonts w:cs="Arial"/>
          <w:lang w:val="en-US"/>
        </w:rPr>
        <w:t>9</w:t>
      </w:r>
      <w:bookmarkEnd w:id="9"/>
      <w:r w:rsidRPr="00060D83">
        <w:rPr>
          <w:rFonts w:cs="Arial"/>
          <w:lang w:val="en-US"/>
        </w:rPr>
        <w:t xml:space="preserve"> </w:t>
      </w:r>
      <w:bookmarkEnd w:id="10"/>
      <w:bookmarkEnd w:id="11"/>
    </w:p>
    <w:p w14:paraId="071D5C0A" w14:textId="2D77DC85" w:rsidR="00DB1C52" w:rsidRPr="00060D83" w:rsidRDefault="00DB1C52" w:rsidP="00DB1C52">
      <w:pPr>
        <w:pStyle w:val="Reference"/>
        <w:rPr>
          <w:rFonts w:cs="Arial"/>
          <w:lang w:val="en-US"/>
        </w:rPr>
      </w:pPr>
      <w:bookmarkStart w:id="12" w:name="_Ref485401467"/>
      <w:r w:rsidRPr="00DB1C52">
        <w:rPr>
          <w:rFonts w:cs="Arial"/>
          <w:lang w:val="en-US"/>
        </w:rPr>
        <w:t>R1-1711367</w:t>
      </w:r>
      <w:r w:rsidRPr="00DB1C52">
        <w:rPr>
          <w:rFonts w:cs="Arial"/>
          <w:lang w:val="en-US"/>
        </w:rPr>
        <w:tab/>
        <w:t>O</w:t>
      </w:r>
      <w:r>
        <w:rPr>
          <w:rFonts w:cs="Arial"/>
          <w:lang w:val="en-US"/>
        </w:rPr>
        <w:t>n UE processing time</w:t>
      </w:r>
      <w:r>
        <w:rPr>
          <w:rFonts w:cs="Arial"/>
          <w:lang w:val="en-US"/>
        </w:rPr>
        <w:tab/>
        <w:t>Ericsson</w:t>
      </w:r>
      <w:bookmarkEnd w:id="12"/>
    </w:p>
    <w:sectPr w:rsidR="00DB1C52" w:rsidRPr="00060D83" w:rsidSect="00C6289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50DDF" w14:textId="77777777" w:rsidR="00613895" w:rsidRDefault="00613895" w:rsidP="00C01A55">
      <w:r>
        <w:separator/>
      </w:r>
    </w:p>
  </w:endnote>
  <w:endnote w:type="continuationSeparator" w:id="0">
    <w:p w14:paraId="04944F2B" w14:textId="77777777" w:rsidR="00613895" w:rsidRDefault="00613895"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AA93C" w14:textId="77777777" w:rsidR="00FC7A1D" w:rsidRDefault="00FC7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B8E73" w14:textId="77777777" w:rsidR="00FC7A1D" w:rsidRDefault="00FC7A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ECA3" w14:textId="77777777" w:rsidR="00FC7A1D" w:rsidRDefault="00FC7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F82E6" w14:textId="77777777" w:rsidR="00613895" w:rsidRDefault="00613895" w:rsidP="00C01A55">
      <w:r>
        <w:separator/>
      </w:r>
    </w:p>
  </w:footnote>
  <w:footnote w:type="continuationSeparator" w:id="0">
    <w:p w14:paraId="69B3717B" w14:textId="77777777" w:rsidR="00613895" w:rsidRDefault="00613895" w:rsidP="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2703" w14:textId="77777777" w:rsidR="00FC7A1D" w:rsidRDefault="00FC7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5E80F" w14:textId="77777777" w:rsidR="00FC7A1D" w:rsidRDefault="00FC7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39B05" w14:textId="77777777" w:rsidR="00FC7A1D" w:rsidRDefault="00FC7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74691"/>
    <w:multiLevelType w:val="hybridMultilevel"/>
    <w:tmpl w:val="1252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310C8"/>
    <w:multiLevelType w:val="hybridMultilevel"/>
    <w:tmpl w:val="D8B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30986"/>
    <w:multiLevelType w:val="hybridMultilevel"/>
    <w:tmpl w:val="34A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C5C8F"/>
    <w:multiLevelType w:val="hybridMultilevel"/>
    <w:tmpl w:val="26AAA8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5757D3"/>
    <w:multiLevelType w:val="hybridMultilevel"/>
    <w:tmpl w:val="254A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B70ED4"/>
    <w:multiLevelType w:val="hybridMultilevel"/>
    <w:tmpl w:val="21D4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3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8" w15:restartNumberingAfterBreak="0">
    <w:nsid w:val="788679C8"/>
    <w:multiLevelType w:val="hybridMultilevel"/>
    <w:tmpl w:val="FC96AE30"/>
    <w:lvl w:ilvl="0" w:tplc="73F85D0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4"/>
  </w:num>
  <w:num w:numId="3">
    <w:abstractNumId w:val="2"/>
  </w:num>
  <w:num w:numId="4">
    <w:abstractNumId w:val="41"/>
  </w:num>
  <w:num w:numId="5">
    <w:abstractNumId w:val="36"/>
  </w:num>
  <w:num w:numId="6">
    <w:abstractNumId w:val="31"/>
  </w:num>
  <w:num w:numId="7">
    <w:abstractNumId w:val="40"/>
  </w:num>
  <w:num w:numId="8">
    <w:abstractNumId w:val="39"/>
  </w:num>
  <w:num w:numId="9">
    <w:abstractNumId w:val="16"/>
  </w:num>
  <w:num w:numId="10">
    <w:abstractNumId w:val="6"/>
  </w:num>
  <w:num w:numId="11">
    <w:abstractNumId w:val="27"/>
  </w:num>
  <w:num w:numId="12">
    <w:abstractNumId w:val="42"/>
  </w:num>
  <w:num w:numId="13">
    <w:abstractNumId w:val="3"/>
  </w:num>
  <w:num w:numId="14">
    <w:abstractNumId w:val="7"/>
  </w:num>
  <w:num w:numId="15">
    <w:abstractNumId w:val="20"/>
  </w:num>
  <w:num w:numId="16">
    <w:abstractNumId w:val="8"/>
  </w:num>
  <w:num w:numId="17">
    <w:abstractNumId w:val="41"/>
  </w:num>
  <w:num w:numId="18">
    <w:abstractNumId w:val="26"/>
  </w:num>
  <w:num w:numId="19">
    <w:abstractNumId w:val="33"/>
  </w:num>
  <w:num w:numId="20">
    <w:abstractNumId w:val="12"/>
  </w:num>
  <w:num w:numId="21">
    <w:abstractNumId w:val="10"/>
  </w:num>
  <w:num w:numId="22">
    <w:abstractNumId w:val="35"/>
  </w:num>
  <w:num w:numId="23">
    <w:abstractNumId w:val="18"/>
  </w:num>
  <w:num w:numId="24">
    <w:abstractNumId w:val="17"/>
  </w:num>
  <w:num w:numId="25">
    <w:abstractNumId w:val="23"/>
  </w:num>
  <w:num w:numId="26">
    <w:abstractNumId w:val="30"/>
  </w:num>
  <w:num w:numId="27">
    <w:abstractNumId w:val="19"/>
  </w:num>
  <w:num w:numId="28">
    <w:abstractNumId w:val="32"/>
  </w:num>
  <w:num w:numId="29">
    <w:abstractNumId w:val="5"/>
  </w:num>
  <w:num w:numId="30">
    <w:abstractNumId w:val="4"/>
  </w:num>
  <w:num w:numId="31">
    <w:abstractNumId w:val="15"/>
  </w:num>
  <w:num w:numId="32">
    <w:abstractNumId w:val="14"/>
  </w:num>
  <w:num w:numId="33">
    <w:abstractNumId w:val="21"/>
  </w:num>
  <w:num w:numId="34">
    <w:abstractNumId w:val="0"/>
  </w:num>
  <w:num w:numId="35">
    <w:abstractNumId w:val="25"/>
  </w:num>
  <w:num w:numId="36">
    <w:abstractNumId w:val="1"/>
  </w:num>
  <w:num w:numId="37">
    <w:abstractNumId w:val="34"/>
  </w:num>
  <w:num w:numId="38">
    <w:abstractNumId w:val="22"/>
  </w:num>
  <w:num w:numId="39">
    <w:abstractNumId w:val="28"/>
  </w:num>
  <w:num w:numId="40">
    <w:abstractNumId w:val="13"/>
  </w:num>
  <w:num w:numId="41">
    <w:abstractNumId w:val="11"/>
  </w:num>
  <w:num w:numId="42">
    <w:abstractNumId w:val="37"/>
  </w:num>
  <w:num w:numId="43">
    <w:abstractNumId w:val="9"/>
  </w:num>
  <w:num w:numId="44">
    <w:abstractNumId w:val="38"/>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4276F"/>
    <w:rsid w:val="000467C5"/>
    <w:rsid w:val="00052171"/>
    <w:rsid w:val="00060D83"/>
    <w:rsid w:val="00060F67"/>
    <w:rsid w:val="00075BA3"/>
    <w:rsid w:val="000802DC"/>
    <w:rsid w:val="0008456D"/>
    <w:rsid w:val="00093FC4"/>
    <w:rsid w:val="000B7FB0"/>
    <w:rsid w:val="000C12FB"/>
    <w:rsid w:val="00101D76"/>
    <w:rsid w:val="001052A9"/>
    <w:rsid w:val="00106ABF"/>
    <w:rsid w:val="00117D16"/>
    <w:rsid w:val="00173A64"/>
    <w:rsid w:val="00181E36"/>
    <w:rsid w:val="001B243C"/>
    <w:rsid w:val="001B3366"/>
    <w:rsid w:val="001E76F3"/>
    <w:rsid w:val="001F0CAF"/>
    <w:rsid w:val="001F774A"/>
    <w:rsid w:val="00213303"/>
    <w:rsid w:val="0022072F"/>
    <w:rsid w:val="00230310"/>
    <w:rsid w:val="00247F8A"/>
    <w:rsid w:val="00247FAB"/>
    <w:rsid w:val="0028065B"/>
    <w:rsid w:val="002806EE"/>
    <w:rsid w:val="00283CA2"/>
    <w:rsid w:val="00283D19"/>
    <w:rsid w:val="00286B6D"/>
    <w:rsid w:val="00292665"/>
    <w:rsid w:val="002B3257"/>
    <w:rsid w:val="002C613C"/>
    <w:rsid w:val="002D3036"/>
    <w:rsid w:val="002D488E"/>
    <w:rsid w:val="002E444B"/>
    <w:rsid w:val="002F31E2"/>
    <w:rsid w:val="00311C5C"/>
    <w:rsid w:val="003369F1"/>
    <w:rsid w:val="0034475B"/>
    <w:rsid w:val="003522A8"/>
    <w:rsid w:val="00391F34"/>
    <w:rsid w:val="003B2A2C"/>
    <w:rsid w:val="003C5838"/>
    <w:rsid w:val="003C7F47"/>
    <w:rsid w:val="003D330C"/>
    <w:rsid w:val="003F33ED"/>
    <w:rsid w:val="00400777"/>
    <w:rsid w:val="00407725"/>
    <w:rsid w:val="00426E2E"/>
    <w:rsid w:val="00434CD6"/>
    <w:rsid w:val="004469D0"/>
    <w:rsid w:val="00454564"/>
    <w:rsid w:val="00477458"/>
    <w:rsid w:val="0048093F"/>
    <w:rsid w:val="00491BBB"/>
    <w:rsid w:val="0049799A"/>
    <w:rsid w:val="004A5A0F"/>
    <w:rsid w:val="004B1C8B"/>
    <w:rsid w:val="004B248C"/>
    <w:rsid w:val="004E3C81"/>
    <w:rsid w:val="0050516B"/>
    <w:rsid w:val="00514E06"/>
    <w:rsid w:val="00516562"/>
    <w:rsid w:val="0052140E"/>
    <w:rsid w:val="00532C83"/>
    <w:rsid w:val="00546EB1"/>
    <w:rsid w:val="00547BB3"/>
    <w:rsid w:val="005514B5"/>
    <w:rsid w:val="00564160"/>
    <w:rsid w:val="0057125B"/>
    <w:rsid w:val="00572C7C"/>
    <w:rsid w:val="005838EA"/>
    <w:rsid w:val="005958F7"/>
    <w:rsid w:val="005B50D0"/>
    <w:rsid w:val="005C1278"/>
    <w:rsid w:val="005D5B92"/>
    <w:rsid w:val="00613895"/>
    <w:rsid w:val="006176AC"/>
    <w:rsid w:val="00627565"/>
    <w:rsid w:val="006327E0"/>
    <w:rsid w:val="006364CD"/>
    <w:rsid w:val="006527AB"/>
    <w:rsid w:val="00655332"/>
    <w:rsid w:val="0066079C"/>
    <w:rsid w:val="006660F3"/>
    <w:rsid w:val="00674E4B"/>
    <w:rsid w:val="006A286A"/>
    <w:rsid w:val="006B1453"/>
    <w:rsid w:val="006B481E"/>
    <w:rsid w:val="006D3370"/>
    <w:rsid w:val="006D4A4B"/>
    <w:rsid w:val="006E7782"/>
    <w:rsid w:val="007059CD"/>
    <w:rsid w:val="007324C9"/>
    <w:rsid w:val="00772E80"/>
    <w:rsid w:val="007819F2"/>
    <w:rsid w:val="00787180"/>
    <w:rsid w:val="00790A8E"/>
    <w:rsid w:val="0079604C"/>
    <w:rsid w:val="007A0208"/>
    <w:rsid w:val="007B42B7"/>
    <w:rsid w:val="007C6A4A"/>
    <w:rsid w:val="007C7533"/>
    <w:rsid w:val="007F0BA9"/>
    <w:rsid w:val="00800E83"/>
    <w:rsid w:val="008025CA"/>
    <w:rsid w:val="00813D98"/>
    <w:rsid w:val="008303E7"/>
    <w:rsid w:val="00845ED1"/>
    <w:rsid w:val="0086665F"/>
    <w:rsid w:val="008808D2"/>
    <w:rsid w:val="0089585D"/>
    <w:rsid w:val="008A0342"/>
    <w:rsid w:val="008A4BB9"/>
    <w:rsid w:val="008A7C17"/>
    <w:rsid w:val="008B0AF4"/>
    <w:rsid w:val="008B1A2F"/>
    <w:rsid w:val="008D5332"/>
    <w:rsid w:val="008F44BD"/>
    <w:rsid w:val="00902E4A"/>
    <w:rsid w:val="00916E30"/>
    <w:rsid w:val="00924E96"/>
    <w:rsid w:val="00934546"/>
    <w:rsid w:val="00942F98"/>
    <w:rsid w:val="00947F65"/>
    <w:rsid w:val="00985F62"/>
    <w:rsid w:val="009867D7"/>
    <w:rsid w:val="00990B5F"/>
    <w:rsid w:val="009A0611"/>
    <w:rsid w:val="009B0925"/>
    <w:rsid w:val="009C0A0A"/>
    <w:rsid w:val="009C1920"/>
    <w:rsid w:val="009C299B"/>
    <w:rsid w:val="009E46CD"/>
    <w:rsid w:val="009F1739"/>
    <w:rsid w:val="00A057EA"/>
    <w:rsid w:val="00A351BF"/>
    <w:rsid w:val="00A8164F"/>
    <w:rsid w:val="00A816BF"/>
    <w:rsid w:val="00A857BB"/>
    <w:rsid w:val="00A96D77"/>
    <w:rsid w:val="00AB18E7"/>
    <w:rsid w:val="00AC1F7D"/>
    <w:rsid w:val="00AF5150"/>
    <w:rsid w:val="00B03ED8"/>
    <w:rsid w:val="00B05159"/>
    <w:rsid w:val="00B27C2D"/>
    <w:rsid w:val="00B3398A"/>
    <w:rsid w:val="00B35EFF"/>
    <w:rsid w:val="00B368D9"/>
    <w:rsid w:val="00B5128F"/>
    <w:rsid w:val="00B56159"/>
    <w:rsid w:val="00B57557"/>
    <w:rsid w:val="00B7758F"/>
    <w:rsid w:val="00B8563A"/>
    <w:rsid w:val="00B91E49"/>
    <w:rsid w:val="00BA4CC0"/>
    <w:rsid w:val="00BB2430"/>
    <w:rsid w:val="00BB7B54"/>
    <w:rsid w:val="00BC0FFC"/>
    <w:rsid w:val="00BC202A"/>
    <w:rsid w:val="00BD030B"/>
    <w:rsid w:val="00BD507F"/>
    <w:rsid w:val="00BD509C"/>
    <w:rsid w:val="00BE1F25"/>
    <w:rsid w:val="00BE4063"/>
    <w:rsid w:val="00BE5EA2"/>
    <w:rsid w:val="00BF7348"/>
    <w:rsid w:val="00C01A55"/>
    <w:rsid w:val="00C1560A"/>
    <w:rsid w:val="00C25EC4"/>
    <w:rsid w:val="00C25EEC"/>
    <w:rsid w:val="00C32A59"/>
    <w:rsid w:val="00C367F6"/>
    <w:rsid w:val="00C51999"/>
    <w:rsid w:val="00C56413"/>
    <w:rsid w:val="00C62894"/>
    <w:rsid w:val="00C8496C"/>
    <w:rsid w:val="00CA5E5D"/>
    <w:rsid w:val="00CB3C3F"/>
    <w:rsid w:val="00CB5A40"/>
    <w:rsid w:val="00CC1CA7"/>
    <w:rsid w:val="00CC2408"/>
    <w:rsid w:val="00CC260C"/>
    <w:rsid w:val="00CC4ED6"/>
    <w:rsid w:val="00CE17A5"/>
    <w:rsid w:val="00CE6CB0"/>
    <w:rsid w:val="00CF4165"/>
    <w:rsid w:val="00D03072"/>
    <w:rsid w:val="00D03E47"/>
    <w:rsid w:val="00D1597B"/>
    <w:rsid w:val="00D23A75"/>
    <w:rsid w:val="00D42C77"/>
    <w:rsid w:val="00D573FE"/>
    <w:rsid w:val="00D577BB"/>
    <w:rsid w:val="00D6598B"/>
    <w:rsid w:val="00D754C4"/>
    <w:rsid w:val="00D84D5E"/>
    <w:rsid w:val="00DA7D33"/>
    <w:rsid w:val="00DB11C8"/>
    <w:rsid w:val="00DB1C52"/>
    <w:rsid w:val="00DB6F36"/>
    <w:rsid w:val="00DD11CB"/>
    <w:rsid w:val="00DE0D8A"/>
    <w:rsid w:val="00DE1BAA"/>
    <w:rsid w:val="00DE66F3"/>
    <w:rsid w:val="00DF0BF6"/>
    <w:rsid w:val="00DF5CA9"/>
    <w:rsid w:val="00E049CF"/>
    <w:rsid w:val="00E06F73"/>
    <w:rsid w:val="00E10C1F"/>
    <w:rsid w:val="00E14820"/>
    <w:rsid w:val="00E15BCE"/>
    <w:rsid w:val="00E20E32"/>
    <w:rsid w:val="00E30ACB"/>
    <w:rsid w:val="00E34BF5"/>
    <w:rsid w:val="00E57214"/>
    <w:rsid w:val="00E87FFB"/>
    <w:rsid w:val="00EA0C3C"/>
    <w:rsid w:val="00EB26FB"/>
    <w:rsid w:val="00EC06DD"/>
    <w:rsid w:val="00EC0D1F"/>
    <w:rsid w:val="00EF2173"/>
    <w:rsid w:val="00F126E3"/>
    <w:rsid w:val="00F23E4F"/>
    <w:rsid w:val="00F33C5D"/>
    <w:rsid w:val="00F346B4"/>
    <w:rsid w:val="00F500D6"/>
    <w:rsid w:val="00F618ED"/>
    <w:rsid w:val="00F81C1C"/>
    <w:rsid w:val="00F92325"/>
    <w:rsid w:val="00F92540"/>
    <w:rsid w:val="00F942F6"/>
    <w:rsid w:val="00FB387D"/>
    <w:rsid w:val="00FB5498"/>
    <w:rsid w:val="00FC3DF6"/>
    <w:rsid w:val="00FC7A1D"/>
    <w:rsid w:val="00FE1148"/>
    <w:rsid w:val="00FE1A94"/>
    <w:rsid w:val="00FE402D"/>
    <w:rsid w:val="00FF69F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C80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F69F7"/>
    <w:pPr>
      <w:keepNext/>
      <w:numPr>
        <w:ilvl w:val="1"/>
        <w:numId w:val="34"/>
      </w:numPr>
      <w:spacing w:before="240" w:after="60"/>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F69F7"/>
    <w:pPr>
      <w:keepNext/>
      <w:numPr>
        <w:ilvl w:val="2"/>
        <w:numId w:val="34"/>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4"/>
      </w:numPr>
      <w:spacing w:before="240" w:after="60"/>
      <w:outlineLvl w:val="3"/>
    </w:pPr>
    <w:rPr>
      <w:rFonts w:eastAsia="MS Mincho"/>
      <w:b/>
      <w:bCs/>
      <w:sz w:val="28"/>
      <w:szCs w:val="28"/>
    </w:rPr>
  </w:style>
  <w:style w:type="paragraph" w:styleId="Heading5">
    <w:name w:val="heading 5"/>
    <w:basedOn w:val="Heading4"/>
    <w:next w:val="Normal"/>
    <w:link w:val="Heading5Char"/>
    <w:qFormat/>
    <w:rsid w:val="00C25EEC"/>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25EEC"/>
    <w:pPr>
      <w:keepNext/>
      <w:keepLines/>
      <w:numPr>
        <w:ilvl w:val="5"/>
        <w:numId w:val="34"/>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25EEC"/>
    <w:pPr>
      <w:keepNext/>
      <w:keepLines/>
      <w:numPr>
        <w:ilvl w:val="6"/>
        <w:numId w:val="34"/>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25EEC"/>
    <w:pPr>
      <w:numPr>
        <w:ilvl w:val="7"/>
      </w:numPr>
      <w:outlineLvl w:val="7"/>
    </w:pPr>
  </w:style>
  <w:style w:type="paragraph" w:styleId="Heading9">
    <w:name w:val="heading 9"/>
    <w:basedOn w:val="Heading8"/>
    <w:next w:val="Normal"/>
    <w:link w:val="Heading9Char"/>
    <w:qFormat/>
    <w:rsid w:val="00C25E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F69F7"/>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F69F7"/>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styleId="ListParagraph">
    <w:name w:val="List Paragraph"/>
    <w:basedOn w:val="Normal"/>
    <w:link w:val="ListParagraphChar"/>
    <w:uiPriority w:val="34"/>
    <w:qFormat/>
    <w:rsid w:val="00D573FE"/>
    <w:pPr>
      <w:ind w:left="720"/>
    </w:pPr>
    <w:rPr>
      <w:rFonts w:ascii="Calibri" w:eastAsia="Calibri" w:hAnsi="Calibri"/>
      <w:sz w:val="22"/>
      <w:szCs w:val="22"/>
    </w:rPr>
  </w:style>
  <w:style w:type="character" w:customStyle="1" w:styleId="ListParagraphChar">
    <w:name w:val="List Paragraph Char"/>
    <w:link w:val="ListParagraph"/>
    <w:uiPriority w:val="34"/>
    <w:locked/>
    <w:rsid w:val="00D573FE"/>
    <w:rPr>
      <w:rFonts w:ascii="Calibri" w:eastAsia="Calibri" w:hAnsi="Calibri"/>
    </w:rPr>
  </w:style>
  <w:style w:type="table" w:customStyle="1" w:styleId="TableGridLight1">
    <w:name w:val="Table Grid Light1"/>
    <w:basedOn w:val="TableNormal"/>
    <w:uiPriority w:val="40"/>
    <w:rsid w:val="00D573FE"/>
    <w:pPr>
      <w:spacing w:after="0" w:line="240" w:lineRule="auto"/>
    </w:pPr>
    <w:rPr>
      <w:rFonts w:ascii="CG Times (WN)" w:eastAsiaTheme="minorEastAsia" w:hAnsi="CG Times (W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
    <w:name w:val="Heading 5 Char"/>
    <w:basedOn w:val="DefaultParagraphFont"/>
    <w:link w:val="Heading5"/>
    <w:rsid w:val="00C25EEC"/>
    <w:rPr>
      <w:rFonts w:ascii="Arial" w:hAnsi="Arial" w:cs="Arial"/>
      <w:lang w:val="en-GB" w:eastAsia="zh-CN"/>
    </w:rPr>
  </w:style>
  <w:style w:type="character" w:customStyle="1" w:styleId="Heading6Char">
    <w:name w:val="Heading 6 Char"/>
    <w:basedOn w:val="DefaultParagraphFont"/>
    <w:link w:val="Heading6"/>
    <w:rsid w:val="00C25EEC"/>
    <w:rPr>
      <w:rFonts w:ascii="Arial" w:hAnsi="Arial" w:cs="Arial"/>
      <w:sz w:val="20"/>
      <w:szCs w:val="20"/>
      <w:lang w:val="en-GB" w:eastAsia="zh-CN"/>
    </w:rPr>
  </w:style>
  <w:style w:type="character" w:customStyle="1" w:styleId="Heading7Char">
    <w:name w:val="Heading 7 Char"/>
    <w:basedOn w:val="DefaultParagraphFont"/>
    <w:link w:val="Heading7"/>
    <w:rsid w:val="00C25EEC"/>
    <w:rPr>
      <w:rFonts w:ascii="Arial" w:hAnsi="Arial" w:cs="Arial"/>
      <w:sz w:val="20"/>
      <w:szCs w:val="20"/>
      <w:lang w:val="en-GB" w:eastAsia="zh-CN"/>
    </w:rPr>
  </w:style>
  <w:style w:type="character" w:customStyle="1" w:styleId="Heading8Char">
    <w:name w:val="Heading 8 Char"/>
    <w:basedOn w:val="DefaultParagraphFont"/>
    <w:link w:val="Heading8"/>
    <w:rsid w:val="00C25EEC"/>
    <w:rPr>
      <w:rFonts w:ascii="Arial" w:hAnsi="Arial" w:cs="Arial"/>
      <w:sz w:val="20"/>
      <w:szCs w:val="20"/>
      <w:lang w:val="en-GB" w:eastAsia="zh-CN"/>
    </w:rPr>
  </w:style>
  <w:style w:type="character" w:customStyle="1" w:styleId="Heading9Char">
    <w:name w:val="Heading 9 Char"/>
    <w:basedOn w:val="DefaultParagraphFont"/>
    <w:link w:val="Heading9"/>
    <w:rsid w:val="00C25EEC"/>
    <w:rPr>
      <w:rFonts w:ascii="Arial" w:hAnsi="Arial" w:cs="Arial"/>
      <w:sz w:val="20"/>
      <w:szCs w:val="20"/>
      <w:lang w:val="en-GB" w:eastAsia="zh-CN"/>
    </w:rPr>
  </w:style>
  <w:style w:type="paragraph" w:customStyle="1" w:styleId="Reference">
    <w:name w:val="Reference"/>
    <w:basedOn w:val="Normal"/>
    <w:rsid w:val="00C25EEC"/>
    <w:pPr>
      <w:numPr>
        <w:numId w:val="35"/>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3GPPHeader">
    <w:name w:val="3GPP_Header"/>
    <w:basedOn w:val="Normal"/>
    <w:rsid w:val="005B50D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232483">
      <w:bodyDiv w:val="1"/>
      <w:marLeft w:val="0"/>
      <w:marRight w:val="0"/>
      <w:marTop w:val="0"/>
      <w:marBottom w:val="0"/>
      <w:divBdr>
        <w:top w:val="none" w:sz="0" w:space="0" w:color="auto"/>
        <w:left w:val="none" w:sz="0" w:space="0" w:color="auto"/>
        <w:bottom w:val="none" w:sz="0" w:space="0" w:color="auto"/>
        <w:right w:val="none" w:sz="0" w:space="0" w:color="auto"/>
      </w:divBdr>
    </w:div>
    <w:div w:id="1975136326">
      <w:bodyDiv w:val="1"/>
      <w:marLeft w:val="0"/>
      <w:marRight w:val="0"/>
      <w:marTop w:val="0"/>
      <w:marBottom w:val="0"/>
      <w:divBdr>
        <w:top w:val="none" w:sz="0" w:space="0" w:color="auto"/>
        <w:left w:val="none" w:sz="0" w:space="0" w:color="auto"/>
        <w:bottom w:val="none" w:sz="0" w:space="0" w:color="auto"/>
        <w:right w:val="none" w:sz="0" w:space="0" w:color="auto"/>
      </w:divBdr>
    </w:div>
    <w:div w:id="2118136433">
      <w:bodyDiv w:val="1"/>
      <w:marLeft w:val="0"/>
      <w:marRight w:val="0"/>
      <w:marTop w:val="0"/>
      <w:marBottom w:val="0"/>
      <w:divBdr>
        <w:top w:val="none" w:sz="0" w:space="0" w:color="auto"/>
        <w:left w:val="none" w:sz="0" w:space="0" w:color="auto"/>
        <w:bottom w:val="none" w:sz="0" w:space="0" w:color="auto"/>
        <w:right w:val="none" w:sz="0" w:space="0" w:color="auto"/>
      </w:divBdr>
    </w:div>
    <w:div w:id="212180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0929A-5E0D-4533-944D-4B8853A6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1863</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2017-08-11T15:44:00Z</dcterms:created>
  <dcterms:modified xsi:type="dcterms:W3CDTF">2017-08-11T15:44:00Z</dcterms:modified>
</cp:coreProperties>
</file>