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14845" w14:textId="1CA5AAFD" w:rsidR="000A0A9C" w:rsidRPr="006C4B73" w:rsidRDefault="000A0A9C" w:rsidP="000A0A9C">
      <w:pPr>
        <w:pStyle w:val="a7"/>
        <w:rPr>
          <w:sz w:val="24"/>
          <w:lang w:val="en-US" w:eastAsia="ja-JP"/>
        </w:rPr>
      </w:pPr>
      <w:bookmarkStart w:id="0" w:name="OLE_LINK3"/>
      <w:r>
        <w:rPr>
          <w:sz w:val="24"/>
          <w:lang w:val="en-US"/>
        </w:rPr>
        <w:t xml:space="preserve">3GPP TSG RAN WG1 </w:t>
      </w:r>
      <w:r w:rsidR="003C61B9">
        <w:rPr>
          <w:sz w:val="24"/>
          <w:lang w:val="en-US"/>
        </w:rPr>
        <w:t>Meeting #90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235D5" w:rsidRPr="008235D5">
        <w:rPr>
          <w:sz w:val="24"/>
          <w:lang w:val="en-US" w:eastAsia="ja-JP"/>
        </w:rPr>
        <w:t>R1-17</w:t>
      </w:r>
      <w:r w:rsidR="00067A34">
        <w:rPr>
          <w:sz w:val="24"/>
          <w:lang w:val="en-US" w:eastAsia="ja-JP"/>
        </w:rPr>
        <w:t>13961</w:t>
      </w:r>
    </w:p>
    <w:p w14:paraId="097926AE" w14:textId="14E974AB" w:rsidR="002123E7" w:rsidRDefault="00DB2EBD" w:rsidP="002123E7">
      <w:pPr>
        <w:pStyle w:val="a7"/>
        <w:rPr>
          <w:sz w:val="24"/>
          <w:lang w:val="en-US"/>
        </w:rPr>
      </w:pPr>
      <w:r w:rsidRPr="00DB2EBD">
        <w:rPr>
          <w:sz w:val="24"/>
          <w:lang w:val="en-US"/>
        </w:rPr>
        <w:t>Prague, Czechia, 21th – 25th August 2017</w:t>
      </w:r>
    </w:p>
    <w:p w14:paraId="5B2D8887" w14:textId="77777777" w:rsidR="00DB2EBD" w:rsidRPr="00DB2EBD" w:rsidRDefault="00DB2EBD" w:rsidP="002123E7">
      <w:pPr>
        <w:pStyle w:val="a7"/>
        <w:rPr>
          <w:noProof w:val="0"/>
          <w:lang w:eastAsia="ja-JP"/>
        </w:rPr>
      </w:pPr>
      <w:bookmarkStart w:id="1" w:name="_GoBack"/>
      <w:bookmarkEnd w:id="1"/>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770CA4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4F344F" w:rsidRPr="004F344F">
        <w:rPr>
          <w:sz w:val="24"/>
          <w:lang w:val="en-US" w:eastAsia="ja-JP"/>
        </w:rPr>
        <w:t>Possible enhancements for uplink</w:t>
      </w:r>
    </w:p>
    <w:bookmarkEnd w:id="2"/>
    <w:bookmarkEnd w:id="3"/>
    <w:bookmarkEnd w:id="4"/>
    <w:bookmarkEnd w:id="5"/>
    <w:p w14:paraId="02FF14B3" w14:textId="711BA59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3C61B9">
        <w:rPr>
          <w:sz w:val="24"/>
          <w:lang w:val="en-US" w:eastAsia="ja-JP"/>
        </w:rPr>
        <w:t>6</w:t>
      </w:r>
      <w:r w:rsidR="002E3992">
        <w:rPr>
          <w:sz w:val="24"/>
          <w:lang w:val="en-US" w:eastAsia="ja-JP"/>
        </w:rPr>
        <w:t>.1.3.3.7.2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F3429E3" w:rsidR="005250D1" w:rsidRPr="007307E6"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 xml:space="preserve">we discuss </w:t>
      </w:r>
      <w:r w:rsidR="0059189B">
        <w:rPr>
          <w:rFonts w:eastAsia="ＭＳ 明朝"/>
          <w:sz w:val="22"/>
          <w:lang w:val="en-US"/>
        </w:rPr>
        <w:t>multiplexing of different data durations f</w:t>
      </w:r>
      <w:r w:rsidR="005250D1">
        <w:rPr>
          <w:rFonts w:eastAsia="ＭＳ 明朝"/>
          <w:sz w:val="22"/>
          <w:lang w:val="en-US"/>
        </w:rPr>
        <w:t>or uplink</w:t>
      </w:r>
      <w:r w:rsidR="00AB5D7A">
        <w:rPr>
          <w:rFonts w:eastAsia="ＭＳ 明朝"/>
          <w:sz w:val="22"/>
          <w:lang w:val="en-US"/>
        </w:rPr>
        <w:t>.</w:t>
      </w:r>
    </w:p>
    <w:p w14:paraId="0FA8B3BB" w14:textId="3DAFA27F" w:rsidR="005250D1" w:rsidRDefault="0059189B" w:rsidP="005250D1">
      <w:pPr>
        <w:pStyle w:val="1"/>
        <w:numPr>
          <w:ilvl w:val="0"/>
          <w:numId w:val="6"/>
        </w:numPr>
        <w:spacing w:after="120"/>
        <w:jc w:val="both"/>
        <w:rPr>
          <w:rFonts w:eastAsia="DengXian"/>
          <w:b/>
          <w:lang w:val="en-US" w:eastAsia="zh-CN"/>
        </w:rPr>
      </w:pPr>
      <w:r>
        <w:rPr>
          <w:rFonts w:eastAsia="DengXian"/>
          <w:b/>
          <w:lang w:val="en-US" w:eastAsia="zh-CN"/>
        </w:rPr>
        <w:t>Multiplexing of different data durations</w:t>
      </w:r>
      <w:r w:rsidR="000E56C0">
        <w:rPr>
          <w:rFonts w:eastAsia="DengXian"/>
          <w:b/>
          <w:lang w:val="en-US" w:eastAsia="zh-CN"/>
        </w:rPr>
        <w:t xml:space="preserve"> for uplink</w:t>
      </w:r>
    </w:p>
    <w:p w14:paraId="46CB04EC" w14:textId="09829BD7" w:rsidR="000E56C0" w:rsidRDefault="00747DAD" w:rsidP="007C3863">
      <w:pPr>
        <w:spacing w:afterLines="50" w:after="120"/>
        <w:jc w:val="both"/>
        <w:rPr>
          <w:rFonts w:eastAsia="ＭＳ 明朝"/>
          <w:sz w:val="22"/>
          <w:lang w:val="en-US"/>
        </w:rPr>
      </w:pPr>
      <w:bookmarkStart w:id="8" w:name="_Hlk481753303"/>
      <w:r>
        <w:rPr>
          <w:rFonts w:eastAsia="ＭＳ 明朝" w:hint="eastAsia"/>
          <w:sz w:val="22"/>
          <w:lang w:val="en-US"/>
        </w:rPr>
        <w:t xml:space="preserve">Shorter data transmission duration is promising to satisfy </w:t>
      </w:r>
      <w:r w:rsidR="008235D5">
        <w:rPr>
          <w:rFonts w:eastAsia="ＭＳ 明朝" w:hint="eastAsia"/>
          <w:sz w:val="22"/>
          <w:lang w:val="en-US"/>
        </w:rPr>
        <w:t xml:space="preserve">low latency requirement </w:t>
      </w:r>
      <w:r w:rsidR="008235D5">
        <w:rPr>
          <w:rFonts w:eastAsia="ＭＳ 明朝"/>
          <w:sz w:val="22"/>
          <w:lang w:val="en-US"/>
        </w:rPr>
        <w:t xml:space="preserve">for </w:t>
      </w:r>
      <w:r>
        <w:rPr>
          <w:rFonts w:eastAsia="ＭＳ 明朝" w:hint="eastAsia"/>
          <w:sz w:val="22"/>
          <w:lang w:val="en-US"/>
        </w:rPr>
        <w:t xml:space="preserve">URLLC and/or eMBB low </w:t>
      </w:r>
      <w:r>
        <w:rPr>
          <w:rFonts w:eastAsia="ＭＳ 明朝"/>
          <w:sz w:val="22"/>
          <w:lang w:val="en-US"/>
        </w:rPr>
        <w:t>latency</w:t>
      </w:r>
      <w:r>
        <w:rPr>
          <w:rFonts w:eastAsia="ＭＳ 明朝" w:hint="eastAsia"/>
          <w:sz w:val="22"/>
          <w:lang w:val="en-US"/>
        </w:rPr>
        <w:t xml:space="preserve"> </w:t>
      </w:r>
      <w:r>
        <w:rPr>
          <w:rFonts w:eastAsia="ＭＳ 明朝"/>
          <w:sz w:val="22"/>
          <w:lang w:val="en-US"/>
        </w:rPr>
        <w:t xml:space="preserve">services. </w:t>
      </w:r>
      <w:r w:rsidR="000E56C0">
        <w:rPr>
          <w:rFonts w:eastAsia="ＭＳ 明朝"/>
          <w:sz w:val="22"/>
          <w:lang w:val="en-US"/>
        </w:rPr>
        <w:t>Especially for</w:t>
      </w:r>
      <w:r w:rsidR="007C3863">
        <w:rPr>
          <w:rFonts w:eastAsia="ＭＳ 明朝"/>
          <w:sz w:val="22"/>
          <w:lang w:val="en-US"/>
        </w:rPr>
        <w:t xml:space="preserve"> URLLC services, </w:t>
      </w:r>
      <w:r w:rsidR="00B2437D">
        <w:rPr>
          <w:rFonts w:eastAsia="ＭＳ 明朝"/>
          <w:sz w:val="22"/>
          <w:lang w:val="en-US"/>
        </w:rPr>
        <w:t xml:space="preserve">in order to meet </w:t>
      </w:r>
      <w:r w:rsidR="007C3863">
        <w:rPr>
          <w:rFonts w:eastAsia="ＭＳ 明朝"/>
          <w:sz w:val="22"/>
          <w:lang w:val="en-US"/>
        </w:rPr>
        <w:t>extremely tight latency/reliability requirements</w:t>
      </w:r>
      <w:r w:rsidR="0019317A">
        <w:rPr>
          <w:rFonts w:eastAsia="ＭＳ 明朝"/>
          <w:sz w:val="22"/>
          <w:lang w:val="en-US"/>
        </w:rPr>
        <w:t xml:space="preserve">, </w:t>
      </w:r>
      <w:r w:rsidR="00FC5077">
        <w:rPr>
          <w:rFonts w:eastAsia="ＭＳ 明朝"/>
          <w:sz w:val="22"/>
          <w:lang w:val="en-US"/>
        </w:rPr>
        <w:t>shorter data transmission duration</w:t>
      </w:r>
      <w:r w:rsidR="0019317A">
        <w:rPr>
          <w:rFonts w:eastAsia="ＭＳ 明朝"/>
          <w:sz w:val="22"/>
          <w:lang w:val="en-US"/>
        </w:rPr>
        <w:t xml:space="preserve"> is essential</w:t>
      </w:r>
      <w:r w:rsidR="007C3863">
        <w:rPr>
          <w:rFonts w:eastAsia="ＭＳ 明朝"/>
          <w:sz w:val="22"/>
          <w:lang w:val="en-US"/>
        </w:rPr>
        <w:t>.</w:t>
      </w:r>
      <w:r w:rsidR="00C5230C">
        <w:rPr>
          <w:rFonts w:eastAsia="ＭＳ 明朝"/>
          <w:sz w:val="22"/>
          <w:lang w:val="en-US"/>
        </w:rPr>
        <w:t xml:space="preserve"> </w:t>
      </w:r>
      <w:r w:rsidR="000E56C0">
        <w:rPr>
          <w:rFonts w:eastAsia="ＭＳ 明朝"/>
          <w:sz w:val="22"/>
          <w:lang w:val="en-US"/>
        </w:rPr>
        <w:t xml:space="preserve">On the other hand, for the services where latency requirement is not extremely tight while high spectral efficiency is important, longer data durations are </w:t>
      </w:r>
      <w:r w:rsidR="00306B4E">
        <w:rPr>
          <w:rFonts w:eastAsia="ＭＳ 明朝"/>
          <w:sz w:val="22"/>
          <w:lang w:val="en-US"/>
        </w:rPr>
        <w:t>preferable</w:t>
      </w:r>
      <w:r w:rsidR="000E56C0">
        <w:rPr>
          <w:rFonts w:eastAsia="ＭＳ 明朝"/>
          <w:sz w:val="22"/>
          <w:lang w:val="en-US"/>
        </w:rPr>
        <w:t>, since it reduces control/RS overhead</w:t>
      </w:r>
      <w:r w:rsidR="00DA5E95">
        <w:rPr>
          <w:rFonts w:eastAsia="ＭＳ 明朝"/>
          <w:sz w:val="22"/>
          <w:lang w:val="en-US"/>
        </w:rPr>
        <w:t xml:space="preserve"> and </w:t>
      </w:r>
      <w:r w:rsidR="003C61B9">
        <w:rPr>
          <w:rFonts w:eastAsia="ＭＳ 明朝"/>
          <w:sz w:val="22"/>
          <w:lang w:val="en-US"/>
        </w:rPr>
        <w:t xml:space="preserve">data </w:t>
      </w:r>
      <w:r w:rsidR="00DA5E95">
        <w:rPr>
          <w:rFonts w:eastAsia="ＭＳ 明朝"/>
          <w:sz w:val="22"/>
          <w:lang w:val="en-US"/>
        </w:rPr>
        <w:t>splitting loss</w:t>
      </w:r>
      <w:r w:rsidR="000E56C0">
        <w:rPr>
          <w:rFonts w:eastAsia="ＭＳ 明朝"/>
          <w:sz w:val="22"/>
          <w:lang w:val="en-US"/>
        </w:rPr>
        <w:t>.</w:t>
      </w:r>
    </w:p>
    <w:p w14:paraId="1C5DEC96" w14:textId="2DE11CD9" w:rsidR="00DB2EBD" w:rsidRDefault="00DA5E95" w:rsidP="008F17E7">
      <w:pPr>
        <w:spacing w:afterLines="50" w:after="120"/>
        <w:jc w:val="both"/>
        <w:rPr>
          <w:rFonts w:eastAsia="ＭＳ 明朝"/>
          <w:sz w:val="22"/>
          <w:lang w:val="en-US"/>
        </w:rPr>
      </w:pPr>
      <w:r>
        <w:rPr>
          <w:rFonts w:eastAsia="ＭＳ 明朝"/>
          <w:sz w:val="22"/>
          <w:lang w:val="en-US"/>
        </w:rPr>
        <w:t xml:space="preserve">For NR, </w:t>
      </w:r>
      <w:r w:rsidR="0068409B">
        <w:rPr>
          <w:rFonts w:eastAsia="ＭＳ 明朝"/>
          <w:sz w:val="22"/>
          <w:lang w:val="en-US"/>
        </w:rPr>
        <w:t>slot-based scheduling and non-slot-based scheduling are supported for downlink</w:t>
      </w:r>
      <w:r w:rsidR="00DB2EBD">
        <w:rPr>
          <w:rFonts w:eastAsia="ＭＳ 明朝"/>
          <w:sz w:val="22"/>
          <w:lang w:val="en-US"/>
        </w:rPr>
        <w:t xml:space="preserve"> [1]</w:t>
      </w:r>
      <w:r w:rsidR="0068409B">
        <w:rPr>
          <w:rFonts w:eastAsia="ＭＳ 明朝"/>
          <w:sz w:val="22"/>
          <w:lang w:val="en-US"/>
        </w:rPr>
        <w:t xml:space="preserve">. </w:t>
      </w:r>
      <w:r w:rsidR="00DB2EBD">
        <w:rPr>
          <w:rFonts w:eastAsia="ＭＳ 明朝"/>
          <w:sz w:val="22"/>
          <w:lang w:val="en-US"/>
        </w:rPr>
        <w:t>The non-slot-based scheduling is aimed to realize data starting position at any OFDM symbol and various/flexible data transmission duration</w:t>
      </w:r>
      <w:r w:rsidR="00306B4E">
        <w:rPr>
          <w:rFonts w:eastAsia="ＭＳ 明朝"/>
          <w:sz w:val="22"/>
          <w:lang w:val="en-US"/>
        </w:rPr>
        <w:t>s</w:t>
      </w:r>
      <w:r w:rsidR="00DB2EBD">
        <w:rPr>
          <w:rFonts w:eastAsia="ＭＳ 明朝"/>
          <w:sz w:val="22"/>
          <w:lang w:val="en-US"/>
        </w:rPr>
        <w:t xml:space="preserve">. For uplink, although such classification has not been agreed, equivalent mechanism should be enabled.  At least from the network/carrier point of view, </w:t>
      </w:r>
      <w:r w:rsidR="000E56C0">
        <w:rPr>
          <w:rFonts w:eastAsia="ＭＳ 明朝" w:hint="eastAsia"/>
          <w:sz w:val="22"/>
          <w:lang w:val="en-US"/>
        </w:rPr>
        <w:t xml:space="preserve">data transmissions </w:t>
      </w:r>
      <w:r w:rsidR="00FC5077">
        <w:rPr>
          <w:rFonts w:eastAsia="ＭＳ 明朝"/>
          <w:sz w:val="22"/>
          <w:lang w:val="en-US"/>
        </w:rPr>
        <w:t>with</w:t>
      </w:r>
      <w:r w:rsidR="00FC5077">
        <w:rPr>
          <w:rFonts w:eastAsia="ＭＳ 明朝" w:hint="eastAsia"/>
          <w:sz w:val="22"/>
          <w:lang w:val="en-US"/>
        </w:rPr>
        <w:t xml:space="preserve"> </w:t>
      </w:r>
      <w:r w:rsidR="000E56C0">
        <w:rPr>
          <w:rFonts w:eastAsia="ＭＳ 明朝" w:hint="eastAsia"/>
          <w:sz w:val="22"/>
          <w:lang w:val="en-US"/>
        </w:rPr>
        <w:t xml:space="preserve">different durations </w:t>
      </w:r>
      <w:r>
        <w:rPr>
          <w:rFonts w:eastAsia="ＭＳ 明朝"/>
          <w:sz w:val="22"/>
          <w:lang w:val="en-US"/>
        </w:rPr>
        <w:t>should be able to be</w:t>
      </w:r>
      <w:r w:rsidR="000E56C0">
        <w:rPr>
          <w:rFonts w:eastAsia="ＭＳ 明朝" w:hint="eastAsia"/>
          <w:sz w:val="22"/>
          <w:lang w:val="en-US"/>
        </w:rPr>
        <w:t xml:space="preserve"> multiplexed on one carrier</w:t>
      </w:r>
      <w:r>
        <w:rPr>
          <w:rFonts w:eastAsia="ＭＳ 明朝"/>
          <w:sz w:val="22"/>
          <w:lang w:val="en-US"/>
        </w:rPr>
        <w:t xml:space="preserve"> in efficient manner</w:t>
      </w:r>
      <w:r w:rsidR="000E56C0">
        <w:rPr>
          <w:rFonts w:eastAsia="ＭＳ 明朝" w:hint="eastAsia"/>
          <w:sz w:val="22"/>
          <w:lang w:val="en-US"/>
        </w:rPr>
        <w:t xml:space="preserve">. </w:t>
      </w:r>
      <w:r w:rsidR="000E56C0">
        <w:rPr>
          <w:rFonts w:eastAsia="ＭＳ 明朝"/>
          <w:sz w:val="22"/>
          <w:lang w:val="en-US"/>
        </w:rPr>
        <w:t xml:space="preserve">If the traffic </w:t>
      </w:r>
      <w:r w:rsidR="00C93BA0">
        <w:rPr>
          <w:rFonts w:eastAsia="ＭＳ 明朝"/>
          <w:sz w:val="22"/>
          <w:lang w:val="en-US"/>
        </w:rPr>
        <w:t>of data transmission</w:t>
      </w:r>
      <w:r w:rsidR="00306B4E">
        <w:rPr>
          <w:rFonts w:eastAsia="ＭＳ 明朝"/>
          <w:sz w:val="22"/>
          <w:lang w:val="en-US"/>
        </w:rPr>
        <w:t xml:space="preserve"> with shorter duration</w:t>
      </w:r>
      <w:r w:rsidR="00C93BA0">
        <w:rPr>
          <w:rFonts w:eastAsia="ＭＳ 明朝"/>
          <w:sz w:val="22"/>
          <w:lang w:val="en-US"/>
        </w:rPr>
        <w:t xml:space="preserve"> is constant</w:t>
      </w:r>
      <w:r>
        <w:rPr>
          <w:rFonts w:eastAsia="ＭＳ 明朝"/>
          <w:sz w:val="22"/>
          <w:lang w:val="en-US"/>
        </w:rPr>
        <w:t xml:space="preserve"> and high</w:t>
      </w:r>
      <w:r w:rsidR="000E56C0">
        <w:rPr>
          <w:rFonts w:eastAsia="ＭＳ 明朝"/>
          <w:sz w:val="22"/>
          <w:lang w:val="en-US"/>
        </w:rPr>
        <w:t xml:space="preserve">, it is reasonable to </w:t>
      </w:r>
      <w:r w:rsidR="003C61B9">
        <w:rPr>
          <w:rFonts w:eastAsia="ＭＳ 明朝"/>
          <w:sz w:val="22"/>
          <w:lang w:val="en-US"/>
        </w:rPr>
        <w:t>allocate a certain amount of sub-band in the carrier for</w:t>
      </w:r>
      <w:r w:rsidR="000E56C0">
        <w:rPr>
          <w:rFonts w:eastAsia="ＭＳ 明朝"/>
          <w:sz w:val="22"/>
          <w:lang w:val="en-US"/>
        </w:rPr>
        <w:t xml:space="preserve"> the data transmissions</w:t>
      </w:r>
      <w:r w:rsidR="00306B4E">
        <w:rPr>
          <w:rFonts w:eastAsia="ＭＳ 明朝"/>
          <w:sz w:val="22"/>
          <w:lang w:val="en-US"/>
        </w:rPr>
        <w:t xml:space="preserve"> with shorter durations</w:t>
      </w:r>
      <w:r w:rsidR="003C61B9">
        <w:rPr>
          <w:rFonts w:eastAsia="ＭＳ 明朝"/>
          <w:sz w:val="22"/>
          <w:lang w:val="en-US"/>
        </w:rPr>
        <w:t>, and longer data transmissions and shorter data transmissions are FDMed in the carrier</w:t>
      </w:r>
      <w:r w:rsidR="000E56C0">
        <w:rPr>
          <w:rFonts w:eastAsia="ＭＳ 明朝"/>
          <w:sz w:val="22"/>
          <w:lang w:val="en-US"/>
        </w:rPr>
        <w:t xml:space="preserve">. On the other hand, if it is not </w:t>
      </w:r>
      <w:r w:rsidR="00C93BA0">
        <w:rPr>
          <w:rFonts w:eastAsia="ＭＳ 明朝"/>
          <w:sz w:val="22"/>
          <w:lang w:val="en-US"/>
        </w:rPr>
        <w:t>constant</w:t>
      </w:r>
      <w:r w:rsidR="000E56C0">
        <w:rPr>
          <w:rFonts w:eastAsia="ＭＳ 明朝"/>
          <w:sz w:val="22"/>
          <w:lang w:val="en-US"/>
        </w:rPr>
        <w:t xml:space="preserve"> or </w:t>
      </w:r>
      <w:r>
        <w:rPr>
          <w:rFonts w:eastAsia="ＭＳ 明朝"/>
          <w:sz w:val="22"/>
          <w:lang w:val="en-US"/>
        </w:rPr>
        <w:t>sporadic</w:t>
      </w:r>
      <w:r w:rsidR="000E56C0">
        <w:rPr>
          <w:rFonts w:eastAsia="ＭＳ 明朝"/>
          <w:sz w:val="22"/>
          <w:lang w:val="en-US"/>
        </w:rPr>
        <w:t xml:space="preserve">, </w:t>
      </w:r>
      <w:r w:rsidR="003C61B9">
        <w:rPr>
          <w:rFonts w:eastAsia="ＭＳ 明朝"/>
          <w:sz w:val="22"/>
          <w:lang w:val="en-US"/>
        </w:rPr>
        <w:t xml:space="preserve">such semi-static </w:t>
      </w:r>
      <w:r w:rsidR="008F17E7">
        <w:rPr>
          <w:rFonts w:eastAsia="ＭＳ 明朝"/>
          <w:sz w:val="22"/>
          <w:lang w:val="en-US"/>
        </w:rPr>
        <w:t>resource reservation for shorter data transmissions degrades the spectral efficiency of the carrier.</w:t>
      </w:r>
      <w:bookmarkEnd w:id="8"/>
    </w:p>
    <w:p w14:paraId="41B106D0" w14:textId="21F65E04" w:rsidR="00F844B0" w:rsidRPr="003C61B9" w:rsidRDefault="008F17E7" w:rsidP="008F17E7">
      <w:pPr>
        <w:spacing w:afterLines="50" w:after="120"/>
        <w:jc w:val="both"/>
        <w:rPr>
          <w:rFonts w:eastAsia="ＭＳ 明朝"/>
          <w:sz w:val="22"/>
          <w:lang w:val="en-US"/>
        </w:rPr>
      </w:pPr>
      <w:r>
        <w:rPr>
          <w:rFonts w:eastAsia="ＭＳ 明朝"/>
          <w:sz w:val="22"/>
          <w:lang w:val="en-US"/>
        </w:rPr>
        <w:t xml:space="preserve">In order to </w:t>
      </w:r>
      <w:r w:rsidR="003C61B9">
        <w:rPr>
          <w:rFonts w:eastAsia="ＭＳ 明朝"/>
          <w:sz w:val="22"/>
          <w:lang w:val="en-US"/>
        </w:rPr>
        <w:t>enable transmitting</w:t>
      </w:r>
      <w:r w:rsidR="00FC5077">
        <w:rPr>
          <w:rFonts w:eastAsia="ＭＳ 明朝"/>
          <w:sz w:val="22"/>
          <w:lang w:val="en-US"/>
        </w:rPr>
        <w:t xml:space="preserve"> bursty traffic with short duration while maintain</w:t>
      </w:r>
      <w:r w:rsidR="003C61B9">
        <w:rPr>
          <w:rFonts w:eastAsia="ＭＳ 明朝"/>
          <w:sz w:val="22"/>
          <w:lang w:val="en-US"/>
        </w:rPr>
        <w:t>ing</w:t>
      </w:r>
      <w:r w:rsidR="00FC5077">
        <w:rPr>
          <w:rFonts w:eastAsia="ＭＳ 明朝"/>
          <w:sz w:val="22"/>
          <w:lang w:val="en-US"/>
        </w:rPr>
        <w:t xml:space="preserve"> high resource usage efficiency</w:t>
      </w:r>
      <w:r>
        <w:rPr>
          <w:rFonts w:eastAsia="ＭＳ 明朝"/>
          <w:sz w:val="22"/>
          <w:lang w:val="en-US"/>
        </w:rPr>
        <w:t>, f</w:t>
      </w:r>
      <w:r w:rsidR="000D7EAE">
        <w:rPr>
          <w:rFonts w:eastAsia="ＭＳ 明朝"/>
          <w:sz w:val="22"/>
          <w:lang w:val="en-US"/>
        </w:rPr>
        <w:t xml:space="preserve">or downlink, </w:t>
      </w:r>
      <w:r w:rsidR="003C61B9">
        <w:rPr>
          <w:rFonts w:eastAsia="ＭＳ 明朝"/>
          <w:sz w:val="22"/>
          <w:lang w:val="en-US"/>
        </w:rPr>
        <w:t xml:space="preserve">two ways of puncturing longer transmission duration by shorter transmission duration were agreed, a.k.a CBG-based (re)transmission with different handling of soft-buffer/HARQ combining </w:t>
      </w:r>
      <w:r w:rsidR="00DB2EBD">
        <w:rPr>
          <w:rFonts w:eastAsia="ＭＳ 明朝"/>
          <w:sz w:val="22"/>
          <w:lang w:val="en-US"/>
        </w:rPr>
        <w:t>[2]</w:t>
      </w:r>
      <w:r w:rsidR="00340EC9">
        <w:rPr>
          <w:rFonts w:eastAsia="ＭＳ 明朝"/>
          <w:sz w:val="22"/>
          <w:lang w:val="en-US"/>
        </w:rPr>
        <w:t xml:space="preserve"> </w:t>
      </w:r>
      <w:r w:rsidR="00DB2EBD">
        <w:rPr>
          <w:rFonts w:eastAsia="ＭＳ 明朝"/>
          <w:sz w:val="22"/>
          <w:lang w:val="en-US"/>
        </w:rPr>
        <w:t>-</w:t>
      </w:r>
      <w:r w:rsidR="00340EC9">
        <w:rPr>
          <w:rFonts w:eastAsia="ＭＳ 明朝"/>
          <w:sz w:val="22"/>
          <w:lang w:val="en-US"/>
        </w:rPr>
        <w:t xml:space="preserve"> </w:t>
      </w:r>
      <w:r w:rsidR="00DB2EBD">
        <w:rPr>
          <w:rFonts w:eastAsia="ＭＳ 明朝"/>
          <w:sz w:val="22"/>
          <w:lang w:val="en-US"/>
        </w:rPr>
        <w:t xml:space="preserve">[4] </w:t>
      </w:r>
      <w:r w:rsidR="003C61B9">
        <w:rPr>
          <w:rFonts w:eastAsia="ＭＳ 明朝"/>
          <w:sz w:val="22"/>
          <w:lang w:val="en-US"/>
        </w:rPr>
        <w:t>and pre-emption indication by group-common DCI</w:t>
      </w:r>
      <w:r w:rsidR="00DB2EBD">
        <w:rPr>
          <w:rFonts w:eastAsia="ＭＳ 明朝"/>
          <w:sz w:val="22"/>
          <w:lang w:val="en-US"/>
        </w:rPr>
        <w:t xml:space="preserve"> [5]</w:t>
      </w:r>
      <w:r w:rsidR="003C61B9">
        <w:rPr>
          <w:rFonts w:eastAsia="ＭＳ 明朝"/>
          <w:sz w:val="22"/>
          <w:lang w:val="en-US"/>
        </w:rPr>
        <w:t>.</w:t>
      </w:r>
      <w:r w:rsidR="00C93BA0">
        <w:rPr>
          <w:rFonts w:eastAsia="ＭＳ 明朝"/>
          <w:sz w:val="22"/>
          <w:lang w:val="en-US"/>
        </w:rPr>
        <w:t xml:space="preserve"> In case of downlink, p</w:t>
      </w:r>
      <w:r>
        <w:rPr>
          <w:rFonts w:eastAsia="ＭＳ 明朝"/>
          <w:sz w:val="22"/>
          <w:lang w:val="en-US"/>
        </w:rPr>
        <w:t>reemption</w:t>
      </w:r>
      <w:r w:rsidR="003C61B9">
        <w:rPr>
          <w:rFonts w:eastAsia="ＭＳ 明朝"/>
          <w:sz w:val="22"/>
          <w:lang w:val="en-US"/>
        </w:rPr>
        <w:t>/puncturing is done by the gNB</w:t>
      </w:r>
      <w:r>
        <w:rPr>
          <w:rFonts w:eastAsia="ＭＳ 明朝"/>
          <w:sz w:val="22"/>
          <w:lang w:val="en-US"/>
        </w:rPr>
        <w:t>.</w:t>
      </w:r>
      <w:r w:rsidR="00340EC9">
        <w:rPr>
          <w:rFonts w:eastAsia="ＭＳ 明朝"/>
          <w:sz w:val="22"/>
          <w:lang w:val="en-US"/>
        </w:rPr>
        <w:t xml:space="preserve"> Therefore, it is still up to the gNB whether to inform UE of being punctured; even if nothing is informed to the punctured UE, performance of puncturing data is not impacted. </w:t>
      </w:r>
    </w:p>
    <w:p w14:paraId="41FC9427" w14:textId="66F4AABB" w:rsidR="00AE79C1" w:rsidRDefault="000D7EAE" w:rsidP="008F17E7">
      <w:pPr>
        <w:spacing w:afterLines="50" w:after="120"/>
        <w:jc w:val="both"/>
        <w:rPr>
          <w:rFonts w:eastAsia="ＭＳ 明朝"/>
          <w:sz w:val="22"/>
          <w:lang w:val="en-US"/>
        </w:rPr>
      </w:pPr>
      <w:r>
        <w:rPr>
          <w:rFonts w:eastAsia="ＭＳ 明朝"/>
          <w:sz w:val="22"/>
          <w:lang w:val="en-US"/>
        </w:rPr>
        <w:t xml:space="preserve">On the other hand, </w:t>
      </w:r>
      <w:r w:rsidR="00340EC9">
        <w:rPr>
          <w:rFonts w:eastAsia="ＭＳ 明朝"/>
          <w:sz w:val="22"/>
          <w:lang w:val="en-US"/>
        </w:rPr>
        <w:t>these mechanisms cannot be applied to uplink. I</w:t>
      </w:r>
      <w:r>
        <w:rPr>
          <w:rFonts w:eastAsia="ＭＳ 明朝"/>
          <w:sz w:val="22"/>
          <w:lang w:val="en-US"/>
        </w:rPr>
        <w:t>n case of uplink, the puncturing</w:t>
      </w:r>
      <w:r w:rsidR="008F17E7">
        <w:rPr>
          <w:rFonts w:eastAsia="ＭＳ 明朝"/>
          <w:sz w:val="22"/>
          <w:lang w:val="en-US"/>
        </w:rPr>
        <w:t xml:space="preserve">, if it is </w:t>
      </w:r>
      <w:r w:rsidR="00F844B0">
        <w:rPr>
          <w:rFonts w:eastAsia="ＭＳ 明朝"/>
          <w:sz w:val="22"/>
          <w:lang w:val="en-US"/>
        </w:rPr>
        <w:t>enabled</w:t>
      </w:r>
      <w:r w:rsidR="008F17E7">
        <w:rPr>
          <w:rFonts w:eastAsia="ＭＳ 明朝"/>
          <w:sz w:val="22"/>
          <w:lang w:val="en-US"/>
        </w:rPr>
        <w:t>,</w:t>
      </w:r>
      <w:r>
        <w:rPr>
          <w:rFonts w:eastAsia="ＭＳ 明朝"/>
          <w:sz w:val="22"/>
          <w:lang w:val="en-US"/>
        </w:rPr>
        <w:t xml:space="preserve"> shall be done by the UE</w:t>
      </w:r>
      <w:r w:rsidR="00340EC9">
        <w:rPr>
          <w:rFonts w:eastAsia="ＭＳ 明朝"/>
          <w:sz w:val="22"/>
          <w:lang w:val="en-US"/>
        </w:rPr>
        <w:t xml:space="preserve"> whose data is punctured</w:t>
      </w:r>
      <w:r w:rsidR="008F17E7">
        <w:rPr>
          <w:rFonts w:eastAsia="ＭＳ 明朝"/>
          <w:sz w:val="22"/>
          <w:lang w:val="en-US"/>
        </w:rPr>
        <w:t xml:space="preserve">. </w:t>
      </w:r>
      <w:r w:rsidR="00340EC9">
        <w:rPr>
          <w:rFonts w:eastAsia="ＭＳ 明朝"/>
          <w:sz w:val="22"/>
          <w:lang w:val="en-US"/>
        </w:rPr>
        <w:t>In general</w:t>
      </w:r>
      <w:r w:rsidR="00A94263">
        <w:rPr>
          <w:rFonts w:eastAsia="ＭＳ 明朝"/>
          <w:sz w:val="22"/>
          <w:lang w:val="en-US"/>
        </w:rPr>
        <w:t>, the UE required to puncture the transmission does not know when/whether the puncturing is necessary</w:t>
      </w:r>
      <w:r w:rsidR="00C93BA0">
        <w:rPr>
          <w:rFonts w:eastAsia="ＭＳ 明朝"/>
          <w:sz w:val="22"/>
          <w:lang w:val="en-US"/>
        </w:rPr>
        <w:t xml:space="preserve"> </w:t>
      </w:r>
      <w:r w:rsidR="00340EC9">
        <w:rPr>
          <w:rFonts w:eastAsia="ＭＳ 明朝"/>
          <w:sz w:val="22"/>
          <w:lang w:val="en-US"/>
        </w:rPr>
        <w:t>unless the scheduling information of puncturing data is received by the same UE</w:t>
      </w:r>
      <w:r w:rsidR="00A94263">
        <w:rPr>
          <w:rFonts w:eastAsia="ＭＳ 明朝"/>
          <w:sz w:val="22"/>
          <w:lang w:val="en-US"/>
        </w:rPr>
        <w:t xml:space="preserve">. </w:t>
      </w:r>
      <w:r w:rsidR="00C93BA0">
        <w:rPr>
          <w:rFonts w:eastAsia="ＭＳ 明朝"/>
          <w:sz w:val="22"/>
          <w:lang w:val="en-US"/>
        </w:rPr>
        <w:t xml:space="preserve">Therefore, gNB </w:t>
      </w:r>
      <w:r w:rsidR="00340EC9">
        <w:rPr>
          <w:rFonts w:eastAsia="ＭＳ 明朝"/>
          <w:sz w:val="22"/>
          <w:lang w:val="en-US"/>
        </w:rPr>
        <w:t>needs to tell the UE on which resources shall be punctured. I</w:t>
      </w:r>
      <w:r w:rsidR="00A94263">
        <w:rPr>
          <w:rFonts w:eastAsia="ＭＳ 明朝"/>
          <w:sz w:val="22"/>
          <w:lang w:val="en-US"/>
        </w:rPr>
        <w:t xml:space="preserve">f the indication is missed by the UE, the </w:t>
      </w:r>
      <w:r w:rsidR="00C94A6C">
        <w:rPr>
          <w:rFonts w:eastAsia="ＭＳ 明朝"/>
          <w:sz w:val="22"/>
          <w:lang w:val="en-US"/>
        </w:rPr>
        <w:t xml:space="preserve">puncturing </w:t>
      </w:r>
      <w:r w:rsidR="00312324">
        <w:rPr>
          <w:rFonts w:eastAsia="ＭＳ 明朝"/>
          <w:sz w:val="22"/>
          <w:lang w:val="en-US"/>
        </w:rPr>
        <w:t>can</w:t>
      </w:r>
      <w:r w:rsidR="00C94A6C">
        <w:rPr>
          <w:rFonts w:eastAsia="ＭＳ 明朝"/>
          <w:sz w:val="22"/>
          <w:lang w:val="en-US"/>
        </w:rPr>
        <w:t>not</w:t>
      </w:r>
      <w:r w:rsidR="00312324">
        <w:rPr>
          <w:rFonts w:eastAsia="ＭＳ 明朝"/>
          <w:sz w:val="22"/>
          <w:lang w:val="en-US"/>
        </w:rPr>
        <w:t xml:space="preserve"> be</w:t>
      </w:r>
      <w:r w:rsidR="00C94A6C">
        <w:rPr>
          <w:rFonts w:eastAsia="ＭＳ 明朝"/>
          <w:sz w:val="22"/>
          <w:lang w:val="en-US"/>
        </w:rPr>
        <w:t xml:space="preserve"> carried out. Therefore, the puncturing indication </w:t>
      </w:r>
      <w:r w:rsidR="00661179">
        <w:rPr>
          <w:rFonts w:eastAsia="ＭＳ 明朝"/>
          <w:sz w:val="22"/>
          <w:lang w:val="en-US"/>
        </w:rPr>
        <w:t xml:space="preserve">should sufficiently be robust against the miss-detection. If the </w:t>
      </w:r>
      <w:r w:rsidR="00340EC9">
        <w:rPr>
          <w:rFonts w:eastAsia="ＭＳ 明朝"/>
          <w:sz w:val="22"/>
          <w:lang w:val="en-US"/>
        </w:rPr>
        <w:t>puncturing data</w:t>
      </w:r>
      <w:r w:rsidR="00661179">
        <w:rPr>
          <w:rFonts w:eastAsia="ＭＳ 明朝"/>
          <w:sz w:val="22"/>
          <w:lang w:val="en-US"/>
        </w:rPr>
        <w:t xml:space="preserve"> is URLLC traffic requiring ultra-reliability, the puncturing indication should also meet the requirement of the reliability</w:t>
      </w:r>
      <w:r w:rsidR="008F0481">
        <w:rPr>
          <w:rFonts w:eastAsia="ＭＳ 明朝"/>
          <w:sz w:val="22"/>
          <w:lang w:val="en-US"/>
        </w:rPr>
        <w:t xml:space="preserve"> for URLLC; otherwise the URLLC reliability degrades due to less-reliable puncturing indication</w:t>
      </w:r>
      <w:r w:rsidR="00340EC9">
        <w:rPr>
          <w:rFonts w:eastAsia="ＭＳ 明朝"/>
          <w:sz w:val="22"/>
          <w:lang w:val="en-US"/>
        </w:rPr>
        <w:t>.</w:t>
      </w:r>
    </w:p>
    <w:p w14:paraId="43B15900" w14:textId="22F2AE0D" w:rsidR="00BE56FD" w:rsidRDefault="00BE56FD" w:rsidP="008F17E7">
      <w:pPr>
        <w:spacing w:afterLines="50" w:after="120"/>
        <w:jc w:val="both"/>
        <w:rPr>
          <w:rFonts w:eastAsia="ＭＳ 明朝"/>
          <w:sz w:val="22"/>
          <w:lang w:val="en-US"/>
        </w:rPr>
      </w:pPr>
      <w:r>
        <w:rPr>
          <w:rFonts w:eastAsia="ＭＳ 明朝"/>
          <w:sz w:val="22"/>
          <w:lang w:val="en-US"/>
        </w:rPr>
        <w:t xml:space="preserve">As for the indication, the straightforward approach is to utilize </w:t>
      </w:r>
      <w:r w:rsidR="00450D39">
        <w:rPr>
          <w:rFonts w:eastAsia="ＭＳ 明朝"/>
          <w:sz w:val="22"/>
          <w:lang w:val="en-US"/>
        </w:rPr>
        <w:t>SFI</w:t>
      </w:r>
      <w:r w:rsidR="00340EC9">
        <w:rPr>
          <w:rFonts w:eastAsia="ＭＳ 明朝"/>
          <w:sz w:val="22"/>
          <w:lang w:val="en-US"/>
        </w:rPr>
        <w:t xml:space="preserve"> [6] - [8]</w:t>
      </w:r>
      <w:r w:rsidR="00450D39">
        <w:rPr>
          <w:rFonts w:eastAsia="ＭＳ 明朝"/>
          <w:sz w:val="22"/>
          <w:lang w:val="en-US"/>
        </w:rPr>
        <w:t>. SFI can indicate ‘unknown’ resource, in which the UE shall not transmit/receive anything.</w:t>
      </w:r>
      <w:r>
        <w:rPr>
          <w:rFonts w:eastAsia="ＭＳ 明朝"/>
          <w:sz w:val="22"/>
          <w:lang w:val="en-US"/>
        </w:rPr>
        <w:t xml:space="preserve"> </w:t>
      </w:r>
      <w:r w:rsidR="00593133">
        <w:rPr>
          <w:rFonts w:eastAsia="ＭＳ 明朝"/>
          <w:sz w:val="22"/>
          <w:lang w:val="en-US"/>
        </w:rPr>
        <w:t xml:space="preserve">UE is scheduled to transmit PUSCH by a UL grant at a certain timing, but the SFI e.g., at a </w:t>
      </w:r>
      <w:r w:rsidR="00340EC9">
        <w:rPr>
          <w:rFonts w:eastAsia="ＭＳ 明朝"/>
          <w:sz w:val="22"/>
          <w:lang w:val="en-US"/>
        </w:rPr>
        <w:t>later</w:t>
      </w:r>
      <w:r w:rsidR="00593133">
        <w:rPr>
          <w:rFonts w:eastAsia="ＭＳ 明朝"/>
          <w:sz w:val="22"/>
          <w:lang w:val="en-US"/>
        </w:rPr>
        <w:t xml:space="preserve"> slot, can indicate the unknown resource during the PUSCH transmission</w:t>
      </w:r>
      <w:r w:rsidR="00340EC9">
        <w:rPr>
          <w:rFonts w:eastAsia="ＭＳ 明朝"/>
          <w:sz w:val="22"/>
          <w:lang w:val="en-US"/>
        </w:rPr>
        <w:t xml:space="preserve"> which has previously been scheduled by the UL grant (Fig.</w:t>
      </w:r>
      <w:r w:rsidR="00067A34">
        <w:rPr>
          <w:rFonts w:eastAsia="ＭＳ 明朝"/>
          <w:sz w:val="22"/>
          <w:lang w:val="en-US"/>
        </w:rPr>
        <w:t xml:space="preserve"> </w:t>
      </w:r>
      <w:r w:rsidR="00340EC9">
        <w:rPr>
          <w:rFonts w:eastAsia="ＭＳ 明朝"/>
          <w:sz w:val="22"/>
          <w:lang w:val="en-US"/>
        </w:rPr>
        <w:t>1)</w:t>
      </w:r>
      <w:r w:rsidR="00593133">
        <w:rPr>
          <w:rFonts w:eastAsia="ＭＳ 明朝"/>
          <w:sz w:val="22"/>
          <w:lang w:val="en-US"/>
        </w:rPr>
        <w:t xml:space="preserve">. </w:t>
      </w:r>
    </w:p>
    <w:p w14:paraId="1CE7B260" w14:textId="161ADDBA" w:rsidR="006133E8" w:rsidRDefault="00067A34" w:rsidP="006133E8">
      <w:pPr>
        <w:spacing w:afterLines="50" w:after="120"/>
        <w:jc w:val="center"/>
        <w:rPr>
          <w:rFonts w:eastAsia="ＭＳ 明朝"/>
          <w:sz w:val="22"/>
          <w:lang w:val="en-US"/>
        </w:rPr>
      </w:pPr>
      <w:r w:rsidRPr="00067A34">
        <w:rPr>
          <w:noProof/>
          <w:lang w:val="en-US" w:eastAsia="zh-CN"/>
        </w:rPr>
        <w:lastRenderedPageBreak/>
        <w:drawing>
          <wp:inline distT="0" distB="0" distL="0" distR="0" wp14:anchorId="6F8AF963" wp14:editId="52388D8B">
            <wp:extent cx="4382640" cy="2348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2640" cy="2348640"/>
                    </a:xfrm>
                    <a:prstGeom prst="rect">
                      <a:avLst/>
                    </a:prstGeom>
                    <a:noFill/>
                    <a:ln>
                      <a:noFill/>
                    </a:ln>
                  </pic:spPr>
                </pic:pic>
              </a:graphicData>
            </a:graphic>
          </wp:inline>
        </w:drawing>
      </w:r>
    </w:p>
    <w:p w14:paraId="0D3B234D" w14:textId="7ABD63FB" w:rsidR="006133E8" w:rsidRDefault="006133E8" w:rsidP="006133E8">
      <w:pPr>
        <w:spacing w:afterLines="50" w:after="120"/>
        <w:jc w:val="center"/>
        <w:rPr>
          <w:rFonts w:eastAsia="ＭＳ 明朝"/>
          <w:sz w:val="22"/>
          <w:lang w:val="en-US"/>
        </w:rPr>
      </w:pPr>
      <w:r>
        <w:rPr>
          <w:rFonts w:eastAsia="ＭＳ 明朝" w:hint="eastAsia"/>
          <w:sz w:val="22"/>
          <w:lang w:val="en-US"/>
        </w:rPr>
        <w:t>F</w:t>
      </w:r>
      <w:r w:rsidR="00067A34">
        <w:rPr>
          <w:rFonts w:eastAsia="ＭＳ 明朝"/>
          <w:sz w:val="22"/>
          <w:lang w:val="en-US"/>
        </w:rPr>
        <w:t>ig. 1.</w:t>
      </w:r>
      <w:r>
        <w:rPr>
          <w:rFonts w:eastAsia="ＭＳ 明朝"/>
          <w:sz w:val="22"/>
          <w:lang w:val="en-US"/>
        </w:rPr>
        <w:tab/>
        <w:t>Punctur</w:t>
      </w:r>
      <w:r w:rsidR="00067A34">
        <w:rPr>
          <w:rFonts w:eastAsia="ＭＳ 明朝"/>
          <w:sz w:val="22"/>
          <w:lang w:val="en-US"/>
        </w:rPr>
        <w:t>ing realized by unknown indication using SFI.</w:t>
      </w:r>
    </w:p>
    <w:p w14:paraId="5DD51602" w14:textId="77777777" w:rsidR="006133E8" w:rsidRDefault="006133E8" w:rsidP="006133E8">
      <w:pPr>
        <w:spacing w:afterLines="50" w:after="120"/>
        <w:rPr>
          <w:rFonts w:eastAsia="ＭＳ 明朝"/>
          <w:sz w:val="22"/>
          <w:lang w:val="en-US"/>
        </w:rPr>
      </w:pPr>
    </w:p>
    <w:p w14:paraId="3DABB8D3" w14:textId="7DE2FFBC" w:rsidR="0098544E" w:rsidRPr="00876BA5" w:rsidRDefault="006133E8" w:rsidP="0098544E">
      <w:pPr>
        <w:spacing w:afterLines="50" w:after="120"/>
        <w:jc w:val="both"/>
        <w:rPr>
          <w:rFonts w:eastAsia="ＭＳ 明朝"/>
          <w:b/>
          <w:sz w:val="22"/>
          <w:u w:val="single"/>
          <w:lang w:val="en-US"/>
        </w:rPr>
      </w:pPr>
      <w:r>
        <w:rPr>
          <w:rFonts w:eastAsia="ＭＳ 明朝"/>
          <w:b/>
          <w:sz w:val="22"/>
          <w:u w:val="single"/>
          <w:lang w:val="en-US"/>
        </w:rPr>
        <w:t>Proposal</w:t>
      </w:r>
      <w:r w:rsidR="0098544E" w:rsidRPr="00876BA5">
        <w:rPr>
          <w:rFonts w:eastAsia="ＭＳ 明朝"/>
          <w:b/>
          <w:sz w:val="22"/>
          <w:u w:val="single"/>
          <w:lang w:val="en-US"/>
        </w:rPr>
        <w:t>:</w:t>
      </w:r>
    </w:p>
    <w:p w14:paraId="7396F487" w14:textId="7341A9EE" w:rsidR="00B17DE2" w:rsidRDefault="00B17DE2" w:rsidP="0098544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w:t>
      </w:r>
      <w:r w:rsidR="00067A34">
        <w:rPr>
          <w:rFonts w:eastAsia="ＭＳ 明朝"/>
          <w:i/>
          <w:sz w:val="22"/>
          <w:lang w:val="en-US"/>
        </w:rPr>
        <w:t xml:space="preserve"> puncturing indication is realized by using SFI.</w:t>
      </w:r>
    </w:p>
    <w:p w14:paraId="192CCE83" w14:textId="4F0B6224" w:rsidR="006133E8" w:rsidRPr="006133E8" w:rsidRDefault="00067A34" w:rsidP="006133E8">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UE punctures the data </w:t>
      </w:r>
      <w:r w:rsidR="00227397">
        <w:rPr>
          <w:rFonts w:eastAsia="ＭＳ 明朝"/>
          <w:i/>
          <w:sz w:val="22"/>
          <w:lang w:val="en-US"/>
        </w:rPr>
        <w:t xml:space="preserve">in the scheduled PUSCH </w:t>
      </w:r>
      <w:r>
        <w:rPr>
          <w:rFonts w:eastAsia="ＭＳ 明朝"/>
          <w:i/>
          <w:sz w:val="22"/>
          <w:lang w:val="en-US"/>
        </w:rPr>
        <w:t>if the SFI indicates ‘unknown resource’.</w:t>
      </w:r>
    </w:p>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219EDF87" w14:textId="77777777" w:rsidR="00067A34" w:rsidRPr="00876BA5" w:rsidRDefault="00067A34" w:rsidP="00067A34">
      <w:pPr>
        <w:spacing w:afterLines="50" w:after="120"/>
        <w:jc w:val="both"/>
        <w:rPr>
          <w:rFonts w:eastAsia="ＭＳ 明朝"/>
          <w:b/>
          <w:sz w:val="22"/>
          <w:u w:val="single"/>
          <w:lang w:val="en-US"/>
        </w:rPr>
      </w:pPr>
      <w:r>
        <w:rPr>
          <w:rFonts w:eastAsia="ＭＳ 明朝"/>
          <w:b/>
          <w:sz w:val="22"/>
          <w:u w:val="single"/>
          <w:lang w:val="en-US"/>
        </w:rPr>
        <w:t>Proposal</w:t>
      </w:r>
      <w:r w:rsidRPr="00876BA5">
        <w:rPr>
          <w:rFonts w:eastAsia="ＭＳ 明朝"/>
          <w:b/>
          <w:sz w:val="22"/>
          <w:u w:val="single"/>
          <w:lang w:val="en-US"/>
        </w:rPr>
        <w:t>:</w:t>
      </w:r>
    </w:p>
    <w:p w14:paraId="66F1F869" w14:textId="77777777" w:rsidR="00067A34" w:rsidRDefault="00067A34" w:rsidP="00067A34">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eMBB and URLLC multiplexing by </w:t>
      </w:r>
      <w:r>
        <w:rPr>
          <w:rFonts w:eastAsia="ＭＳ 明朝" w:hint="eastAsia"/>
          <w:i/>
          <w:sz w:val="22"/>
          <w:lang w:val="en-US"/>
        </w:rPr>
        <w:t>dynamic scheduling</w:t>
      </w:r>
      <w:r>
        <w:rPr>
          <w:rFonts w:eastAsia="ＭＳ 明朝"/>
          <w:i/>
          <w:sz w:val="22"/>
          <w:lang w:val="en-US"/>
        </w:rPr>
        <w:t>, puncturing indication is realized by using SFI.</w:t>
      </w:r>
    </w:p>
    <w:p w14:paraId="6BD3C117" w14:textId="02C0E18A" w:rsidR="00067A34" w:rsidRPr="006133E8" w:rsidRDefault="00067A34" w:rsidP="00067A34">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UE punctures the data </w:t>
      </w:r>
      <w:r w:rsidR="00227397">
        <w:rPr>
          <w:rFonts w:eastAsia="ＭＳ 明朝"/>
          <w:i/>
          <w:sz w:val="22"/>
          <w:lang w:val="en-US"/>
        </w:rPr>
        <w:t xml:space="preserve">in the scheduled PUSCH </w:t>
      </w:r>
      <w:r>
        <w:rPr>
          <w:rFonts w:eastAsia="ＭＳ 明朝"/>
          <w:i/>
          <w:sz w:val="22"/>
          <w:lang w:val="en-US"/>
        </w:rPr>
        <w:t>if the SFI indicates ‘unknown resource’.</w:t>
      </w:r>
    </w:p>
    <w:p w14:paraId="46D73263" w14:textId="77777777" w:rsidR="00A06DD8" w:rsidRPr="00067A34"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7E589573" w14:textId="70A98846" w:rsidR="00DB2EBD" w:rsidRDefault="00DB2EBD" w:rsidP="004F00A6">
      <w:pPr>
        <w:widowControl w:val="0"/>
        <w:numPr>
          <w:ilvl w:val="0"/>
          <w:numId w:val="4"/>
        </w:numPr>
        <w:spacing w:after="120"/>
        <w:jc w:val="both"/>
        <w:rPr>
          <w:sz w:val="22"/>
          <w:szCs w:val="22"/>
          <w:lang w:val="en-US"/>
        </w:rPr>
      </w:pPr>
      <w:r>
        <w:rPr>
          <w:rFonts w:hint="eastAsia"/>
          <w:sz w:val="22"/>
          <w:szCs w:val="22"/>
          <w:lang w:val="en-US"/>
        </w:rPr>
        <w:t>3GPP RA</w:t>
      </w:r>
      <w:r>
        <w:rPr>
          <w:sz w:val="22"/>
          <w:szCs w:val="22"/>
          <w:lang w:val="en-US"/>
        </w:rPr>
        <w:t>N1 NR A</w:t>
      </w:r>
      <w:r w:rsidR="00227397">
        <w:rPr>
          <w:sz w:val="22"/>
          <w:szCs w:val="22"/>
          <w:lang w:val="en-US"/>
        </w:rPr>
        <w:t>d-</w:t>
      </w:r>
      <w:r>
        <w:rPr>
          <w:sz w:val="22"/>
          <w:szCs w:val="22"/>
          <w:lang w:val="en-US"/>
        </w:rPr>
        <w:t>H</w:t>
      </w:r>
      <w:r w:rsidR="00227397">
        <w:rPr>
          <w:sz w:val="22"/>
          <w:szCs w:val="22"/>
          <w:lang w:val="en-US"/>
        </w:rPr>
        <w:t>oc</w:t>
      </w:r>
      <w:r>
        <w:rPr>
          <w:sz w:val="22"/>
          <w:szCs w:val="22"/>
          <w:lang w:val="en-US"/>
        </w:rPr>
        <w:t>#2</w:t>
      </w:r>
      <w:r w:rsidR="00227397">
        <w:rPr>
          <w:sz w:val="22"/>
          <w:szCs w:val="22"/>
          <w:lang w:val="en-US"/>
        </w:rPr>
        <w:t xml:space="preserve"> meeting,</w:t>
      </w:r>
      <w:r>
        <w:rPr>
          <w:sz w:val="22"/>
          <w:szCs w:val="22"/>
          <w:lang w:val="en-US"/>
        </w:rPr>
        <w:t xml:space="preserve"> Chairman’s note.</w:t>
      </w:r>
    </w:p>
    <w:p w14:paraId="31882244" w14:textId="6812B2E7" w:rsidR="00B17DE2" w:rsidRDefault="00312324" w:rsidP="004F00A6">
      <w:pPr>
        <w:widowControl w:val="0"/>
        <w:numPr>
          <w:ilvl w:val="0"/>
          <w:numId w:val="4"/>
        </w:numPr>
        <w:spacing w:after="120"/>
        <w:jc w:val="both"/>
        <w:rPr>
          <w:sz w:val="22"/>
          <w:szCs w:val="22"/>
          <w:lang w:val="en-US"/>
        </w:rPr>
      </w:pPr>
      <w:r w:rsidRPr="00312324">
        <w:rPr>
          <w:sz w:val="22"/>
          <w:szCs w:val="22"/>
          <w:lang w:val="en-US"/>
        </w:rPr>
        <w:t>R1-</w:t>
      </w:r>
      <w:r w:rsidR="00DB2EBD">
        <w:rPr>
          <w:sz w:val="22"/>
          <w:szCs w:val="22"/>
          <w:lang w:val="en-US"/>
        </w:rPr>
        <w:t>1713953</w:t>
      </w:r>
      <w:r w:rsidR="00B17DE2">
        <w:rPr>
          <w:sz w:val="22"/>
          <w:szCs w:val="22"/>
          <w:lang w:val="en-US"/>
        </w:rPr>
        <w:t>, ‘</w:t>
      </w:r>
      <w:r w:rsidR="00DB2EBD">
        <w:rPr>
          <w:sz w:val="22"/>
          <w:szCs w:val="22"/>
          <w:lang w:val="en-US"/>
        </w:rPr>
        <w:t>CBG construction</w:t>
      </w:r>
      <w:r w:rsidR="00B17DE2">
        <w:rPr>
          <w:sz w:val="22"/>
          <w:szCs w:val="22"/>
          <w:lang w:val="en-US"/>
        </w:rPr>
        <w:t>,’ NTT DOCOMO, INC.</w:t>
      </w:r>
    </w:p>
    <w:p w14:paraId="4EF9B5B4" w14:textId="6539CB22" w:rsidR="00DB2EBD" w:rsidRDefault="00DB2EBD" w:rsidP="00DB2EBD">
      <w:pPr>
        <w:widowControl w:val="0"/>
        <w:numPr>
          <w:ilvl w:val="0"/>
          <w:numId w:val="4"/>
        </w:numPr>
        <w:spacing w:after="120"/>
        <w:jc w:val="both"/>
        <w:rPr>
          <w:sz w:val="22"/>
          <w:szCs w:val="22"/>
          <w:lang w:val="en-US"/>
        </w:rPr>
      </w:pPr>
      <w:r w:rsidRPr="00312324">
        <w:rPr>
          <w:sz w:val="22"/>
          <w:szCs w:val="22"/>
          <w:lang w:val="en-US"/>
        </w:rPr>
        <w:t>R1-</w:t>
      </w:r>
      <w:r>
        <w:rPr>
          <w:sz w:val="22"/>
          <w:szCs w:val="22"/>
          <w:lang w:val="en-US"/>
        </w:rPr>
        <w:t>1713954, ‘DL control signaling for CBG-based (re)transmission,’ NTT DOCOMO, INC.</w:t>
      </w:r>
    </w:p>
    <w:p w14:paraId="1AF748E9" w14:textId="6EA9AA56" w:rsidR="00DB2EBD" w:rsidRDefault="00DB2EBD" w:rsidP="00DB2EBD">
      <w:pPr>
        <w:widowControl w:val="0"/>
        <w:numPr>
          <w:ilvl w:val="0"/>
          <w:numId w:val="4"/>
        </w:numPr>
        <w:spacing w:after="120"/>
        <w:jc w:val="both"/>
        <w:rPr>
          <w:sz w:val="22"/>
          <w:szCs w:val="22"/>
          <w:lang w:val="en-US"/>
        </w:rPr>
      </w:pPr>
      <w:r w:rsidRPr="00312324">
        <w:rPr>
          <w:sz w:val="22"/>
          <w:szCs w:val="22"/>
          <w:lang w:val="en-US"/>
        </w:rPr>
        <w:t>R1-</w:t>
      </w:r>
      <w:r>
        <w:rPr>
          <w:sz w:val="22"/>
          <w:szCs w:val="22"/>
          <w:lang w:val="en-US"/>
        </w:rPr>
        <w:t>1713955, ‘UL control signaling for CBG-based (re)transmission,’ NTT DOCOMO, INC.</w:t>
      </w:r>
    </w:p>
    <w:p w14:paraId="2A61359A" w14:textId="6EED73CF" w:rsidR="00DB2EBD" w:rsidRDefault="00DB2EBD" w:rsidP="00DB2EBD">
      <w:pPr>
        <w:widowControl w:val="0"/>
        <w:numPr>
          <w:ilvl w:val="0"/>
          <w:numId w:val="4"/>
        </w:numPr>
        <w:spacing w:after="120"/>
        <w:jc w:val="both"/>
        <w:rPr>
          <w:sz w:val="22"/>
          <w:szCs w:val="22"/>
          <w:lang w:val="en-US"/>
        </w:rPr>
      </w:pPr>
      <w:r w:rsidRPr="00312324">
        <w:rPr>
          <w:sz w:val="22"/>
          <w:szCs w:val="22"/>
          <w:lang w:val="en-US"/>
        </w:rPr>
        <w:t>R1-</w:t>
      </w:r>
      <w:r>
        <w:rPr>
          <w:sz w:val="22"/>
          <w:szCs w:val="22"/>
          <w:lang w:val="en-US"/>
        </w:rPr>
        <w:t>1713960, ‘Pre-emption indication for downlink,’ NTT DOCOMO, INC.</w:t>
      </w:r>
    </w:p>
    <w:p w14:paraId="2680C775" w14:textId="4A67551C" w:rsidR="00340EC9" w:rsidRDefault="00340EC9" w:rsidP="00DB2EBD">
      <w:pPr>
        <w:widowControl w:val="0"/>
        <w:numPr>
          <w:ilvl w:val="0"/>
          <w:numId w:val="4"/>
        </w:numPr>
        <w:spacing w:after="120"/>
        <w:jc w:val="both"/>
        <w:rPr>
          <w:sz w:val="22"/>
          <w:szCs w:val="22"/>
          <w:lang w:val="en-US"/>
        </w:rPr>
      </w:pPr>
      <w:r>
        <w:rPr>
          <w:sz w:val="22"/>
          <w:szCs w:val="22"/>
          <w:lang w:val="en-US"/>
        </w:rPr>
        <w:t>R1-1713934, ‘Remaining issues on structure of group-common PDCCH,’ NTT DOCOMO, INC.</w:t>
      </w:r>
    </w:p>
    <w:p w14:paraId="45B97489" w14:textId="52001AA5" w:rsidR="00340EC9" w:rsidRDefault="00340EC9" w:rsidP="00340EC9">
      <w:pPr>
        <w:widowControl w:val="0"/>
        <w:numPr>
          <w:ilvl w:val="0"/>
          <w:numId w:val="4"/>
        </w:numPr>
        <w:spacing w:after="120"/>
        <w:jc w:val="both"/>
        <w:rPr>
          <w:sz w:val="22"/>
          <w:szCs w:val="22"/>
          <w:lang w:val="en-US"/>
        </w:rPr>
      </w:pPr>
      <w:r>
        <w:rPr>
          <w:sz w:val="22"/>
          <w:szCs w:val="22"/>
          <w:lang w:val="en-US"/>
        </w:rPr>
        <w:t>R1-1713935, ‘SFI and semi-static configurations,’ NTT DOCOMO, INC.</w:t>
      </w:r>
    </w:p>
    <w:p w14:paraId="69CC2266" w14:textId="58277C98" w:rsidR="00340EC9" w:rsidRDefault="00340EC9" w:rsidP="00340EC9">
      <w:pPr>
        <w:widowControl w:val="0"/>
        <w:numPr>
          <w:ilvl w:val="0"/>
          <w:numId w:val="4"/>
        </w:numPr>
        <w:spacing w:after="120"/>
        <w:jc w:val="both"/>
        <w:rPr>
          <w:sz w:val="22"/>
          <w:szCs w:val="22"/>
          <w:lang w:val="en-US"/>
        </w:rPr>
      </w:pPr>
      <w:r>
        <w:rPr>
          <w:sz w:val="22"/>
          <w:szCs w:val="22"/>
          <w:lang w:val="en-US"/>
        </w:rPr>
        <w:t>R1-1713936, ‘UE behavior for group-common PDCCH,’ NTT DOCOMO, INC.</w:t>
      </w:r>
    </w:p>
    <w:p w14:paraId="5750A1AF" w14:textId="77777777" w:rsidR="00340EC9" w:rsidRPr="00DB2EBD" w:rsidRDefault="00340EC9" w:rsidP="00340EC9">
      <w:pPr>
        <w:widowControl w:val="0"/>
        <w:spacing w:after="120"/>
        <w:jc w:val="both"/>
        <w:rPr>
          <w:sz w:val="22"/>
          <w:szCs w:val="22"/>
          <w:lang w:val="en-US"/>
        </w:rPr>
      </w:pPr>
    </w:p>
    <w:p w14:paraId="76B895CA" w14:textId="77777777" w:rsidR="00340EC9" w:rsidRPr="00340EC9" w:rsidRDefault="00340EC9" w:rsidP="00340EC9">
      <w:pPr>
        <w:widowControl w:val="0"/>
        <w:spacing w:after="120"/>
        <w:jc w:val="both"/>
        <w:rPr>
          <w:sz w:val="22"/>
          <w:szCs w:val="22"/>
          <w:lang w:val="en-US"/>
        </w:rPr>
      </w:pPr>
    </w:p>
    <w:p w14:paraId="2F28F2B2" w14:textId="3624D598" w:rsidR="00B95814" w:rsidRPr="00340EC9" w:rsidRDefault="00B95814" w:rsidP="00B17DE2">
      <w:pPr>
        <w:widowControl w:val="0"/>
        <w:spacing w:after="120"/>
        <w:jc w:val="both"/>
        <w:rPr>
          <w:sz w:val="22"/>
          <w:szCs w:val="22"/>
          <w:lang w:val="en-US"/>
        </w:rPr>
      </w:pPr>
    </w:p>
    <w:sectPr w:rsidR="00B95814" w:rsidRPr="00340EC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4BB8C" w14:textId="77777777" w:rsidR="00E95DC8" w:rsidRDefault="00E95DC8">
      <w:r>
        <w:separator/>
      </w:r>
    </w:p>
  </w:endnote>
  <w:endnote w:type="continuationSeparator" w:id="0">
    <w:p w14:paraId="555042DF" w14:textId="77777777" w:rsidR="00E95DC8" w:rsidRDefault="00E95DC8">
      <w:r>
        <w:continuationSeparator/>
      </w:r>
    </w:p>
  </w:endnote>
  <w:endnote w:type="continuationNotice" w:id="1">
    <w:p w14:paraId="53452934" w14:textId="77777777" w:rsidR="00E95DC8" w:rsidRDefault="00E95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A409D52"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902F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902F8">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CAD38" w14:textId="77777777" w:rsidR="00E95DC8" w:rsidRDefault="00E95DC8">
      <w:r>
        <w:separator/>
      </w:r>
    </w:p>
  </w:footnote>
  <w:footnote w:type="continuationSeparator" w:id="0">
    <w:p w14:paraId="59AD0B25" w14:textId="77777777" w:rsidR="00E95DC8" w:rsidRDefault="00E95DC8">
      <w:r>
        <w:continuationSeparator/>
      </w:r>
    </w:p>
  </w:footnote>
  <w:footnote w:type="continuationNotice" w:id="1">
    <w:p w14:paraId="0B56691B" w14:textId="77777777" w:rsidR="00E95DC8" w:rsidRDefault="00E95D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6"/>
  </w:num>
  <w:num w:numId="3">
    <w:abstractNumId w:val="19"/>
  </w:num>
  <w:num w:numId="4">
    <w:abstractNumId w:val="14"/>
  </w:num>
  <w:num w:numId="5">
    <w:abstractNumId w:val="41"/>
  </w:num>
  <w:num w:numId="6">
    <w:abstractNumId w:val="32"/>
  </w:num>
  <w:num w:numId="7">
    <w:abstractNumId w:val="38"/>
  </w:num>
  <w:num w:numId="8">
    <w:abstractNumId w:val="39"/>
  </w:num>
  <w:num w:numId="9">
    <w:abstractNumId w:val="26"/>
  </w:num>
  <w:num w:numId="10">
    <w:abstractNumId w:val="34"/>
  </w:num>
  <w:num w:numId="11">
    <w:abstractNumId w:val="11"/>
  </w:num>
  <w:num w:numId="12">
    <w:abstractNumId w:val="31"/>
  </w:num>
  <w:num w:numId="13">
    <w:abstractNumId w:val="8"/>
  </w:num>
  <w:num w:numId="14">
    <w:abstractNumId w:val="2"/>
  </w:num>
  <w:num w:numId="15">
    <w:abstractNumId w:val="12"/>
  </w:num>
  <w:num w:numId="16">
    <w:abstractNumId w:val="40"/>
  </w:num>
  <w:num w:numId="17">
    <w:abstractNumId w:val="5"/>
  </w:num>
  <w:num w:numId="18">
    <w:abstractNumId w:val="1"/>
  </w:num>
  <w:num w:numId="19">
    <w:abstractNumId w:val="35"/>
  </w:num>
  <w:num w:numId="20">
    <w:abstractNumId w:val="10"/>
  </w:num>
  <w:num w:numId="21">
    <w:abstractNumId w:val="25"/>
  </w:num>
  <w:num w:numId="22">
    <w:abstractNumId w:val="15"/>
  </w:num>
  <w:num w:numId="23">
    <w:abstractNumId w:val="16"/>
  </w:num>
  <w:num w:numId="24">
    <w:abstractNumId w:val="20"/>
  </w:num>
  <w:num w:numId="25">
    <w:abstractNumId w:val="9"/>
  </w:num>
  <w:num w:numId="26">
    <w:abstractNumId w:val="23"/>
  </w:num>
  <w:num w:numId="27">
    <w:abstractNumId w:val="18"/>
  </w:num>
  <w:num w:numId="28">
    <w:abstractNumId w:val="27"/>
  </w:num>
  <w:num w:numId="29">
    <w:abstractNumId w:val="29"/>
  </w:num>
  <w:num w:numId="30">
    <w:abstractNumId w:val="7"/>
  </w:num>
  <w:num w:numId="31">
    <w:abstractNumId w:val="3"/>
  </w:num>
  <w:num w:numId="32">
    <w:abstractNumId w:val="4"/>
  </w:num>
  <w:num w:numId="33">
    <w:abstractNumId w:val="21"/>
  </w:num>
  <w:num w:numId="34">
    <w:abstractNumId w:val="24"/>
  </w:num>
  <w:num w:numId="35">
    <w:abstractNumId w:val="33"/>
  </w:num>
  <w:num w:numId="36">
    <w:abstractNumId w:val="30"/>
  </w:num>
  <w:num w:numId="37">
    <w:abstractNumId w:val="22"/>
  </w:num>
  <w:num w:numId="38">
    <w:abstractNumId w:val="17"/>
  </w:num>
  <w:num w:numId="39">
    <w:abstractNumId w:val="42"/>
  </w:num>
  <w:num w:numId="40">
    <w:abstractNumId w:val="6"/>
  </w:num>
  <w:num w:numId="41">
    <w:abstractNumId w:val="37"/>
  </w:num>
  <w:num w:numId="42">
    <w:abstractNumId w:val="28"/>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34"/>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C0"/>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11F"/>
    <w:rsid w:val="001912DD"/>
    <w:rsid w:val="001914D1"/>
    <w:rsid w:val="00191569"/>
    <w:rsid w:val="00191698"/>
    <w:rsid w:val="00191E78"/>
    <w:rsid w:val="0019222C"/>
    <w:rsid w:val="001923ED"/>
    <w:rsid w:val="001925DC"/>
    <w:rsid w:val="001925F1"/>
    <w:rsid w:val="00192681"/>
    <w:rsid w:val="0019276B"/>
    <w:rsid w:val="00192850"/>
    <w:rsid w:val="00192CDE"/>
    <w:rsid w:val="0019317A"/>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377"/>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97"/>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2E54"/>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992"/>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4E"/>
    <w:rsid w:val="003072BE"/>
    <w:rsid w:val="003073D5"/>
    <w:rsid w:val="003075B3"/>
    <w:rsid w:val="00307BCE"/>
    <w:rsid w:val="00310CB5"/>
    <w:rsid w:val="0031179F"/>
    <w:rsid w:val="00311FDA"/>
    <w:rsid w:val="003122E5"/>
    <w:rsid w:val="00312324"/>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7AE"/>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0EC9"/>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1B9"/>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1F"/>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D39"/>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14B"/>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4F"/>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DC4"/>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9B"/>
    <w:rsid w:val="00591D30"/>
    <w:rsid w:val="005929C5"/>
    <w:rsid w:val="00592ABA"/>
    <w:rsid w:val="00592C48"/>
    <w:rsid w:val="00592D72"/>
    <w:rsid w:val="00593133"/>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1F7A"/>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3E8"/>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79"/>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A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09B"/>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A56"/>
    <w:rsid w:val="00744BA2"/>
    <w:rsid w:val="007455DC"/>
    <w:rsid w:val="007457A4"/>
    <w:rsid w:val="0074590F"/>
    <w:rsid w:val="00745EFF"/>
    <w:rsid w:val="007466F1"/>
    <w:rsid w:val="007469C7"/>
    <w:rsid w:val="00746A93"/>
    <w:rsid w:val="00746A9C"/>
    <w:rsid w:val="00746EE5"/>
    <w:rsid w:val="007473CF"/>
    <w:rsid w:val="00747DAD"/>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8E"/>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D5"/>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FE2"/>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81"/>
    <w:rsid w:val="008F0A82"/>
    <w:rsid w:val="008F0D6B"/>
    <w:rsid w:val="008F1196"/>
    <w:rsid w:val="008F12DB"/>
    <w:rsid w:val="008F17E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75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9F7"/>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4C3"/>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7C7"/>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4DDC"/>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263"/>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DD1"/>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37D"/>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6FD"/>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BA0"/>
    <w:rsid w:val="00C93C8E"/>
    <w:rsid w:val="00C948C4"/>
    <w:rsid w:val="00C94A6C"/>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79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2F8"/>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5E95"/>
    <w:rsid w:val="00DA6337"/>
    <w:rsid w:val="00DA713C"/>
    <w:rsid w:val="00DA7881"/>
    <w:rsid w:val="00DA78E3"/>
    <w:rsid w:val="00DB038E"/>
    <w:rsid w:val="00DB045D"/>
    <w:rsid w:val="00DB071F"/>
    <w:rsid w:val="00DB1AA5"/>
    <w:rsid w:val="00DB29DA"/>
    <w:rsid w:val="00DB2E15"/>
    <w:rsid w:val="00DB2E69"/>
    <w:rsid w:val="00DB2E8C"/>
    <w:rsid w:val="00DB2EBD"/>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3831"/>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5B4"/>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DC8"/>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6D5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BC9"/>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4B0"/>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077"/>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29449">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B08D8-9B3F-4A44-9F27-2BC7EEB1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2017-08-11T09:52:00Z</dcterms:created>
  <dcterms:modified xsi:type="dcterms:W3CDTF">2017-08-12T04:29:00Z</dcterms:modified>
</cp:coreProperties>
</file>