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1C9C197D" w:rsidR="00C07E87" w:rsidRPr="00BB6024" w:rsidRDefault="00812072" w:rsidP="00C07E87">
      <w:pPr>
        <w:pStyle w:val="3GPPHeader"/>
        <w:spacing w:after="60"/>
        <w:rPr>
          <w:sz w:val="28"/>
          <w:szCs w:val="28"/>
          <w:highlight w:val="yellow"/>
          <w:lang w:val="en-US"/>
        </w:rPr>
      </w:pPr>
      <w:r w:rsidRPr="00BB6024">
        <w:rPr>
          <w:sz w:val="28"/>
          <w:szCs w:val="28"/>
          <w:lang w:val="en-US"/>
        </w:rPr>
        <w:t xml:space="preserve">3GPP TSG-RAN WG1 </w:t>
      </w:r>
      <w:r w:rsidR="004C6D58">
        <w:rPr>
          <w:sz w:val="28"/>
          <w:szCs w:val="28"/>
          <w:lang w:val="en-US"/>
        </w:rPr>
        <w:t>#90</w:t>
      </w:r>
      <w:r w:rsidR="00C07E87" w:rsidRPr="00BB6024">
        <w:rPr>
          <w:sz w:val="28"/>
          <w:szCs w:val="28"/>
          <w:lang w:val="en-US"/>
        </w:rPr>
        <w:tab/>
      </w:r>
      <w:r w:rsidR="00240B51" w:rsidRPr="00BB6024">
        <w:rPr>
          <w:sz w:val="28"/>
          <w:szCs w:val="28"/>
          <w:lang w:val="en-US"/>
        </w:rPr>
        <w:t>R1-</w:t>
      </w:r>
      <w:r w:rsidR="00CE227E" w:rsidRPr="00BB6024">
        <w:rPr>
          <w:sz w:val="28"/>
          <w:szCs w:val="28"/>
          <w:lang w:val="en-US"/>
        </w:rPr>
        <w:t>17</w:t>
      </w:r>
      <w:r w:rsidR="00737B78">
        <w:rPr>
          <w:sz w:val="28"/>
          <w:szCs w:val="28"/>
          <w:lang w:val="en-US"/>
        </w:rPr>
        <w:t>12954</w:t>
      </w:r>
    </w:p>
    <w:p w14:paraId="189863E3" w14:textId="54EC7E46" w:rsidR="00C07E87" w:rsidRPr="00BB6024" w:rsidRDefault="004C6D58" w:rsidP="00C07E87">
      <w:pPr>
        <w:pStyle w:val="3GPPHeader"/>
        <w:rPr>
          <w:sz w:val="28"/>
          <w:szCs w:val="28"/>
          <w:lang w:val="en-US"/>
        </w:rPr>
      </w:pPr>
      <w:r>
        <w:rPr>
          <w:sz w:val="28"/>
          <w:szCs w:val="28"/>
          <w:lang w:val="en-US"/>
        </w:rPr>
        <w:t>Prague</w:t>
      </w:r>
      <w:r w:rsidR="009A6F0E" w:rsidRPr="00BB6024">
        <w:rPr>
          <w:sz w:val="28"/>
          <w:szCs w:val="28"/>
          <w:lang w:val="en-US"/>
        </w:rPr>
        <w:t xml:space="preserve">, </w:t>
      </w:r>
      <w:r w:rsidR="00E24F71">
        <w:rPr>
          <w:sz w:val="28"/>
          <w:szCs w:val="28"/>
          <w:lang w:val="en-US"/>
        </w:rPr>
        <w:t>Czech</w:t>
      </w:r>
      <w:r>
        <w:rPr>
          <w:sz w:val="28"/>
          <w:szCs w:val="28"/>
          <w:lang w:val="en-US"/>
        </w:rPr>
        <w:t xml:space="preserve"> Republic</w:t>
      </w:r>
      <w:r w:rsidR="009A6F0E" w:rsidRPr="00BB6024">
        <w:rPr>
          <w:sz w:val="28"/>
          <w:szCs w:val="28"/>
          <w:lang w:val="en-US"/>
        </w:rPr>
        <w:t xml:space="preserve">, </w:t>
      </w:r>
      <w:r>
        <w:rPr>
          <w:sz w:val="28"/>
          <w:szCs w:val="28"/>
          <w:lang w:val="en-US"/>
        </w:rPr>
        <w:t>21</w:t>
      </w:r>
      <w:r>
        <w:rPr>
          <w:sz w:val="28"/>
          <w:szCs w:val="28"/>
          <w:vertAlign w:val="superscript"/>
          <w:lang w:val="en-US"/>
        </w:rPr>
        <w:t>st</w:t>
      </w:r>
      <w:r w:rsidR="009A6F0E" w:rsidRPr="00BB6024">
        <w:rPr>
          <w:sz w:val="28"/>
          <w:szCs w:val="28"/>
          <w:lang w:val="en-US"/>
        </w:rPr>
        <w:t xml:space="preserve"> – </w:t>
      </w:r>
      <w:r>
        <w:rPr>
          <w:sz w:val="28"/>
          <w:szCs w:val="28"/>
          <w:lang w:val="en-US"/>
        </w:rPr>
        <w:t>2</w:t>
      </w:r>
      <w:r w:rsidR="004664A7">
        <w:rPr>
          <w:sz w:val="28"/>
          <w:szCs w:val="28"/>
          <w:lang w:val="en-US"/>
        </w:rPr>
        <w:t>5</w:t>
      </w:r>
      <w:r w:rsidR="009A6F0E" w:rsidRPr="00BB6024">
        <w:rPr>
          <w:sz w:val="28"/>
          <w:szCs w:val="28"/>
          <w:vertAlign w:val="superscript"/>
          <w:lang w:val="en-US"/>
        </w:rPr>
        <w:t>th</w:t>
      </w:r>
      <w:r w:rsidR="009A6F0E" w:rsidRPr="00BB6024">
        <w:rPr>
          <w:sz w:val="28"/>
          <w:szCs w:val="28"/>
          <w:lang w:val="en-US"/>
        </w:rPr>
        <w:t xml:space="preserve"> </w:t>
      </w:r>
      <w:r w:rsidR="004664A7">
        <w:rPr>
          <w:sz w:val="28"/>
          <w:szCs w:val="28"/>
          <w:lang w:val="en-US"/>
        </w:rPr>
        <w:t>August</w:t>
      </w:r>
      <w:r w:rsidR="009A6F0E" w:rsidRPr="00BB6024">
        <w:rPr>
          <w:sz w:val="28"/>
          <w:szCs w:val="28"/>
          <w:lang w:val="en-US"/>
        </w:rPr>
        <w:t xml:space="preserve"> 2017</w:t>
      </w:r>
    </w:p>
    <w:p w14:paraId="551F7376" w14:textId="77777777" w:rsidR="009A6F0E" w:rsidRPr="00BB6024" w:rsidRDefault="009A6F0E" w:rsidP="00C07E87">
      <w:pPr>
        <w:pStyle w:val="3GPPHeader"/>
        <w:rPr>
          <w:lang w:val="en-US"/>
        </w:rPr>
      </w:pPr>
    </w:p>
    <w:p w14:paraId="293CC8DE" w14:textId="50C741EB" w:rsidR="00C07E87" w:rsidRPr="00BB6024" w:rsidRDefault="00C07E87" w:rsidP="00C07E87">
      <w:pPr>
        <w:pStyle w:val="3GPPHeader"/>
        <w:rPr>
          <w:sz w:val="22"/>
          <w:szCs w:val="22"/>
          <w:lang w:val="en-US"/>
        </w:rPr>
      </w:pPr>
      <w:r w:rsidRPr="00BB6024">
        <w:rPr>
          <w:sz w:val="22"/>
          <w:szCs w:val="22"/>
          <w:lang w:val="en-US"/>
        </w:rPr>
        <w:t>Agenda Item:</w:t>
      </w:r>
      <w:r w:rsidRPr="00BB6024">
        <w:rPr>
          <w:sz w:val="22"/>
          <w:szCs w:val="22"/>
          <w:lang w:val="en-US"/>
        </w:rPr>
        <w:tab/>
      </w:r>
      <w:r w:rsidR="004664A7">
        <w:rPr>
          <w:sz w:val="22"/>
          <w:szCs w:val="22"/>
          <w:lang w:val="en-US"/>
        </w:rPr>
        <w:t>6.1.1.1.2</w:t>
      </w:r>
    </w:p>
    <w:p w14:paraId="3077A12A" w14:textId="77777777" w:rsidR="00E90E49" w:rsidRPr="00BB6024" w:rsidRDefault="003D3C45" w:rsidP="00F64C2B">
      <w:pPr>
        <w:pStyle w:val="3GPPHeader"/>
        <w:rPr>
          <w:sz w:val="22"/>
          <w:szCs w:val="22"/>
          <w:lang w:val="en-US"/>
        </w:rPr>
      </w:pPr>
      <w:r w:rsidRPr="00BB6024">
        <w:rPr>
          <w:sz w:val="22"/>
          <w:szCs w:val="22"/>
          <w:lang w:val="en-US"/>
        </w:rPr>
        <w:t>Source:</w:t>
      </w:r>
      <w:r w:rsidR="00E90E49" w:rsidRPr="00BB6024">
        <w:rPr>
          <w:sz w:val="22"/>
          <w:szCs w:val="22"/>
          <w:lang w:val="en-US"/>
        </w:rPr>
        <w:tab/>
      </w:r>
      <w:r w:rsidR="00F64C2B" w:rsidRPr="00BB6024">
        <w:rPr>
          <w:sz w:val="22"/>
          <w:szCs w:val="22"/>
          <w:lang w:val="en-US"/>
        </w:rPr>
        <w:t>Ericsson</w:t>
      </w:r>
    </w:p>
    <w:p w14:paraId="786E84DF" w14:textId="4086AE63" w:rsidR="00E90E49" w:rsidRPr="00BB6024" w:rsidRDefault="003D3C45" w:rsidP="00311702">
      <w:pPr>
        <w:pStyle w:val="3GPPHeader"/>
        <w:rPr>
          <w:sz w:val="22"/>
          <w:szCs w:val="22"/>
          <w:lang w:val="en-US"/>
        </w:rPr>
      </w:pPr>
      <w:r w:rsidRPr="00BB6024">
        <w:rPr>
          <w:sz w:val="22"/>
          <w:szCs w:val="22"/>
          <w:lang w:val="en-US"/>
        </w:rPr>
        <w:t>Title:</w:t>
      </w:r>
      <w:r w:rsidR="00E90E49" w:rsidRPr="00BB6024">
        <w:rPr>
          <w:sz w:val="22"/>
          <w:szCs w:val="22"/>
          <w:lang w:val="en-US"/>
        </w:rPr>
        <w:tab/>
      </w:r>
      <w:r w:rsidR="0089593E">
        <w:rPr>
          <w:sz w:val="22"/>
          <w:szCs w:val="22"/>
          <w:lang w:val="en-US"/>
        </w:rPr>
        <w:t>Multiple SS Blocks per carrier</w:t>
      </w:r>
    </w:p>
    <w:p w14:paraId="00BFF626" w14:textId="11E1CA34" w:rsidR="00E90E49" w:rsidRPr="00BB6024" w:rsidRDefault="00E90E49" w:rsidP="00C704D9">
      <w:pPr>
        <w:pStyle w:val="3GPPHeader"/>
        <w:rPr>
          <w:lang w:val="en-US"/>
        </w:rPr>
      </w:pPr>
      <w:r w:rsidRPr="00BB6024">
        <w:rPr>
          <w:sz w:val="22"/>
          <w:szCs w:val="22"/>
          <w:lang w:val="en-US"/>
        </w:rPr>
        <w:t>Document for:</w:t>
      </w:r>
      <w:r w:rsidRPr="00BB6024">
        <w:rPr>
          <w:sz w:val="22"/>
          <w:szCs w:val="22"/>
          <w:lang w:val="en-US"/>
        </w:rPr>
        <w:tab/>
        <w:t>Discussion, Decision</w:t>
      </w:r>
    </w:p>
    <w:p w14:paraId="5F52BF02" w14:textId="77777777" w:rsidR="00E30225" w:rsidRPr="00BB6024" w:rsidRDefault="00E30225" w:rsidP="00E30225">
      <w:pPr>
        <w:pStyle w:val="Heading1"/>
        <w:rPr>
          <w:lang w:val="en-US"/>
        </w:rPr>
      </w:pPr>
      <w:r w:rsidRPr="00BB6024">
        <w:rPr>
          <w:lang w:val="en-US"/>
        </w:rPr>
        <w:t>Introduction</w:t>
      </w:r>
    </w:p>
    <w:p w14:paraId="059748E1" w14:textId="1DFFF733" w:rsidR="0089593E" w:rsidRDefault="00D44DFA" w:rsidP="0089593E">
      <w:pPr>
        <w:spacing w:afterLines="50"/>
      </w:pPr>
      <w:bookmarkStart w:id="0" w:name="_Ref178064866"/>
      <w:r>
        <w:t>At RAN1 #89</w:t>
      </w:r>
      <w:r w:rsidR="0089593E">
        <w:t>, it was agreed that NR would support the transmission of multiple SS blocks in the frequency d</w:t>
      </w:r>
      <w:r w:rsidR="00E24F71">
        <w:t xml:space="preserve">omain within a </w:t>
      </w:r>
      <w:r w:rsidR="006A3006">
        <w:t>downlink</w:t>
      </w:r>
      <w:r w:rsidR="0089593E">
        <w:t xml:space="preserve"> carrier. </w:t>
      </w:r>
    </w:p>
    <w:p w14:paraId="02C4CC6B" w14:textId="650B9447" w:rsidR="00D057AE" w:rsidRDefault="00D057AE" w:rsidP="0089593E">
      <w:pPr>
        <w:spacing w:afterLines="50"/>
      </w:pPr>
      <w:r>
        <w:t>More specifically, the followin</w:t>
      </w:r>
      <w:r w:rsidR="00DD68AB">
        <w:t>g was concluded:</w:t>
      </w:r>
    </w:p>
    <w:p w14:paraId="33753AD6" w14:textId="77777777" w:rsidR="00DD68AB" w:rsidRPr="00DD68AB" w:rsidRDefault="00DD68AB" w:rsidP="00DD68AB">
      <w:pPr>
        <w:numPr>
          <w:ilvl w:val="0"/>
          <w:numId w:val="16"/>
        </w:numPr>
        <w:overflowPunct/>
        <w:autoSpaceDE/>
        <w:autoSpaceDN/>
        <w:adjustRightInd/>
        <w:spacing w:after="0"/>
        <w:jc w:val="left"/>
        <w:textAlignment w:val="auto"/>
        <w:rPr>
          <w:rFonts w:eastAsia="MS Mincho"/>
          <w:i/>
          <w:lang w:eastAsia="ja-JP"/>
        </w:rPr>
      </w:pPr>
      <w:r w:rsidRPr="00DD68AB">
        <w:rPr>
          <w:rFonts w:eastAsia="MS Mincho"/>
          <w:i/>
          <w:lang w:eastAsia="ja-JP"/>
        </w:rPr>
        <w:t>Support single and multiple SS block transmissions in wideband CC</w:t>
      </w:r>
      <w:r w:rsidRPr="00DD68AB">
        <w:rPr>
          <w:rFonts w:eastAsia="MS Mincho" w:hint="eastAsia"/>
          <w:i/>
          <w:lang w:eastAsia="ja-JP"/>
        </w:rPr>
        <w:t xml:space="preserve"> in the frequency domain</w:t>
      </w:r>
    </w:p>
    <w:p w14:paraId="335EEA67" w14:textId="77777777" w:rsidR="00DD68AB" w:rsidRPr="00DD68AB" w:rsidRDefault="00DD68AB" w:rsidP="00DD68AB">
      <w:pPr>
        <w:numPr>
          <w:ilvl w:val="1"/>
          <w:numId w:val="16"/>
        </w:numPr>
        <w:overflowPunct/>
        <w:autoSpaceDE/>
        <w:autoSpaceDN/>
        <w:adjustRightInd/>
        <w:spacing w:after="0"/>
        <w:jc w:val="left"/>
        <w:textAlignment w:val="auto"/>
        <w:rPr>
          <w:rFonts w:eastAsia="MS Mincho"/>
          <w:i/>
          <w:lang w:eastAsia="ja-JP"/>
        </w:rPr>
      </w:pPr>
      <w:r w:rsidRPr="00DD68AB">
        <w:rPr>
          <w:rFonts w:eastAsia="MS Mincho"/>
          <w:i/>
          <w:lang w:eastAsia="ja-JP"/>
        </w:rPr>
        <w:t xml:space="preserve">For non CA UE with a smaller BW capability and potentially for  CA UE, the measurement gap for RRM measurement </w:t>
      </w:r>
      <w:r w:rsidRPr="00DD68AB">
        <w:rPr>
          <w:rFonts w:eastAsia="MS Mincho" w:hint="eastAsia"/>
          <w:i/>
          <w:lang w:eastAsia="ja-JP"/>
        </w:rPr>
        <w:t xml:space="preserve">and potentially other purposes (e.g., path loss measurement for UL power control) using SS block </w:t>
      </w:r>
      <w:r w:rsidRPr="00DD68AB">
        <w:rPr>
          <w:rFonts w:eastAsia="MS Mincho"/>
          <w:i/>
          <w:lang w:eastAsia="ja-JP"/>
        </w:rPr>
        <w:t xml:space="preserve">is supported (if </w:t>
      </w:r>
      <w:r w:rsidRPr="00DD68AB">
        <w:rPr>
          <w:rFonts w:eastAsia="MS Mincho" w:hint="eastAsia"/>
          <w:i/>
          <w:lang w:eastAsia="ja-JP"/>
        </w:rPr>
        <w:t>it is agreed that there is no SS block in the active BW part(s)</w:t>
      </w:r>
      <w:r w:rsidRPr="00DD68AB">
        <w:rPr>
          <w:rFonts w:eastAsia="MS Mincho"/>
          <w:i/>
          <w:lang w:eastAsia="ja-JP"/>
        </w:rPr>
        <w:t>)</w:t>
      </w:r>
    </w:p>
    <w:p w14:paraId="5B532FE8" w14:textId="77777777" w:rsidR="00DD68AB" w:rsidRPr="00DD68AB" w:rsidRDefault="00DD68AB" w:rsidP="00DD68AB">
      <w:pPr>
        <w:numPr>
          <w:ilvl w:val="1"/>
          <w:numId w:val="16"/>
        </w:numPr>
        <w:overflowPunct/>
        <w:autoSpaceDE/>
        <w:autoSpaceDN/>
        <w:adjustRightInd/>
        <w:spacing w:after="0"/>
        <w:jc w:val="left"/>
        <w:textAlignment w:val="auto"/>
        <w:rPr>
          <w:rFonts w:eastAsia="MS Mincho"/>
          <w:i/>
          <w:lang w:eastAsia="ja-JP"/>
        </w:rPr>
      </w:pPr>
      <w:r w:rsidRPr="00DD68AB">
        <w:rPr>
          <w:rFonts w:eastAsia="MS Mincho"/>
          <w:i/>
          <w:lang w:eastAsia="ja-JP"/>
        </w:rPr>
        <w:t xml:space="preserve">UE </w:t>
      </w:r>
      <w:r w:rsidRPr="00DD68AB">
        <w:rPr>
          <w:rFonts w:eastAsia="MS Mincho" w:hint="eastAsia"/>
          <w:i/>
          <w:lang w:eastAsia="ja-JP"/>
        </w:rPr>
        <w:t>can be</w:t>
      </w:r>
      <w:r w:rsidRPr="00DD68AB">
        <w:rPr>
          <w:rFonts w:eastAsia="MS Mincho"/>
          <w:i/>
          <w:lang w:eastAsia="ja-JP"/>
        </w:rPr>
        <w:t xml:space="preserve"> informed of the presence/parameters of the SS block(s) and parameters necessary for </w:t>
      </w:r>
      <w:r w:rsidRPr="00DD68AB">
        <w:rPr>
          <w:rFonts w:eastAsia="MS Mincho" w:hint="eastAsia"/>
          <w:i/>
          <w:lang w:eastAsia="ja-JP"/>
        </w:rPr>
        <w:t>RRM</w:t>
      </w:r>
      <w:r w:rsidRPr="00DD68AB">
        <w:rPr>
          <w:rFonts w:eastAsia="MS Mincho"/>
          <w:i/>
          <w:lang w:eastAsia="ja-JP"/>
        </w:rPr>
        <w:t xml:space="preserve"> measurement </w:t>
      </w:r>
    </w:p>
    <w:p w14:paraId="2161C3DB" w14:textId="77777777" w:rsidR="00DD68AB" w:rsidRPr="00DD68AB" w:rsidRDefault="00DD68AB" w:rsidP="00DD68AB">
      <w:pPr>
        <w:numPr>
          <w:ilvl w:val="2"/>
          <w:numId w:val="16"/>
        </w:numPr>
        <w:overflowPunct/>
        <w:autoSpaceDE/>
        <w:autoSpaceDN/>
        <w:adjustRightInd/>
        <w:spacing w:after="0"/>
        <w:jc w:val="left"/>
        <w:textAlignment w:val="auto"/>
        <w:rPr>
          <w:rFonts w:eastAsia="MS Mincho"/>
          <w:i/>
          <w:lang w:eastAsia="ja-JP"/>
        </w:rPr>
      </w:pPr>
      <w:r w:rsidRPr="00DD68AB">
        <w:rPr>
          <w:rFonts w:eastAsia="MS Mincho" w:hint="eastAsia"/>
          <w:i/>
          <w:lang w:eastAsia="ja-JP"/>
        </w:rPr>
        <w:t xml:space="preserve">FFS: </w:t>
      </w:r>
      <w:r w:rsidRPr="00DD68AB">
        <w:rPr>
          <w:rFonts w:eastAsia="MS Mincho"/>
          <w:i/>
          <w:lang w:eastAsia="ja-JP"/>
        </w:rPr>
        <w:t>via either RMSI, other system information, or RRC signaling</w:t>
      </w:r>
    </w:p>
    <w:p w14:paraId="3EA3639A" w14:textId="77777777" w:rsidR="00DD68AB" w:rsidRPr="00DD68AB" w:rsidRDefault="00DD68AB" w:rsidP="00DD68AB">
      <w:pPr>
        <w:numPr>
          <w:ilvl w:val="1"/>
          <w:numId w:val="16"/>
        </w:numPr>
        <w:overflowPunct/>
        <w:autoSpaceDE/>
        <w:autoSpaceDN/>
        <w:adjustRightInd/>
        <w:spacing w:after="0"/>
        <w:jc w:val="left"/>
        <w:textAlignment w:val="auto"/>
        <w:rPr>
          <w:rFonts w:eastAsia="MS Mincho"/>
          <w:i/>
          <w:lang w:eastAsia="ja-JP"/>
        </w:rPr>
      </w:pPr>
      <w:r w:rsidRPr="00DD68AB">
        <w:rPr>
          <w:rFonts w:eastAsia="MS Mincho"/>
          <w:i/>
          <w:lang w:eastAsia="ja-JP"/>
        </w:rPr>
        <w:t>FFS: number of SS blocks in wideband</w:t>
      </w:r>
    </w:p>
    <w:p w14:paraId="1D30E9E2" w14:textId="330A81EB" w:rsidR="00DD68AB" w:rsidRDefault="00DD68AB" w:rsidP="00DD68AB">
      <w:pPr>
        <w:numPr>
          <w:ilvl w:val="1"/>
          <w:numId w:val="16"/>
        </w:numPr>
        <w:overflowPunct/>
        <w:autoSpaceDE/>
        <w:autoSpaceDN/>
        <w:adjustRightInd/>
        <w:spacing w:after="0"/>
        <w:jc w:val="left"/>
        <w:textAlignment w:val="auto"/>
        <w:rPr>
          <w:rFonts w:eastAsia="MS Mincho"/>
          <w:i/>
          <w:lang w:eastAsia="ja-JP"/>
        </w:rPr>
      </w:pPr>
      <w:r w:rsidRPr="00DD68AB">
        <w:rPr>
          <w:rFonts w:eastAsia="MS Mincho"/>
          <w:i/>
          <w:lang w:eastAsia="ja-JP"/>
        </w:rPr>
        <w:t>FFS: number of SS block</w:t>
      </w:r>
      <w:r w:rsidRPr="00DD68AB">
        <w:rPr>
          <w:rFonts w:eastAsia="MS Mincho" w:hint="eastAsia"/>
          <w:i/>
          <w:lang w:eastAsia="ja-JP"/>
        </w:rPr>
        <w:t>s for RRM measurement</w:t>
      </w:r>
    </w:p>
    <w:p w14:paraId="788E3E67" w14:textId="77777777" w:rsidR="00073D8C" w:rsidRDefault="00073D8C" w:rsidP="00073D8C">
      <w:pPr>
        <w:pStyle w:val="BodyText"/>
      </w:pPr>
    </w:p>
    <w:p w14:paraId="22A3D3D1" w14:textId="7DE74417" w:rsidR="00924B66" w:rsidRDefault="00E24F71" w:rsidP="00924B66">
      <w:pPr>
        <w:pStyle w:val="BodyText"/>
      </w:pPr>
      <w:r>
        <w:t>T</w:t>
      </w:r>
      <w:r w:rsidR="00924B66">
        <w:rPr>
          <w:lang w:val="en-US"/>
        </w:rPr>
        <w:t xml:space="preserve">he term wideband </w:t>
      </w:r>
      <w:r>
        <w:rPr>
          <w:lang w:val="en-US"/>
        </w:rPr>
        <w:t xml:space="preserve">(component) carrier (wideband </w:t>
      </w:r>
      <w:r w:rsidR="00924B66">
        <w:rPr>
          <w:lang w:val="en-US"/>
        </w:rPr>
        <w:t>CC</w:t>
      </w:r>
      <w:r>
        <w:rPr>
          <w:lang w:val="en-US"/>
        </w:rPr>
        <w:t>)</w:t>
      </w:r>
      <w:r w:rsidR="00924B66">
        <w:rPr>
          <w:lang w:val="en-US"/>
        </w:rPr>
        <w:t xml:space="preserve"> </w:t>
      </w:r>
      <w:r w:rsidR="00924B66">
        <w:t>has been used with two slightly different meanings in different 3GPP discussions:</w:t>
      </w:r>
    </w:p>
    <w:p w14:paraId="0201B360" w14:textId="383DAA25" w:rsidR="00924B66" w:rsidRDefault="00E24F71" w:rsidP="00924B66">
      <w:pPr>
        <w:pStyle w:val="BodyText"/>
        <w:numPr>
          <w:ilvl w:val="0"/>
          <w:numId w:val="17"/>
        </w:numPr>
        <w:overflowPunct/>
        <w:autoSpaceDE/>
        <w:autoSpaceDN/>
        <w:adjustRightInd/>
        <w:textAlignment w:val="auto"/>
      </w:pPr>
      <w:r>
        <w:t>It</w:t>
      </w:r>
      <w:r w:rsidR="00924B66">
        <w:t xml:space="preserve"> may refer to a carrier with a bandwidth larger than the minimum UE bandwidth capability, implying that there may be UEs that are not capable of simultaneously receiving the full </w:t>
      </w:r>
      <w:r>
        <w:t>wideband carrier</w:t>
      </w:r>
      <w:r w:rsidR="00924B66">
        <w:t>. We will refer to the corresponding UEs as “bandwidth-limited UEs”</w:t>
      </w:r>
    </w:p>
    <w:p w14:paraId="164B1111" w14:textId="71464257" w:rsidR="00924B66" w:rsidRDefault="00E24F71" w:rsidP="00924B66">
      <w:pPr>
        <w:pStyle w:val="BodyText"/>
        <w:numPr>
          <w:ilvl w:val="0"/>
          <w:numId w:val="17"/>
        </w:numPr>
        <w:overflowPunct/>
        <w:autoSpaceDE/>
        <w:autoSpaceDN/>
        <w:adjustRightInd/>
        <w:textAlignment w:val="auto"/>
      </w:pPr>
      <w:r>
        <w:t>It</w:t>
      </w:r>
      <w:r w:rsidR="00924B66">
        <w:t xml:space="preserve"> may refer to a carrier with a bandwidth such that there may be UEs that can o</w:t>
      </w:r>
      <w:r>
        <w:t>nly receive the full wideband carrier</w:t>
      </w:r>
      <w:r w:rsidR="00924B66">
        <w:t xml:space="preserve"> by means of multiple more narrowband receivers operating in parallel</w:t>
      </w:r>
      <w:r>
        <w:t xml:space="preserve"> on different subbands of the carrier</w:t>
      </w:r>
      <w:r w:rsidR="00924B66">
        <w:t xml:space="preserve">. Differently expressed, the </w:t>
      </w:r>
      <w:r>
        <w:t>UE receiver sees the wideband carrier</w:t>
      </w:r>
      <w:r w:rsidR="00924B66">
        <w:t xml:space="preserve"> as a carrier aggregation of a set of more narrowband carriers. We will refer to the corresponding UEs as “CA-UEs”.</w:t>
      </w:r>
    </w:p>
    <w:p w14:paraId="58DA6C94" w14:textId="77777777" w:rsidR="00924B66" w:rsidRDefault="00924B66" w:rsidP="00924B66">
      <w:pPr>
        <w:pStyle w:val="BodyText"/>
      </w:pPr>
      <w:r>
        <w:t>Both these scenarios are relevant in relation to the agreement above.</w:t>
      </w:r>
    </w:p>
    <w:p w14:paraId="0647DE2D" w14:textId="0479374D" w:rsidR="00737B78" w:rsidRDefault="00924B66" w:rsidP="00073D8C">
      <w:pPr>
        <w:pStyle w:val="BodyText"/>
      </w:pPr>
      <w:r>
        <w:t>A</w:t>
      </w:r>
      <w:r w:rsidR="00737B78">
        <w:t xml:space="preserve">t the June RAN1 NR AdHoc, there was a separate </w:t>
      </w:r>
      <w:r w:rsidR="00E24F71">
        <w:t>agreement to, in a carrier-aggregation scenario, allow for</w:t>
      </w:r>
      <w:r w:rsidR="00737B78">
        <w:t xml:space="preserve"> carriers without </w:t>
      </w:r>
      <w:r w:rsidR="00737B78" w:rsidRPr="00924B66">
        <w:rPr>
          <w:i/>
        </w:rPr>
        <w:t>any</w:t>
      </w:r>
      <w:r w:rsidR="00E24F71">
        <w:t xml:space="preserve"> SSB</w:t>
      </w:r>
      <w:r w:rsidR="00737B78">
        <w:t xml:space="preserve">. </w:t>
      </w:r>
    </w:p>
    <w:p w14:paraId="100689A0" w14:textId="77777777" w:rsidR="00737B78" w:rsidRPr="00737B78" w:rsidRDefault="00737B78" w:rsidP="00737B78">
      <w:pPr>
        <w:pStyle w:val="ListParagraph"/>
        <w:numPr>
          <w:ilvl w:val="0"/>
          <w:numId w:val="18"/>
        </w:numPr>
        <w:overflowPunct w:val="0"/>
        <w:autoSpaceDE w:val="0"/>
        <w:autoSpaceDN w:val="0"/>
        <w:adjustRightInd w:val="0"/>
        <w:spacing w:after="180"/>
        <w:contextualSpacing/>
        <w:rPr>
          <w:rFonts w:ascii="Times New Roman" w:eastAsia="MS Mincho" w:hAnsi="Times New Roman"/>
          <w:i/>
          <w:color w:val="000000" w:themeColor="text1"/>
          <w:lang w:val="en-GB" w:eastAsia="ja-JP"/>
        </w:rPr>
      </w:pPr>
      <w:r w:rsidRPr="00737B78">
        <w:rPr>
          <w:rFonts w:eastAsia="MS Mincho"/>
          <w:i/>
          <w:color w:val="000000" w:themeColor="text1"/>
          <w:lang w:val="en-US"/>
        </w:rPr>
        <w:t xml:space="preserve">Usage scenario #4 in </w:t>
      </w:r>
      <w:hyperlink r:id="rId14" w:history="1">
        <w:r w:rsidRPr="00737B78">
          <w:rPr>
            <w:rStyle w:val="Hyperlink"/>
            <w:rFonts w:eastAsia="MS Mincho"/>
            <w:i/>
            <w:color w:val="000000" w:themeColor="text1"/>
          </w:rPr>
          <w:t>R1-1711795</w:t>
        </w:r>
      </w:hyperlink>
      <w:r w:rsidRPr="00737B78">
        <w:rPr>
          <w:rFonts w:eastAsia="MS Mincho"/>
          <w:i/>
          <w:color w:val="000000" w:themeColor="text1"/>
          <w:lang w:val="en-US"/>
        </w:rPr>
        <w:t xml:space="preserve"> is supported in the context of non-contiguous intra-band carrier aggregation</w:t>
      </w:r>
    </w:p>
    <w:p w14:paraId="12B75007" w14:textId="41D0E908" w:rsidR="00737B78" w:rsidRPr="00737B78" w:rsidRDefault="00737B78" w:rsidP="00073D8C">
      <w:pPr>
        <w:pStyle w:val="ListParagraph"/>
        <w:numPr>
          <w:ilvl w:val="1"/>
          <w:numId w:val="18"/>
        </w:numPr>
        <w:overflowPunct w:val="0"/>
        <w:autoSpaceDE w:val="0"/>
        <w:autoSpaceDN w:val="0"/>
        <w:adjustRightInd w:val="0"/>
        <w:spacing w:after="180"/>
        <w:contextualSpacing/>
        <w:rPr>
          <w:rFonts w:eastAsia="MS Mincho"/>
          <w:i/>
          <w:color w:val="000000" w:themeColor="text1"/>
          <w:lang w:val="en-US"/>
        </w:rPr>
      </w:pPr>
      <w:r w:rsidRPr="00737B78">
        <w:rPr>
          <w:rFonts w:eastAsia="MS Mincho"/>
          <w:i/>
          <w:color w:val="000000" w:themeColor="text1"/>
          <w:lang w:val="en-US"/>
        </w:rPr>
        <w:t>Carrier without SS block can be configured for some UEs</w:t>
      </w:r>
    </w:p>
    <w:p w14:paraId="0D441364" w14:textId="4BE14613" w:rsidR="00971AA7" w:rsidRPr="00971AA7" w:rsidRDefault="00E30225" w:rsidP="00DD68AB">
      <w:pPr>
        <w:pStyle w:val="Heading1"/>
        <w:rPr>
          <w:lang w:val="en-US"/>
        </w:rPr>
      </w:pPr>
      <w:r w:rsidRPr="00BB6024">
        <w:rPr>
          <w:lang w:val="en-US"/>
        </w:rPr>
        <w:lastRenderedPageBreak/>
        <w:t>Discussio</w:t>
      </w:r>
      <w:bookmarkStart w:id="1" w:name="_Ref480811488"/>
      <w:bookmarkEnd w:id="0"/>
      <w:r w:rsidR="00971AA7">
        <w:rPr>
          <w:lang w:val="en-US"/>
        </w:rPr>
        <w:t>n</w:t>
      </w:r>
    </w:p>
    <w:p w14:paraId="69E4F996" w14:textId="2834478A" w:rsidR="004A39C0" w:rsidRDefault="00924B66" w:rsidP="004A39C0">
      <w:pPr>
        <w:pStyle w:val="Heading2"/>
        <w:rPr>
          <w:lang w:val="en-US"/>
        </w:rPr>
      </w:pPr>
      <w:r>
        <w:rPr>
          <w:lang w:val="en-US"/>
        </w:rPr>
        <w:t>Number of SSB within a component carrier</w:t>
      </w:r>
    </w:p>
    <w:p w14:paraId="101B50DA" w14:textId="57727D50" w:rsidR="00886B7D" w:rsidRDefault="00886B7D" w:rsidP="00DD68AB">
      <w:pPr>
        <w:pStyle w:val="BodyText"/>
      </w:pPr>
      <w:r>
        <w:t>From the agreements above</w:t>
      </w:r>
      <w:r w:rsidR="00924B66">
        <w:t xml:space="preserve"> one</w:t>
      </w:r>
      <w:r>
        <w:t xml:space="preserve"> can make a first observation</w:t>
      </w:r>
    </w:p>
    <w:p w14:paraId="3D5A7C5E" w14:textId="788D9223" w:rsidR="00924B66" w:rsidRDefault="00886B7D" w:rsidP="00DD68AB">
      <w:pPr>
        <w:pStyle w:val="BodyText"/>
      </w:pPr>
      <w:r w:rsidRPr="00886B7D">
        <w:rPr>
          <w:b/>
        </w:rPr>
        <w:t>Observation</w:t>
      </w:r>
      <w:r w:rsidR="00EB57F7">
        <w:rPr>
          <w:b/>
        </w:rPr>
        <w:t xml:space="preserve"> 1</w:t>
      </w:r>
      <w:r w:rsidRPr="00886B7D">
        <w:rPr>
          <w:b/>
        </w:rPr>
        <w:t>:</w:t>
      </w:r>
      <w:r>
        <w:t xml:space="preserve"> </w:t>
      </w:r>
      <w:r w:rsidRPr="00924B66">
        <w:rPr>
          <w:i/>
        </w:rPr>
        <w:t>From a UE point-of-view there may be zero, one, or multiple SSBs within a carrier</w:t>
      </w:r>
    </w:p>
    <w:p w14:paraId="2989B7F0" w14:textId="1B064DD8" w:rsidR="00924B66" w:rsidRPr="00924B66" w:rsidRDefault="00886B7D" w:rsidP="00DD68AB">
      <w:pPr>
        <w:pStyle w:val="BodyText"/>
      </w:pPr>
      <w:r>
        <w:t xml:space="preserve">Although not explicit in the second agreement above we assume that </w:t>
      </w:r>
      <w:r w:rsidR="00E24F71">
        <w:t xml:space="preserve">a carrier </w:t>
      </w:r>
      <w:r>
        <w:t>with no SSB can only exist in a carrier aggregation where at least one of the component carriers include SSB.</w:t>
      </w:r>
    </w:p>
    <w:p w14:paraId="6327B378" w14:textId="370CFFFB" w:rsidR="00886B7D" w:rsidRPr="00DD68AB" w:rsidRDefault="00886B7D" w:rsidP="00DD68AB">
      <w:pPr>
        <w:pStyle w:val="BodyText"/>
      </w:pPr>
      <w:r w:rsidRPr="00886B7D">
        <w:rPr>
          <w:b/>
        </w:rPr>
        <w:t>Proposal</w:t>
      </w:r>
      <w:r w:rsidR="00EB57F7">
        <w:rPr>
          <w:b/>
        </w:rPr>
        <w:t xml:space="preserve"> 1:</w:t>
      </w:r>
      <w:r>
        <w:t xml:space="preserve"> </w:t>
      </w:r>
      <w:r w:rsidRPr="00924B66">
        <w:rPr>
          <w:i/>
        </w:rPr>
        <w:t>A</w:t>
      </w:r>
      <w:r w:rsidR="00E24F71">
        <w:rPr>
          <w:i/>
        </w:rPr>
        <w:t xml:space="preserve"> </w:t>
      </w:r>
      <w:r w:rsidRPr="00924B66">
        <w:rPr>
          <w:i/>
        </w:rPr>
        <w:t xml:space="preserve">carrier with no SSB can only exist in a carrier aggregation </w:t>
      </w:r>
      <w:r w:rsidR="00E24F71">
        <w:rPr>
          <w:i/>
        </w:rPr>
        <w:t xml:space="preserve">scenario </w:t>
      </w:r>
      <w:r w:rsidRPr="00924B66">
        <w:rPr>
          <w:i/>
        </w:rPr>
        <w:t>where at least one of the component carriers include</w:t>
      </w:r>
      <w:r w:rsidR="00E24F71">
        <w:rPr>
          <w:i/>
        </w:rPr>
        <w:t>s</w:t>
      </w:r>
      <w:r w:rsidRPr="00924B66">
        <w:rPr>
          <w:i/>
        </w:rPr>
        <w:t xml:space="preserve"> SSB</w:t>
      </w:r>
    </w:p>
    <w:p w14:paraId="312C094E" w14:textId="436619DF" w:rsidR="00971AA7" w:rsidRDefault="00886B7D" w:rsidP="004A39C0">
      <w:pPr>
        <w:pStyle w:val="Heading2"/>
      </w:pPr>
      <w:r>
        <w:t xml:space="preserve">Operating </w:t>
      </w:r>
      <w:r w:rsidR="00924B66">
        <w:t xml:space="preserve">a </w:t>
      </w:r>
      <w:r w:rsidR="00737B78">
        <w:t>carrier with a single SSB</w:t>
      </w:r>
    </w:p>
    <w:p w14:paraId="61C689BA" w14:textId="330FCA12" w:rsidR="00073D8C" w:rsidRDefault="00404716" w:rsidP="00DD68AB">
      <w:pPr>
        <w:pStyle w:val="BodyText"/>
      </w:pPr>
      <w:r>
        <w:t xml:space="preserve">In case of a single SSB </w:t>
      </w:r>
      <w:r w:rsidR="00AC16EC">
        <w:t xml:space="preserve">within </w:t>
      </w:r>
      <w:r w:rsidR="00886B7D">
        <w:t xml:space="preserve">a </w:t>
      </w:r>
      <w:r w:rsidR="00924B66">
        <w:t>wideband carrier</w:t>
      </w:r>
      <w:r w:rsidR="00AC16EC">
        <w:t>, the active bandwidth part of a</w:t>
      </w:r>
      <w:r w:rsidR="00DD68AB">
        <w:t xml:space="preserve"> band-l</w:t>
      </w:r>
      <w:r w:rsidR="00AC16EC">
        <w:t>imited UE may not include any</w:t>
      </w:r>
      <w:r w:rsidR="00DD68AB">
        <w:t xml:space="preserve"> SSB </w:t>
      </w:r>
      <w:r>
        <w:t>that the UE c</w:t>
      </w:r>
      <w:r w:rsidR="00AC16EC">
        <w:t>ould</w:t>
      </w:r>
      <w:r>
        <w:t xml:space="preserve"> use to retain </w:t>
      </w:r>
      <w:r w:rsidR="00737B78">
        <w:t>time/frequency synchronization to the current cell</w:t>
      </w:r>
      <w:r w:rsidR="00073D8C">
        <w:t xml:space="preserve">. </w:t>
      </w:r>
      <w:r>
        <w:t>In this</w:t>
      </w:r>
      <w:r w:rsidR="00924B66">
        <w:t xml:space="preserve"> case</w:t>
      </w:r>
      <w:r w:rsidR="008E1843">
        <w:t xml:space="preserve"> other r</w:t>
      </w:r>
      <w:r>
        <w:t>eference signals, such as TRS, can be used for time/frequency tracking, at least for UEs in con</w:t>
      </w:r>
      <w:r w:rsidR="00924B66">
        <w:t>nected state</w:t>
      </w:r>
      <w:r w:rsidR="001477FB">
        <w:t xml:space="preserve">. </w:t>
      </w:r>
      <w:r w:rsidR="00E24F71">
        <w:t>At the same time, i</w:t>
      </w:r>
      <w:r w:rsidR="00886B7D">
        <w:t>n idle state</w:t>
      </w:r>
      <w:r w:rsidR="00073D8C">
        <w:t xml:space="preserve"> </w:t>
      </w:r>
      <w:r w:rsidR="001477FB">
        <w:t xml:space="preserve">it is always </w:t>
      </w:r>
      <w:r w:rsidR="00073D8C">
        <w:t>possible to have UEs camp</w:t>
      </w:r>
      <w:r w:rsidR="008E1843">
        <w:t>ing</w:t>
      </w:r>
      <w:r w:rsidR="00073D8C">
        <w:t xml:space="preserve"> on a bandwidth part within which there is an SSB. </w:t>
      </w:r>
    </w:p>
    <w:p w14:paraId="34C9D875" w14:textId="057307AD" w:rsidR="004A39C0" w:rsidRDefault="004A39C0" w:rsidP="00DD68AB">
      <w:pPr>
        <w:pStyle w:val="BodyText"/>
      </w:pPr>
      <w:r>
        <w:t xml:space="preserve">Similarly, </w:t>
      </w:r>
      <w:r w:rsidR="001477FB">
        <w:t xml:space="preserve">when a band-limited </w:t>
      </w:r>
      <w:r>
        <w:t xml:space="preserve">UE is to carry out RRM measurements </w:t>
      </w:r>
      <w:r w:rsidR="001477FB">
        <w:t>on a wideband carrier within which there is only a single SSB</w:t>
      </w:r>
      <w:r>
        <w:t xml:space="preserve">, there may not be any SSB to measure on within the frequency range of the UE active bandwidth part. </w:t>
      </w:r>
      <w:r w:rsidR="00E24F71">
        <w:t>As concluded</w:t>
      </w:r>
      <w:r w:rsidR="001477FB">
        <w:t xml:space="preserve"> in the above agreement, </w:t>
      </w:r>
      <w:r>
        <w:t>RRM measurements could, in this case, be enabled by means of measurement gaps and correspond</w:t>
      </w:r>
      <w:r w:rsidR="00924B66">
        <w:t>ing re-tuning of the UE receive</w:t>
      </w:r>
      <w:r w:rsidR="00E24F71">
        <w:t>r</w:t>
      </w:r>
      <w:r>
        <w:t>. RRM measurements may also be carried out on other signals such as CSI-RS</w:t>
      </w:r>
    </w:p>
    <w:p w14:paraId="6FBD9589" w14:textId="2CD90AC2" w:rsidR="001477FB" w:rsidRDefault="00404716" w:rsidP="001477FB">
      <w:pPr>
        <w:pStyle w:val="BodyText"/>
      </w:pPr>
      <w:r>
        <w:t>In case of a single SSB within a wideband</w:t>
      </w:r>
      <w:r w:rsidR="004A39C0">
        <w:t xml:space="preserve"> carrier, a CA-</w:t>
      </w:r>
      <w:r w:rsidR="00DD68AB">
        <w:t xml:space="preserve">UE will not have an SSB within each of its narrow-band receiver “carriers”. </w:t>
      </w:r>
      <w:r w:rsidR="00AC16EC">
        <w:t xml:space="preserve">Also in this case, other reference signals, such as TRS, can be used for </w:t>
      </w:r>
      <w:r w:rsidR="00E24F71">
        <w:t>per-component-carrier time/frequency tracking</w:t>
      </w:r>
      <w:r w:rsidR="00971AA7">
        <w:t>. Furthermore</w:t>
      </w:r>
      <w:r w:rsidR="00AC16EC">
        <w:t xml:space="preserve">, </w:t>
      </w:r>
      <w:r>
        <w:t xml:space="preserve">synchronization to the wideband carrier can be achieved by sharing synchronization information between the different receiver carriers. </w:t>
      </w:r>
      <w:r w:rsidR="00924B66">
        <w:t>Note that, as already observed</w:t>
      </w:r>
      <w:r w:rsidR="001477FB">
        <w:t xml:space="preserve"> above,</w:t>
      </w:r>
      <w:r w:rsidR="00924B66">
        <w:t xml:space="preserve"> components carriers without SSB</w:t>
      </w:r>
      <w:r w:rsidR="001477FB">
        <w:t xml:space="preserve"> should anyway be supported in a carrier-aggregation scenario. </w:t>
      </w:r>
    </w:p>
    <w:p w14:paraId="0EAA1F63" w14:textId="0A440D44" w:rsidR="00FC2D0D" w:rsidRDefault="00971AA7" w:rsidP="001477FB">
      <w:pPr>
        <w:pStyle w:val="Heading2"/>
      </w:pPr>
      <w:r>
        <w:t>M</w:t>
      </w:r>
      <w:r w:rsidR="00FC2D0D">
        <w:t>ultiple SSB within a carrier</w:t>
      </w:r>
    </w:p>
    <w:p w14:paraId="5E6A432A" w14:textId="28486931" w:rsidR="004A39C0" w:rsidRDefault="004A39C0" w:rsidP="004A39C0">
      <w:r>
        <w:t>In case of mult</w:t>
      </w:r>
      <w:r w:rsidR="00E24F71">
        <w:t xml:space="preserve">iple SSBs within a carrier, </w:t>
      </w:r>
      <w:r w:rsidR="00360037">
        <w:t xml:space="preserve">SSB-based </w:t>
      </w:r>
      <w:r>
        <w:t xml:space="preserve">synchronization and measurement </w:t>
      </w:r>
      <w:r w:rsidR="00360037">
        <w:t xml:space="preserve">can readily be done. </w:t>
      </w:r>
    </w:p>
    <w:p w14:paraId="08FBF295" w14:textId="321B0250" w:rsidR="004A39C0" w:rsidRDefault="00E24F71" w:rsidP="004A39C0">
      <w:pPr>
        <w:pStyle w:val="ListParagraph"/>
        <w:numPr>
          <w:ilvl w:val="0"/>
          <w:numId w:val="17"/>
        </w:numPr>
        <w:rPr>
          <w:lang w:val="en-US"/>
        </w:rPr>
      </w:pPr>
      <w:r>
        <w:rPr>
          <w:lang w:val="en-US"/>
        </w:rPr>
        <w:t>For a band-limited UE there</w:t>
      </w:r>
      <w:r w:rsidR="004A39C0" w:rsidRPr="004A39C0">
        <w:rPr>
          <w:lang w:val="en-US"/>
        </w:rPr>
        <w:t xml:space="preserve"> wo</w:t>
      </w:r>
      <w:r w:rsidR="004A39C0">
        <w:rPr>
          <w:lang w:val="en-US"/>
        </w:rPr>
        <w:t>uld always be an SSB for synchronization and measurements within the frequency range of the active bandwidth part</w:t>
      </w:r>
    </w:p>
    <w:p w14:paraId="0173D01D" w14:textId="3095C24E" w:rsidR="004A39C0" w:rsidRDefault="004A39C0" w:rsidP="004A39C0">
      <w:pPr>
        <w:pStyle w:val="ListParagraph"/>
        <w:numPr>
          <w:ilvl w:val="0"/>
          <w:numId w:val="17"/>
        </w:numPr>
        <w:rPr>
          <w:lang w:val="en-US"/>
        </w:rPr>
      </w:pPr>
      <w:r>
        <w:rPr>
          <w:lang w:val="en-US"/>
        </w:rPr>
        <w:t>For a CA-UE there would always been an SSB for the synchronization (and measurements if desired) within each “receiver” carrier</w:t>
      </w:r>
    </w:p>
    <w:p w14:paraId="05AED5D7" w14:textId="77777777" w:rsidR="004A39C0" w:rsidRDefault="004A39C0" w:rsidP="004A39C0">
      <w:pPr>
        <w:rPr>
          <w:lang w:val="en-US"/>
        </w:rPr>
      </w:pPr>
    </w:p>
    <w:p w14:paraId="1EEE1605" w14:textId="05BEB127" w:rsidR="000F475C" w:rsidRPr="004A39C0" w:rsidRDefault="004A39C0" w:rsidP="004A39C0">
      <w:pPr>
        <w:rPr>
          <w:lang w:val="en-US"/>
        </w:rPr>
      </w:pPr>
      <w:r>
        <w:rPr>
          <w:lang w:val="en-US"/>
        </w:rPr>
        <w:t>At the same time</w:t>
      </w:r>
      <w:r w:rsidR="00E24F71">
        <w:rPr>
          <w:lang w:val="en-US"/>
        </w:rPr>
        <w:t>,</w:t>
      </w:r>
      <w:r>
        <w:rPr>
          <w:lang w:val="en-US"/>
        </w:rPr>
        <w:t xml:space="preserve"> there are several remaining question</w:t>
      </w:r>
      <w:r w:rsidR="00924B66">
        <w:rPr>
          <w:lang w:val="en-US"/>
        </w:rPr>
        <w:t>s</w:t>
      </w:r>
      <w:r>
        <w:rPr>
          <w:lang w:val="en-US"/>
        </w:rPr>
        <w:t xml:space="preserve"> </w:t>
      </w:r>
      <w:r w:rsidR="00EE6FDC">
        <w:rPr>
          <w:lang w:val="en-US"/>
        </w:rPr>
        <w:t xml:space="preserve">in case of </w:t>
      </w:r>
      <w:r>
        <w:rPr>
          <w:lang w:val="en-US"/>
        </w:rPr>
        <w:t xml:space="preserve">multiple SSBs within a carrier </w:t>
      </w:r>
    </w:p>
    <w:p w14:paraId="62DF5F54" w14:textId="77777777" w:rsidR="0030706E" w:rsidRPr="00E24F71" w:rsidRDefault="0030706E" w:rsidP="00FC2D0D">
      <w:pPr>
        <w:pStyle w:val="BodyText"/>
        <w:rPr>
          <w:b/>
          <w:lang w:val="en-US"/>
        </w:rPr>
      </w:pPr>
    </w:p>
    <w:p w14:paraId="6096148C" w14:textId="34B0D40F" w:rsidR="00FC2D0D" w:rsidRDefault="00FC2D0D" w:rsidP="00FC2D0D">
      <w:pPr>
        <w:pStyle w:val="BodyText"/>
      </w:pPr>
      <w:r w:rsidRPr="00144082">
        <w:rPr>
          <w:b/>
        </w:rPr>
        <w:t>Question:</w:t>
      </w:r>
      <w:r w:rsidR="00E24F71">
        <w:t xml:space="preserve"> Do the different SSBs within the</w:t>
      </w:r>
      <w:r w:rsidR="00971AA7">
        <w:t xml:space="preserve"> </w:t>
      </w:r>
      <w:r>
        <w:t xml:space="preserve">carrier have identical PSS and SSS? </w:t>
      </w:r>
    </w:p>
    <w:p w14:paraId="721F50BA" w14:textId="07435255" w:rsidR="00971AA7" w:rsidRDefault="005C3BE1" w:rsidP="00971AA7">
      <w:pPr>
        <w:pStyle w:val="BodyText"/>
      </w:pPr>
      <w:r>
        <w:t>As the PSS/SS depend</w:t>
      </w:r>
      <w:r w:rsidR="00971AA7">
        <w:t xml:space="preserve"> on the physical-layer cell identity (PCI), multiple SSBs with different PSS/SSS would, per definition, correspond </w:t>
      </w:r>
      <w:r w:rsidR="00B13714">
        <w:t xml:space="preserve">to different </w:t>
      </w:r>
      <w:r w:rsidR="00971AA7">
        <w:t xml:space="preserve">co-sited cells with carriers </w:t>
      </w:r>
      <w:r w:rsidR="00B13714">
        <w:t xml:space="preserve">frequency-wise </w:t>
      </w:r>
      <w:r w:rsidR="00971AA7">
        <w:t xml:space="preserve">on top of each other. Such a deployment would clearly be possible, albeit perhaps not making sense in practice. More importantly, specification-wise this would not be any different compared to the normal </w:t>
      </w:r>
      <w:r>
        <w:t>case of multiple non-co-</w:t>
      </w:r>
      <w:r w:rsidR="00971AA7">
        <w:t xml:space="preserve">sited cells. </w:t>
      </w:r>
    </w:p>
    <w:p w14:paraId="51ADAFF5" w14:textId="40CECD5E" w:rsidR="00924B66" w:rsidRDefault="00924B66" w:rsidP="00971AA7">
      <w:pPr>
        <w:pStyle w:val="BodyText"/>
        <w:rPr>
          <w:i/>
        </w:rPr>
      </w:pPr>
      <w:r w:rsidRPr="00924B66">
        <w:rPr>
          <w:b/>
        </w:rPr>
        <w:t>Observation</w:t>
      </w:r>
      <w:r w:rsidR="00EB57F7">
        <w:rPr>
          <w:b/>
        </w:rPr>
        <w:t xml:space="preserve"> 2</w:t>
      </w:r>
      <w:r w:rsidRPr="00924B66">
        <w:rPr>
          <w:b/>
        </w:rPr>
        <w:t>:</w:t>
      </w:r>
      <w:r>
        <w:t xml:space="preserve"> </w:t>
      </w:r>
      <w:r w:rsidRPr="00924B66">
        <w:rPr>
          <w:i/>
        </w:rPr>
        <w:t>Multiple SSB with different PSS/SSS within a wideband carrier is equivalent to multiple overlapping cells/carriers</w:t>
      </w:r>
      <w:r w:rsidR="0030706E">
        <w:rPr>
          <w:i/>
        </w:rPr>
        <w:t>, each with a single SSB</w:t>
      </w:r>
    </w:p>
    <w:p w14:paraId="627CF9E5" w14:textId="77777777" w:rsidR="0030706E" w:rsidRDefault="0030706E" w:rsidP="00971AA7">
      <w:pPr>
        <w:pStyle w:val="BodyText"/>
      </w:pPr>
    </w:p>
    <w:p w14:paraId="7A5B42AF" w14:textId="77D8F06D" w:rsidR="00971AA7" w:rsidRDefault="00971AA7" w:rsidP="00FC2D0D">
      <w:pPr>
        <w:pStyle w:val="BodyText"/>
      </w:pPr>
      <w:r w:rsidRPr="005C3BE1">
        <w:rPr>
          <w:b/>
        </w:rPr>
        <w:t>Question:</w:t>
      </w:r>
      <w:r>
        <w:t xml:space="preserve"> Are </w:t>
      </w:r>
      <w:r w:rsidR="004C6D58">
        <w:t xml:space="preserve">the </w:t>
      </w:r>
      <w:r>
        <w:t>multiple SSBs within a carrier detectable at initial cell search</w:t>
      </w:r>
    </w:p>
    <w:p w14:paraId="3DBC8CE3" w14:textId="77777777" w:rsidR="004C6D58" w:rsidRDefault="00954AE3" w:rsidP="00FC2D0D">
      <w:pPr>
        <w:pStyle w:val="BodyText"/>
      </w:pPr>
      <w:r>
        <w:t xml:space="preserve">If multiple SSBs within a carrier can be detected at initial cell search, different UEs may find the cell via different SSBs. </w:t>
      </w:r>
      <w:r w:rsidR="004C6D58">
        <w:t>Regardless of via what SSB the cell is found, all UEs must then be able to acquire RMSI, have the same understanding of the frequency-domain indexing of reference signals, etc.</w:t>
      </w:r>
    </w:p>
    <w:p w14:paraId="3D1EE170" w14:textId="2F4F0D7C" w:rsidR="00954AE3" w:rsidRDefault="004C6D58" w:rsidP="00FC2D0D">
      <w:pPr>
        <w:pStyle w:val="BodyText"/>
      </w:pPr>
      <w:r>
        <w:t xml:space="preserve">Alternatively, one may consider having only a single SSB detectable at initial cell search. </w:t>
      </w:r>
      <w:r w:rsidR="00EE6FDC">
        <w:t>In this case, t</w:t>
      </w:r>
      <w:r w:rsidR="00954AE3">
        <w:t>he d</w:t>
      </w:r>
      <w:r w:rsidR="003023DF">
        <w:t>etectable SSB could be seen as a</w:t>
      </w:r>
      <w:r>
        <w:t xml:space="preserve"> primary (cell-defining) SSB with the remaining SSBs </w:t>
      </w:r>
      <w:r w:rsidR="00EE6FDC">
        <w:t xml:space="preserve">being </w:t>
      </w:r>
      <w:r>
        <w:t xml:space="preserve">secondary or auxiliary SSBs that </w:t>
      </w:r>
      <w:r w:rsidR="00954AE3">
        <w:t>UE</w:t>
      </w:r>
      <w:r>
        <w:t>s</w:t>
      </w:r>
      <w:r w:rsidR="00954AE3">
        <w:t xml:space="preserve"> would only be aware of after accessing the system. The auxiliary SSBs would not point to any RMSI. One may also question if the auxiliary SSBs would need a PBCH part. </w:t>
      </w:r>
    </w:p>
    <w:p w14:paraId="3B2A4DE4" w14:textId="302F8E7F" w:rsidR="0030706E" w:rsidRDefault="0030706E" w:rsidP="00FC2D0D">
      <w:pPr>
        <w:pStyle w:val="BodyText"/>
      </w:pPr>
      <w:r w:rsidRPr="0030706E">
        <w:rPr>
          <w:b/>
        </w:rPr>
        <w:t>Proposal</w:t>
      </w:r>
      <w:r w:rsidR="00EB57F7">
        <w:rPr>
          <w:b/>
        </w:rPr>
        <w:t xml:space="preserve"> 2</w:t>
      </w:r>
      <w:r w:rsidRPr="0030706E">
        <w:rPr>
          <w:b/>
        </w:rPr>
        <w:t>:</w:t>
      </w:r>
      <w:r>
        <w:t xml:space="preserve"> </w:t>
      </w:r>
      <w:r w:rsidRPr="0030706E">
        <w:rPr>
          <w:i/>
        </w:rPr>
        <w:t>In case of multiple SSB within a wideband carrier, not all SSBs may be detectable at initial cell sea</w:t>
      </w:r>
      <w:r w:rsidR="00EB57F7">
        <w:rPr>
          <w:i/>
        </w:rPr>
        <w:t>r</w:t>
      </w:r>
      <w:r w:rsidRPr="0030706E">
        <w:rPr>
          <w:i/>
        </w:rPr>
        <w:t>ch</w:t>
      </w:r>
      <w:r w:rsidR="00E13C0E">
        <w:rPr>
          <w:i/>
        </w:rPr>
        <w:t>. The non-detectable SSBs may not point to any RMSI</w:t>
      </w:r>
    </w:p>
    <w:p w14:paraId="5C7D8FCD" w14:textId="2B571CDC" w:rsidR="00954AE3" w:rsidRDefault="00954AE3" w:rsidP="00FC2D0D">
      <w:pPr>
        <w:pStyle w:val="BodyText"/>
      </w:pPr>
      <w:r>
        <w:t>There are different ways of making SSBs not detectably at initial cell search</w:t>
      </w:r>
      <w:r w:rsidR="00E13C0E">
        <w:t>:</w:t>
      </w:r>
    </w:p>
    <w:p w14:paraId="4B0E68CC" w14:textId="283B4C4A" w:rsidR="00954AE3" w:rsidRDefault="00954AE3" w:rsidP="00954AE3">
      <w:pPr>
        <w:pStyle w:val="BodyText"/>
        <w:numPr>
          <w:ilvl w:val="0"/>
          <w:numId w:val="17"/>
        </w:numPr>
      </w:pPr>
      <w:r>
        <w:t xml:space="preserve">The SSB could, at least in principle, use a PSS or SSS sequence that is different from the PSS/SSS sequences specified for “normal” </w:t>
      </w:r>
      <w:r w:rsidR="00E13C0E">
        <w:t xml:space="preserve">(= primary) </w:t>
      </w:r>
      <w:r>
        <w:t>SSB</w:t>
      </w:r>
    </w:p>
    <w:p w14:paraId="4A9B9F71" w14:textId="70C745C1" w:rsidR="00954AE3" w:rsidRDefault="00954AE3" w:rsidP="00954AE3">
      <w:pPr>
        <w:pStyle w:val="BodyText"/>
        <w:numPr>
          <w:ilvl w:val="0"/>
          <w:numId w:val="17"/>
        </w:numPr>
      </w:pPr>
      <w:r>
        <w:t>The SSB could be transmitted at frequency positions not within the frequency raster defined for SSB</w:t>
      </w:r>
    </w:p>
    <w:p w14:paraId="27CBFBBE" w14:textId="2AA8ADCD" w:rsidR="00954AE3" w:rsidRDefault="000D1214" w:rsidP="00954AE3">
      <w:pPr>
        <w:pStyle w:val="BodyText"/>
        <w:numPr>
          <w:ilvl w:val="0"/>
          <w:numId w:val="17"/>
        </w:numPr>
      </w:pPr>
      <w:r>
        <w:t>The SSB may not include any PBCH. In this case</w:t>
      </w:r>
      <w:r w:rsidR="00E13C0E">
        <w:t>,</w:t>
      </w:r>
      <w:r>
        <w:t xml:space="preserve"> the UE wo</w:t>
      </w:r>
      <w:r w:rsidR="003023DF">
        <w:t xml:space="preserve">uld detect the PSS/SSS but not </w:t>
      </w:r>
      <w:r>
        <w:t xml:space="preserve">be able to decode any </w:t>
      </w:r>
      <w:r w:rsidR="003023DF">
        <w:t xml:space="preserve">corresponding </w:t>
      </w:r>
      <w:r>
        <w:t xml:space="preserve">PBCH, presumably leading to the UE continue cell search on the next point in the carrier raster. </w:t>
      </w:r>
    </w:p>
    <w:p w14:paraId="57D14A2C" w14:textId="1679A79B" w:rsidR="000D1214" w:rsidRDefault="000D1214" w:rsidP="00954AE3">
      <w:pPr>
        <w:pStyle w:val="BodyText"/>
        <w:numPr>
          <w:ilvl w:val="0"/>
          <w:numId w:val="17"/>
        </w:numPr>
      </w:pPr>
      <w:r>
        <w:t>The PBCH may include a flag indicating that this is an “auxiliary</w:t>
      </w:r>
      <w:r w:rsidR="004C6D58">
        <w:t xml:space="preserve"> SSB” via which the UE should not access the network</w:t>
      </w:r>
      <w:r w:rsidR="003023DF">
        <w:t xml:space="preserve">. </w:t>
      </w:r>
    </w:p>
    <w:p w14:paraId="6A9ACA35" w14:textId="77777777" w:rsidR="0030706E" w:rsidRDefault="0030706E" w:rsidP="000D1214">
      <w:pPr>
        <w:pStyle w:val="BodyText"/>
        <w:rPr>
          <w:b/>
        </w:rPr>
      </w:pPr>
    </w:p>
    <w:p w14:paraId="182C6F2E" w14:textId="13421E8D" w:rsidR="00EE6FDC" w:rsidRDefault="00EE6FDC" w:rsidP="000D1214">
      <w:pPr>
        <w:pStyle w:val="BodyText"/>
      </w:pPr>
      <w:r w:rsidRPr="00EE6FDC">
        <w:rPr>
          <w:b/>
        </w:rPr>
        <w:t>Question:</w:t>
      </w:r>
      <w:r>
        <w:t xml:space="preserve"> How to treat resources used by additional SSBs</w:t>
      </w:r>
      <w:r w:rsidR="003023DF">
        <w:t>?</w:t>
      </w:r>
    </w:p>
    <w:p w14:paraId="0B7CB884" w14:textId="0A29B453" w:rsidR="00786E6E" w:rsidRDefault="00786E6E" w:rsidP="000D1214">
      <w:pPr>
        <w:pStyle w:val="BodyText"/>
      </w:pPr>
      <w:r>
        <w:t xml:space="preserve">The treatment of resources used by additional SSBs should not be different compared to the case of a single SSB, i.e. PDSCH transmissions are rate matched </w:t>
      </w:r>
      <w:r w:rsidR="003023DF">
        <w:t>ar</w:t>
      </w:r>
      <w:r>
        <w:t>ou</w:t>
      </w:r>
      <w:r w:rsidR="003023DF">
        <w:t>nd</w:t>
      </w:r>
      <w:r>
        <w:t xml:space="preserve"> the corresponding resource blocks.</w:t>
      </w:r>
      <w:r w:rsidR="00E13C0E">
        <w:rPr>
          <w:rStyle w:val="FootnoteReference"/>
        </w:rPr>
        <w:footnoteReference w:id="2"/>
      </w:r>
      <w:r>
        <w:t xml:space="preserve"> As a consequence, </w:t>
      </w:r>
      <w:r w:rsidR="003023DF">
        <w:t xml:space="preserve">a </w:t>
      </w:r>
      <w:r>
        <w:t>U</w:t>
      </w:r>
      <w:r w:rsidR="003023DF">
        <w:t>E</w:t>
      </w:r>
      <w:r>
        <w:t xml:space="preserve"> </w:t>
      </w:r>
      <w:r w:rsidR="003023DF">
        <w:t>must have knowledge of the presence of any SSB being transmitted within its frequency range of interest</w:t>
      </w:r>
      <w:r>
        <w:t xml:space="preserve">. The corresponding information </w:t>
      </w:r>
      <w:r w:rsidR="003023DF">
        <w:t>should</w:t>
      </w:r>
      <w:r>
        <w:t xml:space="preserve"> be  provided as part of the cell system information.</w:t>
      </w:r>
    </w:p>
    <w:p w14:paraId="6A0FD3CD" w14:textId="77777777" w:rsidR="0030706E" w:rsidRDefault="0030706E" w:rsidP="004A39C0">
      <w:pPr>
        <w:pStyle w:val="BodyText"/>
        <w:rPr>
          <w:b/>
        </w:rPr>
      </w:pPr>
    </w:p>
    <w:p w14:paraId="34FF715B" w14:textId="25773A99" w:rsidR="004A39C0" w:rsidRDefault="004A39C0" w:rsidP="004A39C0">
      <w:pPr>
        <w:pStyle w:val="BodyText"/>
      </w:pPr>
      <w:r w:rsidRPr="00EE6FDC">
        <w:rPr>
          <w:b/>
        </w:rPr>
        <w:t>Question:</w:t>
      </w:r>
      <w:r>
        <w:t xml:space="preserve"> What is the maximum number of SSBs within a carrier</w:t>
      </w:r>
      <w:r w:rsidR="003023DF">
        <w:t>?</w:t>
      </w:r>
    </w:p>
    <w:p w14:paraId="74476869" w14:textId="437E1693" w:rsidR="003023DF" w:rsidRDefault="00786E6E" w:rsidP="00786E6E">
      <w:pPr>
        <w:pStyle w:val="BodyText"/>
      </w:pPr>
      <w:r>
        <w:t xml:space="preserve">In principle, the maximum number of SSBs within a wideband carrier should </w:t>
      </w:r>
      <w:r w:rsidR="003023DF">
        <w:t xml:space="preserve">upper limited </w:t>
      </w:r>
      <w:r>
        <w:t xml:space="preserve">by the maximum carrier bandwidth divided by the minimum </w:t>
      </w:r>
      <w:r w:rsidR="003023DF">
        <w:t xml:space="preserve">bandwidth of an active </w:t>
      </w:r>
      <w:r>
        <w:t>bandwidth part. Although a UE doing PDCCH monitoring, may have an active bandwidth part that is smaller than the UE bandwidth capability, we think that e.g. RRM measurements, in that case, could be handled by periodically extending th</w:t>
      </w:r>
      <w:r w:rsidR="003023DF">
        <w:t xml:space="preserve">e active bandwidth part. Thus the maximum number of SSBs within a wideband carrier </w:t>
      </w:r>
      <w:r w:rsidR="00A5322A">
        <w:t xml:space="preserve">can probably </w:t>
      </w:r>
      <w:r w:rsidR="003023DF">
        <w:t xml:space="preserve"> be upper limited by the maximum carrier bandwidth divided by the minimum UE bandwidth capability. </w:t>
      </w:r>
    </w:p>
    <w:p w14:paraId="5734E8FB" w14:textId="0369DCA4" w:rsidR="0030706E" w:rsidRPr="00712552" w:rsidRDefault="0030706E" w:rsidP="00786E6E">
      <w:pPr>
        <w:pStyle w:val="BodyText"/>
        <w:rPr>
          <w:i/>
        </w:rPr>
      </w:pPr>
      <w:r w:rsidRPr="0030706E">
        <w:rPr>
          <w:b/>
        </w:rPr>
        <w:t>Proposal</w:t>
      </w:r>
      <w:r w:rsidR="00EB57F7">
        <w:rPr>
          <w:b/>
        </w:rPr>
        <w:t xml:space="preserve"> 3</w:t>
      </w:r>
      <w:r w:rsidRPr="0030706E">
        <w:rPr>
          <w:b/>
        </w:rPr>
        <w:t>:</w:t>
      </w:r>
      <w:r>
        <w:t xml:space="preserve"> </w:t>
      </w:r>
      <w:r w:rsidRPr="00712552">
        <w:rPr>
          <w:i/>
        </w:rPr>
        <w:t xml:space="preserve">The maximum number of SSB within a wideband carrier is upper limited by the maximum component carrier bandwidth divided by the minimum UE bandwidth capability. </w:t>
      </w:r>
    </w:p>
    <w:p w14:paraId="00749568" w14:textId="2AEE5CB5" w:rsidR="00786E6E" w:rsidRDefault="003023DF" w:rsidP="00786E6E">
      <w:pPr>
        <w:pStyle w:val="BodyText"/>
      </w:pPr>
      <w:r>
        <w:t>It should also be noted that the only practical impact of the maximum number of SSBs within a wideband carrier is on system-information/RRC signalling</w:t>
      </w:r>
      <w:r w:rsidR="00A5322A">
        <w:t xml:space="preserve"> needed to inform UEs about the different SSBs</w:t>
      </w:r>
      <w:r>
        <w:t xml:space="preserve">. </w:t>
      </w:r>
    </w:p>
    <w:p w14:paraId="156753C3" w14:textId="35472502" w:rsidR="0030706E" w:rsidRDefault="0030706E" w:rsidP="00786E6E">
      <w:pPr>
        <w:pStyle w:val="BodyText"/>
      </w:pPr>
    </w:p>
    <w:p w14:paraId="46739318" w14:textId="1744772D" w:rsidR="0030706E" w:rsidRDefault="0030706E" w:rsidP="00786E6E">
      <w:pPr>
        <w:pStyle w:val="BodyText"/>
      </w:pPr>
      <w:r w:rsidRPr="00EB57F7">
        <w:rPr>
          <w:b/>
        </w:rPr>
        <w:t>Question:</w:t>
      </w:r>
      <w:r>
        <w:t xml:space="preserve"> In case of multiple SSB within a wideband carrier, should RRM measurements be based on a single or multiple SSB</w:t>
      </w:r>
    </w:p>
    <w:p w14:paraId="389CB298" w14:textId="2B29CD0E" w:rsidR="0030706E" w:rsidRPr="0030706E" w:rsidRDefault="0030706E" w:rsidP="00786E6E">
      <w:pPr>
        <w:pStyle w:val="BodyText"/>
      </w:pPr>
      <w:r>
        <w:t xml:space="preserve">At least in principle a UE may measure and report on different SSB corresponding to the same carrier. However, from a UE point of view these are different independent measurements/reports that the network can combine if desirable. </w:t>
      </w:r>
    </w:p>
    <w:bookmarkEnd w:id="1"/>
    <w:p w14:paraId="41A50CAE" w14:textId="19A4EC0E" w:rsidR="00B6526E" w:rsidRDefault="0030706E" w:rsidP="006D048F">
      <w:pPr>
        <w:pStyle w:val="Reference"/>
        <w:numPr>
          <w:ilvl w:val="0"/>
          <w:numId w:val="0"/>
        </w:numPr>
        <w:rPr>
          <w:i/>
        </w:rPr>
      </w:pPr>
      <w:r w:rsidRPr="00712552">
        <w:rPr>
          <w:b/>
        </w:rPr>
        <w:t>Proposal</w:t>
      </w:r>
      <w:r w:rsidR="00EB57F7">
        <w:rPr>
          <w:b/>
        </w:rPr>
        <w:t xml:space="preserve"> 4</w:t>
      </w:r>
      <w:r w:rsidRPr="00712552">
        <w:rPr>
          <w:b/>
        </w:rPr>
        <w:t>:</w:t>
      </w:r>
      <w:r>
        <w:t xml:space="preserve"> </w:t>
      </w:r>
      <w:r w:rsidR="00EB57F7">
        <w:rPr>
          <w:i/>
        </w:rPr>
        <w:t>In</w:t>
      </w:r>
      <w:r w:rsidRPr="00712552">
        <w:rPr>
          <w:i/>
        </w:rPr>
        <w:t xml:space="preserve"> case of multiple SSB within a carrier, RRM measurements and reporting should be carried out on a per-SSB basis.</w:t>
      </w:r>
    </w:p>
    <w:p w14:paraId="36330802" w14:textId="67818BA0" w:rsidR="00EB57F7" w:rsidRDefault="00EB57F7" w:rsidP="006D048F">
      <w:pPr>
        <w:pStyle w:val="Reference"/>
        <w:numPr>
          <w:ilvl w:val="0"/>
          <w:numId w:val="0"/>
        </w:numPr>
        <w:rPr>
          <w:i/>
        </w:rPr>
      </w:pPr>
    </w:p>
    <w:p w14:paraId="6FD65A74" w14:textId="3E1BC9B8" w:rsidR="00EB57F7" w:rsidRDefault="001F65F7" w:rsidP="00EB57F7">
      <w:pPr>
        <w:pStyle w:val="Heading1"/>
      </w:pPr>
      <w:r>
        <w:t>Proposals</w:t>
      </w:r>
      <w:bookmarkStart w:id="2" w:name="_GoBack"/>
      <w:bookmarkEnd w:id="2"/>
    </w:p>
    <w:p w14:paraId="1579C5C9" w14:textId="5A0494BC" w:rsidR="00EB57F7" w:rsidRDefault="00EB57F7" w:rsidP="00EB57F7">
      <w:pPr>
        <w:pStyle w:val="BodyText"/>
        <w:rPr>
          <w:i/>
        </w:rPr>
      </w:pPr>
      <w:r w:rsidRPr="00886B7D">
        <w:rPr>
          <w:b/>
        </w:rPr>
        <w:t>Proposal</w:t>
      </w:r>
      <w:r>
        <w:rPr>
          <w:b/>
        </w:rPr>
        <w:t xml:space="preserve"> 1</w:t>
      </w:r>
      <w:r w:rsidRPr="00886B7D">
        <w:rPr>
          <w:b/>
        </w:rPr>
        <w:t>:</w:t>
      </w:r>
      <w:r>
        <w:t xml:space="preserve"> </w:t>
      </w:r>
      <w:r w:rsidR="00E13C0E">
        <w:rPr>
          <w:i/>
        </w:rPr>
        <w:t xml:space="preserve">A </w:t>
      </w:r>
      <w:r w:rsidRPr="00924B66">
        <w:rPr>
          <w:i/>
        </w:rPr>
        <w:t>carrier with no SSB can only exist in a carrier aggregation where at least one of the component carriers include SSB</w:t>
      </w:r>
    </w:p>
    <w:p w14:paraId="1ED9DCA1" w14:textId="3F85FC5C" w:rsidR="00EB57F7" w:rsidRPr="00DD68AB" w:rsidRDefault="00EB57F7" w:rsidP="00EB57F7">
      <w:pPr>
        <w:pStyle w:val="BodyText"/>
      </w:pPr>
      <w:r w:rsidRPr="0030706E">
        <w:rPr>
          <w:b/>
        </w:rPr>
        <w:t>Proposal</w:t>
      </w:r>
      <w:r>
        <w:rPr>
          <w:b/>
        </w:rPr>
        <w:t xml:space="preserve"> 2</w:t>
      </w:r>
      <w:r w:rsidRPr="0030706E">
        <w:rPr>
          <w:b/>
        </w:rPr>
        <w:t>:</w:t>
      </w:r>
      <w:r>
        <w:t xml:space="preserve"> </w:t>
      </w:r>
      <w:r w:rsidRPr="0030706E">
        <w:rPr>
          <w:i/>
        </w:rPr>
        <w:t>In case of multiple SSB within a wideband carrier, not all SSBs may be detectable at initial cell sea</w:t>
      </w:r>
      <w:r>
        <w:rPr>
          <w:i/>
        </w:rPr>
        <w:t>r</w:t>
      </w:r>
      <w:r w:rsidRPr="0030706E">
        <w:rPr>
          <w:i/>
        </w:rPr>
        <w:t>ch</w:t>
      </w:r>
    </w:p>
    <w:p w14:paraId="53CCF8DF" w14:textId="3C50DAF6" w:rsidR="00EB57F7" w:rsidRDefault="00EB57F7" w:rsidP="00EB57F7">
      <w:pPr>
        <w:pStyle w:val="BodyText"/>
        <w:rPr>
          <w:i/>
        </w:rPr>
      </w:pPr>
      <w:r w:rsidRPr="0030706E">
        <w:rPr>
          <w:b/>
        </w:rPr>
        <w:t>Proposal</w:t>
      </w:r>
      <w:r>
        <w:rPr>
          <w:b/>
        </w:rPr>
        <w:t xml:space="preserve"> 3</w:t>
      </w:r>
      <w:r w:rsidRPr="0030706E">
        <w:rPr>
          <w:b/>
        </w:rPr>
        <w:t>:</w:t>
      </w:r>
      <w:r>
        <w:t xml:space="preserve"> </w:t>
      </w:r>
      <w:r w:rsidRPr="00712552">
        <w:rPr>
          <w:i/>
        </w:rPr>
        <w:t xml:space="preserve">The maximum number of SSB within a wideband carrier is upper limited by the maximum component carrier bandwidth divided by the minimum UE bandwidth capability. </w:t>
      </w:r>
    </w:p>
    <w:p w14:paraId="0F780D34" w14:textId="74095EEC" w:rsidR="00EB57F7" w:rsidRDefault="00EB57F7" w:rsidP="00EB57F7">
      <w:pPr>
        <w:pStyle w:val="Reference"/>
        <w:numPr>
          <w:ilvl w:val="0"/>
          <w:numId w:val="0"/>
        </w:numPr>
        <w:rPr>
          <w:i/>
        </w:rPr>
      </w:pPr>
      <w:r w:rsidRPr="00712552">
        <w:rPr>
          <w:b/>
        </w:rPr>
        <w:t>Proposal</w:t>
      </w:r>
      <w:r>
        <w:rPr>
          <w:b/>
        </w:rPr>
        <w:t xml:space="preserve"> 4</w:t>
      </w:r>
      <w:r w:rsidRPr="00712552">
        <w:rPr>
          <w:b/>
        </w:rPr>
        <w:t>:</w:t>
      </w:r>
      <w:r>
        <w:t xml:space="preserve"> </w:t>
      </w:r>
      <w:r>
        <w:rPr>
          <w:i/>
        </w:rPr>
        <w:t>In</w:t>
      </w:r>
      <w:r w:rsidRPr="00712552">
        <w:rPr>
          <w:i/>
        </w:rPr>
        <w:t xml:space="preserve"> case of multiple SSB within a carrier, RRM measurements and reporting should be carried out on a per-SSB basis.</w:t>
      </w:r>
    </w:p>
    <w:p w14:paraId="1BA00568" w14:textId="77777777" w:rsidR="00EB57F7" w:rsidRPr="00712552" w:rsidRDefault="00EB57F7" w:rsidP="00EB57F7">
      <w:pPr>
        <w:pStyle w:val="BodyText"/>
        <w:rPr>
          <w:i/>
        </w:rPr>
      </w:pPr>
    </w:p>
    <w:p w14:paraId="331992BC" w14:textId="77777777" w:rsidR="00EB57F7" w:rsidRPr="0030706E" w:rsidRDefault="00EB57F7" w:rsidP="006D048F">
      <w:pPr>
        <w:pStyle w:val="Reference"/>
        <w:numPr>
          <w:ilvl w:val="0"/>
          <w:numId w:val="0"/>
        </w:numPr>
      </w:pPr>
    </w:p>
    <w:sectPr w:rsidR="00EB57F7" w:rsidRPr="0030706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97677" w14:textId="77777777" w:rsidR="00392283" w:rsidRDefault="00392283">
      <w:r>
        <w:separator/>
      </w:r>
    </w:p>
  </w:endnote>
  <w:endnote w:type="continuationSeparator" w:id="0">
    <w:p w14:paraId="07DAEEE0" w14:textId="77777777" w:rsidR="00392283" w:rsidRDefault="00392283">
      <w:r>
        <w:continuationSeparator/>
      </w:r>
    </w:p>
  </w:endnote>
  <w:endnote w:type="continuationNotice" w:id="1">
    <w:p w14:paraId="390DBF17" w14:textId="77777777" w:rsidR="00392283" w:rsidRDefault="003922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7B7DCF78" w:rsidR="00E24F71" w:rsidRDefault="00E24F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9228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2283">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F7C21" w14:textId="77777777" w:rsidR="00392283" w:rsidRDefault="00392283">
      <w:r>
        <w:separator/>
      </w:r>
    </w:p>
  </w:footnote>
  <w:footnote w:type="continuationSeparator" w:id="0">
    <w:p w14:paraId="7BEE63DD" w14:textId="77777777" w:rsidR="00392283" w:rsidRDefault="00392283">
      <w:r>
        <w:continuationSeparator/>
      </w:r>
    </w:p>
  </w:footnote>
  <w:footnote w:type="continuationNotice" w:id="1">
    <w:p w14:paraId="7BAE8424" w14:textId="77777777" w:rsidR="00392283" w:rsidRDefault="00392283">
      <w:pPr>
        <w:spacing w:after="0"/>
      </w:pPr>
    </w:p>
  </w:footnote>
  <w:footnote w:id="2">
    <w:p w14:paraId="7CF77B7C" w14:textId="6E27D588" w:rsidR="00E13C0E" w:rsidRPr="00E13C0E" w:rsidRDefault="00E13C0E">
      <w:pPr>
        <w:pStyle w:val="FootnoteText"/>
        <w:rPr>
          <w:lang w:val="en-US"/>
        </w:rPr>
      </w:pPr>
      <w:r>
        <w:rPr>
          <w:rStyle w:val="FootnoteReference"/>
        </w:rPr>
        <w:footnoteRef/>
      </w:r>
      <w:r>
        <w:t xml:space="preserve"> </w:t>
      </w:r>
      <w:r w:rsidRPr="00E13C0E">
        <w:rPr>
          <w:lang w:val="en-US"/>
        </w:rPr>
        <w:t xml:space="preserve">If the SSB ”collide” with </w:t>
      </w:r>
      <w:r>
        <w:rPr>
          <w:lang w:val="en-US"/>
        </w:rPr>
        <w:t xml:space="preserve">other signals, those signals could punctured.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E24F71" w:rsidRDefault="00E24F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5D021C"/>
    <w:multiLevelType w:val="hybridMultilevel"/>
    <w:tmpl w:val="7234B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212073"/>
    <w:multiLevelType w:val="hybridMultilevel"/>
    <w:tmpl w:val="86447228"/>
    <w:lvl w:ilvl="0" w:tplc="A372D24E">
      <w:start w:val="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CD56EA"/>
    <w:multiLevelType w:val="hybridMultilevel"/>
    <w:tmpl w:val="339E7AC2"/>
    <w:lvl w:ilvl="0" w:tplc="F336217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9"/>
  </w:num>
  <w:num w:numId="4">
    <w:abstractNumId w:val="10"/>
  </w:num>
  <w:num w:numId="5">
    <w:abstractNumId w:val="6"/>
  </w:num>
  <w:num w:numId="6">
    <w:abstractNumId w:val="11"/>
  </w:num>
  <w:num w:numId="7">
    <w:abstractNumId w:val="16"/>
  </w:num>
  <w:num w:numId="8">
    <w:abstractNumId w:val="8"/>
  </w:num>
  <w:num w:numId="9">
    <w:abstractNumId w:val="14"/>
  </w:num>
  <w:num w:numId="10">
    <w:abstractNumId w:val="3"/>
  </w:num>
  <w:num w:numId="11">
    <w:abstractNumId w:val="15"/>
  </w:num>
  <w:num w:numId="12">
    <w:abstractNumId w:val="4"/>
  </w:num>
  <w:num w:numId="13">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7"/>
  </w:num>
  <w:num w:numId="15">
    <w:abstractNumId w:val="17"/>
  </w:num>
  <w:num w:numId="16">
    <w:abstractNumId w:val="2"/>
  </w:num>
  <w:num w:numId="17">
    <w:abstractNumId w:val="13"/>
  </w:num>
  <w:num w:numId="1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7D7"/>
    <w:rsid w:val="00006896"/>
    <w:rsid w:val="00007CDC"/>
    <w:rsid w:val="00007EDB"/>
    <w:rsid w:val="00010036"/>
    <w:rsid w:val="00011B28"/>
    <w:rsid w:val="00013ACA"/>
    <w:rsid w:val="00015154"/>
    <w:rsid w:val="00015D15"/>
    <w:rsid w:val="00015F6F"/>
    <w:rsid w:val="000211D9"/>
    <w:rsid w:val="0002564D"/>
    <w:rsid w:val="00025ECA"/>
    <w:rsid w:val="000266D4"/>
    <w:rsid w:val="0003178D"/>
    <w:rsid w:val="000325B8"/>
    <w:rsid w:val="00032982"/>
    <w:rsid w:val="000340C8"/>
    <w:rsid w:val="00034C15"/>
    <w:rsid w:val="00036BA1"/>
    <w:rsid w:val="000370CC"/>
    <w:rsid w:val="000422E2"/>
    <w:rsid w:val="00042F22"/>
    <w:rsid w:val="000444EF"/>
    <w:rsid w:val="00045529"/>
    <w:rsid w:val="000476CE"/>
    <w:rsid w:val="000514C9"/>
    <w:rsid w:val="00051D67"/>
    <w:rsid w:val="00052A07"/>
    <w:rsid w:val="000534E3"/>
    <w:rsid w:val="0005606A"/>
    <w:rsid w:val="0005666E"/>
    <w:rsid w:val="00056949"/>
    <w:rsid w:val="00056D8D"/>
    <w:rsid w:val="00057117"/>
    <w:rsid w:val="00057229"/>
    <w:rsid w:val="000576EB"/>
    <w:rsid w:val="000616E7"/>
    <w:rsid w:val="00063AFF"/>
    <w:rsid w:val="0006478A"/>
    <w:rsid w:val="0006487E"/>
    <w:rsid w:val="00065E1A"/>
    <w:rsid w:val="00070287"/>
    <w:rsid w:val="00071021"/>
    <w:rsid w:val="0007265B"/>
    <w:rsid w:val="00073D8C"/>
    <w:rsid w:val="00076C39"/>
    <w:rsid w:val="00077E5F"/>
    <w:rsid w:val="0008036A"/>
    <w:rsid w:val="00081AE6"/>
    <w:rsid w:val="000855EB"/>
    <w:rsid w:val="00085B52"/>
    <w:rsid w:val="000866F2"/>
    <w:rsid w:val="0008736E"/>
    <w:rsid w:val="000879A4"/>
    <w:rsid w:val="0009009F"/>
    <w:rsid w:val="0009012F"/>
    <w:rsid w:val="0009033B"/>
    <w:rsid w:val="00091557"/>
    <w:rsid w:val="000924C1"/>
    <w:rsid w:val="000924F0"/>
    <w:rsid w:val="00092B4B"/>
    <w:rsid w:val="00093474"/>
    <w:rsid w:val="0009510F"/>
    <w:rsid w:val="00097BEA"/>
    <w:rsid w:val="000A006F"/>
    <w:rsid w:val="000A1B7B"/>
    <w:rsid w:val="000A27B7"/>
    <w:rsid w:val="000A30D7"/>
    <w:rsid w:val="000A3EEC"/>
    <w:rsid w:val="000A56F2"/>
    <w:rsid w:val="000B2719"/>
    <w:rsid w:val="000B3A8F"/>
    <w:rsid w:val="000B4AB9"/>
    <w:rsid w:val="000B58C3"/>
    <w:rsid w:val="000B61E9"/>
    <w:rsid w:val="000B66A8"/>
    <w:rsid w:val="000B7B33"/>
    <w:rsid w:val="000C165A"/>
    <w:rsid w:val="000C2E19"/>
    <w:rsid w:val="000D0D07"/>
    <w:rsid w:val="000D1214"/>
    <w:rsid w:val="000D4797"/>
    <w:rsid w:val="000E0527"/>
    <w:rsid w:val="000E17AD"/>
    <w:rsid w:val="000E1A1F"/>
    <w:rsid w:val="000E1CD0"/>
    <w:rsid w:val="000E1E92"/>
    <w:rsid w:val="000E5B77"/>
    <w:rsid w:val="000F06D6"/>
    <w:rsid w:val="000F0839"/>
    <w:rsid w:val="000F0EB1"/>
    <w:rsid w:val="000F1106"/>
    <w:rsid w:val="000F3BE9"/>
    <w:rsid w:val="000F3F6C"/>
    <w:rsid w:val="000F475C"/>
    <w:rsid w:val="000F4CE5"/>
    <w:rsid w:val="000F6DF3"/>
    <w:rsid w:val="000F7070"/>
    <w:rsid w:val="001005FF"/>
    <w:rsid w:val="00100FF6"/>
    <w:rsid w:val="00101C4E"/>
    <w:rsid w:val="00103EEB"/>
    <w:rsid w:val="00105303"/>
    <w:rsid w:val="001062FB"/>
    <w:rsid w:val="001063E6"/>
    <w:rsid w:val="00107DCE"/>
    <w:rsid w:val="00111DC7"/>
    <w:rsid w:val="00112AED"/>
    <w:rsid w:val="00113CF4"/>
    <w:rsid w:val="001153EA"/>
    <w:rsid w:val="001155DC"/>
    <w:rsid w:val="00115643"/>
    <w:rsid w:val="00115EE5"/>
    <w:rsid w:val="00116765"/>
    <w:rsid w:val="00117328"/>
    <w:rsid w:val="001219F5"/>
    <w:rsid w:val="00121A20"/>
    <w:rsid w:val="00122EDF"/>
    <w:rsid w:val="0012377F"/>
    <w:rsid w:val="00124314"/>
    <w:rsid w:val="00124D89"/>
    <w:rsid w:val="00126B4A"/>
    <w:rsid w:val="00126B9F"/>
    <w:rsid w:val="00127927"/>
    <w:rsid w:val="00132FD0"/>
    <w:rsid w:val="001344C0"/>
    <w:rsid w:val="001346FA"/>
    <w:rsid w:val="00135252"/>
    <w:rsid w:val="001353B1"/>
    <w:rsid w:val="00136F34"/>
    <w:rsid w:val="00137AB5"/>
    <w:rsid w:val="00137F0B"/>
    <w:rsid w:val="00140964"/>
    <w:rsid w:val="00142AA9"/>
    <w:rsid w:val="00142B78"/>
    <w:rsid w:val="00144082"/>
    <w:rsid w:val="0014596D"/>
    <w:rsid w:val="00145CF2"/>
    <w:rsid w:val="001477FB"/>
    <w:rsid w:val="00147B9C"/>
    <w:rsid w:val="00147B9F"/>
    <w:rsid w:val="001507D7"/>
    <w:rsid w:val="00151E23"/>
    <w:rsid w:val="001526E0"/>
    <w:rsid w:val="001528A2"/>
    <w:rsid w:val="001551B5"/>
    <w:rsid w:val="00156F68"/>
    <w:rsid w:val="0016360E"/>
    <w:rsid w:val="00164D4A"/>
    <w:rsid w:val="001659C1"/>
    <w:rsid w:val="00166E39"/>
    <w:rsid w:val="00166E7F"/>
    <w:rsid w:val="00167763"/>
    <w:rsid w:val="00170546"/>
    <w:rsid w:val="00170C0D"/>
    <w:rsid w:val="0017261D"/>
    <w:rsid w:val="00173794"/>
    <w:rsid w:val="00173A8E"/>
    <w:rsid w:val="00174693"/>
    <w:rsid w:val="001748BD"/>
    <w:rsid w:val="00175FDB"/>
    <w:rsid w:val="00177795"/>
    <w:rsid w:val="0018002E"/>
    <w:rsid w:val="0018129E"/>
    <w:rsid w:val="0018143F"/>
    <w:rsid w:val="0018194F"/>
    <w:rsid w:val="00181E9F"/>
    <w:rsid w:val="0018264D"/>
    <w:rsid w:val="00183D3A"/>
    <w:rsid w:val="0018412F"/>
    <w:rsid w:val="0018507F"/>
    <w:rsid w:val="001854EE"/>
    <w:rsid w:val="00185502"/>
    <w:rsid w:val="00190AC1"/>
    <w:rsid w:val="0019341A"/>
    <w:rsid w:val="00197DF9"/>
    <w:rsid w:val="001A0671"/>
    <w:rsid w:val="001A0FF8"/>
    <w:rsid w:val="001A1987"/>
    <w:rsid w:val="001A2564"/>
    <w:rsid w:val="001A6173"/>
    <w:rsid w:val="001A6CBA"/>
    <w:rsid w:val="001B089D"/>
    <w:rsid w:val="001B0D97"/>
    <w:rsid w:val="001B23E5"/>
    <w:rsid w:val="001B501F"/>
    <w:rsid w:val="001B5A5D"/>
    <w:rsid w:val="001B69AE"/>
    <w:rsid w:val="001B700F"/>
    <w:rsid w:val="001C1CE5"/>
    <w:rsid w:val="001C3D2A"/>
    <w:rsid w:val="001C6BBD"/>
    <w:rsid w:val="001C7626"/>
    <w:rsid w:val="001D0EFD"/>
    <w:rsid w:val="001D3E0C"/>
    <w:rsid w:val="001D51BA"/>
    <w:rsid w:val="001D6342"/>
    <w:rsid w:val="001D6D53"/>
    <w:rsid w:val="001E1C24"/>
    <w:rsid w:val="001E58E2"/>
    <w:rsid w:val="001E5DA3"/>
    <w:rsid w:val="001E6E7C"/>
    <w:rsid w:val="001E7AED"/>
    <w:rsid w:val="001F238A"/>
    <w:rsid w:val="001F344D"/>
    <w:rsid w:val="001F3916"/>
    <w:rsid w:val="001F5405"/>
    <w:rsid w:val="001F54C5"/>
    <w:rsid w:val="001F65F7"/>
    <w:rsid w:val="001F662C"/>
    <w:rsid w:val="001F6F78"/>
    <w:rsid w:val="001F7074"/>
    <w:rsid w:val="001F764F"/>
    <w:rsid w:val="00200490"/>
    <w:rsid w:val="00201B75"/>
    <w:rsid w:val="00201F3A"/>
    <w:rsid w:val="00202C20"/>
    <w:rsid w:val="00203CD4"/>
    <w:rsid w:val="00203F96"/>
    <w:rsid w:val="0020411C"/>
    <w:rsid w:val="00205E74"/>
    <w:rsid w:val="002069B2"/>
    <w:rsid w:val="00206B13"/>
    <w:rsid w:val="00207FA3"/>
    <w:rsid w:val="00211537"/>
    <w:rsid w:val="002123CD"/>
    <w:rsid w:val="002123EE"/>
    <w:rsid w:val="00214DA8"/>
    <w:rsid w:val="00215423"/>
    <w:rsid w:val="002158FA"/>
    <w:rsid w:val="00220600"/>
    <w:rsid w:val="00220BB0"/>
    <w:rsid w:val="0022138B"/>
    <w:rsid w:val="002224DB"/>
    <w:rsid w:val="002226E0"/>
    <w:rsid w:val="00223FCB"/>
    <w:rsid w:val="002252C3"/>
    <w:rsid w:val="002254B5"/>
    <w:rsid w:val="00225C54"/>
    <w:rsid w:val="00226743"/>
    <w:rsid w:val="00230765"/>
    <w:rsid w:val="002319E4"/>
    <w:rsid w:val="00231A9A"/>
    <w:rsid w:val="00231B73"/>
    <w:rsid w:val="00231D5F"/>
    <w:rsid w:val="00231FDD"/>
    <w:rsid w:val="00232D4C"/>
    <w:rsid w:val="0023309C"/>
    <w:rsid w:val="002342CA"/>
    <w:rsid w:val="00235632"/>
    <w:rsid w:val="00235872"/>
    <w:rsid w:val="00240B51"/>
    <w:rsid w:val="00241202"/>
    <w:rsid w:val="00241559"/>
    <w:rsid w:val="002432E4"/>
    <w:rsid w:val="002435B3"/>
    <w:rsid w:val="002458EB"/>
    <w:rsid w:val="002500C8"/>
    <w:rsid w:val="00250C47"/>
    <w:rsid w:val="00251140"/>
    <w:rsid w:val="002512D7"/>
    <w:rsid w:val="00253522"/>
    <w:rsid w:val="00257543"/>
    <w:rsid w:val="00260380"/>
    <w:rsid w:val="002615AC"/>
    <w:rsid w:val="002617E7"/>
    <w:rsid w:val="00262C40"/>
    <w:rsid w:val="00264228"/>
    <w:rsid w:val="00264334"/>
    <w:rsid w:val="0026473E"/>
    <w:rsid w:val="00264E01"/>
    <w:rsid w:val="00266214"/>
    <w:rsid w:val="0026742B"/>
    <w:rsid w:val="00267C83"/>
    <w:rsid w:val="00270CDB"/>
    <w:rsid w:val="002712FD"/>
    <w:rsid w:val="0027144F"/>
    <w:rsid w:val="00271F3A"/>
    <w:rsid w:val="00272738"/>
    <w:rsid w:val="00273278"/>
    <w:rsid w:val="002737F4"/>
    <w:rsid w:val="002805F5"/>
    <w:rsid w:val="00280751"/>
    <w:rsid w:val="0028280A"/>
    <w:rsid w:val="00286ACD"/>
    <w:rsid w:val="00287838"/>
    <w:rsid w:val="002901B1"/>
    <w:rsid w:val="002907B5"/>
    <w:rsid w:val="00290F51"/>
    <w:rsid w:val="00292EB7"/>
    <w:rsid w:val="002944FD"/>
    <w:rsid w:val="00294E17"/>
    <w:rsid w:val="00296227"/>
    <w:rsid w:val="00296F44"/>
    <w:rsid w:val="0029745E"/>
    <w:rsid w:val="0029777D"/>
    <w:rsid w:val="002A055E"/>
    <w:rsid w:val="002A10CB"/>
    <w:rsid w:val="002A1D4E"/>
    <w:rsid w:val="002A24B9"/>
    <w:rsid w:val="002A2869"/>
    <w:rsid w:val="002B0227"/>
    <w:rsid w:val="002B02E9"/>
    <w:rsid w:val="002B0907"/>
    <w:rsid w:val="002B0C0C"/>
    <w:rsid w:val="002B24D6"/>
    <w:rsid w:val="002B4CE9"/>
    <w:rsid w:val="002B71C2"/>
    <w:rsid w:val="002C18EF"/>
    <w:rsid w:val="002C297E"/>
    <w:rsid w:val="002C41E6"/>
    <w:rsid w:val="002C6788"/>
    <w:rsid w:val="002D071A"/>
    <w:rsid w:val="002D1464"/>
    <w:rsid w:val="002D31E8"/>
    <w:rsid w:val="002D34B2"/>
    <w:rsid w:val="002D4A15"/>
    <w:rsid w:val="002D565F"/>
    <w:rsid w:val="002D5E41"/>
    <w:rsid w:val="002D7225"/>
    <w:rsid w:val="002D7637"/>
    <w:rsid w:val="002E01DD"/>
    <w:rsid w:val="002E0CF4"/>
    <w:rsid w:val="002E17F2"/>
    <w:rsid w:val="002E195E"/>
    <w:rsid w:val="002E6D28"/>
    <w:rsid w:val="002E6DDB"/>
    <w:rsid w:val="002E7CAE"/>
    <w:rsid w:val="002E7FE5"/>
    <w:rsid w:val="002F05A6"/>
    <w:rsid w:val="002F121A"/>
    <w:rsid w:val="002F2771"/>
    <w:rsid w:val="002F32D7"/>
    <w:rsid w:val="002F37A9"/>
    <w:rsid w:val="002F4197"/>
    <w:rsid w:val="002F5BBD"/>
    <w:rsid w:val="002F7F8F"/>
    <w:rsid w:val="003000B7"/>
    <w:rsid w:val="00300108"/>
    <w:rsid w:val="00301CE6"/>
    <w:rsid w:val="003023DF"/>
    <w:rsid w:val="0030256B"/>
    <w:rsid w:val="00302CA2"/>
    <w:rsid w:val="00304123"/>
    <w:rsid w:val="003042A8"/>
    <w:rsid w:val="00304F1A"/>
    <w:rsid w:val="0030501F"/>
    <w:rsid w:val="0030638C"/>
    <w:rsid w:val="0030706E"/>
    <w:rsid w:val="00307BA1"/>
    <w:rsid w:val="00310A30"/>
    <w:rsid w:val="003110D0"/>
    <w:rsid w:val="00311702"/>
    <w:rsid w:val="00311CC7"/>
    <w:rsid w:val="00311E82"/>
    <w:rsid w:val="00313FD6"/>
    <w:rsid w:val="00314252"/>
    <w:rsid w:val="003143BD"/>
    <w:rsid w:val="00314D7C"/>
    <w:rsid w:val="003203ED"/>
    <w:rsid w:val="00322C50"/>
    <w:rsid w:val="00322C9F"/>
    <w:rsid w:val="003244F4"/>
    <w:rsid w:val="00324D23"/>
    <w:rsid w:val="003268E0"/>
    <w:rsid w:val="00331751"/>
    <w:rsid w:val="00331B7F"/>
    <w:rsid w:val="00334579"/>
    <w:rsid w:val="00335858"/>
    <w:rsid w:val="0033662A"/>
    <w:rsid w:val="00336BDA"/>
    <w:rsid w:val="00337F45"/>
    <w:rsid w:val="0034246D"/>
    <w:rsid w:val="00342BD7"/>
    <w:rsid w:val="00343A07"/>
    <w:rsid w:val="00344600"/>
    <w:rsid w:val="00346DB5"/>
    <w:rsid w:val="003477B1"/>
    <w:rsid w:val="00354137"/>
    <w:rsid w:val="00357380"/>
    <w:rsid w:val="00360037"/>
    <w:rsid w:val="003602D9"/>
    <w:rsid w:val="003604CE"/>
    <w:rsid w:val="003639EA"/>
    <w:rsid w:val="00365F79"/>
    <w:rsid w:val="00370E47"/>
    <w:rsid w:val="003742AC"/>
    <w:rsid w:val="00374C3D"/>
    <w:rsid w:val="003760C2"/>
    <w:rsid w:val="003766F3"/>
    <w:rsid w:val="00377CE1"/>
    <w:rsid w:val="00377CF1"/>
    <w:rsid w:val="00384D0A"/>
    <w:rsid w:val="00385BF0"/>
    <w:rsid w:val="0038707C"/>
    <w:rsid w:val="00392283"/>
    <w:rsid w:val="003939FF"/>
    <w:rsid w:val="0039565F"/>
    <w:rsid w:val="003964D9"/>
    <w:rsid w:val="003972B2"/>
    <w:rsid w:val="003A0931"/>
    <w:rsid w:val="003A1EC8"/>
    <w:rsid w:val="003A2223"/>
    <w:rsid w:val="003A2A0F"/>
    <w:rsid w:val="003A3A2E"/>
    <w:rsid w:val="003A3F21"/>
    <w:rsid w:val="003A45A1"/>
    <w:rsid w:val="003A596A"/>
    <w:rsid w:val="003A5B0A"/>
    <w:rsid w:val="003A5C65"/>
    <w:rsid w:val="003A5E71"/>
    <w:rsid w:val="003A6BAC"/>
    <w:rsid w:val="003A7EF3"/>
    <w:rsid w:val="003B159C"/>
    <w:rsid w:val="003B34DC"/>
    <w:rsid w:val="003B369F"/>
    <w:rsid w:val="003B36A3"/>
    <w:rsid w:val="003B4E27"/>
    <w:rsid w:val="003B7FE5"/>
    <w:rsid w:val="003C0945"/>
    <w:rsid w:val="003C0B77"/>
    <w:rsid w:val="003C10F9"/>
    <w:rsid w:val="003C11C8"/>
    <w:rsid w:val="003C2702"/>
    <w:rsid w:val="003C705D"/>
    <w:rsid w:val="003C7224"/>
    <w:rsid w:val="003C7806"/>
    <w:rsid w:val="003D0065"/>
    <w:rsid w:val="003D0CD4"/>
    <w:rsid w:val="003D0D3C"/>
    <w:rsid w:val="003D109F"/>
    <w:rsid w:val="003D2478"/>
    <w:rsid w:val="003D3C45"/>
    <w:rsid w:val="003D4083"/>
    <w:rsid w:val="003D5958"/>
    <w:rsid w:val="003D5B1F"/>
    <w:rsid w:val="003E15FA"/>
    <w:rsid w:val="003E1E1D"/>
    <w:rsid w:val="003E25DB"/>
    <w:rsid w:val="003E42EB"/>
    <w:rsid w:val="003E55E4"/>
    <w:rsid w:val="003E5F40"/>
    <w:rsid w:val="003E6625"/>
    <w:rsid w:val="003E74E3"/>
    <w:rsid w:val="003F05C7"/>
    <w:rsid w:val="003F26FA"/>
    <w:rsid w:val="003F2CD4"/>
    <w:rsid w:val="003F4F68"/>
    <w:rsid w:val="003F6BBE"/>
    <w:rsid w:val="004000E8"/>
    <w:rsid w:val="00402E2B"/>
    <w:rsid w:val="00404716"/>
    <w:rsid w:val="0040512B"/>
    <w:rsid w:val="00405CA5"/>
    <w:rsid w:val="00406F67"/>
    <w:rsid w:val="00407CD3"/>
    <w:rsid w:val="00410134"/>
    <w:rsid w:val="00410B3A"/>
    <w:rsid w:val="00410B72"/>
    <w:rsid w:val="00410F18"/>
    <w:rsid w:val="0041263E"/>
    <w:rsid w:val="00413AAC"/>
    <w:rsid w:val="00421105"/>
    <w:rsid w:val="0042128B"/>
    <w:rsid w:val="00423D97"/>
    <w:rsid w:val="00424254"/>
    <w:rsid w:val="004242F4"/>
    <w:rsid w:val="00427248"/>
    <w:rsid w:val="004314DE"/>
    <w:rsid w:val="0043255D"/>
    <w:rsid w:val="00432EB5"/>
    <w:rsid w:val="004345F3"/>
    <w:rsid w:val="00437447"/>
    <w:rsid w:val="00437A2C"/>
    <w:rsid w:val="00441A92"/>
    <w:rsid w:val="00444F56"/>
    <w:rsid w:val="00446488"/>
    <w:rsid w:val="00447DDB"/>
    <w:rsid w:val="004517AA"/>
    <w:rsid w:val="00452B53"/>
    <w:rsid w:val="00452B5C"/>
    <w:rsid w:val="00452CAC"/>
    <w:rsid w:val="00457565"/>
    <w:rsid w:val="00457B71"/>
    <w:rsid w:val="0046443E"/>
    <w:rsid w:val="00465327"/>
    <w:rsid w:val="004664A7"/>
    <w:rsid w:val="004669E2"/>
    <w:rsid w:val="00470C31"/>
    <w:rsid w:val="004734D0"/>
    <w:rsid w:val="0047447B"/>
    <w:rsid w:val="00474CE8"/>
    <w:rsid w:val="0047556B"/>
    <w:rsid w:val="0047773C"/>
    <w:rsid w:val="00477768"/>
    <w:rsid w:val="00484FD1"/>
    <w:rsid w:val="00487E61"/>
    <w:rsid w:val="004903E5"/>
    <w:rsid w:val="00492BC5"/>
    <w:rsid w:val="004964F1"/>
    <w:rsid w:val="004A163A"/>
    <w:rsid w:val="004A16BC"/>
    <w:rsid w:val="004A2B94"/>
    <w:rsid w:val="004A34FF"/>
    <w:rsid w:val="004A39C0"/>
    <w:rsid w:val="004B009B"/>
    <w:rsid w:val="004B35D2"/>
    <w:rsid w:val="004B6991"/>
    <w:rsid w:val="004B7C0C"/>
    <w:rsid w:val="004C3898"/>
    <w:rsid w:val="004C4D69"/>
    <w:rsid w:val="004C4DBF"/>
    <w:rsid w:val="004C6818"/>
    <w:rsid w:val="004C6D58"/>
    <w:rsid w:val="004D0903"/>
    <w:rsid w:val="004D2230"/>
    <w:rsid w:val="004D36B1"/>
    <w:rsid w:val="004D49A7"/>
    <w:rsid w:val="004D49D5"/>
    <w:rsid w:val="004D4D47"/>
    <w:rsid w:val="004D7E2A"/>
    <w:rsid w:val="004D7EBD"/>
    <w:rsid w:val="004E0478"/>
    <w:rsid w:val="004E267D"/>
    <w:rsid w:val="004E2680"/>
    <w:rsid w:val="004E28F9"/>
    <w:rsid w:val="004E2C52"/>
    <w:rsid w:val="004E37A7"/>
    <w:rsid w:val="004E3CDF"/>
    <w:rsid w:val="004E462E"/>
    <w:rsid w:val="004E56DC"/>
    <w:rsid w:val="004E5829"/>
    <w:rsid w:val="004E5C9B"/>
    <w:rsid w:val="004E6B56"/>
    <w:rsid w:val="004E6BC0"/>
    <w:rsid w:val="004E76F4"/>
    <w:rsid w:val="004F0B4E"/>
    <w:rsid w:val="004F0B6C"/>
    <w:rsid w:val="004F0F42"/>
    <w:rsid w:val="004F17FD"/>
    <w:rsid w:val="004F2078"/>
    <w:rsid w:val="004F37DB"/>
    <w:rsid w:val="004F4DA3"/>
    <w:rsid w:val="004F5C38"/>
    <w:rsid w:val="00500B4A"/>
    <w:rsid w:val="0050591F"/>
    <w:rsid w:val="00506557"/>
    <w:rsid w:val="0050677A"/>
    <w:rsid w:val="005108D8"/>
    <w:rsid w:val="005116F9"/>
    <w:rsid w:val="00512A90"/>
    <w:rsid w:val="005153A7"/>
    <w:rsid w:val="005219CF"/>
    <w:rsid w:val="00523D1D"/>
    <w:rsid w:val="00534B59"/>
    <w:rsid w:val="005366D7"/>
    <w:rsid w:val="00536759"/>
    <w:rsid w:val="00537C62"/>
    <w:rsid w:val="00543986"/>
    <w:rsid w:val="00544D5B"/>
    <w:rsid w:val="00545E72"/>
    <w:rsid w:val="00546874"/>
    <w:rsid w:val="00546970"/>
    <w:rsid w:val="00546C74"/>
    <w:rsid w:val="00554E19"/>
    <w:rsid w:val="00555435"/>
    <w:rsid w:val="00556BCC"/>
    <w:rsid w:val="00557D7C"/>
    <w:rsid w:val="0056121F"/>
    <w:rsid w:val="00562566"/>
    <w:rsid w:val="00562F24"/>
    <w:rsid w:val="00564CB3"/>
    <w:rsid w:val="00566E2B"/>
    <w:rsid w:val="00567FB5"/>
    <w:rsid w:val="00570019"/>
    <w:rsid w:val="00570164"/>
    <w:rsid w:val="0057036A"/>
    <w:rsid w:val="00570C8D"/>
    <w:rsid w:val="00570F1B"/>
    <w:rsid w:val="00571F3E"/>
    <w:rsid w:val="00572505"/>
    <w:rsid w:val="005729F7"/>
    <w:rsid w:val="00582809"/>
    <w:rsid w:val="0058289B"/>
    <w:rsid w:val="00586EB3"/>
    <w:rsid w:val="0058798C"/>
    <w:rsid w:val="005900FA"/>
    <w:rsid w:val="0059095E"/>
    <w:rsid w:val="005918E9"/>
    <w:rsid w:val="005935A4"/>
    <w:rsid w:val="005948C2"/>
    <w:rsid w:val="00595DCA"/>
    <w:rsid w:val="00595EC8"/>
    <w:rsid w:val="005969BD"/>
    <w:rsid w:val="0059779B"/>
    <w:rsid w:val="005A0A5B"/>
    <w:rsid w:val="005A209A"/>
    <w:rsid w:val="005A61E5"/>
    <w:rsid w:val="005A662D"/>
    <w:rsid w:val="005A748E"/>
    <w:rsid w:val="005B06F5"/>
    <w:rsid w:val="005B161E"/>
    <w:rsid w:val="005B35D7"/>
    <w:rsid w:val="005B392A"/>
    <w:rsid w:val="005B3AA3"/>
    <w:rsid w:val="005B3F59"/>
    <w:rsid w:val="005B4289"/>
    <w:rsid w:val="005B4308"/>
    <w:rsid w:val="005B6F83"/>
    <w:rsid w:val="005C0B51"/>
    <w:rsid w:val="005C0C58"/>
    <w:rsid w:val="005C3BE1"/>
    <w:rsid w:val="005C4B57"/>
    <w:rsid w:val="005C74FB"/>
    <w:rsid w:val="005D1602"/>
    <w:rsid w:val="005D22E6"/>
    <w:rsid w:val="005E0F14"/>
    <w:rsid w:val="005E1A85"/>
    <w:rsid w:val="005E385F"/>
    <w:rsid w:val="005E5469"/>
    <w:rsid w:val="005E5B81"/>
    <w:rsid w:val="005E6AAA"/>
    <w:rsid w:val="005E6B9A"/>
    <w:rsid w:val="005F10E8"/>
    <w:rsid w:val="005F219B"/>
    <w:rsid w:val="005F2AFA"/>
    <w:rsid w:val="005F2CB1"/>
    <w:rsid w:val="005F3025"/>
    <w:rsid w:val="005F5CA4"/>
    <w:rsid w:val="005F618C"/>
    <w:rsid w:val="005F70BD"/>
    <w:rsid w:val="005F70DE"/>
    <w:rsid w:val="00601F06"/>
    <w:rsid w:val="0060283C"/>
    <w:rsid w:val="00603B36"/>
    <w:rsid w:val="00604256"/>
    <w:rsid w:val="00604F14"/>
    <w:rsid w:val="006118FC"/>
    <w:rsid w:val="00611B83"/>
    <w:rsid w:val="00613010"/>
    <w:rsid w:val="00613257"/>
    <w:rsid w:val="0061717D"/>
    <w:rsid w:val="00617C2C"/>
    <w:rsid w:val="00620A71"/>
    <w:rsid w:val="00620D80"/>
    <w:rsid w:val="00620DC3"/>
    <w:rsid w:val="00621B29"/>
    <w:rsid w:val="00622F44"/>
    <w:rsid w:val="006234A6"/>
    <w:rsid w:val="0062431E"/>
    <w:rsid w:val="00624B66"/>
    <w:rsid w:val="00625318"/>
    <w:rsid w:val="00626C63"/>
    <w:rsid w:val="00630001"/>
    <w:rsid w:val="00630264"/>
    <w:rsid w:val="00630BA7"/>
    <w:rsid w:val="006311B3"/>
    <w:rsid w:val="0063284C"/>
    <w:rsid w:val="00635F58"/>
    <w:rsid w:val="00636398"/>
    <w:rsid w:val="006368D3"/>
    <w:rsid w:val="00637247"/>
    <w:rsid w:val="006377EC"/>
    <w:rsid w:val="0064151F"/>
    <w:rsid w:val="00641533"/>
    <w:rsid w:val="0064208D"/>
    <w:rsid w:val="00643475"/>
    <w:rsid w:val="006438EE"/>
    <w:rsid w:val="0064396A"/>
    <w:rsid w:val="0064624E"/>
    <w:rsid w:val="0064715B"/>
    <w:rsid w:val="00650AB9"/>
    <w:rsid w:val="00652923"/>
    <w:rsid w:val="00655733"/>
    <w:rsid w:val="00655ACD"/>
    <w:rsid w:val="00656734"/>
    <w:rsid w:val="00656A92"/>
    <w:rsid w:val="00656DDE"/>
    <w:rsid w:val="00660020"/>
    <w:rsid w:val="0066011D"/>
    <w:rsid w:val="006607C0"/>
    <w:rsid w:val="006613A6"/>
    <w:rsid w:val="006627A2"/>
    <w:rsid w:val="00662E0C"/>
    <w:rsid w:val="00663469"/>
    <w:rsid w:val="006634E6"/>
    <w:rsid w:val="00664C16"/>
    <w:rsid w:val="006655EE"/>
    <w:rsid w:val="00667EE7"/>
    <w:rsid w:val="00670000"/>
    <w:rsid w:val="00670922"/>
    <w:rsid w:val="00670BE1"/>
    <w:rsid w:val="006710D8"/>
    <w:rsid w:val="006720B3"/>
    <w:rsid w:val="0067218F"/>
    <w:rsid w:val="006741F2"/>
    <w:rsid w:val="00674CC3"/>
    <w:rsid w:val="00674F55"/>
    <w:rsid w:val="00675B5F"/>
    <w:rsid w:val="00675C72"/>
    <w:rsid w:val="00676157"/>
    <w:rsid w:val="00676D03"/>
    <w:rsid w:val="006771F9"/>
    <w:rsid w:val="006776D7"/>
    <w:rsid w:val="00681003"/>
    <w:rsid w:val="006817C9"/>
    <w:rsid w:val="00683ECE"/>
    <w:rsid w:val="006842B9"/>
    <w:rsid w:val="00685147"/>
    <w:rsid w:val="00686E10"/>
    <w:rsid w:val="006876D5"/>
    <w:rsid w:val="00691E97"/>
    <w:rsid w:val="00695FC2"/>
    <w:rsid w:val="00696949"/>
    <w:rsid w:val="00697052"/>
    <w:rsid w:val="0069729E"/>
    <w:rsid w:val="006A0A1C"/>
    <w:rsid w:val="006A0E90"/>
    <w:rsid w:val="006A3006"/>
    <w:rsid w:val="006A36EF"/>
    <w:rsid w:val="006A46FB"/>
    <w:rsid w:val="006A5717"/>
    <w:rsid w:val="006A5E28"/>
    <w:rsid w:val="006A697B"/>
    <w:rsid w:val="006A70FC"/>
    <w:rsid w:val="006A7AFF"/>
    <w:rsid w:val="006B1816"/>
    <w:rsid w:val="006B2099"/>
    <w:rsid w:val="006B32FA"/>
    <w:rsid w:val="006B4B81"/>
    <w:rsid w:val="006B50CF"/>
    <w:rsid w:val="006B5BE6"/>
    <w:rsid w:val="006B6278"/>
    <w:rsid w:val="006B6866"/>
    <w:rsid w:val="006C03B8"/>
    <w:rsid w:val="006C3409"/>
    <w:rsid w:val="006C5761"/>
    <w:rsid w:val="006C5BA8"/>
    <w:rsid w:val="006C5EC9"/>
    <w:rsid w:val="006C5F7D"/>
    <w:rsid w:val="006C6059"/>
    <w:rsid w:val="006C7522"/>
    <w:rsid w:val="006D048F"/>
    <w:rsid w:val="006D1623"/>
    <w:rsid w:val="006D209E"/>
    <w:rsid w:val="006D20E1"/>
    <w:rsid w:val="006D2139"/>
    <w:rsid w:val="006D2CB6"/>
    <w:rsid w:val="006D409B"/>
    <w:rsid w:val="006D6F08"/>
    <w:rsid w:val="006E062C"/>
    <w:rsid w:val="006E1725"/>
    <w:rsid w:val="006E28B7"/>
    <w:rsid w:val="006E3310"/>
    <w:rsid w:val="006E3F07"/>
    <w:rsid w:val="006E4E39"/>
    <w:rsid w:val="006E565E"/>
    <w:rsid w:val="006E673D"/>
    <w:rsid w:val="006E7D3B"/>
    <w:rsid w:val="006F03E4"/>
    <w:rsid w:val="006F0E91"/>
    <w:rsid w:val="006F14F2"/>
    <w:rsid w:val="006F1B70"/>
    <w:rsid w:val="006F341D"/>
    <w:rsid w:val="006F3CDE"/>
    <w:rsid w:val="006F58D4"/>
    <w:rsid w:val="006F642D"/>
    <w:rsid w:val="00701692"/>
    <w:rsid w:val="0070346E"/>
    <w:rsid w:val="00703C66"/>
    <w:rsid w:val="00704EDB"/>
    <w:rsid w:val="00706101"/>
    <w:rsid w:val="0070655A"/>
    <w:rsid w:val="00706DC5"/>
    <w:rsid w:val="00707072"/>
    <w:rsid w:val="00707D61"/>
    <w:rsid w:val="00711B0A"/>
    <w:rsid w:val="00712287"/>
    <w:rsid w:val="00712552"/>
    <w:rsid w:val="00712772"/>
    <w:rsid w:val="007148D3"/>
    <w:rsid w:val="0071499B"/>
    <w:rsid w:val="0071565A"/>
    <w:rsid w:val="00715B9A"/>
    <w:rsid w:val="00716F2B"/>
    <w:rsid w:val="00716F2E"/>
    <w:rsid w:val="0071747C"/>
    <w:rsid w:val="00720D98"/>
    <w:rsid w:val="00726EA6"/>
    <w:rsid w:val="00727208"/>
    <w:rsid w:val="00727680"/>
    <w:rsid w:val="00730A5D"/>
    <w:rsid w:val="00733A03"/>
    <w:rsid w:val="00733CB3"/>
    <w:rsid w:val="007348B1"/>
    <w:rsid w:val="007362A6"/>
    <w:rsid w:val="007369A2"/>
    <w:rsid w:val="00736D7D"/>
    <w:rsid w:val="00737B78"/>
    <w:rsid w:val="00740E58"/>
    <w:rsid w:val="00742086"/>
    <w:rsid w:val="00742371"/>
    <w:rsid w:val="007445A0"/>
    <w:rsid w:val="0074524B"/>
    <w:rsid w:val="007472D1"/>
    <w:rsid w:val="00747D8B"/>
    <w:rsid w:val="00750E8F"/>
    <w:rsid w:val="00751228"/>
    <w:rsid w:val="007522D8"/>
    <w:rsid w:val="00753C5D"/>
    <w:rsid w:val="007557B4"/>
    <w:rsid w:val="007566E1"/>
    <w:rsid w:val="007571E1"/>
    <w:rsid w:val="007604B2"/>
    <w:rsid w:val="0076267E"/>
    <w:rsid w:val="00763252"/>
    <w:rsid w:val="00765281"/>
    <w:rsid w:val="00766BAD"/>
    <w:rsid w:val="007705B8"/>
    <w:rsid w:val="007730BD"/>
    <w:rsid w:val="00773F17"/>
    <w:rsid w:val="00775163"/>
    <w:rsid w:val="007755F2"/>
    <w:rsid w:val="0077585D"/>
    <w:rsid w:val="00776971"/>
    <w:rsid w:val="00777130"/>
    <w:rsid w:val="00777E81"/>
    <w:rsid w:val="0078177E"/>
    <w:rsid w:val="0078304C"/>
    <w:rsid w:val="00783673"/>
    <w:rsid w:val="007845DC"/>
    <w:rsid w:val="00785490"/>
    <w:rsid w:val="00786E6E"/>
    <w:rsid w:val="00787B08"/>
    <w:rsid w:val="0079075E"/>
    <w:rsid w:val="00791306"/>
    <w:rsid w:val="007925EA"/>
    <w:rsid w:val="00793CD8"/>
    <w:rsid w:val="007955C7"/>
    <w:rsid w:val="00795C92"/>
    <w:rsid w:val="00795EEA"/>
    <w:rsid w:val="00796231"/>
    <w:rsid w:val="00797D7F"/>
    <w:rsid w:val="007A1CB3"/>
    <w:rsid w:val="007A306F"/>
    <w:rsid w:val="007A43A6"/>
    <w:rsid w:val="007A512C"/>
    <w:rsid w:val="007A58A6"/>
    <w:rsid w:val="007A7157"/>
    <w:rsid w:val="007B3632"/>
    <w:rsid w:val="007B3D2D"/>
    <w:rsid w:val="007B50AE"/>
    <w:rsid w:val="007B51DF"/>
    <w:rsid w:val="007B5283"/>
    <w:rsid w:val="007B71A3"/>
    <w:rsid w:val="007C05DD"/>
    <w:rsid w:val="007C3D18"/>
    <w:rsid w:val="007C60BF"/>
    <w:rsid w:val="007C6A07"/>
    <w:rsid w:val="007C75A1"/>
    <w:rsid w:val="007C77A5"/>
    <w:rsid w:val="007D04E5"/>
    <w:rsid w:val="007D1315"/>
    <w:rsid w:val="007D173E"/>
    <w:rsid w:val="007D304B"/>
    <w:rsid w:val="007D386C"/>
    <w:rsid w:val="007D3CA6"/>
    <w:rsid w:val="007D43F4"/>
    <w:rsid w:val="007D497F"/>
    <w:rsid w:val="007D5506"/>
    <w:rsid w:val="007D5901"/>
    <w:rsid w:val="007D640C"/>
    <w:rsid w:val="007D7159"/>
    <w:rsid w:val="007D7526"/>
    <w:rsid w:val="007D7912"/>
    <w:rsid w:val="007E1602"/>
    <w:rsid w:val="007E3E0A"/>
    <w:rsid w:val="007E4610"/>
    <w:rsid w:val="007E46DE"/>
    <w:rsid w:val="007E4715"/>
    <w:rsid w:val="007E505B"/>
    <w:rsid w:val="007E5D1B"/>
    <w:rsid w:val="007E7091"/>
    <w:rsid w:val="007F09D8"/>
    <w:rsid w:val="007F4F6E"/>
    <w:rsid w:val="007F565E"/>
    <w:rsid w:val="007F7A9E"/>
    <w:rsid w:val="00800ED0"/>
    <w:rsid w:val="00803FAE"/>
    <w:rsid w:val="008041A9"/>
    <w:rsid w:val="00804708"/>
    <w:rsid w:val="00805E0E"/>
    <w:rsid w:val="0080605F"/>
    <w:rsid w:val="00807786"/>
    <w:rsid w:val="00811FCB"/>
    <w:rsid w:val="00812072"/>
    <w:rsid w:val="00814FE6"/>
    <w:rsid w:val="008158D6"/>
    <w:rsid w:val="00817196"/>
    <w:rsid w:val="0081782A"/>
    <w:rsid w:val="00817EC7"/>
    <w:rsid w:val="0082247E"/>
    <w:rsid w:val="0082276B"/>
    <w:rsid w:val="008235DB"/>
    <w:rsid w:val="008247D6"/>
    <w:rsid w:val="00824AB4"/>
    <w:rsid w:val="00825B3C"/>
    <w:rsid w:val="00825C42"/>
    <w:rsid w:val="00825D25"/>
    <w:rsid w:val="00826F90"/>
    <w:rsid w:val="00827D6F"/>
    <w:rsid w:val="008305BD"/>
    <w:rsid w:val="00830A27"/>
    <w:rsid w:val="008323AE"/>
    <w:rsid w:val="00835287"/>
    <w:rsid w:val="00835D7E"/>
    <w:rsid w:val="008365E8"/>
    <w:rsid w:val="0083666B"/>
    <w:rsid w:val="00836B3D"/>
    <w:rsid w:val="008376AC"/>
    <w:rsid w:val="00840358"/>
    <w:rsid w:val="0084390D"/>
    <w:rsid w:val="008444E8"/>
    <w:rsid w:val="00844E80"/>
    <w:rsid w:val="008457DE"/>
    <w:rsid w:val="00846FE7"/>
    <w:rsid w:val="0085128C"/>
    <w:rsid w:val="00851771"/>
    <w:rsid w:val="00852D00"/>
    <w:rsid w:val="00855090"/>
    <w:rsid w:val="00856911"/>
    <w:rsid w:val="00856EFA"/>
    <w:rsid w:val="00860E7F"/>
    <w:rsid w:val="0086172A"/>
    <w:rsid w:val="008632AD"/>
    <w:rsid w:val="008641A8"/>
    <w:rsid w:val="00864766"/>
    <w:rsid w:val="008648B3"/>
    <w:rsid w:val="008649AD"/>
    <w:rsid w:val="008677FD"/>
    <w:rsid w:val="00867D75"/>
    <w:rsid w:val="008706D4"/>
    <w:rsid w:val="00870F8A"/>
    <w:rsid w:val="008719A4"/>
    <w:rsid w:val="00871D23"/>
    <w:rsid w:val="00874312"/>
    <w:rsid w:val="0087437C"/>
    <w:rsid w:val="00875CD7"/>
    <w:rsid w:val="00876B4D"/>
    <w:rsid w:val="00877F18"/>
    <w:rsid w:val="00883405"/>
    <w:rsid w:val="00886B7D"/>
    <w:rsid w:val="008903FE"/>
    <w:rsid w:val="00890DEA"/>
    <w:rsid w:val="00894A88"/>
    <w:rsid w:val="00895386"/>
    <w:rsid w:val="008953CB"/>
    <w:rsid w:val="00895561"/>
    <w:rsid w:val="0089593E"/>
    <w:rsid w:val="00895AD9"/>
    <w:rsid w:val="008967DC"/>
    <w:rsid w:val="00896B56"/>
    <w:rsid w:val="008A21FF"/>
    <w:rsid w:val="008A2CE2"/>
    <w:rsid w:val="008A30AC"/>
    <w:rsid w:val="008A44B8"/>
    <w:rsid w:val="008A4A5E"/>
    <w:rsid w:val="008A51A8"/>
    <w:rsid w:val="008A54C7"/>
    <w:rsid w:val="008A77D8"/>
    <w:rsid w:val="008A7A95"/>
    <w:rsid w:val="008B046A"/>
    <w:rsid w:val="008B0483"/>
    <w:rsid w:val="008B120C"/>
    <w:rsid w:val="008B1722"/>
    <w:rsid w:val="008B3562"/>
    <w:rsid w:val="008B51A0"/>
    <w:rsid w:val="008B592A"/>
    <w:rsid w:val="008B6FA4"/>
    <w:rsid w:val="008B73A9"/>
    <w:rsid w:val="008B7B5C"/>
    <w:rsid w:val="008C0C99"/>
    <w:rsid w:val="008C1631"/>
    <w:rsid w:val="008C2017"/>
    <w:rsid w:val="008C48E6"/>
    <w:rsid w:val="008C4958"/>
    <w:rsid w:val="008C4BAA"/>
    <w:rsid w:val="008C5A7F"/>
    <w:rsid w:val="008C6AE8"/>
    <w:rsid w:val="008C7573"/>
    <w:rsid w:val="008D1A14"/>
    <w:rsid w:val="008D34F1"/>
    <w:rsid w:val="008D39D8"/>
    <w:rsid w:val="008D413B"/>
    <w:rsid w:val="008D4B77"/>
    <w:rsid w:val="008D6D1A"/>
    <w:rsid w:val="008E065E"/>
    <w:rsid w:val="008E0927"/>
    <w:rsid w:val="008E1843"/>
    <w:rsid w:val="008E1909"/>
    <w:rsid w:val="008F1EAB"/>
    <w:rsid w:val="008F2ABE"/>
    <w:rsid w:val="008F33DC"/>
    <w:rsid w:val="008F477F"/>
    <w:rsid w:val="008F4C47"/>
    <w:rsid w:val="008F725C"/>
    <w:rsid w:val="00902350"/>
    <w:rsid w:val="0090336B"/>
    <w:rsid w:val="0090373D"/>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B66"/>
    <w:rsid w:val="0092762E"/>
    <w:rsid w:val="00931BD9"/>
    <w:rsid w:val="00935B32"/>
    <w:rsid w:val="009368F3"/>
    <w:rsid w:val="009413F8"/>
    <w:rsid w:val="009414E8"/>
    <w:rsid w:val="00941636"/>
    <w:rsid w:val="0094298D"/>
    <w:rsid w:val="00943742"/>
    <w:rsid w:val="00943F21"/>
    <w:rsid w:val="00945C05"/>
    <w:rsid w:val="00946945"/>
    <w:rsid w:val="00947713"/>
    <w:rsid w:val="00950DE7"/>
    <w:rsid w:val="009525B1"/>
    <w:rsid w:val="00953920"/>
    <w:rsid w:val="00953D47"/>
    <w:rsid w:val="00954AE3"/>
    <w:rsid w:val="0095681E"/>
    <w:rsid w:val="009572D4"/>
    <w:rsid w:val="00961148"/>
    <w:rsid w:val="00961921"/>
    <w:rsid w:val="0096430A"/>
    <w:rsid w:val="0096518D"/>
    <w:rsid w:val="0096554B"/>
    <w:rsid w:val="0096584A"/>
    <w:rsid w:val="00971AA7"/>
    <w:rsid w:val="00971F08"/>
    <w:rsid w:val="00975A11"/>
    <w:rsid w:val="0097603D"/>
    <w:rsid w:val="00976949"/>
    <w:rsid w:val="00976E66"/>
    <w:rsid w:val="00980477"/>
    <w:rsid w:val="00980E90"/>
    <w:rsid w:val="009810A2"/>
    <w:rsid w:val="00981653"/>
    <w:rsid w:val="0098381D"/>
    <w:rsid w:val="00983A7C"/>
    <w:rsid w:val="00984FDD"/>
    <w:rsid w:val="00985253"/>
    <w:rsid w:val="009853B3"/>
    <w:rsid w:val="0098620A"/>
    <w:rsid w:val="0098632C"/>
    <w:rsid w:val="00987E80"/>
    <w:rsid w:val="00990630"/>
    <w:rsid w:val="00991761"/>
    <w:rsid w:val="009921F5"/>
    <w:rsid w:val="00992A22"/>
    <w:rsid w:val="00994DCA"/>
    <w:rsid w:val="00995A19"/>
    <w:rsid w:val="009960EC"/>
    <w:rsid w:val="009970DD"/>
    <w:rsid w:val="009A0FBA"/>
    <w:rsid w:val="009A1601"/>
    <w:rsid w:val="009A462D"/>
    <w:rsid w:val="009A5835"/>
    <w:rsid w:val="009A5CBA"/>
    <w:rsid w:val="009A6F0E"/>
    <w:rsid w:val="009B1F30"/>
    <w:rsid w:val="009B3AC2"/>
    <w:rsid w:val="009B4DF4"/>
    <w:rsid w:val="009B4FF0"/>
    <w:rsid w:val="009B564E"/>
    <w:rsid w:val="009B786D"/>
    <w:rsid w:val="009B78D7"/>
    <w:rsid w:val="009B7E87"/>
    <w:rsid w:val="009C0EEC"/>
    <w:rsid w:val="009C11C1"/>
    <w:rsid w:val="009C2D17"/>
    <w:rsid w:val="009C403E"/>
    <w:rsid w:val="009C5D6A"/>
    <w:rsid w:val="009D21C2"/>
    <w:rsid w:val="009D4FF0"/>
    <w:rsid w:val="009D6F94"/>
    <w:rsid w:val="009D703C"/>
    <w:rsid w:val="009D718F"/>
    <w:rsid w:val="009E068F"/>
    <w:rsid w:val="009E14E0"/>
    <w:rsid w:val="009E35DB"/>
    <w:rsid w:val="009E47A3"/>
    <w:rsid w:val="009E6849"/>
    <w:rsid w:val="009F08F3"/>
    <w:rsid w:val="009F18A9"/>
    <w:rsid w:val="009F2CA0"/>
    <w:rsid w:val="009F344F"/>
    <w:rsid w:val="009F7898"/>
    <w:rsid w:val="00A02E75"/>
    <w:rsid w:val="00A048A8"/>
    <w:rsid w:val="00A04F49"/>
    <w:rsid w:val="00A053BC"/>
    <w:rsid w:val="00A10887"/>
    <w:rsid w:val="00A13E54"/>
    <w:rsid w:val="00A16DB6"/>
    <w:rsid w:val="00A17B8C"/>
    <w:rsid w:val="00A17F63"/>
    <w:rsid w:val="00A207DD"/>
    <w:rsid w:val="00A2193B"/>
    <w:rsid w:val="00A220BC"/>
    <w:rsid w:val="00A2351A"/>
    <w:rsid w:val="00A264A9"/>
    <w:rsid w:val="00A275C6"/>
    <w:rsid w:val="00A27785"/>
    <w:rsid w:val="00A30187"/>
    <w:rsid w:val="00A30BBE"/>
    <w:rsid w:val="00A3448A"/>
    <w:rsid w:val="00A36297"/>
    <w:rsid w:val="00A40019"/>
    <w:rsid w:val="00A41B97"/>
    <w:rsid w:val="00A41E2B"/>
    <w:rsid w:val="00A41E67"/>
    <w:rsid w:val="00A45B74"/>
    <w:rsid w:val="00A500D6"/>
    <w:rsid w:val="00A52E1D"/>
    <w:rsid w:val="00A5322A"/>
    <w:rsid w:val="00A54176"/>
    <w:rsid w:val="00A54210"/>
    <w:rsid w:val="00A54B08"/>
    <w:rsid w:val="00A570F2"/>
    <w:rsid w:val="00A5758B"/>
    <w:rsid w:val="00A607F0"/>
    <w:rsid w:val="00A61499"/>
    <w:rsid w:val="00A62A77"/>
    <w:rsid w:val="00A63483"/>
    <w:rsid w:val="00A653DB"/>
    <w:rsid w:val="00A657D7"/>
    <w:rsid w:val="00A660AC"/>
    <w:rsid w:val="00A67E6C"/>
    <w:rsid w:val="00A71B99"/>
    <w:rsid w:val="00A7315F"/>
    <w:rsid w:val="00A739D0"/>
    <w:rsid w:val="00A761D4"/>
    <w:rsid w:val="00A76739"/>
    <w:rsid w:val="00A77441"/>
    <w:rsid w:val="00A7758A"/>
    <w:rsid w:val="00A77EC4"/>
    <w:rsid w:val="00A8033B"/>
    <w:rsid w:val="00A80920"/>
    <w:rsid w:val="00A825E5"/>
    <w:rsid w:val="00A9122E"/>
    <w:rsid w:val="00A92879"/>
    <w:rsid w:val="00A9367F"/>
    <w:rsid w:val="00A93F55"/>
    <w:rsid w:val="00A93FC2"/>
    <w:rsid w:val="00A9442A"/>
    <w:rsid w:val="00A94AD8"/>
    <w:rsid w:val="00A955E0"/>
    <w:rsid w:val="00A95CF5"/>
    <w:rsid w:val="00A967B9"/>
    <w:rsid w:val="00AA016F"/>
    <w:rsid w:val="00AA0356"/>
    <w:rsid w:val="00AA1ED6"/>
    <w:rsid w:val="00AA3A6B"/>
    <w:rsid w:val="00AA3BFA"/>
    <w:rsid w:val="00AA4801"/>
    <w:rsid w:val="00AA51D6"/>
    <w:rsid w:val="00AA7B3A"/>
    <w:rsid w:val="00AB0BC8"/>
    <w:rsid w:val="00AB11CA"/>
    <w:rsid w:val="00AB14D9"/>
    <w:rsid w:val="00AB1598"/>
    <w:rsid w:val="00AB1AE8"/>
    <w:rsid w:val="00AB2646"/>
    <w:rsid w:val="00AB2EE5"/>
    <w:rsid w:val="00AB4AB8"/>
    <w:rsid w:val="00AB655E"/>
    <w:rsid w:val="00AC007F"/>
    <w:rsid w:val="00AC16EC"/>
    <w:rsid w:val="00AC2ECD"/>
    <w:rsid w:val="00AC3119"/>
    <w:rsid w:val="00AC49FB"/>
    <w:rsid w:val="00AC4B2B"/>
    <w:rsid w:val="00AC4DFF"/>
    <w:rsid w:val="00AC5A10"/>
    <w:rsid w:val="00AD0AA3"/>
    <w:rsid w:val="00AD3F94"/>
    <w:rsid w:val="00AD4A5A"/>
    <w:rsid w:val="00AD571B"/>
    <w:rsid w:val="00AD6819"/>
    <w:rsid w:val="00AD791E"/>
    <w:rsid w:val="00AE27AC"/>
    <w:rsid w:val="00AE3270"/>
    <w:rsid w:val="00AE40E0"/>
    <w:rsid w:val="00AE4DBA"/>
    <w:rsid w:val="00AE4F07"/>
    <w:rsid w:val="00AE5AE8"/>
    <w:rsid w:val="00AE6B46"/>
    <w:rsid w:val="00AE6CFE"/>
    <w:rsid w:val="00AE7CA0"/>
    <w:rsid w:val="00AF0A19"/>
    <w:rsid w:val="00AF1A85"/>
    <w:rsid w:val="00AF1C5D"/>
    <w:rsid w:val="00AF42D7"/>
    <w:rsid w:val="00B006FE"/>
    <w:rsid w:val="00B007CB"/>
    <w:rsid w:val="00B014C3"/>
    <w:rsid w:val="00B026B6"/>
    <w:rsid w:val="00B02AA9"/>
    <w:rsid w:val="00B02FA3"/>
    <w:rsid w:val="00B04ACC"/>
    <w:rsid w:val="00B05084"/>
    <w:rsid w:val="00B05522"/>
    <w:rsid w:val="00B05920"/>
    <w:rsid w:val="00B07227"/>
    <w:rsid w:val="00B07C49"/>
    <w:rsid w:val="00B10020"/>
    <w:rsid w:val="00B11466"/>
    <w:rsid w:val="00B119E8"/>
    <w:rsid w:val="00B1337F"/>
    <w:rsid w:val="00B13714"/>
    <w:rsid w:val="00B13B4D"/>
    <w:rsid w:val="00B157F9"/>
    <w:rsid w:val="00B173F8"/>
    <w:rsid w:val="00B20256"/>
    <w:rsid w:val="00B20D09"/>
    <w:rsid w:val="00B273AB"/>
    <w:rsid w:val="00B2763F"/>
    <w:rsid w:val="00B27AAC"/>
    <w:rsid w:val="00B30929"/>
    <w:rsid w:val="00B311E9"/>
    <w:rsid w:val="00B335D3"/>
    <w:rsid w:val="00B372AA"/>
    <w:rsid w:val="00B40445"/>
    <w:rsid w:val="00B41888"/>
    <w:rsid w:val="00B4408D"/>
    <w:rsid w:val="00B453B9"/>
    <w:rsid w:val="00B45A52"/>
    <w:rsid w:val="00B46175"/>
    <w:rsid w:val="00B47E43"/>
    <w:rsid w:val="00B5198C"/>
    <w:rsid w:val="00B52376"/>
    <w:rsid w:val="00B5335A"/>
    <w:rsid w:val="00B5723B"/>
    <w:rsid w:val="00B5724B"/>
    <w:rsid w:val="00B60EF1"/>
    <w:rsid w:val="00B6188F"/>
    <w:rsid w:val="00B63CB8"/>
    <w:rsid w:val="00B64E41"/>
    <w:rsid w:val="00B6526E"/>
    <w:rsid w:val="00B664C7"/>
    <w:rsid w:val="00B739F6"/>
    <w:rsid w:val="00B77590"/>
    <w:rsid w:val="00B80A2B"/>
    <w:rsid w:val="00B815A5"/>
    <w:rsid w:val="00B81A6C"/>
    <w:rsid w:val="00B81BE4"/>
    <w:rsid w:val="00B842A0"/>
    <w:rsid w:val="00B85DE5"/>
    <w:rsid w:val="00B90F73"/>
    <w:rsid w:val="00B9125F"/>
    <w:rsid w:val="00B912BA"/>
    <w:rsid w:val="00B9371D"/>
    <w:rsid w:val="00B93B59"/>
    <w:rsid w:val="00B9406A"/>
    <w:rsid w:val="00B965F4"/>
    <w:rsid w:val="00BA2280"/>
    <w:rsid w:val="00BA2A08"/>
    <w:rsid w:val="00BA56D2"/>
    <w:rsid w:val="00BA62FA"/>
    <w:rsid w:val="00BA634F"/>
    <w:rsid w:val="00BA6C49"/>
    <w:rsid w:val="00BA76E0"/>
    <w:rsid w:val="00BB0976"/>
    <w:rsid w:val="00BB207A"/>
    <w:rsid w:val="00BB2A25"/>
    <w:rsid w:val="00BB51E9"/>
    <w:rsid w:val="00BB5C77"/>
    <w:rsid w:val="00BB6024"/>
    <w:rsid w:val="00BC09B8"/>
    <w:rsid w:val="00BC0FDC"/>
    <w:rsid w:val="00BC1D29"/>
    <w:rsid w:val="00BC3053"/>
    <w:rsid w:val="00BC3E1C"/>
    <w:rsid w:val="00BC4D2E"/>
    <w:rsid w:val="00BC5E44"/>
    <w:rsid w:val="00BD00D1"/>
    <w:rsid w:val="00BD0C37"/>
    <w:rsid w:val="00BD445E"/>
    <w:rsid w:val="00BD48AC"/>
    <w:rsid w:val="00BD5C65"/>
    <w:rsid w:val="00BD5F1A"/>
    <w:rsid w:val="00BD762E"/>
    <w:rsid w:val="00BE0C77"/>
    <w:rsid w:val="00BE1234"/>
    <w:rsid w:val="00BE17CD"/>
    <w:rsid w:val="00BE2322"/>
    <w:rsid w:val="00BE2FA6"/>
    <w:rsid w:val="00BE333F"/>
    <w:rsid w:val="00BE404F"/>
    <w:rsid w:val="00BE7406"/>
    <w:rsid w:val="00BE7603"/>
    <w:rsid w:val="00BE773B"/>
    <w:rsid w:val="00BF0097"/>
    <w:rsid w:val="00BF3279"/>
    <w:rsid w:val="00BF74C7"/>
    <w:rsid w:val="00C008AE"/>
    <w:rsid w:val="00C015F1"/>
    <w:rsid w:val="00C01F33"/>
    <w:rsid w:val="00C02CC6"/>
    <w:rsid w:val="00C02E46"/>
    <w:rsid w:val="00C040F7"/>
    <w:rsid w:val="00C041B0"/>
    <w:rsid w:val="00C044AB"/>
    <w:rsid w:val="00C05706"/>
    <w:rsid w:val="00C07377"/>
    <w:rsid w:val="00C07E87"/>
    <w:rsid w:val="00C10037"/>
    <w:rsid w:val="00C10478"/>
    <w:rsid w:val="00C10779"/>
    <w:rsid w:val="00C1093B"/>
    <w:rsid w:val="00C12107"/>
    <w:rsid w:val="00C14D4B"/>
    <w:rsid w:val="00C14F1F"/>
    <w:rsid w:val="00C154BB"/>
    <w:rsid w:val="00C15F04"/>
    <w:rsid w:val="00C20166"/>
    <w:rsid w:val="00C21D57"/>
    <w:rsid w:val="00C23790"/>
    <w:rsid w:val="00C24A9D"/>
    <w:rsid w:val="00C25F2F"/>
    <w:rsid w:val="00C27624"/>
    <w:rsid w:val="00C279B5"/>
    <w:rsid w:val="00C27C45"/>
    <w:rsid w:val="00C322A8"/>
    <w:rsid w:val="00C32380"/>
    <w:rsid w:val="00C36AB0"/>
    <w:rsid w:val="00C3719D"/>
    <w:rsid w:val="00C37778"/>
    <w:rsid w:val="00C43E08"/>
    <w:rsid w:val="00C46B47"/>
    <w:rsid w:val="00C5028B"/>
    <w:rsid w:val="00C54995"/>
    <w:rsid w:val="00C54D41"/>
    <w:rsid w:val="00C564F4"/>
    <w:rsid w:val="00C57B03"/>
    <w:rsid w:val="00C60783"/>
    <w:rsid w:val="00C61C6C"/>
    <w:rsid w:val="00C64672"/>
    <w:rsid w:val="00C66FD4"/>
    <w:rsid w:val="00C704D9"/>
    <w:rsid w:val="00C70697"/>
    <w:rsid w:val="00C72EF4"/>
    <w:rsid w:val="00C758DF"/>
    <w:rsid w:val="00C75B34"/>
    <w:rsid w:val="00C75D2F"/>
    <w:rsid w:val="00C767BE"/>
    <w:rsid w:val="00C76E3C"/>
    <w:rsid w:val="00C77721"/>
    <w:rsid w:val="00C7775C"/>
    <w:rsid w:val="00C80444"/>
    <w:rsid w:val="00C80973"/>
    <w:rsid w:val="00C81568"/>
    <w:rsid w:val="00C9027A"/>
    <w:rsid w:val="00C9068E"/>
    <w:rsid w:val="00C939AA"/>
    <w:rsid w:val="00C93C4B"/>
    <w:rsid w:val="00C944AB"/>
    <w:rsid w:val="00C95B40"/>
    <w:rsid w:val="00C95B67"/>
    <w:rsid w:val="00C961CE"/>
    <w:rsid w:val="00C968EC"/>
    <w:rsid w:val="00CA1B65"/>
    <w:rsid w:val="00CA1ED8"/>
    <w:rsid w:val="00CA2D38"/>
    <w:rsid w:val="00CA3506"/>
    <w:rsid w:val="00CA424B"/>
    <w:rsid w:val="00CA4F77"/>
    <w:rsid w:val="00CB1F63"/>
    <w:rsid w:val="00CB2EF7"/>
    <w:rsid w:val="00CB456D"/>
    <w:rsid w:val="00CB462A"/>
    <w:rsid w:val="00CB4675"/>
    <w:rsid w:val="00CB6DFE"/>
    <w:rsid w:val="00CB7170"/>
    <w:rsid w:val="00CC040E"/>
    <w:rsid w:val="00CC111F"/>
    <w:rsid w:val="00CC15EA"/>
    <w:rsid w:val="00CC2011"/>
    <w:rsid w:val="00CC3EA0"/>
    <w:rsid w:val="00CC4B9F"/>
    <w:rsid w:val="00CC5691"/>
    <w:rsid w:val="00CC5738"/>
    <w:rsid w:val="00CC61B0"/>
    <w:rsid w:val="00CC61C9"/>
    <w:rsid w:val="00CC6F59"/>
    <w:rsid w:val="00CC7B45"/>
    <w:rsid w:val="00CD1188"/>
    <w:rsid w:val="00CD2ED1"/>
    <w:rsid w:val="00CD337B"/>
    <w:rsid w:val="00CD42BE"/>
    <w:rsid w:val="00CD582F"/>
    <w:rsid w:val="00CD60E3"/>
    <w:rsid w:val="00CD676E"/>
    <w:rsid w:val="00CD7A35"/>
    <w:rsid w:val="00CD7B7A"/>
    <w:rsid w:val="00CD7CC2"/>
    <w:rsid w:val="00CE0424"/>
    <w:rsid w:val="00CE1295"/>
    <w:rsid w:val="00CE180F"/>
    <w:rsid w:val="00CE227E"/>
    <w:rsid w:val="00CE2C58"/>
    <w:rsid w:val="00CE36CF"/>
    <w:rsid w:val="00CE6967"/>
    <w:rsid w:val="00CE7561"/>
    <w:rsid w:val="00CF010C"/>
    <w:rsid w:val="00CF0BBE"/>
    <w:rsid w:val="00CF1354"/>
    <w:rsid w:val="00CF3B1F"/>
    <w:rsid w:val="00CF3BF6"/>
    <w:rsid w:val="00CF625B"/>
    <w:rsid w:val="00CF687E"/>
    <w:rsid w:val="00CF7BA4"/>
    <w:rsid w:val="00D00035"/>
    <w:rsid w:val="00D033E3"/>
    <w:rsid w:val="00D0349B"/>
    <w:rsid w:val="00D04C4C"/>
    <w:rsid w:val="00D057AE"/>
    <w:rsid w:val="00D10249"/>
    <w:rsid w:val="00D115C3"/>
    <w:rsid w:val="00D11897"/>
    <w:rsid w:val="00D12C1B"/>
    <w:rsid w:val="00D12E10"/>
    <w:rsid w:val="00D13047"/>
    <w:rsid w:val="00D13135"/>
    <w:rsid w:val="00D13E4E"/>
    <w:rsid w:val="00D17D6A"/>
    <w:rsid w:val="00D21B70"/>
    <w:rsid w:val="00D2323C"/>
    <w:rsid w:val="00D239A7"/>
    <w:rsid w:val="00D23F47"/>
    <w:rsid w:val="00D244C5"/>
    <w:rsid w:val="00D2450E"/>
    <w:rsid w:val="00D31A4C"/>
    <w:rsid w:val="00D34B4C"/>
    <w:rsid w:val="00D34D96"/>
    <w:rsid w:val="00D3599B"/>
    <w:rsid w:val="00D36BB2"/>
    <w:rsid w:val="00D36E71"/>
    <w:rsid w:val="00D37186"/>
    <w:rsid w:val="00D37D87"/>
    <w:rsid w:val="00D40B33"/>
    <w:rsid w:val="00D4318F"/>
    <w:rsid w:val="00D438BF"/>
    <w:rsid w:val="00D440F8"/>
    <w:rsid w:val="00D44DFA"/>
    <w:rsid w:val="00D4676C"/>
    <w:rsid w:val="00D500FF"/>
    <w:rsid w:val="00D50F97"/>
    <w:rsid w:val="00D5231F"/>
    <w:rsid w:val="00D52EDC"/>
    <w:rsid w:val="00D546FF"/>
    <w:rsid w:val="00D55AD5"/>
    <w:rsid w:val="00D576CA"/>
    <w:rsid w:val="00D61AF5"/>
    <w:rsid w:val="00D61F8F"/>
    <w:rsid w:val="00D636A0"/>
    <w:rsid w:val="00D64104"/>
    <w:rsid w:val="00D644C1"/>
    <w:rsid w:val="00D64519"/>
    <w:rsid w:val="00D652B5"/>
    <w:rsid w:val="00D65797"/>
    <w:rsid w:val="00D66155"/>
    <w:rsid w:val="00D708B0"/>
    <w:rsid w:val="00D71D2F"/>
    <w:rsid w:val="00D745AB"/>
    <w:rsid w:val="00D74E34"/>
    <w:rsid w:val="00D76A8B"/>
    <w:rsid w:val="00D77B1D"/>
    <w:rsid w:val="00D8021F"/>
    <w:rsid w:val="00D80383"/>
    <w:rsid w:val="00D823C6"/>
    <w:rsid w:val="00D86CA3"/>
    <w:rsid w:val="00D871CE"/>
    <w:rsid w:val="00D9196D"/>
    <w:rsid w:val="00D92982"/>
    <w:rsid w:val="00D92F39"/>
    <w:rsid w:val="00D9420F"/>
    <w:rsid w:val="00D9503E"/>
    <w:rsid w:val="00DA226D"/>
    <w:rsid w:val="00DA305E"/>
    <w:rsid w:val="00DA3FA6"/>
    <w:rsid w:val="00DA5417"/>
    <w:rsid w:val="00DA55EB"/>
    <w:rsid w:val="00DA56E8"/>
    <w:rsid w:val="00DB0A9F"/>
    <w:rsid w:val="00DB128C"/>
    <w:rsid w:val="00DB2E53"/>
    <w:rsid w:val="00DB377D"/>
    <w:rsid w:val="00DB4335"/>
    <w:rsid w:val="00DB5306"/>
    <w:rsid w:val="00DB6E61"/>
    <w:rsid w:val="00DC2D36"/>
    <w:rsid w:val="00DC2D80"/>
    <w:rsid w:val="00DC3107"/>
    <w:rsid w:val="00DC3716"/>
    <w:rsid w:val="00DC3F27"/>
    <w:rsid w:val="00DC491F"/>
    <w:rsid w:val="00DC4D50"/>
    <w:rsid w:val="00DC53EF"/>
    <w:rsid w:val="00DC7D97"/>
    <w:rsid w:val="00DD0F3B"/>
    <w:rsid w:val="00DD5680"/>
    <w:rsid w:val="00DD68AB"/>
    <w:rsid w:val="00DD6CB5"/>
    <w:rsid w:val="00DD6FC2"/>
    <w:rsid w:val="00DE18D8"/>
    <w:rsid w:val="00DE306E"/>
    <w:rsid w:val="00DE4FEF"/>
    <w:rsid w:val="00DE5608"/>
    <w:rsid w:val="00DE58D0"/>
    <w:rsid w:val="00DE654F"/>
    <w:rsid w:val="00DF0B6E"/>
    <w:rsid w:val="00DF15E0"/>
    <w:rsid w:val="00DF31B7"/>
    <w:rsid w:val="00DF37A0"/>
    <w:rsid w:val="00DF4917"/>
    <w:rsid w:val="00E110E7"/>
    <w:rsid w:val="00E11B20"/>
    <w:rsid w:val="00E13C0E"/>
    <w:rsid w:val="00E17FA2"/>
    <w:rsid w:val="00E20A6C"/>
    <w:rsid w:val="00E21714"/>
    <w:rsid w:val="00E22330"/>
    <w:rsid w:val="00E24F71"/>
    <w:rsid w:val="00E2737B"/>
    <w:rsid w:val="00E27AA3"/>
    <w:rsid w:val="00E30225"/>
    <w:rsid w:val="00E30B5A"/>
    <w:rsid w:val="00E30C30"/>
    <w:rsid w:val="00E30D7C"/>
    <w:rsid w:val="00E3123D"/>
    <w:rsid w:val="00E31461"/>
    <w:rsid w:val="00E31D43"/>
    <w:rsid w:val="00E32608"/>
    <w:rsid w:val="00E3289B"/>
    <w:rsid w:val="00E3391C"/>
    <w:rsid w:val="00E34188"/>
    <w:rsid w:val="00E34B6E"/>
    <w:rsid w:val="00E35559"/>
    <w:rsid w:val="00E3723A"/>
    <w:rsid w:val="00E37860"/>
    <w:rsid w:val="00E43C38"/>
    <w:rsid w:val="00E446F1"/>
    <w:rsid w:val="00E45919"/>
    <w:rsid w:val="00E467A5"/>
    <w:rsid w:val="00E46886"/>
    <w:rsid w:val="00E47AEF"/>
    <w:rsid w:val="00E50177"/>
    <w:rsid w:val="00E50188"/>
    <w:rsid w:val="00E53B75"/>
    <w:rsid w:val="00E54E3B"/>
    <w:rsid w:val="00E55DFA"/>
    <w:rsid w:val="00E57565"/>
    <w:rsid w:val="00E62CF0"/>
    <w:rsid w:val="00E63838"/>
    <w:rsid w:val="00E64434"/>
    <w:rsid w:val="00E669F1"/>
    <w:rsid w:val="00E67C51"/>
    <w:rsid w:val="00E67DEC"/>
    <w:rsid w:val="00E70EEC"/>
    <w:rsid w:val="00E71CF8"/>
    <w:rsid w:val="00E71E34"/>
    <w:rsid w:val="00E72EFC"/>
    <w:rsid w:val="00E7355D"/>
    <w:rsid w:val="00E751CE"/>
    <w:rsid w:val="00E758EC"/>
    <w:rsid w:val="00E76E18"/>
    <w:rsid w:val="00E80385"/>
    <w:rsid w:val="00E8234C"/>
    <w:rsid w:val="00E82C4D"/>
    <w:rsid w:val="00E83064"/>
    <w:rsid w:val="00E83AA9"/>
    <w:rsid w:val="00E83AC9"/>
    <w:rsid w:val="00E85928"/>
    <w:rsid w:val="00E87822"/>
    <w:rsid w:val="00E90395"/>
    <w:rsid w:val="00E90E49"/>
    <w:rsid w:val="00E917F9"/>
    <w:rsid w:val="00E9291C"/>
    <w:rsid w:val="00E93FFE"/>
    <w:rsid w:val="00E94F8A"/>
    <w:rsid w:val="00E9583B"/>
    <w:rsid w:val="00EA30CC"/>
    <w:rsid w:val="00EA41B8"/>
    <w:rsid w:val="00EA4A9E"/>
    <w:rsid w:val="00EA54ED"/>
    <w:rsid w:val="00EA7A41"/>
    <w:rsid w:val="00EB077B"/>
    <w:rsid w:val="00EB3AF5"/>
    <w:rsid w:val="00EB4C93"/>
    <w:rsid w:val="00EB4EA2"/>
    <w:rsid w:val="00EB5722"/>
    <w:rsid w:val="00EB57F7"/>
    <w:rsid w:val="00EC24C5"/>
    <w:rsid w:val="00EC27C6"/>
    <w:rsid w:val="00EC4207"/>
    <w:rsid w:val="00EC5653"/>
    <w:rsid w:val="00EC7041"/>
    <w:rsid w:val="00EC71CE"/>
    <w:rsid w:val="00EC781B"/>
    <w:rsid w:val="00EC78F2"/>
    <w:rsid w:val="00ED1006"/>
    <w:rsid w:val="00ED3BA3"/>
    <w:rsid w:val="00ED4531"/>
    <w:rsid w:val="00ED4BD4"/>
    <w:rsid w:val="00ED6A87"/>
    <w:rsid w:val="00EE66C7"/>
    <w:rsid w:val="00EE6FDC"/>
    <w:rsid w:val="00EE7DBF"/>
    <w:rsid w:val="00EE7F10"/>
    <w:rsid w:val="00EF0C74"/>
    <w:rsid w:val="00EF18FE"/>
    <w:rsid w:val="00EF191A"/>
    <w:rsid w:val="00EF1EA9"/>
    <w:rsid w:val="00EF3C49"/>
    <w:rsid w:val="00EF5787"/>
    <w:rsid w:val="00EF5838"/>
    <w:rsid w:val="00EF60D0"/>
    <w:rsid w:val="00EF7623"/>
    <w:rsid w:val="00F01A05"/>
    <w:rsid w:val="00F01B4A"/>
    <w:rsid w:val="00F02322"/>
    <w:rsid w:val="00F02DB2"/>
    <w:rsid w:val="00F02EAC"/>
    <w:rsid w:val="00F0320F"/>
    <w:rsid w:val="00F03D6C"/>
    <w:rsid w:val="00F0528D"/>
    <w:rsid w:val="00F06C67"/>
    <w:rsid w:val="00F06DFD"/>
    <w:rsid w:val="00F071D1"/>
    <w:rsid w:val="00F07533"/>
    <w:rsid w:val="00F078E5"/>
    <w:rsid w:val="00F10629"/>
    <w:rsid w:val="00F11B63"/>
    <w:rsid w:val="00F141C0"/>
    <w:rsid w:val="00F15FA5"/>
    <w:rsid w:val="00F209B7"/>
    <w:rsid w:val="00F2376F"/>
    <w:rsid w:val="00F243D8"/>
    <w:rsid w:val="00F25605"/>
    <w:rsid w:val="00F25E84"/>
    <w:rsid w:val="00F30828"/>
    <w:rsid w:val="00F313D6"/>
    <w:rsid w:val="00F32B3E"/>
    <w:rsid w:val="00F40F0C"/>
    <w:rsid w:val="00F425D5"/>
    <w:rsid w:val="00F473CA"/>
    <w:rsid w:val="00F4766C"/>
    <w:rsid w:val="00F507D1"/>
    <w:rsid w:val="00F519CE"/>
    <w:rsid w:val="00F51ADA"/>
    <w:rsid w:val="00F563F5"/>
    <w:rsid w:val="00F56BBD"/>
    <w:rsid w:val="00F607C5"/>
    <w:rsid w:val="00F60DEA"/>
    <w:rsid w:val="00F61CF3"/>
    <w:rsid w:val="00F6302A"/>
    <w:rsid w:val="00F63775"/>
    <w:rsid w:val="00F64C2B"/>
    <w:rsid w:val="00F651BE"/>
    <w:rsid w:val="00F66EB7"/>
    <w:rsid w:val="00F67F53"/>
    <w:rsid w:val="00F703BE"/>
    <w:rsid w:val="00F71F69"/>
    <w:rsid w:val="00F72B72"/>
    <w:rsid w:val="00F73AE2"/>
    <w:rsid w:val="00F74BB9"/>
    <w:rsid w:val="00F75582"/>
    <w:rsid w:val="00F76CA5"/>
    <w:rsid w:val="00F76DBA"/>
    <w:rsid w:val="00F76EFA"/>
    <w:rsid w:val="00F804BE"/>
    <w:rsid w:val="00F817CE"/>
    <w:rsid w:val="00F84440"/>
    <w:rsid w:val="00F8456C"/>
    <w:rsid w:val="00F859D8"/>
    <w:rsid w:val="00F868F5"/>
    <w:rsid w:val="00F9056A"/>
    <w:rsid w:val="00F90F8D"/>
    <w:rsid w:val="00F92782"/>
    <w:rsid w:val="00F93AA9"/>
    <w:rsid w:val="00F95C49"/>
    <w:rsid w:val="00F96985"/>
    <w:rsid w:val="00F97838"/>
    <w:rsid w:val="00FA11E7"/>
    <w:rsid w:val="00FA2BB3"/>
    <w:rsid w:val="00FA46B8"/>
    <w:rsid w:val="00FA5448"/>
    <w:rsid w:val="00FA6F0B"/>
    <w:rsid w:val="00FA7634"/>
    <w:rsid w:val="00FA7BF1"/>
    <w:rsid w:val="00FB0938"/>
    <w:rsid w:val="00FB40B5"/>
    <w:rsid w:val="00FB4C80"/>
    <w:rsid w:val="00FB545B"/>
    <w:rsid w:val="00FB57D8"/>
    <w:rsid w:val="00FB6A6A"/>
    <w:rsid w:val="00FB7965"/>
    <w:rsid w:val="00FC2D0D"/>
    <w:rsid w:val="00FC7429"/>
    <w:rsid w:val="00FC7AFC"/>
    <w:rsid w:val="00FD0620"/>
    <w:rsid w:val="00FD07F6"/>
    <w:rsid w:val="00FD0A60"/>
    <w:rsid w:val="00FD1EC8"/>
    <w:rsid w:val="00FD2222"/>
    <w:rsid w:val="00FD47ED"/>
    <w:rsid w:val="00FD5DD1"/>
    <w:rsid w:val="00FD74DB"/>
    <w:rsid w:val="00FD7660"/>
    <w:rsid w:val="00FE0655"/>
    <w:rsid w:val="00FE2365"/>
    <w:rsid w:val="00FE3DDF"/>
    <w:rsid w:val="00FE4C7B"/>
    <w:rsid w:val="00FE6989"/>
    <w:rsid w:val="00FE7336"/>
    <w:rsid w:val="00FE787C"/>
    <w:rsid w:val="00FF09CC"/>
    <w:rsid w:val="00FF1171"/>
    <w:rsid w:val="00FF12BE"/>
    <w:rsid w:val="00FF2AE3"/>
    <w:rsid w:val="00FF319F"/>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BA634F"/>
    <w:rPr>
      <w:color w:val="808080"/>
    </w:rPr>
  </w:style>
  <w:style w:type="character" w:customStyle="1" w:styleId="ListParagraphChar">
    <w:name w:val="List Paragraph Char"/>
    <w:link w:val="ListParagraph"/>
    <w:uiPriority w:val="34"/>
    <w:locked/>
    <w:rsid w:val="008B1722"/>
    <w:rPr>
      <w:rFonts w:ascii="Calibri" w:eastAsiaTheme="minorHAnsi" w:hAnsi="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76576354">
      <w:bodyDiv w:val="1"/>
      <w:marLeft w:val="0"/>
      <w:marRight w:val="0"/>
      <w:marTop w:val="0"/>
      <w:marBottom w:val="0"/>
      <w:divBdr>
        <w:top w:val="none" w:sz="0" w:space="0" w:color="auto"/>
        <w:left w:val="none" w:sz="0" w:space="0" w:color="auto"/>
        <w:bottom w:val="none" w:sz="0" w:space="0" w:color="auto"/>
        <w:right w:val="none" w:sz="0" w:space="0" w:color="auto"/>
      </w:divBdr>
      <w:divsChild>
        <w:div w:id="1943757877">
          <w:marLeft w:val="835"/>
          <w:marRight w:val="0"/>
          <w:marTop w:val="96"/>
          <w:marBottom w:val="0"/>
          <w:divBdr>
            <w:top w:val="none" w:sz="0" w:space="0" w:color="auto"/>
            <w:left w:val="none" w:sz="0" w:space="0" w:color="auto"/>
            <w:bottom w:val="none" w:sz="0" w:space="0" w:color="auto"/>
            <w:right w:val="none" w:sz="0" w:space="0" w:color="auto"/>
          </w:divBdr>
        </w:div>
        <w:div w:id="700320648">
          <w:marLeft w:val="1411"/>
          <w:marRight w:val="0"/>
          <w:marTop w:val="96"/>
          <w:marBottom w:val="0"/>
          <w:divBdr>
            <w:top w:val="none" w:sz="0" w:space="0" w:color="auto"/>
            <w:left w:val="none" w:sz="0" w:space="0" w:color="auto"/>
            <w:bottom w:val="none" w:sz="0" w:space="0" w:color="auto"/>
            <w:right w:val="none" w:sz="0" w:space="0" w:color="auto"/>
          </w:divBdr>
        </w:div>
        <w:div w:id="831145610">
          <w:marLeft w:val="1411"/>
          <w:marRight w:val="0"/>
          <w:marTop w:val="96"/>
          <w:marBottom w:val="0"/>
          <w:divBdr>
            <w:top w:val="none" w:sz="0" w:space="0" w:color="auto"/>
            <w:left w:val="none" w:sz="0" w:space="0" w:color="auto"/>
            <w:bottom w:val="none" w:sz="0" w:space="0" w:color="auto"/>
            <w:right w:val="none" w:sz="0" w:space="0" w:color="auto"/>
          </w:divBdr>
        </w:div>
        <w:div w:id="811408338">
          <w:marLeft w:val="1411"/>
          <w:marRight w:val="0"/>
          <w:marTop w:val="96"/>
          <w:marBottom w:val="0"/>
          <w:divBdr>
            <w:top w:val="none" w:sz="0" w:space="0" w:color="auto"/>
            <w:left w:val="none" w:sz="0" w:space="0" w:color="auto"/>
            <w:bottom w:val="none" w:sz="0" w:space="0" w:color="auto"/>
            <w:right w:val="none" w:sz="0" w:space="0" w:color="auto"/>
          </w:divBdr>
        </w:div>
        <w:div w:id="751466377">
          <w:marLeft w:val="1411"/>
          <w:marRight w:val="0"/>
          <w:marTop w:val="96"/>
          <w:marBottom w:val="0"/>
          <w:divBdr>
            <w:top w:val="none" w:sz="0" w:space="0" w:color="auto"/>
            <w:left w:val="none" w:sz="0" w:space="0" w:color="auto"/>
            <w:bottom w:val="none" w:sz="0" w:space="0" w:color="auto"/>
            <w:right w:val="none" w:sz="0" w:space="0" w:color="auto"/>
          </w:divBdr>
        </w:div>
        <w:div w:id="770005221">
          <w:marLeft w:val="1411"/>
          <w:marRight w:val="0"/>
          <w:marTop w:val="96"/>
          <w:marBottom w:val="0"/>
          <w:divBdr>
            <w:top w:val="none" w:sz="0" w:space="0" w:color="auto"/>
            <w:left w:val="none" w:sz="0" w:space="0" w:color="auto"/>
            <w:bottom w:val="none" w:sz="0" w:space="0" w:color="auto"/>
            <w:right w:val="none" w:sz="0" w:space="0" w:color="auto"/>
          </w:divBdr>
        </w:div>
        <w:div w:id="903297091">
          <w:marLeft w:val="1411"/>
          <w:marRight w:val="0"/>
          <w:marTop w:val="96"/>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86748635">
      <w:bodyDiv w:val="1"/>
      <w:marLeft w:val="0"/>
      <w:marRight w:val="0"/>
      <w:marTop w:val="0"/>
      <w:marBottom w:val="0"/>
      <w:divBdr>
        <w:top w:val="none" w:sz="0" w:space="0" w:color="auto"/>
        <w:left w:val="none" w:sz="0" w:space="0" w:color="auto"/>
        <w:bottom w:val="none" w:sz="0" w:space="0" w:color="auto"/>
        <w:right w:val="none" w:sz="0" w:space="0" w:color="auto"/>
      </w:divBdr>
    </w:div>
    <w:div w:id="846138254">
      <w:bodyDiv w:val="1"/>
      <w:marLeft w:val="0"/>
      <w:marRight w:val="0"/>
      <w:marTop w:val="0"/>
      <w:marBottom w:val="0"/>
      <w:divBdr>
        <w:top w:val="none" w:sz="0" w:space="0" w:color="auto"/>
        <w:left w:val="none" w:sz="0" w:space="0" w:color="auto"/>
        <w:bottom w:val="none" w:sz="0" w:space="0" w:color="auto"/>
        <w:right w:val="none" w:sz="0" w:space="0" w:color="auto"/>
      </w:divBdr>
    </w:div>
    <w:div w:id="901525189">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94639908">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eraerda\AppData\Local\Temp\Docs\R1-17117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5NUHHDQN7SK2-1-116314</_dlc_DocId>
    <_dlc_DocIdUrl xmlns="08b2df90-05d3-4030-90d4-c9feeb4a1cd9">
      <Url>https://ericoll.internal.ericsson.com/sites/STAR/_layouts/DocIdRedir.aspx?ID=5NUHHDQN7SK2-1-116314</Url>
      <Description>5NUHHDQN7SK2-1-116314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3.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4.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5.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6.xml><?xml version="1.0" encoding="utf-8"?>
<ds:datastoreItem xmlns:ds="http://schemas.openxmlformats.org/officeDocument/2006/customXml" ds:itemID="{80C2DE46-D0AD-4F9D-BA88-09C495657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E00628E-E00B-405E-8BE7-CFA8B819C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4</Pages>
  <Words>1445</Words>
  <Characters>8242</Characters>
  <Application>Microsoft Office Word</Application>
  <DocSecurity>0</DocSecurity>
  <Lines>68</Lines>
  <Paragraphs>19</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Ericsson</vt:lpstr>
      <vt:lpstr>Introduction</vt:lpstr>
      <vt:lpstr>Discussion</vt:lpstr>
      <vt:lpstr>    Number of SSB within a component carrier</vt:lpstr>
      <vt:lpstr>    Operating a carrier with a single SSB</vt:lpstr>
      <vt:lpstr>    Multiple SSB within a carrier</vt:lpstr>
      <vt:lpstr>Proposals</vt:lpstr>
    </vt:vector>
  </TitlesOfParts>
  <Company>Ericsson</Company>
  <LinksUpToDate>false</LinksUpToDate>
  <CharactersWithSpaces>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Erik Dahlman</cp:lastModifiedBy>
  <cp:revision>3</cp:revision>
  <cp:lastPrinted>2017-08-09T06:37:00Z</cp:lastPrinted>
  <dcterms:created xsi:type="dcterms:W3CDTF">2017-08-10T20:01:00Z</dcterms:created>
  <dcterms:modified xsi:type="dcterms:W3CDTF">2017-08-10T20:19:00Z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74b220f1-57d1-4caa-bf55-e10841e1b086</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