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2246F" w14:textId="0BD3EB8A" w:rsidR="00867C14" w:rsidRPr="00CE0424" w:rsidRDefault="00867C14" w:rsidP="00867C14">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bookmarkStart w:id="5" w:name="_Hlk485900860"/>
      <w:r w:rsidRPr="000A1D33">
        <w:rPr>
          <w:lang w:val="en-US"/>
        </w:rPr>
        <w:t>3GPP TSG-RAN WG1 Meeting #</w:t>
      </w:r>
      <w:r w:rsidR="00EA5159">
        <w:rPr>
          <w:lang w:val="en-US"/>
        </w:rPr>
        <w:t>90</w:t>
      </w:r>
      <w:r w:rsidRPr="00CE0424">
        <w:tab/>
      </w:r>
      <w:r w:rsidR="00A1096B" w:rsidRPr="00A1096B">
        <w:rPr>
          <w:sz w:val="32"/>
          <w:szCs w:val="32"/>
        </w:rPr>
        <w:t>R1-1712895</w:t>
      </w:r>
    </w:p>
    <w:p w14:paraId="17FFD714" w14:textId="71FC867F" w:rsidR="00E90E49" w:rsidRDefault="00867C14" w:rsidP="00867C14">
      <w:pPr>
        <w:pStyle w:val="3GPPHeader"/>
      </w:pPr>
      <w:r>
        <w:t>Prague, Czech Republic,</w:t>
      </w:r>
      <w:r w:rsidRPr="000A1D33">
        <w:t xml:space="preserve"> </w:t>
      </w:r>
      <w:r>
        <w:t>21</w:t>
      </w:r>
      <w:r w:rsidRPr="00496C8C">
        <w:rPr>
          <w:vertAlign w:val="superscript"/>
        </w:rPr>
        <w:t>st</w:t>
      </w:r>
      <w:r>
        <w:t xml:space="preserve"> –</w:t>
      </w:r>
      <w:r w:rsidRPr="000A1D33">
        <w:t xml:space="preserve"> </w:t>
      </w:r>
      <w:r>
        <w:t>25</w:t>
      </w:r>
      <w:r w:rsidRPr="008E3A50">
        <w:rPr>
          <w:vertAlign w:val="superscript"/>
        </w:rPr>
        <w:t>th</w:t>
      </w:r>
      <w:r>
        <w:t xml:space="preserve"> August</w:t>
      </w:r>
      <w:r w:rsidRPr="000A1D33">
        <w:t xml:space="preserve"> 2017</w:t>
      </w:r>
      <w:bookmarkEnd w:id="0"/>
      <w:bookmarkEnd w:id="1"/>
      <w:bookmarkEnd w:id="2"/>
      <w:bookmarkEnd w:id="3"/>
      <w:bookmarkEnd w:id="4"/>
    </w:p>
    <w:p w14:paraId="4CEADA67" w14:textId="77777777" w:rsidR="00592DC0" w:rsidRPr="00CE0424" w:rsidRDefault="00592DC0" w:rsidP="00357380">
      <w:pPr>
        <w:pStyle w:val="3GPPHeader"/>
      </w:pPr>
    </w:p>
    <w:p w14:paraId="68C98DD6" w14:textId="641C7BB3" w:rsidR="00E90E49" w:rsidRPr="00DA757E" w:rsidRDefault="00E90E49" w:rsidP="00311702">
      <w:pPr>
        <w:pStyle w:val="3GPPHeader"/>
        <w:rPr>
          <w:sz w:val="22"/>
          <w:szCs w:val="22"/>
        </w:rPr>
      </w:pPr>
      <w:r w:rsidRPr="00DA757E">
        <w:rPr>
          <w:sz w:val="22"/>
          <w:szCs w:val="22"/>
        </w:rPr>
        <w:t>Agenda Item:</w:t>
      </w:r>
      <w:r w:rsidRPr="00DA757E">
        <w:rPr>
          <w:sz w:val="22"/>
          <w:szCs w:val="22"/>
        </w:rPr>
        <w:tab/>
      </w:r>
      <w:r w:rsidR="0097548D" w:rsidRPr="00DA757E">
        <w:rPr>
          <w:sz w:val="22"/>
          <w:szCs w:val="22"/>
        </w:rPr>
        <w:t>5.2.1.2.2.2</w:t>
      </w:r>
      <w:bookmarkEnd w:id="5"/>
    </w:p>
    <w:p w14:paraId="17534494"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07AA29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05721" w:rsidRPr="00805721">
        <w:rPr>
          <w:sz w:val="22"/>
          <w:szCs w:val="22"/>
        </w:rPr>
        <w:t>Design aspects of sPDCCH</w:t>
      </w:r>
    </w:p>
    <w:p w14:paraId="2BBBE62D" w14:textId="77777777" w:rsidR="00E90E49" w:rsidRPr="00CE0424" w:rsidRDefault="00E90E49" w:rsidP="00D546FF">
      <w:pPr>
        <w:pStyle w:val="3GPPHeader"/>
        <w:rPr>
          <w:sz w:val="22"/>
          <w:szCs w:val="22"/>
        </w:rPr>
      </w:pPr>
      <w:r w:rsidRPr="001B501F">
        <w:rPr>
          <w:sz w:val="22"/>
          <w:szCs w:val="22"/>
        </w:rPr>
        <w:t>Document for:</w:t>
      </w:r>
      <w:r w:rsidRPr="001B501F">
        <w:rPr>
          <w:sz w:val="22"/>
          <w:szCs w:val="22"/>
        </w:rPr>
        <w:tab/>
      </w:r>
      <w:r w:rsidRPr="00FF1171">
        <w:rPr>
          <w:sz w:val="22"/>
          <w:szCs w:val="22"/>
        </w:rPr>
        <w:t>Discussion, Decision</w:t>
      </w:r>
    </w:p>
    <w:p w14:paraId="627A2117" w14:textId="77777777" w:rsidR="00E30225" w:rsidRPr="00CE0424" w:rsidRDefault="00E30225" w:rsidP="00E30225">
      <w:pPr>
        <w:pStyle w:val="Heading1"/>
      </w:pPr>
      <w:r w:rsidRPr="00CE0424">
        <w:t>Introduction</w:t>
      </w:r>
    </w:p>
    <w:p w14:paraId="46B1ADDF" w14:textId="77777777" w:rsidR="00BD35E3" w:rsidRDefault="00BD35E3" w:rsidP="00E30225">
      <w:pPr>
        <w:pStyle w:val="BodyText"/>
        <w:rPr>
          <w:lang w:val="en-US"/>
        </w:rPr>
      </w:pPr>
      <w:r>
        <w:rPr>
          <w:lang w:val="en-US"/>
        </w:rPr>
        <w:t xml:space="preserve">In </w:t>
      </w:r>
      <w:r w:rsidR="00201BD1">
        <w:rPr>
          <w:lang w:val="en-US"/>
        </w:rPr>
        <w:t>RAN</w:t>
      </w:r>
      <w:r>
        <w:rPr>
          <w:lang w:val="en-US"/>
        </w:rPr>
        <w:t>1#86 the following was agreed</w:t>
      </w:r>
      <w:r w:rsidR="00F8244C">
        <w:rPr>
          <w:lang w:val="en-US"/>
        </w:rPr>
        <w:t xml:space="preserve"> in </w:t>
      </w:r>
      <w:r w:rsidR="00F8244C">
        <w:rPr>
          <w:lang w:val="en-US"/>
        </w:rPr>
        <w:fldChar w:fldCharType="begin"/>
      </w:r>
      <w:r w:rsidR="00F8244C">
        <w:rPr>
          <w:lang w:val="en-US"/>
        </w:rPr>
        <w:instrText xml:space="preserve"> REF _Ref462744559 \r \h </w:instrText>
      </w:r>
      <w:r w:rsidR="00F8244C">
        <w:rPr>
          <w:lang w:val="en-US"/>
        </w:rPr>
      </w:r>
      <w:r w:rsidR="00F8244C">
        <w:rPr>
          <w:lang w:val="en-US"/>
        </w:rPr>
        <w:fldChar w:fldCharType="separate"/>
      </w:r>
      <w:r w:rsidR="00F8244C">
        <w:rPr>
          <w:lang w:val="en-US"/>
        </w:rPr>
        <w:t>[2]</w:t>
      </w:r>
      <w:r w:rsidR="00F8244C">
        <w:rPr>
          <w:lang w:val="en-US"/>
        </w:rPr>
        <w:fldChar w:fldCharType="end"/>
      </w:r>
      <w:r>
        <w:rPr>
          <w:lang w:val="en-US"/>
        </w:rPr>
        <w:t>:</w:t>
      </w:r>
    </w:p>
    <w:p w14:paraId="296821F9" w14:textId="77777777" w:rsidR="00C673AA" w:rsidRPr="00BD35E3" w:rsidRDefault="00BD35E3" w:rsidP="00BD35E3">
      <w:pPr>
        <w:pStyle w:val="BodyText"/>
        <w:numPr>
          <w:ilvl w:val="0"/>
          <w:numId w:val="25"/>
        </w:numPr>
        <w:rPr>
          <w:lang w:val="en-US"/>
        </w:rPr>
      </w:pPr>
      <w:r w:rsidRPr="00BD35E3">
        <w:rPr>
          <w:lang w:val="en-US"/>
        </w:rPr>
        <w:t>Legacy PDCCH can be used to transmit sDCI (DCI for sPDSCH and/or sPUSCH) .</w:t>
      </w:r>
    </w:p>
    <w:p w14:paraId="1AEC1EC2" w14:textId="77777777" w:rsidR="00C673AA" w:rsidRPr="00BD35E3" w:rsidRDefault="00BD35E3" w:rsidP="00BD35E3">
      <w:pPr>
        <w:pStyle w:val="BodyText"/>
        <w:numPr>
          <w:ilvl w:val="0"/>
          <w:numId w:val="25"/>
        </w:numPr>
        <w:rPr>
          <w:lang w:val="en-US"/>
        </w:rPr>
      </w:pPr>
      <w:r w:rsidRPr="00BD35E3">
        <w:rPr>
          <w:lang w:val="en-US"/>
        </w:rPr>
        <w:t>QPSK is used for sPDCCH.</w:t>
      </w:r>
    </w:p>
    <w:p w14:paraId="6F64AF06" w14:textId="77777777" w:rsidR="00C673AA" w:rsidRPr="00BD35E3" w:rsidRDefault="00BD35E3" w:rsidP="00BD35E3">
      <w:pPr>
        <w:pStyle w:val="BodyText"/>
        <w:numPr>
          <w:ilvl w:val="0"/>
          <w:numId w:val="25"/>
        </w:numPr>
        <w:rPr>
          <w:lang w:val="en-US"/>
        </w:rPr>
      </w:pPr>
      <w:r w:rsidRPr="00BD35E3">
        <w:t>Tail biting convolutional coding is used for sPDCCH.</w:t>
      </w:r>
    </w:p>
    <w:p w14:paraId="049B5C04" w14:textId="77777777" w:rsidR="00C673AA" w:rsidRPr="00BD35E3" w:rsidRDefault="00BD35E3" w:rsidP="00BD35E3">
      <w:pPr>
        <w:pStyle w:val="BodyText"/>
        <w:numPr>
          <w:ilvl w:val="0"/>
          <w:numId w:val="25"/>
        </w:numPr>
        <w:rPr>
          <w:lang w:val="sv-SE"/>
        </w:rPr>
      </w:pPr>
      <w:r w:rsidRPr="00BD35E3">
        <w:rPr>
          <w:lang w:val="en-US"/>
        </w:rPr>
        <w:t xml:space="preserve">For CRS-based sPDCCH, </w:t>
      </w:r>
    </w:p>
    <w:p w14:paraId="5725A90B" w14:textId="77777777" w:rsidR="00C673AA" w:rsidRPr="00BD35E3" w:rsidRDefault="00BD35E3" w:rsidP="00BD35E3">
      <w:pPr>
        <w:pStyle w:val="BodyText"/>
        <w:numPr>
          <w:ilvl w:val="1"/>
          <w:numId w:val="25"/>
        </w:numPr>
        <w:rPr>
          <w:lang w:val="sv-SE"/>
        </w:rPr>
      </w:pPr>
      <w:r w:rsidRPr="00BD35E3">
        <w:rPr>
          <w:lang w:val="en-US"/>
        </w:rPr>
        <w:t>In time domain,</w:t>
      </w:r>
    </w:p>
    <w:p w14:paraId="5AD2EF8C" w14:textId="77777777" w:rsidR="00C673AA" w:rsidRPr="00BD35E3" w:rsidRDefault="00BD35E3" w:rsidP="00BD35E3">
      <w:pPr>
        <w:pStyle w:val="BodyText"/>
        <w:numPr>
          <w:ilvl w:val="2"/>
          <w:numId w:val="25"/>
        </w:numPr>
        <w:rPr>
          <w:lang w:val="en-US"/>
        </w:rPr>
      </w:pPr>
      <w:r w:rsidRPr="00BD35E3">
        <w:t>sPDCCH is transmitted from the first OFDM symbol within an sTTI</w:t>
      </w:r>
    </w:p>
    <w:p w14:paraId="693CC4EB" w14:textId="77777777" w:rsidR="00C673AA" w:rsidRPr="00BD35E3" w:rsidRDefault="00BD35E3" w:rsidP="00BD35E3">
      <w:pPr>
        <w:pStyle w:val="BodyText"/>
        <w:numPr>
          <w:ilvl w:val="3"/>
          <w:numId w:val="25"/>
        </w:numPr>
        <w:rPr>
          <w:lang w:val="en-US"/>
        </w:rPr>
      </w:pPr>
      <w:r w:rsidRPr="00BD35E3">
        <w:t>sPDCCH is not mapped to the PDCCH region.</w:t>
      </w:r>
    </w:p>
    <w:p w14:paraId="5B5B5D43" w14:textId="77777777" w:rsidR="00C673AA" w:rsidRPr="00BD35E3" w:rsidRDefault="00BD35E3" w:rsidP="00BD35E3">
      <w:pPr>
        <w:pStyle w:val="BodyText"/>
        <w:numPr>
          <w:ilvl w:val="3"/>
          <w:numId w:val="25"/>
        </w:numPr>
        <w:rPr>
          <w:lang w:val="en-US"/>
        </w:rPr>
      </w:pPr>
      <w:r w:rsidRPr="00BD35E3">
        <w:t>FFS number of OFDM symbols of the sPDCCH</w:t>
      </w:r>
    </w:p>
    <w:p w14:paraId="5B15B0C6" w14:textId="77777777" w:rsidR="00C673AA" w:rsidRPr="00BD35E3" w:rsidRDefault="00BD35E3" w:rsidP="00BD35E3">
      <w:pPr>
        <w:pStyle w:val="BodyText"/>
        <w:numPr>
          <w:ilvl w:val="1"/>
          <w:numId w:val="25"/>
        </w:numPr>
        <w:rPr>
          <w:lang w:val="en-US"/>
        </w:rPr>
      </w:pPr>
      <w:r w:rsidRPr="00BD35E3">
        <w:rPr>
          <w:lang w:val="en-US"/>
        </w:rPr>
        <w:t xml:space="preserve">Frequency resource for sPDCCH can be informed by eNB. </w:t>
      </w:r>
    </w:p>
    <w:p w14:paraId="6A2B892C" w14:textId="13BB6098" w:rsidR="00BD35E3" w:rsidRDefault="006C7046" w:rsidP="00E30225">
      <w:pPr>
        <w:pStyle w:val="BodyText"/>
        <w:rPr>
          <w:lang w:val="en-US"/>
        </w:rPr>
      </w:pPr>
      <w:bookmarkStart w:id="6" w:name="_Hlk485902043"/>
      <w:r>
        <w:rPr>
          <w:lang w:val="en-US"/>
        </w:rPr>
        <w:t xml:space="preserve">In RAN1#88bis the following agreements were </w:t>
      </w:r>
      <w:r w:rsidR="00C73281">
        <w:rPr>
          <w:lang w:val="en-US"/>
        </w:rPr>
        <w:t>made</w:t>
      </w:r>
      <w:r>
        <w:rPr>
          <w:lang w:val="en-US"/>
        </w:rPr>
        <w:t>:</w:t>
      </w:r>
    </w:p>
    <w:bookmarkEnd w:id="6"/>
    <w:p w14:paraId="101E973C" w14:textId="696A2717" w:rsidR="006C7046" w:rsidRDefault="006C7046" w:rsidP="00801525">
      <w:pPr>
        <w:numPr>
          <w:ilvl w:val="0"/>
          <w:numId w:val="30"/>
        </w:numPr>
        <w:rPr>
          <w:lang w:val="en-US"/>
        </w:rPr>
      </w:pPr>
      <w:r w:rsidRPr="006C7046">
        <w:rPr>
          <w:lang w:val="en-US"/>
        </w:rPr>
        <w:t xml:space="preserve">An </w:t>
      </w:r>
      <w:r w:rsidR="004E4EE3">
        <w:rPr>
          <w:lang w:val="en-US"/>
        </w:rPr>
        <w:t>sREG</w:t>
      </w:r>
      <w:r w:rsidRPr="006C7046">
        <w:rPr>
          <w:lang w:val="en-US"/>
        </w:rPr>
        <w:t xml:space="preserve"> consists of 1 RB within 1 OFDM symbol including REs</w:t>
      </w:r>
      <w:r>
        <w:rPr>
          <w:lang w:val="en-US"/>
        </w:rPr>
        <w:t xml:space="preserve"> for CRS and/or DMRS applied to </w:t>
      </w:r>
      <w:r w:rsidRPr="006C7046">
        <w:rPr>
          <w:lang w:val="en-US"/>
        </w:rPr>
        <w:t>DMRS based sPDCCH</w:t>
      </w:r>
    </w:p>
    <w:p w14:paraId="009C94F8" w14:textId="77777777" w:rsidR="00F73152" w:rsidRPr="00F73152" w:rsidRDefault="00F73152" w:rsidP="00801525">
      <w:pPr>
        <w:numPr>
          <w:ilvl w:val="0"/>
          <w:numId w:val="30"/>
        </w:numPr>
        <w:rPr>
          <w:lang w:val="en-US"/>
        </w:rPr>
      </w:pPr>
      <w:r w:rsidRPr="00F73152">
        <w:rPr>
          <w:lang w:val="en-US"/>
        </w:rPr>
        <w:t>The number of OFDM symbols per RB set for CRS based sPDCCH for 2/3-symbol sTTI is 1 or 2 configured by higher layer</w:t>
      </w:r>
    </w:p>
    <w:p w14:paraId="120B9C1A" w14:textId="77777777" w:rsidR="00F73152" w:rsidRPr="00F73152" w:rsidRDefault="00F73152" w:rsidP="00801525">
      <w:pPr>
        <w:numPr>
          <w:ilvl w:val="1"/>
          <w:numId w:val="30"/>
        </w:numPr>
        <w:rPr>
          <w:lang w:val="en-US"/>
        </w:rPr>
      </w:pPr>
      <w:r w:rsidRPr="00F73152">
        <w:rPr>
          <w:lang w:val="en-US"/>
        </w:rPr>
        <w:t xml:space="preserve">FFS: </w:t>
      </w:r>
    </w:p>
    <w:p w14:paraId="62705927" w14:textId="77777777" w:rsidR="00F73152" w:rsidRPr="00F73152" w:rsidRDefault="00F73152" w:rsidP="00801525">
      <w:pPr>
        <w:numPr>
          <w:ilvl w:val="2"/>
          <w:numId w:val="30"/>
        </w:numPr>
        <w:rPr>
          <w:lang w:val="en-US"/>
        </w:rPr>
      </w:pPr>
      <w:r w:rsidRPr="00F73152">
        <w:rPr>
          <w:lang w:val="en-US"/>
        </w:rPr>
        <w:t>UE capability on:</w:t>
      </w:r>
      <w:r>
        <w:rPr>
          <w:lang w:val="en-US"/>
        </w:rPr>
        <w:t xml:space="preserve"> T</w:t>
      </w:r>
      <w:r w:rsidRPr="00F73152">
        <w:rPr>
          <w:lang w:val="en-US"/>
        </w:rPr>
        <w:t xml:space="preserve">he HARQ Ack/UL grant timing dependent on the number of configured symbols for CRS based sPDCCH </w:t>
      </w:r>
    </w:p>
    <w:p w14:paraId="0B190BFE" w14:textId="77777777" w:rsidR="00F73152" w:rsidRPr="001974AB" w:rsidRDefault="00F73152" w:rsidP="00801525">
      <w:pPr>
        <w:numPr>
          <w:ilvl w:val="0"/>
          <w:numId w:val="30"/>
        </w:numPr>
        <w:rPr>
          <w:lang w:val="en-US"/>
        </w:rPr>
      </w:pPr>
      <w:r w:rsidRPr="001974AB">
        <w:rPr>
          <w:lang w:val="en-US"/>
        </w:rPr>
        <w:t>The number of OFDM symbols per RB set for CRS based sPDCCH for 1-slot sTTI is 1 or 2 configured by higher layer.</w:t>
      </w:r>
    </w:p>
    <w:p w14:paraId="5AEDD0C2" w14:textId="77777777" w:rsidR="00F73152" w:rsidRPr="001974AB" w:rsidRDefault="00F73152" w:rsidP="00801525">
      <w:pPr>
        <w:numPr>
          <w:ilvl w:val="1"/>
          <w:numId w:val="30"/>
        </w:numPr>
        <w:rPr>
          <w:lang w:val="en-US"/>
        </w:rPr>
      </w:pPr>
      <w:r w:rsidRPr="001974AB">
        <w:rPr>
          <w:lang w:val="en-US"/>
        </w:rPr>
        <w:t>FFS: 3 OFDM symbols</w:t>
      </w:r>
    </w:p>
    <w:p w14:paraId="706E993C" w14:textId="4F8DB028" w:rsidR="00F73152" w:rsidRPr="001974AB" w:rsidRDefault="00F73152" w:rsidP="00801525">
      <w:pPr>
        <w:numPr>
          <w:ilvl w:val="0"/>
          <w:numId w:val="30"/>
        </w:numPr>
        <w:rPr>
          <w:lang w:val="en-US"/>
        </w:rPr>
      </w:pPr>
      <w:r w:rsidRPr="001974AB">
        <w:rPr>
          <w:lang w:val="en-US"/>
        </w:rPr>
        <w:t>RAN1 will not pursue CDM-F based DMRS pattern for sPDCCH</w:t>
      </w:r>
    </w:p>
    <w:p w14:paraId="09ABC47A" w14:textId="5415F475" w:rsidR="00841CC6" w:rsidRPr="001974AB" w:rsidRDefault="009526E0" w:rsidP="00841CC6">
      <w:pPr>
        <w:rPr>
          <w:lang w:val="en-US"/>
        </w:rPr>
      </w:pPr>
      <w:r w:rsidRPr="001974AB">
        <w:rPr>
          <w:lang w:val="en-US"/>
        </w:rPr>
        <w:t>In RAN1#8</w:t>
      </w:r>
      <w:r w:rsidR="00841CC6" w:rsidRPr="001974AB">
        <w:rPr>
          <w:lang w:val="en-US"/>
        </w:rPr>
        <w:t xml:space="preserve">9 the following agreements were </w:t>
      </w:r>
      <w:r w:rsidR="00C73281" w:rsidRPr="001974AB">
        <w:rPr>
          <w:lang w:val="en-US"/>
        </w:rPr>
        <w:t>made</w:t>
      </w:r>
      <w:r w:rsidR="00841CC6" w:rsidRPr="001974AB">
        <w:rPr>
          <w:lang w:val="en-US"/>
        </w:rPr>
        <w:t>:</w:t>
      </w:r>
    </w:p>
    <w:p w14:paraId="1B99B84D" w14:textId="60FA5772" w:rsidR="00841CC6" w:rsidRPr="001974AB" w:rsidRDefault="009526E0" w:rsidP="00801525">
      <w:pPr>
        <w:pStyle w:val="BodyText"/>
        <w:numPr>
          <w:ilvl w:val="0"/>
          <w:numId w:val="30"/>
        </w:numPr>
        <w:rPr>
          <w:lang w:val="en-US"/>
        </w:rPr>
      </w:pPr>
      <w:r w:rsidRPr="001974AB">
        <w:rPr>
          <w:rFonts w:eastAsia="MS Mincho"/>
          <w:iCs/>
          <w:lang w:eastAsia="ja-JP"/>
        </w:rPr>
        <w:t xml:space="preserve">A CRS based sPDCCH RB set can be configured to a UE by higher-layer signalling either with distributed or localized mapping of </w:t>
      </w:r>
      <w:r w:rsidR="00841CC6" w:rsidRPr="001974AB">
        <w:rPr>
          <w:lang w:val="en-US"/>
        </w:rPr>
        <w:t>sCCE to sREG</w:t>
      </w:r>
    </w:p>
    <w:p w14:paraId="72FE114A" w14:textId="024B287E" w:rsidR="00841CC6" w:rsidRPr="001974AB" w:rsidRDefault="00841CC6"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val="en-US" w:eastAsia="ja-JP"/>
        </w:rPr>
        <w:t>FFS definition of localized mapping</w:t>
      </w:r>
    </w:p>
    <w:p w14:paraId="1069F084" w14:textId="313B3488" w:rsidR="00841CC6" w:rsidRPr="001974AB" w:rsidRDefault="00841CC6" w:rsidP="00801525">
      <w:pPr>
        <w:pStyle w:val="BodyText"/>
        <w:numPr>
          <w:ilvl w:val="0"/>
          <w:numId w:val="30"/>
        </w:numPr>
        <w:rPr>
          <w:lang w:val="en-US"/>
        </w:rPr>
      </w:pPr>
      <w:r w:rsidRPr="001974AB">
        <w:rPr>
          <w:lang w:val="en-US"/>
        </w:rPr>
        <w:t xml:space="preserve">A UE can be configured to </w:t>
      </w:r>
      <w:r w:rsidRPr="001974AB">
        <w:rPr>
          <w:rFonts w:eastAsia="MS Mincho"/>
          <w:iCs/>
          <w:lang w:val="en-US" w:eastAsia="ja-JP"/>
        </w:rPr>
        <w:t>monitor at most two sPDCCH RB set(s) containing the sTTI USS in an sTTI</w:t>
      </w:r>
      <w:r w:rsidRPr="001974AB">
        <w:rPr>
          <w:lang w:val="en-US"/>
        </w:rPr>
        <w:t>.</w:t>
      </w:r>
    </w:p>
    <w:p w14:paraId="475B07CB" w14:textId="4AB2BC1E" w:rsidR="00841CC6" w:rsidRPr="001974AB" w:rsidRDefault="00841CC6" w:rsidP="00801525">
      <w:pPr>
        <w:pStyle w:val="BodyText"/>
        <w:numPr>
          <w:ilvl w:val="1"/>
          <w:numId w:val="30"/>
        </w:numPr>
        <w:rPr>
          <w:lang w:val="en-US"/>
        </w:rPr>
      </w:pPr>
      <w:r w:rsidRPr="001974AB">
        <w:rPr>
          <w:rFonts w:eastAsia="MS Mincho"/>
          <w:iCs/>
          <w:lang w:val="en-US" w:eastAsia="ja-JP"/>
        </w:rPr>
        <w:t>One sPDCCH candidate is contained within one RB set</w:t>
      </w:r>
    </w:p>
    <w:p w14:paraId="6B260334" w14:textId="5ECD81A8" w:rsidR="00841CC6" w:rsidRPr="001974AB" w:rsidRDefault="00841CC6" w:rsidP="00801525">
      <w:pPr>
        <w:pStyle w:val="BodyText"/>
        <w:numPr>
          <w:ilvl w:val="0"/>
          <w:numId w:val="30"/>
        </w:numPr>
        <w:rPr>
          <w:lang w:val="en-US"/>
        </w:rPr>
      </w:pPr>
      <w:r w:rsidRPr="001974AB">
        <w:rPr>
          <w:lang w:val="en-US"/>
        </w:rPr>
        <w:t>An sREG consists of 1 RB within 1 OFDM symbol including REs for CRS and/or DMRS applied to CRS based sPDCCH</w:t>
      </w:r>
    </w:p>
    <w:p w14:paraId="4362289B" w14:textId="77777777" w:rsidR="00841CC6" w:rsidRPr="001974AB" w:rsidRDefault="00841CC6" w:rsidP="00801525">
      <w:pPr>
        <w:numPr>
          <w:ilvl w:val="0"/>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lastRenderedPageBreak/>
        <w:t>SFBC is supported for CRS-based sPDCCH</w:t>
      </w:r>
    </w:p>
    <w:p w14:paraId="27BC8CA4" w14:textId="77777777" w:rsidR="00841CC6" w:rsidRPr="001974AB" w:rsidRDefault="00841CC6"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FFS number of antenna ports</w:t>
      </w:r>
    </w:p>
    <w:p w14:paraId="076C2A40" w14:textId="77777777" w:rsidR="00841CC6" w:rsidRPr="001974AB" w:rsidRDefault="00841CC6" w:rsidP="00801525">
      <w:pPr>
        <w:numPr>
          <w:ilvl w:val="0"/>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Single port DMRS-based sPDCCH demodulation is supported</w:t>
      </w:r>
    </w:p>
    <w:p w14:paraId="5B9D9557" w14:textId="77777777" w:rsidR="00841CC6" w:rsidRPr="001974AB" w:rsidRDefault="00841CC6"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FFS bundling size</w:t>
      </w:r>
    </w:p>
    <w:p w14:paraId="47771E5F" w14:textId="77777777" w:rsidR="00841CC6" w:rsidRPr="001974AB" w:rsidRDefault="00841CC6" w:rsidP="00801525">
      <w:pPr>
        <w:numPr>
          <w:ilvl w:val="0"/>
          <w:numId w:val="30"/>
        </w:numPr>
        <w:overflowPunct/>
        <w:autoSpaceDE/>
        <w:autoSpaceDN/>
        <w:adjustRightInd/>
        <w:spacing w:after="0"/>
        <w:jc w:val="left"/>
        <w:textAlignment w:val="auto"/>
        <w:rPr>
          <w:rFonts w:eastAsia="MS Mincho"/>
          <w:iCs/>
          <w:lang w:val="en-US" w:eastAsia="ja-JP"/>
        </w:rPr>
      </w:pPr>
      <w:r w:rsidRPr="001974AB">
        <w:rPr>
          <w:rFonts w:eastAsia="MS Mincho"/>
          <w:iCs/>
          <w:lang w:val="en-US" w:eastAsia="ja-JP"/>
        </w:rPr>
        <w:t>FFS if t</w:t>
      </w:r>
      <w:r w:rsidRPr="001974AB">
        <w:rPr>
          <w:rFonts w:eastAsia="MS Mincho"/>
          <w:iCs/>
          <w:lang w:eastAsia="ja-JP"/>
        </w:rPr>
        <w:t>wo port DMRS-based sPDCCH demodulation is supported</w:t>
      </w:r>
    </w:p>
    <w:p w14:paraId="45E7B06D" w14:textId="270624B5" w:rsidR="00841CC6" w:rsidRPr="001974AB" w:rsidRDefault="00841CC6" w:rsidP="00801525">
      <w:pPr>
        <w:numPr>
          <w:ilvl w:val="1"/>
          <w:numId w:val="30"/>
        </w:numPr>
        <w:overflowPunct/>
        <w:autoSpaceDE/>
        <w:autoSpaceDN/>
        <w:adjustRightInd/>
        <w:spacing w:after="0"/>
        <w:jc w:val="left"/>
        <w:textAlignment w:val="auto"/>
        <w:rPr>
          <w:lang w:val="en-US"/>
        </w:rPr>
      </w:pPr>
      <w:r w:rsidRPr="001974AB">
        <w:rPr>
          <w:rFonts w:eastAsia="MS Mincho"/>
          <w:iCs/>
          <w:lang w:eastAsia="ja-JP"/>
        </w:rPr>
        <w:t>FFS bundling size</w:t>
      </w:r>
    </w:p>
    <w:p w14:paraId="7DE26E97" w14:textId="77777777" w:rsidR="004A3F21" w:rsidRPr="001974AB" w:rsidRDefault="004A3F21" w:rsidP="00801525">
      <w:pPr>
        <w:numPr>
          <w:ilvl w:val="0"/>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A sPDCCH RB set can be configured with at least the following information:</w:t>
      </w:r>
    </w:p>
    <w:p w14:paraId="72B9945C"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 xml:space="preserve">A set of RBs </w:t>
      </w:r>
    </w:p>
    <w:p w14:paraId="547D70DA" w14:textId="77777777" w:rsidR="004A3F21" w:rsidRPr="001974AB" w:rsidRDefault="004A3F21" w:rsidP="00801525">
      <w:pPr>
        <w:numPr>
          <w:ilvl w:val="2"/>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EPDCCH PRB allocation is reused</w:t>
      </w:r>
    </w:p>
    <w:p w14:paraId="6B5F3688"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Transmission scheme (e.g., CRS-based or DMRS-based)</w:t>
      </w:r>
    </w:p>
    <w:p w14:paraId="3EBBE95B" w14:textId="77777777" w:rsidR="004A3F21" w:rsidRPr="001974AB" w:rsidRDefault="004A3F21" w:rsidP="00801525">
      <w:pPr>
        <w:numPr>
          <w:ilvl w:val="2"/>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FFS: Dependent on subframe type</w:t>
      </w:r>
    </w:p>
    <w:p w14:paraId="49F41BE7"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Localized or distributed sCCE to sREG mapping (at least for CRS, and, if supported DMRS-based sPDCCH)</w:t>
      </w:r>
    </w:p>
    <w:p w14:paraId="34DF5093"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 xml:space="preserve">FFS: Localized or distributed </w:t>
      </w:r>
      <w:bookmarkStart w:id="7" w:name="_Hlk488409873"/>
      <w:r w:rsidRPr="001974AB">
        <w:rPr>
          <w:rFonts w:eastAsia="MS Mincho"/>
          <w:iCs/>
          <w:lang w:eastAsia="ja-JP"/>
        </w:rPr>
        <w:t>sPDCCH candidate to sCCE mapping</w:t>
      </w:r>
      <w:bookmarkEnd w:id="7"/>
    </w:p>
    <w:p w14:paraId="7622E134"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Number of sPDCCH candidates/aggregation levels of the RB set</w:t>
      </w:r>
    </w:p>
    <w:p w14:paraId="332684DF" w14:textId="77777777" w:rsidR="004A3F21" w:rsidRPr="001974AB" w:rsidRDefault="004A3F21" w:rsidP="00801525">
      <w:pPr>
        <w:numPr>
          <w:ilvl w:val="2"/>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FFS: Same or different sPDCCH candidates for different sTTI index</w:t>
      </w:r>
    </w:p>
    <w:p w14:paraId="67C437F3"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Number of symbols for sPDCCH duration at least in case of CRS-based transmission</w:t>
      </w:r>
    </w:p>
    <w:p w14:paraId="6DA3566B"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RS scrambling sequence (e.g., VCID) in case of DMRS-based transmission</w:t>
      </w:r>
    </w:p>
    <w:p w14:paraId="2E372B5A" w14:textId="792DECFC" w:rsidR="004A3F21" w:rsidRPr="001974AB" w:rsidRDefault="004A3F21" w:rsidP="00801525">
      <w:pPr>
        <w:numPr>
          <w:ilvl w:val="1"/>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FFS: other information (if needed)</w:t>
      </w:r>
    </w:p>
    <w:p w14:paraId="0E7CD0EA" w14:textId="77777777" w:rsidR="004A3F21" w:rsidRPr="001974AB" w:rsidRDefault="004A3F21" w:rsidP="00801525">
      <w:pPr>
        <w:numPr>
          <w:ilvl w:val="0"/>
          <w:numId w:val="30"/>
        </w:numPr>
        <w:overflowPunct/>
        <w:autoSpaceDE/>
        <w:autoSpaceDN/>
        <w:adjustRightInd/>
        <w:spacing w:after="0"/>
        <w:jc w:val="left"/>
        <w:textAlignment w:val="auto"/>
        <w:rPr>
          <w:rFonts w:eastAsia="MS Mincho"/>
          <w:iCs/>
          <w:lang w:eastAsia="ja-JP"/>
        </w:rPr>
      </w:pPr>
      <w:r w:rsidRPr="001974AB">
        <w:rPr>
          <w:rFonts w:eastAsia="MS Mincho"/>
          <w:iCs/>
          <w:lang w:eastAsia="ja-JP"/>
        </w:rPr>
        <w:t>The number of OFDM symbols per RB set for DMRS based sPDCCH for 1-slot sTTI is 2</w:t>
      </w:r>
    </w:p>
    <w:p w14:paraId="656758D4" w14:textId="77777777" w:rsidR="004A3F21" w:rsidRPr="001974AB" w:rsidRDefault="004A3F21" w:rsidP="00801525">
      <w:pPr>
        <w:numPr>
          <w:ilvl w:val="0"/>
          <w:numId w:val="30"/>
        </w:numPr>
        <w:overflowPunct/>
        <w:autoSpaceDE/>
        <w:autoSpaceDN/>
        <w:adjustRightInd/>
        <w:spacing w:after="0"/>
        <w:jc w:val="left"/>
        <w:textAlignment w:val="auto"/>
        <w:rPr>
          <w:rFonts w:eastAsia="MS Mincho"/>
          <w:iCs/>
          <w:lang w:val="en-US" w:eastAsia="ja-JP"/>
        </w:rPr>
      </w:pPr>
      <w:r w:rsidRPr="001974AB">
        <w:rPr>
          <w:rFonts w:eastAsia="MS Mincho"/>
          <w:iCs/>
          <w:lang w:eastAsia="ja-JP"/>
        </w:rPr>
        <w:t>The number</w:t>
      </w:r>
      <w:r w:rsidRPr="001974AB">
        <w:rPr>
          <w:rFonts w:eastAsia="MS Mincho"/>
          <w:iCs/>
          <w:lang w:val="en-US" w:eastAsia="ja-JP"/>
        </w:rPr>
        <w:t xml:space="preserve"> of OFDM symbols for DMRS based sPDCCH for 2/3-symbol sTTI is</w:t>
      </w:r>
    </w:p>
    <w:p w14:paraId="48C7A338" w14:textId="77777777" w:rsidR="004A3F21" w:rsidRPr="001974AB" w:rsidRDefault="004A3F21" w:rsidP="00801525">
      <w:pPr>
        <w:numPr>
          <w:ilvl w:val="1"/>
          <w:numId w:val="30"/>
        </w:numPr>
        <w:overflowPunct/>
        <w:autoSpaceDE/>
        <w:autoSpaceDN/>
        <w:adjustRightInd/>
        <w:spacing w:after="0"/>
        <w:jc w:val="left"/>
        <w:textAlignment w:val="auto"/>
        <w:rPr>
          <w:rFonts w:eastAsia="MS Mincho"/>
          <w:iCs/>
          <w:lang w:eastAsia="ja-JP"/>
        </w:rPr>
      </w:pPr>
      <w:r w:rsidRPr="001974AB">
        <w:rPr>
          <w:rFonts w:eastAsia="MS Mincho"/>
          <w:iCs/>
          <w:lang w:eastAsia="ja-JP"/>
        </w:rPr>
        <w:t>2 for 2-symbol sTTI#1,2,3,4</w:t>
      </w:r>
    </w:p>
    <w:p w14:paraId="2DCD6BE5" w14:textId="0E373801" w:rsidR="004A3F21" w:rsidRPr="001974AB" w:rsidRDefault="004A3F21" w:rsidP="00801525">
      <w:pPr>
        <w:numPr>
          <w:ilvl w:val="1"/>
          <w:numId w:val="30"/>
        </w:numPr>
        <w:overflowPunct/>
        <w:autoSpaceDE/>
        <w:autoSpaceDN/>
        <w:adjustRightInd/>
        <w:spacing w:after="0"/>
        <w:jc w:val="left"/>
        <w:textAlignment w:val="auto"/>
        <w:rPr>
          <w:rFonts w:eastAsia="MS Mincho"/>
          <w:iCs/>
          <w:lang w:eastAsia="ja-JP"/>
        </w:rPr>
      </w:pPr>
      <w:r w:rsidRPr="001974AB">
        <w:rPr>
          <w:rFonts w:eastAsia="MS Mincho"/>
          <w:iCs/>
          <w:lang w:eastAsia="ja-JP"/>
        </w:rPr>
        <w:t>FFS: 3 for 3-symbol sTTI#1 and #5</w:t>
      </w:r>
    </w:p>
    <w:p w14:paraId="22FDB7C7" w14:textId="2FFAF660" w:rsidR="00F73152" w:rsidRPr="001974AB" w:rsidRDefault="004A3F21" w:rsidP="00801525">
      <w:pPr>
        <w:pStyle w:val="ListParagraph"/>
        <w:numPr>
          <w:ilvl w:val="1"/>
          <w:numId w:val="30"/>
        </w:numPr>
        <w:rPr>
          <w:lang w:val="en-US"/>
        </w:rPr>
      </w:pPr>
      <w:r w:rsidRPr="001974AB">
        <w:rPr>
          <w:rFonts w:eastAsia="MS Mincho"/>
          <w:iCs/>
          <w:lang w:eastAsia="ja-JP"/>
        </w:rPr>
        <w:t>FFS: sTTI#0</w:t>
      </w:r>
    </w:p>
    <w:p w14:paraId="7A801B5D" w14:textId="77777777" w:rsidR="00E30225" w:rsidRPr="005D42DC" w:rsidRDefault="00BC79AF" w:rsidP="00E30225">
      <w:pPr>
        <w:pStyle w:val="BodyText"/>
        <w:rPr>
          <w:lang w:val="en-US"/>
        </w:rPr>
      </w:pPr>
      <w:r>
        <w:rPr>
          <w:lang w:val="en-US"/>
        </w:rPr>
        <w:t xml:space="preserve">In this contribution, we further outline how the sPDCCH physical layer mapping is performed per sTTI based on these </w:t>
      </w:r>
      <w:r w:rsidR="00464F28">
        <w:rPr>
          <w:lang w:val="en-US"/>
        </w:rPr>
        <w:t>agreements and working assumptions</w:t>
      </w:r>
      <w:r>
        <w:rPr>
          <w:lang w:val="en-US"/>
        </w:rPr>
        <w:t xml:space="preserve">. </w:t>
      </w:r>
    </w:p>
    <w:p w14:paraId="1FA6C954" w14:textId="77777777" w:rsidR="00E30225" w:rsidRDefault="00E30225" w:rsidP="00E30225">
      <w:pPr>
        <w:pStyle w:val="Heading1"/>
      </w:pPr>
      <w:bookmarkStart w:id="8" w:name="_Ref178064866"/>
      <w:r w:rsidRPr="00CE0424">
        <w:t>Discussion</w:t>
      </w:r>
      <w:bookmarkEnd w:id="8"/>
    </w:p>
    <w:p w14:paraId="5C866FCF" w14:textId="77777777" w:rsidR="003B227E" w:rsidRDefault="00005A91" w:rsidP="009A5FF1">
      <w:pPr>
        <w:pStyle w:val="BodyText"/>
      </w:pPr>
      <w:r>
        <w:t xml:space="preserve">During the SI it was concluded to support both CRS and DMRS based transmission of sPDCCH. </w:t>
      </w:r>
      <w:r w:rsidR="00CD5445">
        <w:t>Although t</w:t>
      </w:r>
      <w:r>
        <w:t>he design</w:t>
      </w:r>
      <w:r w:rsidR="00040B8E">
        <w:t>s</w:t>
      </w:r>
      <w:r>
        <w:t xml:space="preserve"> for doing this could be different for DMRS and CRS </w:t>
      </w:r>
      <w:r w:rsidR="00A13BCB">
        <w:t>based transmissions based sPDCCH</w:t>
      </w:r>
      <w:r w:rsidR="00CD5445">
        <w:t xml:space="preserve">, </w:t>
      </w:r>
      <w:r w:rsidR="00600A67">
        <w:t>it is desirable to analyse whether a common design for</w:t>
      </w:r>
      <w:r w:rsidR="00CD5445">
        <w:t xml:space="preserve"> DMRS and CRS-based sPDCCH</w:t>
      </w:r>
      <w:r w:rsidR="00600A67">
        <w:t xml:space="preserve"> is feasible</w:t>
      </w:r>
      <w:r w:rsidR="00A13BCB">
        <w:t>.</w:t>
      </w:r>
    </w:p>
    <w:p w14:paraId="2C7C3F4D" w14:textId="77777777" w:rsidR="00850AC6" w:rsidRDefault="00850AC6" w:rsidP="009B2D5D">
      <w:pPr>
        <w:pStyle w:val="Heading2"/>
      </w:pPr>
      <w:r>
        <w:t>CRS and DMRS operation in the same sTTI</w:t>
      </w:r>
    </w:p>
    <w:p w14:paraId="3595446A" w14:textId="77777777" w:rsidR="00B326A7" w:rsidRDefault="009A5FF1" w:rsidP="00A971C3">
      <w:pPr>
        <w:pStyle w:val="BodyText"/>
      </w:pPr>
      <w:r>
        <w:t xml:space="preserve">To allow more efficient resource usage, resource elements of a PRB in a given sTTI may be shared between sPDCCH of different UEs. An aspect to consider is whether or not UEs with CRS- and DMRS-based demodulation of sPDCCH can share the same PRB in the same sTTI. </w:t>
      </w:r>
      <w:r w:rsidR="00CE7715">
        <w:t>From the eNB perspective it will always be possible to configure one UE to operate with CRS-based demodulation a</w:t>
      </w:r>
      <w:r w:rsidR="00F91A3D">
        <w:t xml:space="preserve">nd </w:t>
      </w:r>
      <w:r w:rsidR="009C7988">
        <w:t xml:space="preserve">a </w:t>
      </w:r>
      <w:r w:rsidR="00F91A3D">
        <w:t>second UE to operate with DM</w:t>
      </w:r>
      <w:r w:rsidR="00CE7715">
        <w:t xml:space="preserve">RS based demodulation on sPDCCH. These UEs can </w:t>
      </w:r>
      <w:r>
        <w:t xml:space="preserve">have their sPDCCH sent in the same TTI but it may not be resource-efficient for CRS-based users and DMRS-based users to have their sPDCCH in the same PRB. Indeed, these users have different overhead and thus see a different number of usable resource elements in a PRB for sPDCCH or sPDSCH. </w:t>
      </w:r>
      <w:r w:rsidR="00C202DC">
        <w:t>Using the same PRB for sPDCCH candidates of CRS and DMRS users</w:t>
      </w:r>
      <w:r>
        <w:t xml:space="preserve"> makes the utilization of resources left unused by sPDCCH for sPDSCH more complicated. The design can be simplified if </w:t>
      </w:r>
      <w:r w:rsidR="00C202DC">
        <w:t xml:space="preserve">a PRB is shared between </w:t>
      </w:r>
      <w:r w:rsidR="00CE7715">
        <w:t xml:space="preserve">users with </w:t>
      </w:r>
      <w:r w:rsidR="00C202DC">
        <w:t xml:space="preserve">the same demodulation method, i.e. only between users with </w:t>
      </w:r>
      <w:r w:rsidR="00CE7715">
        <w:t xml:space="preserve">CRS based demodulation, </w:t>
      </w:r>
      <w:r w:rsidR="00C202DC">
        <w:t>or only</w:t>
      </w:r>
      <w:r w:rsidR="00CE7715">
        <w:t xml:space="preserve"> between users with DMRS based demodulation. However, </w:t>
      </w:r>
      <w:r w:rsidR="00C202DC">
        <w:t xml:space="preserve">PRB </w:t>
      </w:r>
      <w:r w:rsidR="00CE7715">
        <w:t xml:space="preserve">sharing between CRS and DMRS UE </w:t>
      </w:r>
      <w:r w:rsidR="00C202DC">
        <w:t>is</w:t>
      </w:r>
      <w:r w:rsidR="00CE7715">
        <w:t xml:space="preserve"> not carried out </w:t>
      </w:r>
      <w:r w:rsidR="00C202DC">
        <w:t>for sPDCCH</w:t>
      </w:r>
      <w:r w:rsidR="00CE7715">
        <w:t>.</w:t>
      </w:r>
    </w:p>
    <w:p w14:paraId="3A6E6F60" w14:textId="77777777" w:rsidR="00CE7715" w:rsidRDefault="00CE7715" w:rsidP="00A971C3">
      <w:pPr>
        <w:pStyle w:val="BodyText"/>
      </w:pPr>
      <w:r>
        <w:t xml:space="preserve"> </w:t>
      </w:r>
    </w:p>
    <w:p w14:paraId="39B379B0" w14:textId="77777777" w:rsidR="00F97909" w:rsidRDefault="00767F41" w:rsidP="00F97909">
      <w:pPr>
        <w:pStyle w:val="Proposal"/>
      </w:pPr>
      <w:bookmarkStart w:id="9" w:name="_Toc485917938"/>
      <w:bookmarkStart w:id="10" w:name="_Toc490235375"/>
      <w:bookmarkStart w:id="11" w:name="_Toc490241942"/>
      <w:bookmarkStart w:id="12" w:name="_Toc490254894"/>
      <w:bookmarkStart w:id="13" w:name="_Toc490255131"/>
      <w:bookmarkStart w:id="14" w:name="_Toc490255151"/>
      <w:bookmarkStart w:id="15" w:name="_Toc490255398"/>
      <w:r>
        <w:t xml:space="preserve">The eNB shall be able to operate UEs configured with different control channel demodulation assumptions within the same </w:t>
      </w:r>
      <w:r w:rsidR="00FE2FF7">
        <w:t>sTTI</w:t>
      </w:r>
      <w:bookmarkEnd w:id="9"/>
      <w:bookmarkEnd w:id="10"/>
      <w:bookmarkEnd w:id="11"/>
      <w:bookmarkEnd w:id="12"/>
      <w:bookmarkEnd w:id="13"/>
      <w:bookmarkEnd w:id="14"/>
      <w:bookmarkEnd w:id="15"/>
      <w:r>
        <w:t xml:space="preserve"> </w:t>
      </w:r>
    </w:p>
    <w:p w14:paraId="3550172D" w14:textId="77777777" w:rsidR="00FE1B5F" w:rsidRDefault="00FE1B5F" w:rsidP="00FE1B5F">
      <w:pPr>
        <w:pStyle w:val="Proposal"/>
      </w:pPr>
      <w:bookmarkStart w:id="16" w:name="_Toc485917939"/>
      <w:bookmarkStart w:id="17" w:name="_Toc490235376"/>
      <w:bookmarkStart w:id="18" w:name="_Toc490241943"/>
      <w:bookmarkStart w:id="19" w:name="_Toc490254895"/>
      <w:bookmarkStart w:id="20" w:name="_Toc490255132"/>
      <w:bookmarkStart w:id="21" w:name="_Toc490255152"/>
      <w:bookmarkStart w:id="22" w:name="_Toc462726549"/>
      <w:bookmarkStart w:id="23" w:name="_Toc462733834"/>
      <w:bookmarkStart w:id="24" w:name="_Ref462741486"/>
      <w:bookmarkStart w:id="25" w:name="_Toc462742565"/>
      <w:bookmarkStart w:id="26" w:name="_Toc462743254"/>
      <w:bookmarkStart w:id="27" w:name="_Toc462743714"/>
      <w:bookmarkStart w:id="28" w:name="_Toc462744228"/>
      <w:bookmarkStart w:id="29" w:name="_Toc462744791"/>
      <w:bookmarkStart w:id="30" w:name="_Toc490255399"/>
      <w:r>
        <w:t>Sharing of resources within a PRB can be done between UEs operating with CRS, and between UEs operating with DMRS based demodulation</w:t>
      </w:r>
      <w:bookmarkEnd w:id="16"/>
      <w:bookmarkEnd w:id="17"/>
      <w:bookmarkEnd w:id="18"/>
      <w:bookmarkEnd w:id="19"/>
      <w:bookmarkEnd w:id="20"/>
      <w:bookmarkEnd w:id="21"/>
      <w:bookmarkEnd w:id="30"/>
    </w:p>
    <w:p w14:paraId="5C95E2B3" w14:textId="77777777" w:rsidR="00CE7715" w:rsidRDefault="00FE1B5F" w:rsidP="003B227E">
      <w:pPr>
        <w:pStyle w:val="Proposal"/>
      </w:pPr>
      <w:bookmarkStart w:id="31" w:name="_Toc485917940"/>
      <w:bookmarkStart w:id="32" w:name="_Toc490235377"/>
      <w:bookmarkStart w:id="33" w:name="_Toc490241944"/>
      <w:bookmarkStart w:id="34" w:name="_Toc490254896"/>
      <w:bookmarkStart w:id="35" w:name="_Toc490255133"/>
      <w:bookmarkStart w:id="36" w:name="_Toc490255153"/>
      <w:bookmarkStart w:id="37" w:name="_Toc490255400"/>
      <w:r>
        <w:t>The design for sPDCCH is not optimized to support coexistence of UEs using CRS-based demodulation and UEs using DMRS-bas</w:t>
      </w:r>
      <w:r w:rsidR="00D325BC">
        <w:t>ed demodulation in the same PRB</w:t>
      </w:r>
      <w:bookmarkEnd w:id="31"/>
      <w:bookmarkEnd w:id="32"/>
      <w:bookmarkEnd w:id="33"/>
      <w:bookmarkEnd w:id="34"/>
      <w:bookmarkEnd w:id="35"/>
      <w:bookmarkEnd w:id="36"/>
      <w:bookmarkEnd w:id="37"/>
      <w:r>
        <w:t xml:space="preserve"> </w:t>
      </w:r>
      <w:bookmarkEnd w:id="22"/>
      <w:bookmarkEnd w:id="23"/>
      <w:bookmarkEnd w:id="24"/>
      <w:bookmarkEnd w:id="25"/>
      <w:bookmarkEnd w:id="26"/>
      <w:bookmarkEnd w:id="27"/>
      <w:bookmarkEnd w:id="28"/>
      <w:bookmarkEnd w:id="29"/>
    </w:p>
    <w:p w14:paraId="644C7956" w14:textId="77777777" w:rsidR="009140A5" w:rsidRDefault="009140A5" w:rsidP="009140A5">
      <w:pPr>
        <w:pStyle w:val="BodyText"/>
      </w:pPr>
    </w:p>
    <w:p w14:paraId="30F6C15C" w14:textId="50E1A620" w:rsidR="009140A5" w:rsidRDefault="009140A5" w:rsidP="009140A5">
      <w:pPr>
        <w:pStyle w:val="BodyText"/>
      </w:pPr>
      <w:r>
        <w:t>Based on Proposal 2, all REs of a PRB in a given sTTI can be used for sPDCCH at the exception of:</w:t>
      </w:r>
    </w:p>
    <w:p w14:paraId="0564A25E" w14:textId="77777777" w:rsidR="009140A5" w:rsidRDefault="009140A5" w:rsidP="009140A5">
      <w:pPr>
        <w:pStyle w:val="BodyText"/>
        <w:numPr>
          <w:ilvl w:val="1"/>
          <w:numId w:val="23"/>
        </w:numPr>
      </w:pPr>
      <w:r>
        <w:lastRenderedPageBreak/>
        <w:t>The REs used by the cell configured CRS</w:t>
      </w:r>
    </w:p>
    <w:p w14:paraId="00B5AF9E" w14:textId="77777777" w:rsidR="009140A5" w:rsidRDefault="009140A5" w:rsidP="009140A5">
      <w:pPr>
        <w:pStyle w:val="BodyText"/>
        <w:numPr>
          <w:ilvl w:val="1"/>
          <w:numId w:val="23"/>
        </w:numPr>
      </w:pPr>
      <w:r>
        <w:t>The REs used by the cell configured non-zero power and zero power CSI-RS</w:t>
      </w:r>
    </w:p>
    <w:p w14:paraId="551EEE1B" w14:textId="77777777" w:rsidR="009140A5" w:rsidRDefault="009140A5" w:rsidP="009140A5">
      <w:pPr>
        <w:pStyle w:val="BodyText"/>
        <w:numPr>
          <w:ilvl w:val="1"/>
          <w:numId w:val="23"/>
        </w:numPr>
      </w:pPr>
      <w:r>
        <w:t>The REs used by the (UE-specific) DMRS known to this UE</w:t>
      </w:r>
    </w:p>
    <w:p w14:paraId="1EA15402" w14:textId="77777777" w:rsidR="009140A5" w:rsidRDefault="009140A5" w:rsidP="009140A5">
      <w:pPr>
        <w:pStyle w:val="BodyText"/>
      </w:pPr>
      <w:r>
        <w:t>A UE using CRS-based demodulation will see more REs usable for sPDCCH than a UE using DMRS-based demodulation.</w:t>
      </w:r>
    </w:p>
    <w:p w14:paraId="7D26E68F" w14:textId="77777777" w:rsidR="003B227E" w:rsidRPr="00F93539" w:rsidRDefault="003B227E" w:rsidP="00A971C3">
      <w:pPr>
        <w:pStyle w:val="BodyText"/>
        <w:rPr>
          <w:i/>
        </w:rPr>
      </w:pPr>
    </w:p>
    <w:p w14:paraId="5867ED9D" w14:textId="15277D57" w:rsidR="00040B8E" w:rsidRPr="00850AC6" w:rsidRDefault="00040B8E" w:rsidP="009B2D5D">
      <w:pPr>
        <w:pStyle w:val="Heading2"/>
      </w:pPr>
      <w:r>
        <w:t>sPDCCH</w:t>
      </w:r>
      <w:r w:rsidR="00AB5D50">
        <w:t xml:space="preserve"> </w:t>
      </w:r>
      <w:r w:rsidR="00E24976">
        <w:t>Configuration</w:t>
      </w:r>
    </w:p>
    <w:p w14:paraId="512FFB06" w14:textId="56BF48BE" w:rsidR="00756270" w:rsidRDefault="00756270" w:rsidP="009B2D5D">
      <w:pPr>
        <w:pStyle w:val="Heading3"/>
      </w:pPr>
      <w:r>
        <w:t xml:space="preserve">Number of OFDM symbols </w:t>
      </w:r>
    </w:p>
    <w:p w14:paraId="59829B1C" w14:textId="2C91176F" w:rsidR="005871BE" w:rsidRDefault="006068D5" w:rsidP="00A971C3">
      <w:r>
        <w:t>In RAN1#88bis, it has been agreed that t</w:t>
      </w:r>
      <w:r w:rsidRPr="006068D5">
        <w:t xml:space="preserve">he number of OFDM symbols per </w:t>
      </w:r>
      <w:r>
        <w:t>PRB set for CRS-</w:t>
      </w:r>
      <w:r w:rsidRPr="006068D5">
        <w:t xml:space="preserve">based sPDCCH for </w:t>
      </w:r>
      <w:r>
        <w:t>slot-sTTI</w:t>
      </w:r>
      <w:r w:rsidRPr="006068D5">
        <w:t xml:space="preserve"> is 1 or 2 configured by higher layer</w:t>
      </w:r>
      <w:r w:rsidR="00C3787A">
        <w:t>.</w:t>
      </w:r>
      <w:r w:rsidR="00975872" w:rsidRPr="00975872">
        <w:t xml:space="preserve"> </w:t>
      </w:r>
      <w:r w:rsidR="00C200EB">
        <w:t xml:space="preserve">There is a FFS on the </w:t>
      </w:r>
      <w:r w:rsidR="005871BE">
        <w:t>possibility</w:t>
      </w:r>
      <w:r w:rsidR="00C200EB">
        <w:t xml:space="preserve"> </w:t>
      </w:r>
      <w:r w:rsidR="005871BE">
        <w:t>of</w:t>
      </w:r>
      <w:r w:rsidR="00C200EB">
        <w:t xml:space="preserve"> a 3 symbol-sPDCCH. </w:t>
      </w:r>
      <w:r w:rsidR="005871BE">
        <w:t>There is no strong motivation for having a 3 symbol sPDCCH for slot TTI. It diverges from the design for CRS based 2-symbol sPDCCH and makes the multiplexing between these two more complex.</w:t>
      </w:r>
    </w:p>
    <w:p w14:paraId="1E04B5F4" w14:textId="1AACA46C" w:rsidR="00E46382" w:rsidRDefault="00E46382" w:rsidP="00E46382">
      <w:pPr>
        <w:pStyle w:val="Observation"/>
      </w:pPr>
      <w:bookmarkStart w:id="38" w:name="_Toc490235393"/>
      <w:bookmarkStart w:id="39" w:name="_Toc490241927"/>
      <w:bookmarkStart w:id="40" w:name="_Toc490255116"/>
      <w:bookmarkStart w:id="41" w:name="_Toc490255383"/>
      <w:r>
        <w:t>There is no strong motivation to introduce a CRS based sPDCCH of 3 symbols long for CRS based demodulation</w:t>
      </w:r>
      <w:bookmarkEnd w:id="38"/>
      <w:bookmarkEnd w:id="39"/>
      <w:bookmarkEnd w:id="40"/>
      <w:bookmarkEnd w:id="41"/>
    </w:p>
    <w:p w14:paraId="553CB7EB" w14:textId="77777777" w:rsidR="00E46382" w:rsidRDefault="00E46382" w:rsidP="00A971C3"/>
    <w:p w14:paraId="3A61006C" w14:textId="28A7B575" w:rsidR="00E46382" w:rsidRDefault="005871BE" w:rsidP="00E46382">
      <w:r>
        <w:t>In RAN1#89 the sPDCCH length for DMRS based demodulation was discussed. There was a FFS on DMRS based 3 symbol sPDCCH in a 3-symbol sTTI. By contrast to s</w:t>
      </w:r>
      <w:r w:rsidR="00C25CF7">
        <w:t>l</w:t>
      </w:r>
      <w:r>
        <w:t>ot TTI, here there is a clear advantage of defining a 3 symbol sPDCCH to enable efficient and strai</w:t>
      </w:r>
      <w:r w:rsidR="00C25CF7">
        <w:t>ght-forward multiplexing between</w:t>
      </w:r>
      <w:r>
        <w:t xml:space="preserve"> sPDCCH and sPDSCH in 3 symbol-sTTI.</w:t>
      </w:r>
      <w:r w:rsidR="00E46382">
        <w:t xml:space="preserve"> </w:t>
      </w:r>
      <w:r>
        <w:t xml:space="preserve">Having a 2-symbol sPDCCH for DMRS based </w:t>
      </w:r>
      <w:r w:rsidR="00E46382">
        <w:t>demodulation</w:t>
      </w:r>
      <w:r>
        <w:t xml:space="preserve"> in a 3-symbol sTTI means that the remaining symbol would be used for sPDSCH.</w:t>
      </w:r>
      <w:r w:rsidR="00E46382">
        <w:t xml:space="preserve"> If sPDSCH is intended to another UE, the DMRS cannot be precoded with a UE specific precoding, which makes the DMRS based demodulation for sPDCCH pointless. A 3-symbol sPDCCH for that case enables a clear pure FDM multiplexing between sPDCCH and sPDSCH where those issues do not occur.</w:t>
      </w:r>
    </w:p>
    <w:p w14:paraId="3069D00F" w14:textId="78A6D923" w:rsidR="00D91854" w:rsidRDefault="00D91854" w:rsidP="00D91854">
      <w:pPr>
        <w:pStyle w:val="Proposal"/>
      </w:pPr>
      <w:bookmarkStart w:id="42" w:name="_Toc485917943"/>
      <w:bookmarkStart w:id="43" w:name="_Ref488398314"/>
      <w:bookmarkStart w:id="44" w:name="_Toc490235378"/>
      <w:bookmarkStart w:id="45" w:name="_Toc490241945"/>
      <w:bookmarkStart w:id="46" w:name="_Toc490254897"/>
      <w:bookmarkStart w:id="47" w:name="_Toc490255134"/>
      <w:bookmarkStart w:id="48" w:name="_Toc490255154"/>
      <w:bookmarkStart w:id="49" w:name="_Toc490255401"/>
      <w:r>
        <w:t>Support 3 OFDM symbols DMRS-based sPDCCH for 3-symbol long sTTI</w:t>
      </w:r>
      <w:bookmarkEnd w:id="42"/>
      <w:bookmarkEnd w:id="43"/>
      <w:bookmarkEnd w:id="44"/>
      <w:bookmarkEnd w:id="45"/>
      <w:bookmarkEnd w:id="46"/>
      <w:bookmarkEnd w:id="47"/>
      <w:bookmarkEnd w:id="48"/>
      <w:bookmarkEnd w:id="49"/>
    </w:p>
    <w:p w14:paraId="33E502AF" w14:textId="2F1895C4" w:rsidR="00180BB7" w:rsidRDefault="00180BB7">
      <w:pPr>
        <w:pStyle w:val="Proposal"/>
        <w:numPr>
          <w:ilvl w:val="0"/>
          <w:numId w:val="0"/>
        </w:numPr>
      </w:pPr>
    </w:p>
    <w:p w14:paraId="09CB69DB" w14:textId="29C9E7F4" w:rsidR="00AC5AE6" w:rsidRPr="004E2F44" w:rsidRDefault="00AC5AE6" w:rsidP="00AC5AE6">
      <w:pPr>
        <w:pStyle w:val="Heading3"/>
      </w:pPr>
      <w:r>
        <w:t>s</w:t>
      </w:r>
      <w:r w:rsidR="00D04FD5">
        <w:t>DCI transmission</w:t>
      </w:r>
      <w:r>
        <w:t xml:space="preserve"> in sTTI0</w:t>
      </w:r>
    </w:p>
    <w:p w14:paraId="639A1391" w14:textId="77777777" w:rsidR="00D04FD5" w:rsidRDefault="00D04FD5" w:rsidP="00D04FD5">
      <w:pPr>
        <w:rPr>
          <w:rFonts w:cs="Arial"/>
        </w:rPr>
      </w:pPr>
      <w:r>
        <w:rPr>
          <w:rFonts w:cs="Arial"/>
        </w:rPr>
        <w:t>In case of sTTI0 and a PDCCH length of 1, different locations are possible to send sDCI1. It can be sent as part of PDCCH or it can be sent in sPDCCH. The location can be set in the specification or it can be left to the eNB that would configure the sDCI transmission either on PDCCH or sPDCCH.</w:t>
      </w:r>
    </w:p>
    <w:p w14:paraId="28ED9FA2" w14:textId="77777777" w:rsidR="00D04FD5" w:rsidRPr="009B2D5D" w:rsidRDefault="00D04FD5" w:rsidP="00D04FD5">
      <w:pPr>
        <w:pStyle w:val="BodyText"/>
      </w:pPr>
      <w:r w:rsidRPr="009B2D5D">
        <w:t>Leaving it to RRC configuration gives flexibility to the eNB to configure sDCI for sTTI0 on PDCCH for part of the UEs and sDCI on sPDCCH for sTTI0 for the remaining UEs. This is therefore our first preference. This may however imply more complexity for the UE. Our second preference is to send sDCI1 on sPDCCH in that case.</w:t>
      </w:r>
    </w:p>
    <w:p w14:paraId="3F11CA4A" w14:textId="77777777" w:rsidR="00D04FD5" w:rsidRPr="009B2D5D" w:rsidRDefault="00D04FD5" w:rsidP="00D04FD5">
      <w:pPr>
        <w:pStyle w:val="BodyText"/>
      </w:pPr>
      <w:r w:rsidRPr="009B2D5D">
        <w:t xml:space="preserve">If PDCCH is used to schedule sTTI0, PDCCH will carry sTTI DCIs in addition to 1ms TTI DCIs. It may happen that one OFDM symbol is not enough to carry all these DCIs. For small BW as 5MHz, one PDCCH with AL8 will fill up the entire OFDM symbol. </w:t>
      </w:r>
    </w:p>
    <w:p w14:paraId="288A5AD1" w14:textId="77777777" w:rsidR="00D04FD5" w:rsidRPr="009B2D5D" w:rsidRDefault="00D04FD5" w:rsidP="00D04FD5">
      <w:pPr>
        <w:pStyle w:val="BodyText"/>
      </w:pPr>
      <w:r w:rsidRPr="009B2D5D">
        <w:t>To fit a different number of DCIs the length of PDCCH can vary in each subframe. The granularity of it is however very coarse. If one symbol PDCCH is not sufficient, an entire 2</w:t>
      </w:r>
      <w:r w:rsidRPr="009B2D5D">
        <w:rPr>
          <w:vertAlign w:val="superscript"/>
        </w:rPr>
        <w:t>nd</w:t>
      </w:r>
      <w:r w:rsidRPr="009B2D5D">
        <w:t xml:space="preserve"> OFDM symbol is added for PDCCH. This is less efficient than sending sTTI DCI on sPDCCH where both FDM and TDM with sPDSCH is possible, so part of the OFDM symbol used for sPDCCH can be reused for data transmission. </w:t>
      </w:r>
    </w:p>
    <w:p w14:paraId="5ECAC6E9" w14:textId="77777777" w:rsidR="00D04FD5" w:rsidRPr="009B2D5D" w:rsidRDefault="00D04FD5" w:rsidP="00D04FD5">
      <w:pPr>
        <w:pStyle w:val="BodyText"/>
      </w:pPr>
      <w:r w:rsidRPr="009B2D5D">
        <w:t>In addition to being less efficient for control/data multiplexing, adding a 2</w:t>
      </w:r>
      <w:r w:rsidRPr="009B2D5D">
        <w:rPr>
          <w:vertAlign w:val="superscript"/>
        </w:rPr>
        <w:t>nd</w:t>
      </w:r>
      <w:r w:rsidRPr="009B2D5D">
        <w:t xml:space="preserve"> OFDM symbol for PDCCH effectively means that sTTI0 cannot be scheduled for sPDSCH. This reduces the system capacity/user throughput achievable with sTTI operation.</w:t>
      </w:r>
    </w:p>
    <w:p w14:paraId="243DC152" w14:textId="77777777" w:rsidR="00D04FD5" w:rsidRPr="006D4E81" w:rsidRDefault="00D04FD5" w:rsidP="00D04FD5">
      <w:r w:rsidRPr="009B2D5D">
        <w:t>Furthermore, with sPDCCH, DMRS based demodulation could be used for control as well (beamforming gain possible). This is not possible with PDCCH.</w:t>
      </w:r>
    </w:p>
    <w:p w14:paraId="44699777" w14:textId="25F83819" w:rsidR="000125CE" w:rsidRDefault="000125CE" w:rsidP="000125CE">
      <w:pPr>
        <w:pStyle w:val="Observation"/>
      </w:pPr>
      <w:bookmarkStart w:id="50" w:name="_Toc490235394"/>
      <w:bookmarkStart w:id="51" w:name="_Toc490241928"/>
      <w:bookmarkStart w:id="52" w:name="_Toc490255117"/>
      <w:bookmarkStart w:id="53" w:name="_Toc490255384"/>
      <w:r w:rsidRPr="009A2BE0">
        <w:t>If one symbol PDCCH is not sufficient</w:t>
      </w:r>
      <w:r>
        <w:t xml:space="preserve"> to carry sTTI DCIs, adding a full 2</w:t>
      </w:r>
      <w:r w:rsidRPr="009B2D5D">
        <w:rPr>
          <w:vertAlign w:val="superscript"/>
        </w:rPr>
        <w:t>nd</w:t>
      </w:r>
      <w:r>
        <w:t xml:space="preserve"> OFDM symbol becomes less efficient than transmitting</w:t>
      </w:r>
      <w:r w:rsidRPr="009A2BE0">
        <w:t xml:space="preserve"> sPDCCH</w:t>
      </w:r>
      <w:r>
        <w:t xml:space="preserve"> on </w:t>
      </w:r>
      <w:r w:rsidR="00D04FD5">
        <w:t>s</w:t>
      </w:r>
      <w:r>
        <w:t>TTI</w:t>
      </w:r>
      <w:r w:rsidR="00D04FD5">
        <w:t>0</w:t>
      </w:r>
      <w:bookmarkEnd w:id="50"/>
      <w:bookmarkEnd w:id="51"/>
      <w:bookmarkEnd w:id="52"/>
      <w:bookmarkEnd w:id="53"/>
    </w:p>
    <w:p w14:paraId="54658EF2" w14:textId="77777777" w:rsidR="000125CE" w:rsidRDefault="000125CE" w:rsidP="0055786C"/>
    <w:p w14:paraId="6875C27C" w14:textId="541B7B73" w:rsidR="00514A96" w:rsidRDefault="00514A96" w:rsidP="0055786C">
      <w:r w:rsidRPr="001A6384">
        <w:t>For 1-slot sTTI, if the number of symbols for PDCCH &gt; 1,</w:t>
      </w:r>
      <w:r>
        <w:t xml:space="preserve"> the PDCCH capacity can be sufficient for both 1ms TTI and slot</w:t>
      </w:r>
      <w:r w:rsidR="001077B1">
        <w:t>-based</w:t>
      </w:r>
      <w:r>
        <w:t xml:space="preserve"> sTTI</w:t>
      </w:r>
      <w:r w:rsidR="001077B1">
        <w:t>0</w:t>
      </w:r>
      <w:r>
        <w:t xml:space="preserve"> assignments/grants. Therefore, sDCI for slot</w:t>
      </w:r>
      <w:r w:rsidR="001077B1">
        <w:t>- based sTTI</w:t>
      </w:r>
      <w:r>
        <w:t xml:space="preserve">0 </w:t>
      </w:r>
      <w:r w:rsidR="004F6AC6">
        <w:t>could</w:t>
      </w:r>
      <w:r>
        <w:t xml:space="preserve"> be </w:t>
      </w:r>
      <w:r w:rsidRPr="00DA757E">
        <w:t>transmitted in legacy PDCCH region.</w:t>
      </w:r>
      <w:r>
        <w:t xml:space="preserve"> This limit</w:t>
      </w:r>
      <w:r w:rsidR="001077B1">
        <w:t>s</w:t>
      </w:r>
      <w:r>
        <w:t xml:space="preserve"> the control overhead for the slot</w:t>
      </w:r>
      <w:r w:rsidR="001077B1">
        <w:t>-based sTTI</w:t>
      </w:r>
      <w:r>
        <w:t xml:space="preserve">0. </w:t>
      </w:r>
    </w:p>
    <w:p w14:paraId="4FC3B591" w14:textId="170E44D0" w:rsidR="00B30D6D" w:rsidRDefault="004F6AC6" w:rsidP="0055786C">
      <w:r>
        <w:t>In general</w:t>
      </w:r>
      <w:r w:rsidR="00B30D6D">
        <w:t xml:space="preserve">, the eNB </w:t>
      </w:r>
      <w:r w:rsidR="00514A96">
        <w:t>should</w:t>
      </w:r>
      <w:r w:rsidR="00B30D6D">
        <w:t xml:space="preserve"> have the flexibility to </w:t>
      </w:r>
      <w:r>
        <w:t xml:space="preserve">decide </w:t>
      </w:r>
      <w:r w:rsidR="00B30D6D">
        <w:t>transmit</w:t>
      </w:r>
      <w:r>
        <w:t>ting</w:t>
      </w:r>
      <w:r w:rsidR="00B30D6D">
        <w:t xml:space="preserve"> s</w:t>
      </w:r>
      <w:r>
        <w:t xml:space="preserve">TTI </w:t>
      </w:r>
      <w:r w:rsidR="00B30D6D">
        <w:t>DCI to schedule sTTI0</w:t>
      </w:r>
      <w:r w:rsidR="00514A96">
        <w:t>/slot0</w:t>
      </w:r>
      <w:r w:rsidR="00B30D6D">
        <w:t xml:space="preserve"> either in PDCCH or</w:t>
      </w:r>
      <w:r w:rsidR="00514A96">
        <w:t xml:space="preserve"> sPDCCH</w:t>
      </w:r>
      <w:r w:rsidR="00B30D6D">
        <w:t>.</w:t>
      </w:r>
    </w:p>
    <w:p w14:paraId="47F7CD29" w14:textId="67E04590" w:rsidR="00B30D6D" w:rsidRDefault="00B30D6D" w:rsidP="0055786C"/>
    <w:p w14:paraId="1DB8038B" w14:textId="6C8435C2" w:rsidR="004F6AC6" w:rsidRDefault="008B2BFE" w:rsidP="004F6AC6">
      <w:pPr>
        <w:pStyle w:val="Proposal"/>
      </w:pPr>
      <w:bookmarkStart w:id="54" w:name="_Toc490235379"/>
      <w:bookmarkStart w:id="55" w:name="_Toc490241946"/>
      <w:bookmarkStart w:id="56" w:name="_Toc490254898"/>
      <w:bookmarkStart w:id="57" w:name="_Toc490255135"/>
      <w:bookmarkStart w:id="58" w:name="_Toc490255155"/>
      <w:bookmarkStart w:id="59" w:name="_Toc490255402"/>
      <w:r>
        <w:t>For PDCCH length = 1, t</w:t>
      </w:r>
      <w:r w:rsidR="004F6AC6">
        <w:t xml:space="preserve">he </w:t>
      </w:r>
      <w:r w:rsidR="004F6AC6" w:rsidRPr="004F6AC6">
        <w:t xml:space="preserve">eNB should have the flexibility to </w:t>
      </w:r>
      <w:r>
        <w:t>configure sDCI transmission for sTTI0</w:t>
      </w:r>
      <w:r w:rsidR="004F6AC6" w:rsidRPr="004F6AC6">
        <w:t xml:space="preserve"> either in PDCCH or sPDCCH</w:t>
      </w:r>
      <w:r>
        <w:t>. Alternatively, sPDCCH is used for sDCI transmission of sTTI0.</w:t>
      </w:r>
      <w:bookmarkEnd w:id="54"/>
      <w:bookmarkEnd w:id="55"/>
      <w:bookmarkEnd w:id="56"/>
      <w:bookmarkEnd w:id="57"/>
      <w:bookmarkEnd w:id="58"/>
      <w:bookmarkEnd w:id="59"/>
    </w:p>
    <w:p w14:paraId="782750BE" w14:textId="391E364C" w:rsidR="00B30D6D" w:rsidRDefault="004F6AC6" w:rsidP="009B2D5D">
      <w:pPr>
        <w:pStyle w:val="Proposal"/>
      </w:pPr>
      <w:bookmarkStart w:id="60" w:name="_Toc490235380"/>
      <w:bookmarkStart w:id="61" w:name="_Toc490241947"/>
      <w:bookmarkStart w:id="62" w:name="_Toc490254899"/>
      <w:bookmarkStart w:id="63" w:name="_Toc490255136"/>
      <w:bookmarkStart w:id="64" w:name="_Toc490255156"/>
      <w:bookmarkStart w:id="65" w:name="_Toc490255403"/>
      <w:r>
        <w:t xml:space="preserve">For PDCCH length &gt; 1, in 1-slot TTI operation </w:t>
      </w:r>
      <w:r w:rsidR="008B2BFE">
        <w:t>s</w:t>
      </w:r>
      <w:r>
        <w:t>DCI for slot</w:t>
      </w:r>
      <w:r w:rsidR="008B2BFE">
        <w:t>-based sTTI</w:t>
      </w:r>
      <w:r>
        <w:t>0 is transmitted in PDCCH</w:t>
      </w:r>
      <w:bookmarkEnd w:id="60"/>
      <w:bookmarkEnd w:id="61"/>
      <w:bookmarkEnd w:id="62"/>
      <w:bookmarkEnd w:id="63"/>
      <w:bookmarkEnd w:id="64"/>
      <w:bookmarkEnd w:id="65"/>
    </w:p>
    <w:p w14:paraId="59C625A4" w14:textId="77777777" w:rsidR="0055786C" w:rsidRPr="004E2F44" w:rsidRDefault="0055786C" w:rsidP="0055786C">
      <w:pPr>
        <w:pStyle w:val="Heading3"/>
      </w:pPr>
      <w:r>
        <w:t xml:space="preserve">sPDCCH </w:t>
      </w:r>
      <w:r w:rsidRPr="004E2F44">
        <w:t>DMRS pattern</w:t>
      </w:r>
    </w:p>
    <w:p w14:paraId="27D13725" w14:textId="3A8FF588" w:rsidR="0055786C" w:rsidRDefault="0055786C" w:rsidP="0055786C">
      <w:r>
        <w:t xml:space="preserve">As described in our companion paper about DL DMRS design for </w:t>
      </w:r>
      <w:r w:rsidRPr="00E16B90">
        <w:t xml:space="preserve">sTTI </w:t>
      </w:r>
      <w:r w:rsidRPr="00564875">
        <w:t>[5],</w:t>
      </w:r>
      <w:r>
        <w:t xml:space="preserve"> there are three DMRS patterns </w:t>
      </w:r>
      <w:r w:rsidR="00B825F3">
        <w:t xml:space="preserve">discussed </w:t>
      </w:r>
      <w:r>
        <w:t xml:space="preserve">for </w:t>
      </w:r>
      <w:r w:rsidR="008A4C2B">
        <w:t xml:space="preserve">2os </w:t>
      </w:r>
      <w:r>
        <w:t xml:space="preserve">sPDSCH. DMRS-based sPDCCH </w:t>
      </w:r>
      <w:r w:rsidR="008A4C2B">
        <w:t xml:space="preserve">is of 2os or 3os long and </w:t>
      </w:r>
      <w:r>
        <w:t xml:space="preserve">should consider </w:t>
      </w:r>
      <w:r w:rsidR="00B825F3">
        <w:t>to use</w:t>
      </w:r>
      <w:r>
        <w:t xml:space="preserve"> the same patterns</w:t>
      </w:r>
      <w:r w:rsidR="008A4C2B">
        <w:t xml:space="preserve"> as 2os sPDSCH</w:t>
      </w:r>
      <w:r>
        <w:t xml:space="preserve">. </w:t>
      </w:r>
      <w:r w:rsidR="00B825F3">
        <w:t>It</w:t>
      </w:r>
      <w:r>
        <w:t xml:space="preserve"> can be applied for the DMRS-based sPDCCH configuration of both 2os sTTI and slot sTTI.</w:t>
      </w:r>
      <w:r w:rsidR="00ED5007">
        <w:t xml:space="preserve"> Not</w:t>
      </w:r>
      <w:r w:rsidR="00207CAB">
        <w:t>e</w:t>
      </w:r>
      <w:r w:rsidR="00ED5007">
        <w:t xml:space="preserve"> that for slot TTI in sTTI0, </w:t>
      </w:r>
      <w:r w:rsidR="008A4C2B">
        <w:t xml:space="preserve">sPDCCH is only sent </w:t>
      </w:r>
      <w:r w:rsidR="00ED5007">
        <w:t>for PDCCH length of 1os following proposal 6.</w:t>
      </w:r>
    </w:p>
    <w:p w14:paraId="203D55DE" w14:textId="77777777" w:rsidR="0055786C" w:rsidRDefault="0055786C" w:rsidP="0055786C"/>
    <w:p w14:paraId="6C13EDCD" w14:textId="5BD5A583" w:rsidR="0055786C" w:rsidRDefault="0055786C" w:rsidP="0055786C">
      <w:pPr>
        <w:pStyle w:val="Proposal"/>
      </w:pPr>
      <w:bookmarkStart w:id="66" w:name="_Toc490235381"/>
      <w:bookmarkStart w:id="67" w:name="_Toc490241948"/>
      <w:bookmarkStart w:id="68" w:name="_Toc490254900"/>
      <w:bookmarkStart w:id="69" w:name="_Toc490255137"/>
      <w:bookmarkStart w:id="70" w:name="_Toc490255157"/>
      <w:bookmarkStart w:id="71" w:name="_Toc490255404"/>
      <w:r>
        <w:t xml:space="preserve">Support for DMRS-based sPDCCH the same DMRS pattern </w:t>
      </w:r>
      <w:r w:rsidR="00B825F3">
        <w:t>as</w:t>
      </w:r>
      <w:r>
        <w:t xml:space="preserve"> for </w:t>
      </w:r>
      <w:r w:rsidR="00103F03">
        <w:t xml:space="preserve">2os </w:t>
      </w:r>
      <w:r>
        <w:t>sPDSCH</w:t>
      </w:r>
      <w:bookmarkEnd w:id="66"/>
      <w:bookmarkEnd w:id="67"/>
      <w:bookmarkEnd w:id="68"/>
      <w:bookmarkEnd w:id="69"/>
      <w:bookmarkEnd w:id="70"/>
      <w:bookmarkEnd w:id="71"/>
    </w:p>
    <w:p w14:paraId="0A28FAD3" w14:textId="7B7C5A27" w:rsidR="00514A96" w:rsidRDefault="00514A96">
      <w:pPr>
        <w:pStyle w:val="Proposal"/>
        <w:numPr>
          <w:ilvl w:val="0"/>
          <w:numId w:val="0"/>
        </w:numPr>
        <w:rPr>
          <w:highlight w:val="yellow"/>
        </w:rPr>
      </w:pPr>
    </w:p>
    <w:p w14:paraId="72231B9C" w14:textId="69CA8249" w:rsidR="00180BB7" w:rsidRDefault="00180BB7" w:rsidP="009B2D5D">
      <w:pPr>
        <w:pStyle w:val="Heading3"/>
      </w:pPr>
      <w:r>
        <w:t xml:space="preserve">Number of sREG per sCCE </w:t>
      </w:r>
    </w:p>
    <w:p w14:paraId="47E7320C" w14:textId="6E6724B7" w:rsidR="00180BB7" w:rsidRDefault="00180BB7" w:rsidP="00180BB7">
      <w:pPr>
        <w:pStyle w:val="BodyText"/>
      </w:pPr>
      <w:r>
        <w:t xml:space="preserve">As described above, the actual number of REs in a sREG usable for sPDCCH may be variable depending on the presence of the reference signals. Based on this, the eNB should carefully select an appropriate aggregation level based on the presence of other signals in a given sTTI. For the case of high overhead of reference signals, a </w:t>
      </w:r>
      <w:r w:rsidR="009B0B93">
        <w:t>larger</w:t>
      </w:r>
      <w:r>
        <w:t xml:space="preserve"> aggregation level </w:t>
      </w:r>
      <w:r w:rsidR="009B0B93">
        <w:t>should be selected to ensure sufficient number of usable REs for sPDCCH</w:t>
      </w:r>
      <w:r>
        <w:t>.</w:t>
      </w:r>
    </w:p>
    <w:p w14:paraId="0B77D24D" w14:textId="77777777" w:rsidR="00180BB7" w:rsidRDefault="00180BB7" w:rsidP="00180BB7">
      <w:pPr>
        <w:pStyle w:val="BodyText"/>
      </w:pPr>
    </w:p>
    <w:p w14:paraId="0ECB8295" w14:textId="77777777" w:rsidR="00180BB7" w:rsidRDefault="00180BB7" w:rsidP="00180BB7">
      <w:pPr>
        <w:pStyle w:val="Observation"/>
      </w:pPr>
      <w:bookmarkStart w:id="72" w:name="_Toc462726558"/>
      <w:bookmarkStart w:id="73" w:name="_Toc462742563"/>
      <w:bookmarkStart w:id="74" w:name="_Toc462743710"/>
      <w:bookmarkStart w:id="75" w:name="_Toc462744224"/>
      <w:bookmarkStart w:id="76" w:name="_Toc462744787"/>
      <w:bookmarkStart w:id="77" w:name="_Toc485917930"/>
      <w:bookmarkStart w:id="78" w:name="_Toc490235395"/>
      <w:bookmarkStart w:id="79" w:name="_Toc490241929"/>
      <w:bookmarkStart w:id="80" w:name="_Toc490255118"/>
      <w:bookmarkStart w:id="81" w:name="_Toc490255385"/>
      <w:r>
        <w:t xml:space="preserve">The number of usable REs within one sREG may be different depending on the presence of reference signals within the </w:t>
      </w:r>
      <w:bookmarkEnd w:id="72"/>
      <w:bookmarkEnd w:id="73"/>
      <w:bookmarkEnd w:id="74"/>
      <w:bookmarkEnd w:id="75"/>
      <w:bookmarkEnd w:id="76"/>
      <w:r>
        <w:t>sTTI</w:t>
      </w:r>
      <w:bookmarkEnd w:id="77"/>
      <w:bookmarkEnd w:id="78"/>
      <w:bookmarkEnd w:id="79"/>
      <w:bookmarkEnd w:id="80"/>
      <w:bookmarkEnd w:id="81"/>
    </w:p>
    <w:p w14:paraId="305D40DB" w14:textId="77777777" w:rsidR="00180BB7" w:rsidRDefault="00180BB7" w:rsidP="00180BB7">
      <w:pPr>
        <w:pStyle w:val="Observation"/>
      </w:pPr>
      <w:bookmarkStart w:id="82" w:name="_Toc485917931"/>
      <w:bookmarkStart w:id="83" w:name="_Toc490235396"/>
      <w:bookmarkStart w:id="84" w:name="_Toc490241930"/>
      <w:bookmarkStart w:id="85" w:name="_Toc490255119"/>
      <w:bookmarkStart w:id="86" w:name="_Toc490255386"/>
      <w:r>
        <w:t>A higher aggregation level can cope with high RS overhead</w:t>
      </w:r>
      <w:bookmarkEnd w:id="82"/>
      <w:bookmarkEnd w:id="83"/>
      <w:bookmarkEnd w:id="84"/>
      <w:bookmarkEnd w:id="85"/>
      <w:bookmarkEnd w:id="86"/>
    </w:p>
    <w:p w14:paraId="048DEA47" w14:textId="77777777" w:rsidR="00180BB7" w:rsidRDefault="00180BB7" w:rsidP="00180BB7">
      <w:pPr>
        <w:pStyle w:val="BodyText"/>
      </w:pPr>
    </w:p>
    <w:p w14:paraId="53615BAA" w14:textId="79040072" w:rsidR="00180BB7" w:rsidRDefault="00180BB7" w:rsidP="00180BB7">
      <w:pPr>
        <w:pStyle w:val="BodyText"/>
      </w:pPr>
      <w:r>
        <w:t>If selecting a higher aggregation level for certain sTTIs depending on RS overhead, the UE needs to be prepared for this such that this higher aggregation level is included in the UE candidates. This will either increase the number of monitored candidates for the UE, or the UE can be configured to use different sets of aggregation levels in different sTTIs. Letting the number of sREGs per sCCE vary dependent on CRS presence will lead to a more constant number of usable RE per sCCE. This will lead to a more constant aggregation level, and thereby the UE may not need to monitor the extra aggregation level.</w:t>
      </w:r>
    </w:p>
    <w:p w14:paraId="62CA447E" w14:textId="015B6B22" w:rsidR="009B0B93" w:rsidRDefault="009B0B93" w:rsidP="009B0B93">
      <w:pPr>
        <w:pStyle w:val="Observation"/>
      </w:pPr>
      <w:bookmarkStart w:id="87" w:name="_Toc490235397"/>
      <w:bookmarkStart w:id="88" w:name="_Toc490241931"/>
      <w:bookmarkStart w:id="89" w:name="_Toc490255120"/>
      <w:bookmarkStart w:id="90" w:name="_Toc490255387"/>
      <w:r>
        <w:t>If a fixed number of sREG/sCCE is used, more aggregation levels need to be monitored by a UE or the monitored ALs should depend on the sTTI index</w:t>
      </w:r>
      <w:bookmarkEnd w:id="87"/>
      <w:bookmarkEnd w:id="88"/>
      <w:bookmarkEnd w:id="89"/>
      <w:bookmarkEnd w:id="90"/>
    </w:p>
    <w:p w14:paraId="299202F6" w14:textId="77777777" w:rsidR="009B0B93" w:rsidRDefault="009B0B93" w:rsidP="00180BB7">
      <w:pPr>
        <w:pStyle w:val="BodyText"/>
      </w:pPr>
    </w:p>
    <w:p w14:paraId="23F6E4AC" w14:textId="183B0ECD" w:rsidR="006D7093" w:rsidRDefault="00AC5266" w:rsidP="00180BB7">
      <w:r>
        <w:t xml:space="preserve">If a fixed sREG/sCCE is chosen, 3 sREG/sCCE </w:t>
      </w:r>
      <w:r w:rsidR="00B660FA">
        <w:t xml:space="preserve">would lead to 36 REs in sTTI not containing CRSs </w:t>
      </w:r>
      <w:r>
        <w:t>for CRS based sPDCCH</w:t>
      </w:r>
      <w:r w:rsidR="00B660FA">
        <w:t xml:space="preserve">. </w:t>
      </w:r>
      <w:r w:rsidR="00180BB7">
        <w:t xml:space="preserve">For DMRS-based sPDCCH, the number of sREGs </w:t>
      </w:r>
      <w:r w:rsidR="00B660FA">
        <w:t>should</w:t>
      </w:r>
      <w:r w:rsidR="00180BB7">
        <w:t xml:space="preserve"> be increased </w:t>
      </w:r>
      <w:r w:rsidR="00B660FA">
        <w:t xml:space="preserve">to 4 sREG/sCCE </w:t>
      </w:r>
      <w:r w:rsidR="00180BB7">
        <w:t>to help compensating the DMRS overhead compared to CRS based sPDCCH</w:t>
      </w:r>
      <w:r w:rsidR="006D7093">
        <w:t xml:space="preserve"> in sTTI not containing CRSs</w:t>
      </w:r>
      <w:r w:rsidR="00180BB7">
        <w:t xml:space="preserve">. </w:t>
      </w:r>
      <w:r w:rsidR="006D7093">
        <w:t>In sTTI containing CRSs, a higher AL can be used.</w:t>
      </w:r>
    </w:p>
    <w:p w14:paraId="23D1435D" w14:textId="36047E81" w:rsidR="006F3C0F" w:rsidRDefault="006D7093" w:rsidP="009B2D5D">
      <w:pPr>
        <w:pStyle w:val="BodyText"/>
      </w:pPr>
      <w:r>
        <w:t xml:space="preserve">As </w:t>
      </w:r>
      <w:r w:rsidR="000D0E20">
        <w:t xml:space="preserve">an </w:t>
      </w:r>
      <w:r>
        <w:t>alternative to compensating the RS overhead with higher AL, the num</w:t>
      </w:r>
      <w:r w:rsidR="00F776AA">
        <w:t>ber of sREG/sCCE can be defined</w:t>
      </w:r>
      <w:r>
        <w:t xml:space="preserve"> depend</w:t>
      </w:r>
      <w:r w:rsidR="00F776AA">
        <w:t>ing</w:t>
      </w:r>
      <w:r>
        <w:t xml:space="preserve"> on the RS </w:t>
      </w:r>
      <w:r w:rsidR="00F776AA">
        <w:t xml:space="preserve">overhead </w:t>
      </w:r>
      <w:r>
        <w:t>in a sTTI</w:t>
      </w:r>
      <w:r w:rsidR="00DF5494">
        <w:t xml:space="preserve">, as shown in in </w:t>
      </w:r>
      <w:r w:rsidR="00DF5494">
        <w:fldChar w:fldCharType="begin"/>
      </w:r>
      <w:r w:rsidR="00DF5494">
        <w:instrText xml:space="preserve"> REF _Ref485917659 \h </w:instrText>
      </w:r>
      <w:r w:rsidR="00DF5494">
        <w:fldChar w:fldCharType="separate"/>
      </w:r>
      <w:r w:rsidR="00DF5494" w:rsidRPr="00375E93">
        <w:t xml:space="preserve">Table </w:t>
      </w:r>
      <w:r w:rsidR="00DF5494" w:rsidRPr="00375E93">
        <w:rPr>
          <w:noProof/>
        </w:rPr>
        <w:t>1</w:t>
      </w:r>
      <w:r w:rsidR="00DF5494">
        <w:fldChar w:fldCharType="end"/>
      </w:r>
      <w:r>
        <w:t>.</w:t>
      </w:r>
      <w:r w:rsidR="00AD628D">
        <w:t xml:space="preserve"> I</w:t>
      </w:r>
      <w:r>
        <w:t xml:space="preserve">n sTTI </w:t>
      </w:r>
      <w:r w:rsidR="00FB3346">
        <w:t>with low RS overhead</w:t>
      </w:r>
      <w:r>
        <w:t>, 3 sREG/sCCE and 4</w:t>
      </w:r>
      <w:r w:rsidR="007F7848">
        <w:t xml:space="preserve"> </w:t>
      </w:r>
      <w:r>
        <w:t xml:space="preserve">sREG/sCCE are used for CRS based sPDCCH and DMRS based sPDCCH respectively. In sTTI </w:t>
      </w:r>
      <w:r w:rsidR="00FB3346">
        <w:t>with large RS overhead</w:t>
      </w:r>
      <w:r>
        <w:t xml:space="preserve">, the number of sREG/sCCE can be increased to ensure similar number of usable REs for </w:t>
      </w:r>
      <w:r>
        <w:lastRenderedPageBreak/>
        <w:t>sPDCCH.</w:t>
      </w:r>
      <w:r w:rsidR="001D063B">
        <w:t xml:space="preserve"> For the case of</w:t>
      </w:r>
      <w:r w:rsidR="00EF7DD9">
        <w:t xml:space="preserve"> </w:t>
      </w:r>
      <w:r w:rsidR="001D063B" w:rsidRPr="004E2F44">
        <w:t>3 OFDM symbols sPDCCH based on DMRS-based transmission</w:t>
      </w:r>
      <w:r w:rsidR="001D063B">
        <w:t xml:space="preserve"> </w:t>
      </w:r>
      <w:r w:rsidR="00DF5494">
        <w:t>(</w:t>
      </w:r>
      <w:r w:rsidR="001D063B">
        <w:t xml:space="preserve">considered </w:t>
      </w:r>
      <w:r w:rsidR="00DF5494">
        <w:t>for the</w:t>
      </w:r>
      <w:r w:rsidR="001D063B">
        <w:t xml:space="preserve"> 3-symbol sTTI</w:t>
      </w:r>
      <w:r w:rsidR="00DF5494">
        <w:t>),</w:t>
      </w:r>
      <w:r w:rsidR="001D063B">
        <w:t xml:space="preserve"> 1 sCCE composed of 3 sREG can be built with one full PRB along 3 symbols. The third symbol represents an sREG free of RS overhead.</w:t>
      </w:r>
      <w:r w:rsidR="000C732F">
        <w:t xml:space="preserve"> Even though the number of usable REs for sPDCCH in this full PRB is </w:t>
      </w:r>
      <w:r w:rsidR="00D81986">
        <w:t xml:space="preserve">28 and thus </w:t>
      </w:r>
      <w:r w:rsidR="000C732F">
        <w:t xml:space="preserve">lower than </w:t>
      </w:r>
      <w:r w:rsidR="00D81986">
        <w:t xml:space="preserve">the legacy value of </w:t>
      </w:r>
      <w:r w:rsidR="000C732F">
        <w:t xml:space="preserve">36, it is not recommended to add </w:t>
      </w:r>
      <w:r w:rsidR="00D81986">
        <w:t xml:space="preserve">more sREG/sCCE </w:t>
      </w:r>
      <w:r w:rsidR="000C732F">
        <w:t>for this case</w:t>
      </w:r>
      <w:r w:rsidR="00D81986">
        <w:t>.</w:t>
      </w:r>
      <w:r w:rsidR="006F3C0F">
        <w:t xml:space="preserve"> </w:t>
      </w:r>
      <w:r w:rsidR="00D81986">
        <w:t>The reason is that</w:t>
      </w:r>
      <w:r w:rsidR="000C732F">
        <w:t xml:space="preserve"> </w:t>
      </w:r>
      <w:r w:rsidR="00D81986">
        <w:t>to keep a pure FDM with sPDSCH it would mean adding 3 extra sREG /sCCE, leading to a total of 6 sREG/sCCE and thus 56 usable REs/sCCE which is far above the legacy value of 36REs.</w:t>
      </w:r>
    </w:p>
    <w:p w14:paraId="6F79383E" w14:textId="77777777" w:rsidR="00F40FF3" w:rsidRDefault="00F40FF3" w:rsidP="00F40FF3">
      <w:pPr>
        <w:pStyle w:val="Observation"/>
      </w:pPr>
      <w:bookmarkStart w:id="91" w:name="_Toc485917932"/>
      <w:bookmarkStart w:id="92" w:name="_Toc490235398"/>
      <w:bookmarkStart w:id="93" w:name="_Toc490241932"/>
      <w:bookmarkStart w:id="94" w:name="_Toc490255121"/>
      <w:bookmarkStart w:id="95" w:name="_Toc490255388"/>
      <w:r>
        <w:t>Varying number of sREGs per sCCE can cope with high RS overhead.</w:t>
      </w:r>
      <w:bookmarkEnd w:id="91"/>
      <w:bookmarkEnd w:id="92"/>
      <w:bookmarkEnd w:id="93"/>
      <w:bookmarkEnd w:id="94"/>
      <w:bookmarkEnd w:id="95"/>
    </w:p>
    <w:p w14:paraId="7A09A88A" w14:textId="77777777" w:rsidR="00F40FF3" w:rsidRDefault="00F40FF3" w:rsidP="00180BB7"/>
    <w:p w14:paraId="6873D18C" w14:textId="6FDA3C3C" w:rsidR="00180BB7" w:rsidRDefault="00F40FF3" w:rsidP="009B2D5D">
      <w:r>
        <w:t xml:space="preserve">Both approaches lead to the same result. The fixed number of sREG/sCCE may however complicate the number of blind decode discussion. </w:t>
      </w:r>
      <w:r w:rsidR="00F776AA">
        <w:t xml:space="preserve">It has also less fine </w:t>
      </w:r>
      <w:r w:rsidR="00FB3346">
        <w:t>granul</w:t>
      </w:r>
      <w:r w:rsidR="00F776AA">
        <w:t>arity</w:t>
      </w:r>
      <w:r w:rsidR="00FB3346">
        <w:t xml:space="preserve"> in the used sPDCCH resources at low AL.</w:t>
      </w:r>
      <w:r w:rsidR="00F776AA">
        <w:t xml:space="preserve"> </w:t>
      </w:r>
      <w:r>
        <w:t>Therefore, we have a slight preference to having a sTTI index dependent number of sREG/sCCE.</w:t>
      </w:r>
    </w:p>
    <w:p w14:paraId="2B17BF77" w14:textId="385330FF" w:rsidR="00180BB7" w:rsidRDefault="00180BB7" w:rsidP="00180BB7">
      <w:pPr>
        <w:pStyle w:val="BodyText"/>
      </w:pPr>
    </w:p>
    <w:p w14:paraId="6A8B898A" w14:textId="01970EBC" w:rsidR="00EF2213" w:rsidRDefault="00EF2213" w:rsidP="00EF2213">
      <w:pPr>
        <w:pStyle w:val="Caption"/>
        <w:keepNext/>
      </w:pPr>
      <w:bookmarkStart w:id="96" w:name="_Ref489429645"/>
      <w:r w:rsidRPr="00ED4362">
        <w:rPr>
          <w:b w:val="0"/>
        </w:rPr>
        <w:t xml:space="preserve">Table </w:t>
      </w:r>
      <w:r w:rsidRPr="00ED4362">
        <w:rPr>
          <w:b w:val="0"/>
        </w:rPr>
        <w:fldChar w:fldCharType="begin"/>
      </w:r>
      <w:r w:rsidRPr="00ED4362">
        <w:rPr>
          <w:b w:val="0"/>
        </w:rPr>
        <w:instrText xml:space="preserve"> SEQ Table \* ARABIC </w:instrText>
      </w:r>
      <w:r w:rsidRPr="00ED4362">
        <w:rPr>
          <w:b w:val="0"/>
        </w:rPr>
        <w:fldChar w:fldCharType="separate"/>
      </w:r>
      <w:r>
        <w:rPr>
          <w:b w:val="0"/>
          <w:noProof/>
        </w:rPr>
        <w:t>1</w:t>
      </w:r>
      <w:r w:rsidRPr="00ED4362">
        <w:rPr>
          <w:b w:val="0"/>
        </w:rPr>
        <w:fldChar w:fldCharType="end"/>
      </w:r>
      <w:bookmarkEnd w:id="96"/>
      <w:r w:rsidRPr="00ED4362">
        <w:rPr>
          <w:b w:val="0"/>
        </w:rPr>
        <w:t xml:space="preserve"> </w:t>
      </w:r>
      <w:r w:rsidRPr="00375E93">
        <w:rPr>
          <w:b w:val="0"/>
        </w:rPr>
        <w:t>Number of sREGs per sCCE</w:t>
      </w:r>
      <w:r>
        <w:rPr>
          <w:b w:val="0"/>
        </w:rPr>
        <w:t xml:space="preserve"> </w:t>
      </w:r>
      <w:r w:rsidR="00682DD2">
        <w:rPr>
          <w:b w:val="0"/>
        </w:rPr>
        <w:t>[</w:t>
      </w:r>
      <w:r>
        <w:rPr>
          <w:b w:val="0"/>
        </w:rPr>
        <w:t xml:space="preserve">usable </w:t>
      </w:r>
      <w:r w:rsidR="00CF5CD9">
        <w:rPr>
          <w:b w:val="0"/>
        </w:rPr>
        <w:t xml:space="preserve">number of </w:t>
      </w:r>
      <w:r>
        <w:rPr>
          <w:b w:val="0"/>
        </w:rPr>
        <w:t>RE</w:t>
      </w:r>
      <w:r w:rsidR="00CF5CD9">
        <w:rPr>
          <w:b w:val="0"/>
        </w:rPr>
        <w:t>s</w:t>
      </w:r>
      <w:r>
        <w:rPr>
          <w:b w:val="0"/>
        </w:rPr>
        <w:t xml:space="preserve"> per sCCE (</w:t>
      </w:r>
      <w:r w:rsidR="00682DD2">
        <w:rPr>
          <w:b w:val="0"/>
        </w:rPr>
        <w:t>assuming</w:t>
      </w:r>
      <w:r>
        <w:rPr>
          <w:b w:val="0"/>
        </w:rPr>
        <w:t xml:space="preserve"> 2 DMRS pairs)</w:t>
      </w:r>
      <w:r w:rsidR="005D0D20">
        <w:rPr>
          <w:b w:val="0"/>
        </w:rPr>
        <w:t>]</w:t>
      </w:r>
    </w:p>
    <w:tbl>
      <w:tblPr>
        <w:tblStyle w:val="TableGrid"/>
        <w:tblW w:w="0" w:type="auto"/>
        <w:tblLook w:val="04A0" w:firstRow="1" w:lastRow="0" w:firstColumn="1" w:lastColumn="0" w:noHBand="0" w:noVBand="1"/>
      </w:tblPr>
      <w:tblGrid>
        <w:gridCol w:w="2461"/>
        <w:gridCol w:w="1231"/>
        <w:gridCol w:w="1252"/>
        <w:gridCol w:w="1105"/>
        <w:gridCol w:w="1359"/>
        <w:gridCol w:w="1105"/>
        <w:gridCol w:w="1116"/>
      </w:tblGrid>
      <w:tr w:rsidR="00535699" w14:paraId="165ACD20" w14:textId="77777777" w:rsidTr="009F2C70">
        <w:tc>
          <w:tcPr>
            <w:tcW w:w="2461" w:type="dxa"/>
          </w:tcPr>
          <w:p w14:paraId="4668D304" w14:textId="4D15738D" w:rsidR="00EF2213" w:rsidRPr="009B2D5D" w:rsidRDefault="000D0E20" w:rsidP="00FD640E">
            <w:pPr>
              <w:pStyle w:val="BodyText"/>
              <w:jc w:val="center"/>
              <w:rPr>
                <w:b/>
              </w:rPr>
            </w:pPr>
            <w:bookmarkStart w:id="97" w:name="_Hlk489450506"/>
            <w:r w:rsidRPr="009B2D5D">
              <w:rPr>
                <w:b/>
              </w:rPr>
              <w:t>2os sTTI</w:t>
            </w:r>
          </w:p>
        </w:tc>
        <w:tc>
          <w:tcPr>
            <w:tcW w:w="1231" w:type="dxa"/>
          </w:tcPr>
          <w:p w14:paraId="5419B978" w14:textId="77777777" w:rsidR="00EF2213" w:rsidRDefault="00EF2213" w:rsidP="00FD640E">
            <w:pPr>
              <w:pStyle w:val="BodyText"/>
              <w:jc w:val="center"/>
            </w:pPr>
            <w:r>
              <w:t>sTTI0</w:t>
            </w:r>
          </w:p>
          <w:p w14:paraId="3E741C04" w14:textId="3D502EF4" w:rsidR="00397737" w:rsidRDefault="00397737" w:rsidP="00FD640E">
            <w:pPr>
              <w:pStyle w:val="BodyText"/>
              <w:jc w:val="center"/>
            </w:pPr>
            <w:r>
              <w:t>(CRS present)</w:t>
            </w:r>
          </w:p>
        </w:tc>
        <w:tc>
          <w:tcPr>
            <w:tcW w:w="1252" w:type="dxa"/>
          </w:tcPr>
          <w:p w14:paraId="07639DF2" w14:textId="252C805C" w:rsidR="00535699" w:rsidRDefault="00EF2213" w:rsidP="00FD640E">
            <w:pPr>
              <w:pStyle w:val="BodyText"/>
              <w:jc w:val="center"/>
            </w:pPr>
            <w:r>
              <w:t>sTTI1</w:t>
            </w:r>
          </w:p>
        </w:tc>
        <w:tc>
          <w:tcPr>
            <w:tcW w:w="1105" w:type="dxa"/>
          </w:tcPr>
          <w:p w14:paraId="13AF1440" w14:textId="6C377DB6" w:rsidR="00EF2213" w:rsidRDefault="00EF2213" w:rsidP="00FD640E">
            <w:pPr>
              <w:pStyle w:val="BodyText"/>
              <w:jc w:val="center"/>
            </w:pPr>
            <w:r>
              <w:t>sTTI2</w:t>
            </w:r>
          </w:p>
        </w:tc>
        <w:tc>
          <w:tcPr>
            <w:tcW w:w="1359" w:type="dxa"/>
          </w:tcPr>
          <w:p w14:paraId="54553AAA" w14:textId="77777777" w:rsidR="00EF2213" w:rsidRDefault="00EF2213" w:rsidP="00FD640E">
            <w:pPr>
              <w:pStyle w:val="BodyText"/>
              <w:jc w:val="center"/>
            </w:pPr>
            <w:r>
              <w:t>sTTI3</w:t>
            </w:r>
          </w:p>
          <w:p w14:paraId="3EA88BBB" w14:textId="505EE04E" w:rsidR="00397737" w:rsidRDefault="00397737" w:rsidP="00FD640E">
            <w:pPr>
              <w:pStyle w:val="BodyText"/>
              <w:jc w:val="center"/>
            </w:pPr>
            <w:r>
              <w:t>(CRS present)</w:t>
            </w:r>
          </w:p>
        </w:tc>
        <w:tc>
          <w:tcPr>
            <w:tcW w:w="1105" w:type="dxa"/>
          </w:tcPr>
          <w:p w14:paraId="63054C6A" w14:textId="7EFFD54D" w:rsidR="00EF2213" w:rsidRDefault="00EF2213" w:rsidP="00FD640E">
            <w:pPr>
              <w:pStyle w:val="BodyText"/>
              <w:jc w:val="center"/>
            </w:pPr>
            <w:r>
              <w:t>sTTI4</w:t>
            </w:r>
          </w:p>
        </w:tc>
        <w:tc>
          <w:tcPr>
            <w:tcW w:w="1116" w:type="dxa"/>
          </w:tcPr>
          <w:p w14:paraId="34377B5C" w14:textId="77777777" w:rsidR="00EF2213" w:rsidRDefault="00EF2213" w:rsidP="00FD640E">
            <w:pPr>
              <w:pStyle w:val="BodyText"/>
              <w:jc w:val="center"/>
            </w:pPr>
            <w:r>
              <w:t>sTTI5</w:t>
            </w:r>
          </w:p>
          <w:p w14:paraId="5D516349" w14:textId="73B39506" w:rsidR="00397737" w:rsidRDefault="00397737" w:rsidP="00FD640E">
            <w:pPr>
              <w:pStyle w:val="BodyText"/>
              <w:jc w:val="center"/>
            </w:pPr>
            <w:r>
              <w:t>(CRS present)</w:t>
            </w:r>
          </w:p>
        </w:tc>
      </w:tr>
      <w:tr w:rsidR="00535699" w14:paraId="4C7F576F" w14:textId="77777777" w:rsidTr="009F2C70">
        <w:tc>
          <w:tcPr>
            <w:tcW w:w="2461" w:type="dxa"/>
          </w:tcPr>
          <w:p w14:paraId="347C03CA" w14:textId="003C886B" w:rsidR="00EF2213" w:rsidRDefault="00EF2213" w:rsidP="00180BB7">
            <w:pPr>
              <w:pStyle w:val="BodyText"/>
            </w:pPr>
            <w:r>
              <w:t>CRS</w:t>
            </w:r>
            <w:r w:rsidR="00397737">
              <w:t xml:space="preserve"> sPDCCH</w:t>
            </w:r>
          </w:p>
        </w:tc>
        <w:tc>
          <w:tcPr>
            <w:tcW w:w="1231" w:type="dxa"/>
          </w:tcPr>
          <w:p w14:paraId="14AA3AF2" w14:textId="5B3EC744" w:rsidR="00EF2213" w:rsidRPr="00682DD2" w:rsidRDefault="00EF2213" w:rsidP="00682DD2">
            <w:pPr>
              <w:pStyle w:val="BodyText"/>
              <w:jc w:val="center"/>
            </w:pPr>
            <w:r w:rsidRPr="00682DD2">
              <w:t xml:space="preserve">4 </w:t>
            </w:r>
            <w:r w:rsidR="00682DD2" w:rsidRPr="00682DD2">
              <w:t>[</w:t>
            </w:r>
            <w:r w:rsidRPr="00682DD2">
              <w:t>32</w:t>
            </w:r>
            <w:r w:rsidR="00682DD2" w:rsidRPr="00682DD2">
              <w:t>]</w:t>
            </w:r>
          </w:p>
        </w:tc>
        <w:tc>
          <w:tcPr>
            <w:tcW w:w="1252" w:type="dxa"/>
          </w:tcPr>
          <w:p w14:paraId="61A4123B" w14:textId="66FC3ADB" w:rsidR="00EF2213" w:rsidRPr="00682DD2" w:rsidRDefault="007F7848" w:rsidP="00682DD2">
            <w:pPr>
              <w:pStyle w:val="BodyText"/>
              <w:jc w:val="center"/>
            </w:pPr>
            <w:r>
              <w:t>4</w:t>
            </w:r>
            <w:r w:rsidR="00682DD2" w:rsidRPr="001A6384">
              <w:t xml:space="preserve"> [3</w:t>
            </w:r>
            <w:r w:rsidRPr="001A6384">
              <w:t>2</w:t>
            </w:r>
            <w:r w:rsidR="00682DD2" w:rsidRPr="001A6384">
              <w:t>]</w:t>
            </w:r>
          </w:p>
        </w:tc>
        <w:tc>
          <w:tcPr>
            <w:tcW w:w="1105" w:type="dxa"/>
          </w:tcPr>
          <w:p w14:paraId="6E5C43BD" w14:textId="6CA38187" w:rsidR="00EF2213" w:rsidRPr="00682DD2" w:rsidRDefault="00682DD2" w:rsidP="00682DD2">
            <w:pPr>
              <w:pStyle w:val="BodyText"/>
              <w:jc w:val="center"/>
            </w:pPr>
            <w:r>
              <w:t>3</w:t>
            </w:r>
            <w:r w:rsidRPr="00682DD2">
              <w:t xml:space="preserve"> </w:t>
            </w:r>
            <w:r>
              <w:t>[36]</w:t>
            </w:r>
          </w:p>
        </w:tc>
        <w:tc>
          <w:tcPr>
            <w:tcW w:w="1359" w:type="dxa"/>
          </w:tcPr>
          <w:p w14:paraId="649F8F7C" w14:textId="53D9217D" w:rsidR="00EF2213" w:rsidRPr="00682DD2" w:rsidRDefault="00682DD2" w:rsidP="00682DD2">
            <w:pPr>
              <w:pStyle w:val="BodyText"/>
              <w:jc w:val="center"/>
            </w:pPr>
            <w:r w:rsidRPr="00682DD2">
              <w:t>4 [32]</w:t>
            </w:r>
          </w:p>
        </w:tc>
        <w:tc>
          <w:tcPr>
            <w:tcW w:w="1105" w:type="dxa"/>
          </w:tcPr>
          <w:p w14:paraId="5850828E" w14:textId="6E420090" w:rsidR="00EF2213" w:rsidRPr="00682DD2" w:rsidRDefault="00682DD2" w:rsidP="00682DD2">
            <w:pPr>
              <w:pStyle w:val="BodyText"/>
              <w:jc w:val="center"/>
            </w:pPr>
            <w:r>
              <w:t>3</w:t>
            </w:r>
            <w:r w:rsidRPr="00682DD2">
              <w:t xml:space="preserve"> </w:t>
            </w:r>
            <w:r>
              <w:t>[36]</w:t>
            </w:r>
          </w:p>
        </w:tc>
        <w:tc>
          <w:tcPr>
            <w:tcW w:w="1116" w:type="dxa"/>
          </w:tcPr>
          <w:p w14:paraId="23AD5AC1" w14:textId="11798744" w:rsidR="00EF2213" w:rsidRPr="00682DD2" w:rsidRDefault="00682DD2" w:rsidP="00682DD2">
            <w:pPr>
              <w:pStyle w:val="BodyText"/>
              <w:jc w:val="center"/>
            </w:pPr>
            <w:r w:rsidRPr="00682DD2">
              <w:t>4 [32]</w:t>
            </w:r>
          </w:p>
        </w:tc>
      </w:tr>
      <w:tr w:rsidR="00535699" w14:paraId="09C180A0" w14:textId="77777777" w:rsidTr="009F2C70">
        <w:tc>
          <w:tcPr>
            <w:tcW w:w="2461" w:type="dxa"/>
          </w:tcPr>
          <w:p w14:paraId="4C4A1571" w14:textId="1E07402A" w:rsidR="00EF2213" w:rsidRDefault="00EF2213" w:rsidP="00180BB7">
            <w:pPr>
              <w:pStyle w:val="BodyText"/>
            </w:pPr>
            <w:r>
              <w:t>DMRS sPDCCH</w:t>
            </w:r>
            <w:r w:rsidR="00397737">
              <w:t xml:space="preserve"> (2os)</w:t>
            </w:r>
          </w:p>
        </w:tc>
        <w:tc>
          <w:tcPr>
            <w:tcW w:w="1231" w:type="dxa"/>
          </w:tcPr>
          <w:p w14:paraId="51255AE7" w14:textId="571E8767" w:rsidR="00EF2213" w:rsidRPr="00682DD2" w:rsidRDefault="00EF2213" w:rsidP="00682DD2">
            <w:pPr>
              <w:pStyle w:val="BodyText"/>
              <w:jc w:val="center"/>
            </w:pPr>
            <w:r w:rsidRPr="00682DD2">
              <w:t xml:space="preserve">4 </w:t>
            </w:r>
            <w:r w:rsidR="00682DD2">
              <w:t>[</w:t>
            </w:r>
            <w:r w:rsidRPr="00682DD2">
              <w:t>32</w:t>
            </w:r>
            <w:r w:rsidR="00682DD2">
              <w:t>]</w:t>
            </w:r>
          </w:p>
        </w:tc>
        <w:tc>
          <w:tcPr>
            <w:tcW w:w="1252" w:type="dxa"/>
          </w:tcPr>
          <w:p w14:paraId="211D3B5E" w14:textId="76B7FCCD" w:rsidR="00EF2213" w:rsidRPr="00682DD2" w:rsidRDefault="00682DD2" w:rsidP="00682DD2">
            <w:pPr>
              <w:pStyle w:val="BodyText"/>
              <w:jc w:val="center"/>
            </w:pPr>
            <w:r w:rsidRPr="007525B4">
              <w:t>4 [32]</w:t>
            </w:r>
          </w:p>
        </w:tc>
        <w:tc>
          <w:tcPr>
            <w:tcW w:w="1105" w:type="dxa"/>
          </w:tcPr>
          <w:p w14:paraId="797B4AC1" w14:textId="01ED17FB" w:rsidR="00EF2213" w:rsidRPr="00682DD2" w:rsidRDefault="00682DD2" w:rsidP="00682DD2">
            <w:pPr>
              <w:pStyle w:val="BodyText"/>
              <w:jc w:val="center"/>
            </w:pPr>
            <w:r w:rsidRPr="00682DD2">
              <w:t xml:space="preserve">4 </w:t>
            </w:r>
            <w:r>
              <w:t>[40]</w:t>
            </w:r>
          </w:p>
        </w:tc>
        <w:tc>
          <w:tcPr>
            <w:tcW w:w="1359" w:type="dxa"/>
          </w:tcPr>
          <w:p w14:paraId="09EFC481" w14:textId="17354FF8" w:rsidR="00EF2213" w:rsidRPr="00682DD2" w:rsidRDefault="00682DD2" w:rsidP="00682DD2">
            <w:pPr>
              <w:pStyle w:val="BodyText"/>
              <w:jc w:val="center"/>
            </w:pPr>
            <w:r>
              <w:t>6</w:t>
            </w:r>
            <w:r w:rsidRPr="00682DD2">
              <w:t xml:space="preserve"> </w:t>
            </w:r>
            <w:r>
              <w:t>[</w:t>
            </w:r>
            <w:r w:rsidR="00484369">
              <w:t>36</w:t>
            </w:r>
            <w:r>
              <w:t>]</w:t>
            </w:r>
          </w:p>
        </w:tc>
        <w:tc>
          <w:tcPr>
            <w:tcW w:w="1105" w:type="dxa"/>
          </w:tcPr>
          <w:p w14:paraId="4E523C0A" w14:textId="43288DB4" w:rsidR="00EF2213" w:rsidRPr="00682DD2" w:rsidRDefault="00682DD2" w:rsidP="00682DD2">
            <w:pPr>
              <w:pStyle w:val="BodyText"/>
              <w:jc w:val="center"/>
            </w:pPr>
            <w:r w:rsidRPr="00682DD2">
              <w:t xml:space="preserve">4 </w:t>
            </w:r>
            <w:r>
              <w:t>[40]</w:t>
            </w:r>
          </w:p>
        </w:tc>
        <w:tc>
          <w:tcPr>
            <w:tcW w:w="1116" w:type="dxa"/>
          </w:tcPr>
          <w:p w14:paraId="43D627CB" w14:textId="3E487138" w:rsidR="00EF2213" w:rsidRPr="00682DD2" w:rsidRDefault="00682DD2" w:rsidP="00682DD2">
            <w:pPr>
              <w:pStyle w:val="BodyText"/>
              <w:jc w:val="center"/>
            </w:pPr>
            <w:r w:rsidRPr="00682DD2">
              <w:t xml:space="preserve">4 </w:t>
            </w:r>
            <w:r>
              <w:t>[32]</w:t>
            </w:r>
          </w:p>
        </w:tc>
      </w:tr>
      <w:bookmarkEnd w:id="97"/>
      <w:tr w:rsidR="00535699" w14:paraId="488413A0" w14:textId="77777777" w:rsidTr="009F2C70">
        <w:tc>
          <w:tcPr>
            <w:tcW w:w="2461" w:type="dxa"/>
          </w:tcPr>
          <w:p w14:paraId="53B8ABAF" w14:textId="490E88FF" w:rsidR="00EF2213" w:rsidRDefault="00EF2213" w:rsidP="00180BB7">
            <w:pPr>
              <w:pStyle w:val="BodyText"/>
            </w:pPr>
            <w:r>
              <w:t>DMRS sPDCCH</w:t>
            </w:r>
            <w:r w:rsidR="00397737">
              <w:t xml:space="preserve"> (3os</w:t>
            </w:r>
            <w:r>
              <w:t>)</w:t>
            </w:r>
          </w:p>
        </w:tc>
        <w:tc>
          <w:tcPr>
            <w:tcW w:w="1231" w:type="dxa"/>
          </w:tcPr>
          <w:p w14:paraId="6E9F4884" w14:textId="748A9817" w:rsidR="00EF2213" w:rsidRPr="00682DD2" w:rsidRDefault="00EF2213" w:rsidP="00682DD2">
            <w:pPr>
              <w:pStyle w:val="BodyText"/>
              <w:jc w:val="center"/>
            </w:pPr>
            <w:r w:rsidRPr="00682DD2">
              <w:t>-</w:t>
            </w:r>
          </w:p>
        </w:tc>
        <w:tc>
          <w:tcPr>
            <w:tcW w:w="1252" w:type="dxa"/>
          </w:tcPr>
          <w:p w14:paraId="6FADD807" w14:textId="1E00FE4C" w:rsidR="00EF2213" w:rsidRPr="00682DD2" w:rsidRDefault="00682DD2" w:rsidP="00682DD2">
            <w:pPr>
              <w:pStyle w:val="BodyText"/>
              <w:jc w:val="center"/>
            </w:pPr>
            <w:r>
              <w:t>3</w:t>
            </w:r>
            <w:r w:rsidRPr="00682DD2">
              <w:t xml:space="preserve"> </w:t>
            </w:r>
            <w:r>
              <w:t>[28]</w:t>
            </w:r>
          </w:p>
        </w:tc>
        <w:tc>
          <w:tcPr>
            <w:tcW w:w="1105" w:type="dxa"/>
          </w:tcPr>
          <w:p w14:paraId="7B4569EB" w14:textId="3CFBDE19" w:rsidR="00EF2213" w:rsidRPr="00682DD2" w:rsidRDefault="00EF2213" w:rsidP="00682DD2">
            <w:pPr>
              <w:pStyle w:val="BodyText"/>
              <w:jc w:val="center"/>
            </w:pPr>
            <w:r w:rsidRPr="00682DD2">
              <w:t>-</w:t>
            </w:r>
          </w:p>
        </w:tc>
        <w:tc>
          <w:tcPr>
            <w:tcW w:w="1359" w:type="dxa"/>
          </w:tcPr>
          <w:p w14:paraId="30FD536F" w14:textId="006CCBDB" w:rsidR="00EF2213" w:rsidRPr="00682DD2" w:rsidRDefault="00EF2213" w:rsidP="00682DD2">
            <w:pPr>
              <w:pStyle w:val="BodyText"/>
              <w:jc w:val="center"/>
            </w:pPr>
            <w:r w:rsidRPr="00682DD2">
              <w:t>-</w:t>
            </w:r>
          </w:p>
        </w:tc>
        <w:tc>
          <w:tcPr>
            <w:tcW w:w="1105" w:type="dxa"/>
          </w:tcPr>
          <w:p w14:paraId="017694EE" w14:textId="282E10E4" w:rsidR="00EF2213" w:rsidRPr="00682DD2" w:rsidRDefault="00EF2213" w:rsidP="00682DD2">
            <w:pPr>
              <w:pStyle w:val="BodyText"/>
              <w:jc w:val="center"/>
            </w:pPr>
            <w:r w:rsidRPr="00682DD2">
              <w:t>-</w:t>
            </w:r>
          </w:p>
        </w:tc>
        <w:tc>
          <w:tcPr>
            <w:tcW w:w="1116" w:type="dxa"/>
          </w:tcPr>
          <w:p w14:paraId="3D3C2C81" w14:textId="1A4DD33C" w:rsidR="00EF2213" w:rsidRPr="00682DD2" w:rsidRDefault="00682DD2" w:rsidP="00682DD2">
            <w:pPr>
              <w:pStyle w:val="BodyText"/>
              <w:jc w:val="center"/>
            </w:pPr>
            <w:r>
              <w:t>3</w:t>
            </w:r>
            <w:r w:rsidRPr="00682DD2">
              <w:t xml:space="preserve"> </w:t>
            </w:r>
            <w:r>
              <w:t>[28]</w:t>
            </w:r>
          </w:p>
        </w:tc>
      </w:tr>
      <w:tr w:rsidR="009F2C70" w14:paraId="636C2C3F" w14:textId="77777777" w:rsidTr="00E7776C">
        <w:tc>
          <w:tcPr>
            <w:tcW w:w="2461" w:type="dxa"/>
          </w:tcPr>
          <w:p w14:paraId="597F7C4D" w14:textId="6055FF3C" w:rsidR="009F2C70" w:rsidRPr="004E2F44" w:rsidRDefault="009F2C70" w:rsidP="00E7776C">
            <w:pPr>
              <w:pStyle w:val="BodyText"/>
              <w:jc w:val="center"/>
              <w:rPr>
                <w:b/>
              </w:rPr>
            </w:pPr>
            <w:r w:rsidRPr="004E2F44">
              <w:rPr>
                <w:b/>
              </w:rPr>
              <w:t>s</w:t>
            </w:r>
            <w:r>
              <w:rPr>
                <w:b/>
              </w:rPr>
              <w:t>lot</w:t>
            </w:r>
            <w:r w:rsidRPr="004E2F44">
              <w:rPr>
                <w:b/>
              </w:rPr>
              <w:t xml:space="preserve"> sTTI</w:t>
            </w:r>
          </w:p>
        </w:tc>
        <w:tc>
          <w:tcPr>
            <w:tcW w:w="3588" w:type="dxa"/>
            <w:gridSpan w:val="3"/>
          </w:tcPr>
          <w:p w14:paraId="0E5EDF95" w14:textId="52BF91DE" w:rsidR="009F2C70" w:rsidRDefault="009F2C70" w:rsidP="00E7776C">
            <w:pPr>
              <w:pStyle w:val="BodyText"/>
              <w:jc w:val="center"/>
            </w:pPr>
            <w:r>
              <w:t>slot0</w:t>
            </w:r>
          </w:p>
        </w:tc>
        <w:tc>
          <w:tcPr>
            <w:tcW w:w="3580" w:type="dxa"/>
            <w:gridSpan w:val="3"/>
          </w:tcPr>
          <w:p w14:paraId="14F057FC" w14:textId="2FB4F24E" w:rsidR="009F2C70" w:rsidRDefault="009F2C70" w:rsidP="001A6384">
            <w:pPr>
              <w:pStyle w:val="BodyText"/>
              <w:jc w:val="center"/>
            </w:pPr>
            <w:r>
              <w:t>slot1</w:t>
            </w:r>
          </w:p>
        </w:tc>
      </w:tr>
      <w:tr w:rsidR="009F2C70" w14:paraId="714F576F" w14:textId="77777777" w:rsidTr="00E7776C">
        <w:tc>
          <w:tcPr>
            <w:tcW w:w="2461" w:type="dxa"/>
          </w:tcPr>
          <w:p w14:paraId="47EA5496" w14:textId="77777777" w:rsidR="009F2C70" w:rsidRDefault="009F2C70" w:rsidP="00E7776C">
            <w:pPr>
              <w:pStyle w:val="BodyText"/>
            </w:pPr>
            <w:r>
              <w:t>CRS sPDCCH</w:t>
            </w:r>
          </w:p>
        </w:tc>
        <w:tc>
          <w:tcPr>
            <w:tcW w:w="3588" w:type="dxa"/>
            <w:gridSpan w:val="3"/>
          </w:tcPr>
          <w:p w14:paraId="2A75E2BF" w14:textId="09AA2E8E" w:rsidR="009F2C70" w:rsidRPr="00682DD2" w:rsidRDefault="009F2C70" w:rsidP="00E7776C">
            <w:pPr>
              <w:pStyle w:val="BodyText"/>
              <w:jc w:val="center"/>
            </w:pPr>
            <w:r w:rsidRPr="00682DD2">
              <w:t>4 [32]</w:t>
            </w:r>
          </w:p>
        </w:tc>
        <w:tc>
          <w:tcPr>
            <w:tcW w:w="3580" w:type="dxa"/>
            <w:gridSpan w:val="3"/>
          </w:tcPr>
          <w:p w14:paraId="73CBECFB" w14:textId="69815407" w:rsidR="009F2C70" w:rsidRPr="00682DD2" w:rsidRDefault="009F2C70" w:rsidP="00E7776C">
            <w:pPr>
              <w:pStyle w:val="BodyText"/>
              <w:jc w:val="center"/>
            </w:pPr>
            <w:r w:rsidRPr="00682DD2">
              <w:t>4 [32]</w:t>
            </w:r>
          </w:p>
        </w:tc>
      </w:tr>
      <w:tr w:rsidR="009F2C70" w14:paraId="7310541C" w14:textId="77777777" w:rsidTr="00E7776C">
        <w:tc>
          <w:tcPr>
            <w:tcW w:w="2461" w:type="dxa"/>
          </w:tcPr>
          <w:p w14:paraId="0BDA4014" w14:textId="77777777" w:rsidR="009F2C70" w:rsidRDefault="009F2C70" w:rsidP="00E7776C">
            <w:pPr>
              <w:pStyle w:val="BodyText"/>
            </w:pPr>
            <w:r>
              <w:t>DMRS sPDCCH (2os)</w:t>
            </w:r>
          </w:p>
        </w:tc>
        <w:tc>
          <w:tcPr>
            <w:tcW w:w="3588" w:type="dxa"/>
            <w:gridSpan w:val="3"/>
          </w:tcPr>
          <w:p w14:paraId="7A2FF805" w14:textId="0977B9CA" w:rsidR="009F2C70" w:rsidRPr="00682DD2" w:rsidRDefault="009F2C70" w:rsidP="00E7776C">
            <w:pPr>
              <w:pStyle w:val="BodyText"/>
              <w:jc w:val="center"/>
            </w:pPr>
            <w:r w:rsidRPr="00682DD2">
              <w:t xml:space="preserve">4 </w:t>
            </w:r>
            <w:r>
              <w:t>[</w:t>
            </w:r>
            <w:r w:rsidRPr="00682DD2">
              <w:t>32</w:t>
            </w:r>
            <w:r>
              <w:t>]</w:t>
            </w:r>
          </w:p>
        </w:tc>
        <w:tc>
          <w:tcPr>
            <w:tcW w:w="3580" w:type="dxa"/>
            <w:gridSpan w:val="3"/>
          </w:tcPr>
          <w:p w14:paraId="40B4CC59" w14:textId="28661D13" w:rsidR="009F2C70" w:rsidRPr="00682DD2" w:rsidRDefault="009F2C70" w:rsidP="00E7776C">
            <w:pPr>
              <w:pStyle w:val="BodyText"/>
              <w:jc w:val="center"/>
            </w:pPr>
            <w:r>
              <w:t>6</w:t>
            </w:r>
            <w:r w:rsidRPr="00682DD2">
              <w:t xml:space="preserve"> </w:t>
            </w:r>
            <w:r>
              <w:t>[36]</w:t>
            </w:r>
          </w:p>
        </w:tc>
      </w:tr>
    </w:tbl>
    <w:p w14:paraId="491911B2" w14:textId="493464E1" w:rsidR="00180BB7" w:rsidRDefault="00180BB7" w:rsidP="00180BB7">
      <w:pPr>
        <w:pStyle w:val="BodyText"/>
      </w:pPr>
    </w:p>
    <w:p w14:paraId="6AE8F58D" w14:textId="77777777" w:rsidR="00180BB7" w:rsidRDefault="00180BB7" w:rsidP="00180BB7"/>
    <w:p w14:paraId="062114F1" w14:textId="4DAA7F4B" w:rsidR="00180BB7" w:rsidRDefault="00330E03" w:rsidP="00180BB7">
      <w:pPr>
        <w:pStyle w:val="Proposal"/>
      </w:pPr>
      <w:bookmarkStart w:id="98" w:name="_Toc485917945"/>
      <w:bookmarkStart w:id="99" w:name="_Toc490235382"/>
      <w:bookmarkStart w:id="100" w:name="_Toc490241949"/>
      <w:bookmarkStart w:id="101" w:name="_Toc490254901"/>
      <w:bookmarkStart w:id="102" w:name="_Toc490255138"/>
      <w:bookmarkStart w:id="103" w:name="_Toc490255158"/>
      <w:bookmarkStart w:id="104" w:name="_Toc490255405"/>
      <w:r>
        <w:t>F</w:t>
      </w:r>
      <w:r w:rsidRPr="0085075F">
        <w:t>or</w:t>
      </w:r>
      <w:r>
        <w:t xml:space="preserve"> </w:t>
      </w:r>
      <w:r w:rsidR="00EF7DD9">
        <w:t xml:space="preserve">2os sTTI and </w:t>
      </w:r>
      <w:r>
        <w:t xml:space="preserve">CRS-based </w:t>
      </w:r>
      <w:r w:rsidRPr="0085075F">
        <w:t>sPDCCH</w:t>
      </w:r>
      <w:r w:rsidR="0041051C">
        <w:t xml:space="preserve"> </w:t>
      </w:r>
      <w:r>
        <w:t>a</w:t>
      </w:r>
      <w:r w:rsidR="00180BB7">
        <w:t xml:space="preserve"> sCCE</w:t>
      </w:r>
      <w:r w:rsidR="00180BB7" w:rsidRPr="0085075F">
        <w:t xml:space="preserve"> </w:t>
      </w:r>
      <w:r w:rsidR="00180BB7">
        <w:t xml:space="preserve">is composed </w:t>
      </w:r>
      <w:r w:rsidR="00F40FF3">
        <w:t>of</w:t>
      </w:r>
      <w:r w:rsidR="00180BB7">
        <w:t xml:space="preserve"> 3 sREG</w:t>
      </w:r>
      <w:r w:rsidR="00180BB7" w:rsidRPr="0085075F">
        <w:t xml:space="preserve"> </w:t>
      </w:r>
      <w:r w:rsidR="003B510E">
        <w:t>in sTTI1, sTTI2, sTTI4</w:t>
      </w:r>
      <w:r w:rsidR="00180BB7">
        <w:t xml:space="preserve"> and</w:t>
      </w:r>
      <w:r>
        <w:t xml:space="preserve"> 4 sREG</w:t>
      </w:r>
      <w:r w:rsidR="00180BB7">
        <w:t xml:space="preserve"> </w:t>
      </w:r>
      <w:r w:rsidR="003B510E">
        <w:t>in sTTI0, sTTI3, sTTI5</w:t>
      </w:r>
      <w:r w:rsidR="00180BB7">
        <w:t>.</w:t>
      </w:r>
      <w:bookmarkEnd w:id="98"/>
      <w:bookmarkEnd w:id="99"/>
      <w:bookmarkEnd w:id="100"/>
      <w:bookmarkEnd w:id="101"/>
      <w:bookmarkEnd w:id="102"/>
      <w:bookmarkEnd w:id="103"/>
      <w:bookmarkEnd w:id="104"/>
    </w:p>
    <w:p w14:paraId="3E2D18A0" w14:textId="49AC2D6A" w:rsidR="00180BB7" w:rsidRDefault="00EF7DD9" w:rsidP="001A6384">
      <w:pPr>
        <w:pStyle w:val="Proposal"/>
      </w:pPr>
      <w:bookmarkStart w:id="105" w:name="_Toc490235383"/>
      <w:bookmarkStart w:id="106" w:name="_Toc490241950"/>
      <w:bookmarkStart w:id="107" w:name="_Toc490254902"/>
      <w:bookmarkStart w:id="108" w:name="_Toc490255139"/>
      <w:bookmarkStart w:id="109" w:name="_Toc490255159"/>
      <w:bookmarkStart w:id="110" w:name="_Toc490255406"/>
      <w:r>
        <w:t>F</w:t>
      </w:r>
      <w:r w:rsidRPr="0085075F">
        <w:t>or</w:t>
      </w:r>
      <w:r>
        <w:t xml:space="preserve"> 2os sTTI </w:t>
      </w:r>
      <w:bookmarkStart w:id="111" w:name="_Toc485917946"/>
      <w:r>
        <w:t>and</w:t>
      </w:r>
      <w:r w:rsidR="00330E03" w:rsidRPr="00DD442E">
        <w:t xml:space="preserve"> </w:t>
      </w:r>
      <w:r w:rsidR="00363E4E">
        <w:t xml:space="preserve">a 2-symbol long </w:t>
      </w:r>
      <w:r w:rsidR="00330E03">
        <w:t>DMRS-based sPDCCH a sCCE</w:t>
      </w:r>
      <w:r w:rsidR="00330E03" w:rsidRPr="0085075F">
        <w:t xml:space="preserve"> </w:t>
      </w:r>
      <w:r w:rsidR="00330E03">
        <w:t>is composed of 4 sREG</w:t>
      </w:r>
      <w:r w:rsidR="00180BB7">
        <w:t xml:space="preserve"> </w:t>
      </w:r>
      <w:r w:rsidR="003B510E">
        <w:t>in all sTTI except sTTI 3</w:t>
      </w:r>
      <w:r w:rsidR="00180BB7">
        <w:t xml:space="preserve">, and </w:t>
      </w:r>
      <w:r w:rsidR="00330E03">
        <w:t>6 sREG</w:t>
      </w:r>
      <w:r w:rsidR="00180BB7">
        <w:t xml:space="preserve"> </w:t>
      </w:r>
      <w:r w:rsidR="003B510E">
        <w:t>in sTTI3</w:t>
      </w:r>
      <w:r w:rsidR="00180BB7">
        <w:t>.</w:t>
      </w:r>
      <w:bookmarkEnd w:id="105"/>
      <w:bookmarkEnd w:id="106"/>
      <w:bookmarkEnd w:id="107"/>
      <w:bookmarkEnd w:id="108"/>
      <w:bookmarkEnd w:id="109"/>
      <w:bookmarkEnd w:id="110"/>
      <w:bookmarkEnd w:id="111"/>
    </w:p>
    <w:p w14:paraId="173D96C0" w14:textId="6F71451F" w:rsidR="00DF5494" w:rsidRDefault="00EF7DD9" w:rsidP="0041051C">
      <w:pPr>
        <w:pStyle w:val="Proposal"/>
      </w:pPr>
      <w:bookmarkStart w:id="112" w:name="_Toc490235384"/>
      <w:bookmarkStart w:id="113" w:name="_Toc490241951"/>
      <w:bookmarkStart w:id="114" w:name="_Toc490254903"/>
      <w:bookmarkStart w:id="115" w:name="_Toc490255140"/>
      <w:bookmarkStart w:id="116" w:name="_Toc490255160"/>
      <w:bookmarkStart w:id="117" w:name="_Toc490255407"/>
      <w:r>
        <w:t>F</w:t>
      </w:r>
      <w:r w:rsidRPr="0085075F">
        <w:t>or</w:t>
      </w:r>
      <w:r>
        <w:t xml:space="preserve"> 2os sTTI and</w:t>
      </w:r>
      <w:r w:rsidRPr="00DD442E">
        <w:t xml:space="preserve"> </w:t>
      </w:r>
      <w:r w:rsidR="00DF5494">
        <w:t>a 3-symbol long DMRS-based sPDCCH a sCCE</w:t>
      </w:r>
      <w:r w:rsidR="00DF5494" w:rsidRPr="0085075F">
        <w:t xml:space="preserve"> </w:t>
      </w:r>
      <w:r w:rsidR="00DF5494">
        <w:t>is composed of 3 sREG</w:t>
      </w:r>
      <w:r w:rsidR="0072321D">
        <w:t xml:space="preserve"> </w:t>
      </w:r>
      <w:r w:rsidR="00DF5494">
        <w:t>in sTTI1 and sTTI 3.</w:t>
      </w:r>
      <w:bookmarkEnd w:id="112"/>
      <w:bookmarkEnd w:id="113"/>
      <w:bookmarkEnd w:id="114"/>
      <w:bookmarkEnd w:id="115"/>
      <w:bookmarkEnd w:id="116"/>
      <w:bookmarkEnd w:id="117"/>
    </w:p>
    <w:p w14:paraId="48DE19D7" w14:textId="06CD78F3" w:rsidR="00EF7DD9" w:rsidRDefault="00EF7DD9" w:rsidP="0041051C">
      <w:pPr>
        <w:pStyle w:val="Proposal"/>
      </w:pPr>
      <w:bookmarkStart w:id="118" w:name="_Toc490235385"/>
      <w:bookmarkStart w:id="119" w:name="_Toc490241952"/>
      <w:bookmarkStart w:id="120" w:name="_Toc490254904"/>
      <w:bookmarkStart w:id="121" w:name="_Toc490255141"/>
      <w:bookmarkStart w:id="122" w:name="_Toc490255161"/>
      <w:bookmarkStart w:id="123" w:name="_Toc490255408"/>
      <w:r>
        <w:t>F</w:t>
      </w:r>
      <w:r w:rsidRPr="0085075F">
        <w:t>or</w:t>
      </w:r>
      <w:r>
        <w:t xml:space="preserve"> slot sTTI and CRS-based </w:t>
      </w:r>
      <w:r w:rsidRPr="0085075F">
        <w:t>sPDCCH</w:t>
      </w:r>
      <w:r>
        <w:t xml:space="preserve"> a sCCE</w:t>
      </w:r>
      <w:r w:rsidRPr="0085075F">
        <w:t xml:space="preserve"> </w:t>
      </w:r>
      <w:r>
        <w:t>is composed of 4 sREG</w:t>
      </w:r>
      <w:r w:rsidRPr="0085075F">
        <w:t xml:space="preserve"> </w:t>
      </w:r>
      <w:r>
        <w:t>in both</w:t>
      </w:r>
      <w:r w:rsidR="00E32771">
        <w:t xml:space="preserve"> slot0 </w:t>
      </w:r>
      <w:r>
        <w:t>and slot1.</w:t>
      </w:r>
      <w:bookmarkEnd w:id="118"/>
      <w:bookmarkEnd w:id="119"/>
      <w:bookmarkEnd w:id="120"/>
      <w:bookmarkEnd w:id="121"/>
      <w:bookmarkEnd w:id="122"/>
      <w:bookmarkEnd w:id="123"/>
      <w:r w:rsidRPr="007E444A">
        <w:t xml:space="preserve"> </w:t>
      </w:r>
    </w:p>
    <w:p w14:paraId="3544B049" w14:textId="629EDB62" w:rsidR="00EF7DD9" w:rsidRPr="007E444A" w:rsidRDefault="00EF7DD9" w:rsidP="00EF7DD9">
      <w:pPr>
        <w:pStyle w:val="Proposal"/>
      </w:pPr>
      <w:bookmarkStart w:id="124" w:name="_Toc490235386"/>
      <w:bookmarkStart w:id="125" w:name="_Toc490241953"/>
      <w:bookmarkStart w:id="126" w:name="_Toc490254905"/>
      <w:bookmarkStart w:id="127" w:name="_Toc490255142"/>
      <w:bookmarkStart w:id="128" w:name="_Toc490255162"/>
      <w:bookmarkStart w:id="129" w:name="_Toc490255409"/>
      <w:r>
        <w:t>F</w:t>
      </w:r>
      <w:r w:rsidRPr="0085075F">
        <w:t>or</w:t>
      </w:r>
      <w:r>
        <w:t xml:space="preserve"> slot sTTI and DMRS-based </w:t>
      </w:r>
      <w:r w:rsidRPr="0085075F">
        <w:t>sPDCCH</w:t>
      </w:r>
      <w:r>
        <w:t xml:space="preserve"> a sCCE</w:t>
      </w:r>
      <w:r w:rsidRPr="0085075F">
        <w:t xml:space="preserve"> </w:t>
      </w:r>
      <w:r>
        <w:t>is composed of 4 sREG</w:t>
      </w:r>
      <w:r w:rsidRPr="0085075F">
        <w:t xml:space="preserve"> </w:t>
      </w:r>
      <w:r>
        <w:t>in slot0 and 6 sREG in slot1.</w:t>
      </w:r>
      <w:bookmarkEnd w:id="124"/>
      <w:bookmarkEnd w:id="125"/>
      <w:bookmarkEnd w:id="126"/>
      <w:bookmarkEnd w:id="127"/>
      <w:bookmarkEnd w:id="128"/>
      <w:bookmarkEnd w:id="129"/>
      <w:r w:rsidRPr="007E444A">
        <w:t xml:space="preserve"> </w:t>
      </w:r>
    </w:p>
    <w:p w14:paraId="6C44BCA7" w14:textId="3CE7B19B" w:rsidR="00D221AF" w:rsidRDefault="00D221AF" w:rsidP="009B2D5D"/>
    <w:p w14:paraId="24064AC8" w14:textId="77777777" w:rsidR="00AB5D50" w:rsidRDefault="00AB5D50" w:rsidP="009B2D5D">
      <w:pPr>
        <w:pStyle w:val="Heading3"/>
      </w:pPr>
      <w:bookmarkStart w:id="130" w:name="_Toc462726029"/>
      <w:bookmarkStart w:id="131" w:name="_Toc462726550"/>
      <w:bookmarkStart w:id="132" w:name="_Toc462733836"/>
      <w:bookmarkStart w:id="133" w:name="_Toc462726169"/>
      <w:bookmarkStart w:id="134" w:name="_Toc462726554"/>
      <w:bookmarkStart w:id="135" w:name="_Toc462733840"/>
      <w:bookmarkStart w:id="136" w:name="_Toc462742569"/>
      <w:bookmarkEnd w:id="130"/>
      <w:bookmarkEnd w:id="131"/>
      <w:bookmarkEnd w:id="132"/>
      <w:bookmarkEnd w:id="133"/>
      <w:bookmarkEnd w:id="134"/>
      <w:bookmarkEnd w:id="135"/>
      <w:bookmarkEnd w:id="136"/>
      <w:r>
        <w:t>sPDCCH mapping</w:t>
      </w:r>
    </w:p>
    <w:p w14:paraId="446F6831" w14:textId="4BE7C624" w:rsidR="00AF273E" w:rsidRDefault="00AF273E" w:rsidP="009B2D5D">
      <w:pPr>
        <w:pStyle w:val="Heading4"/>
      </w:pPr>
      <w:r w:rsidRPr="00AF273E">
        <w:t xml:space="preserve">Localized </w:t>
      </w:r>
      <w:r>
        <w:t>and</w:t>
      </w:r>
      <w:r w:rsidRPr="00AF273E">
        <w:t xml:space="preserve"> d</w:t>
      </w:r>
      <w:r>
        <w:t>istributed sCCE to sREG mapping</w:t>
      </w:r>
    </w:p>
    <w:p w14:paraId="4E2C5856" w14:textId="0ADBA2E0" w:rsidR="00EC67AC" w:rsidRDefault="00EC6561" w:rsidP="00E651D9">
      <w:pPr>
        <w:pStyle w:val="BodyText"/>
        <w:rPr>
          <w:rFonts w:eastAsiaTheme="minorEastAsia"/>
          <w:color w:val="002060"/>
        </w:rPr>
      </w:pPr>
      <w:r>
        <w:t>In RAN1#89, it was also agreed that a</w:t>
      </w:r>
      <w:r w:rsidRPr="002D60F5">
        <w:t xml:space="preserve"> UE can be configured to monitor at most two sPDCCH</w:t>
      </w:r>
      <w:r>
        <w:t>-P</w:t>
      </w:r>
      <w:r w:rsidRPr="002D60F5">
        <w:t>RB</w:t>
      </w:r>
      <w:r>
        <w:t>-</w:t>
      </w:r>
      <w:r w:rsidRPr="002D60F5">
        <w:t>set(s) containing the sTTI USS in an sTTI</w:t>
      </w:r>
      <w:r>
        <w:t xml:space="preserve">. </w:t>
      </w:r>
      <w:r w:rsidR="00871913" w:rsidRPr="000F352E">
        <w:t>Wit</w:t>
      </w:r>
      <w:r w:rsidR="00871913">
        <w:t>h localized sCCE to sREG mapping, the sREGs building the same sCCE</w:t>
      </w:r>
      <w:r w:rsidR="00871913" w:rsidRPr="000F352E">
        <w:t xml:space="preserve"> </w:t>
      </w:r>
      <w:r w:rsidR="00871913">
        <w:t>are</w:t>
      </w:r>
      <w:r w:rsidR="00871913" w:rsidRPr="000F352E">
        <w:t xml:space="preserve"> localized in frequency domain to allow for a sPDCCH resource allocation confined in a limited frequency band.</w:t>
      </w:r>
      <w:r w:rsidR="00BF0B72">
        <w:t xml:space="preserve"> </w:t>
      </w:r>
      <w:r w:rsidR="00871913" w:rsidRPr="000F352E">
        <w:t xml:space="preserve">This </w:t>
      </w:r>
      <w:r w:rsidR="00871913">
        <w:t>exploits scheduling and</w:t>
      </w:r>
      <w:r w:rsidR="00871913" w:rsidRPr="000F352E">
        <w:t xml:space="preserve"> beamforming</w:t>
      </w:r>
      <w:r w:rsidR="00871913">
        <w:t xml:space="preserve"> gains</w:t>
      </w:r>
      <w:r w:rsidR="00871913" w:rsidRPr="000F352E">
        <w:t xml:space="preserve"> for DMRS-based sPDCCH</w:t>
      </w:r>
      <w:r w:rsidR="00871913">
        <w:t xml:space="preserve"> when CSI is available at the eNB</w:t>
      </w:r>
      <w:r w:rsidR="00871913" w:rsidRPr="000F352E">
        <w:t>.</w:t>
      </w:r>
      <w:r w:rsidR="00871913">
        <w:t xml:space="preserve"> Therefore, it is then preferred to configure at least localized</w:t>
      </w:r>
      <w:r w:rsidR="00E651D9" w:rsidRPr="00E651D9">
        <w:t xml:space="preserve"> </w:t>
      </w:r>
      <w:r w:rsidR="00E651D9">
        <w:t>sCCE to sREG mapping</w:t>
      </w:r>
      <w:r w:rsidR="00871913">
        <w:t xml:space="preserve"> </w:t>
      </w:r>
      <w:r w:rsidR="00871913" w:rsidRPr="000F352E">
        <w:t xml:space="preserve">for DMRS-based </w:t>
      </w:r>
      <w:r w:rsidR="00871913">
        <w:t>sPDCCH. Nevertheless, t</w:t>
      </w:r>
      <w:r w:rsidR="00871913" w:rsidRPr="00BD31EC">
        <w:t>o provide robust control signalling and fallback when CSI is limited or unavailable</w:t>
      </w:r>
      <w:r w:rsidR="00871913">
        <w:t xml:space="preserve">, a second PRB-set </w:t>
      </w:r>
      <w:r>
        <w:t xml:space="preserve">can </w:t>
      </w:r>
      <w:r w:rsidR="00871913">
        <w:t xml:space="preserve">be configured as distributed </w:t>
      </w:r>
      <w:r w:rsidR="00871913" w:rsidRPr="000F352E">
        <w:t xml:space="preserve">for DMRS-based </w:t>
      </w:r>
      <w:r w:rsidR="00871913">
        <w:t xml:space="preserve">sPDCCH. For CRS-based sPDCCH, </w:t>
      </w:r>
      <w:r w:rsidR="00E651D9">
        <w:t>b</w:t>
      </w:r>
      <w:r w:rsidR="00807ED8">
        <w:t>oth mappings were agreed</w:t>
      </w:r>
      <w:r w:rsidR="00807ED8">
        <w:rPr>
          <w:rFonts w:eastAsiaTheme="minorEastAsia"/>
          <w:color w:val="002060"/>
        </w:rPr>
        <w:t>.</w:t>
      </w:r>
    </w:p>
    <w:p w14:paraId="2E8AF91A" w14:textId="77777777" w:rsidR="00EC6561" w:rsidRDefault="00EC6561" w:rsidP="00E651D9">
      <w:pPr>
        <w:pStyle w:val="BodyText"/>
        <w:rPr>
          <w:rFonts w:eastAsiaTheme="minorEastAsia"/>
          <w:color w:val="002060"/>
        </w:rPr>
      </w:pPr>
    </w:p>
    <w:p w14:paraId="3CD14741" w14:textId="414CA4AA" w:rsidR="00EC6561" w:rsidRPr="0064493F" w:rsidRDefault="00EC6561" w:rsidP="00EC6561">
      <w:pPr>
        <w:pStyle w:val="Proposal"/>
      </w:pPr>
      <w:bookmarkStart w:id="137" w:name="_Toc490235387"/>
      <w:bookmarkStart w:id="138" w:name="_Toc490241954"/>
      <w:bookmarkStart w:id="139" w:name="_Toc490254906"/>
      <w:bookmarkStart w:id="140" w:name="_Toc490255143"/>
      <w:bookmarkStart w:id="141" w:name="_Toc490255163"/>
      <w:bookmarkStart w:id="142" w:name="_Toc490255410"/>
      <w:r>
        <w:lastRenderedPageBreak/>
        <w:t>DMRS-based sPDCCH can be</w:t>
      </w:r>
      <w:r w:rsidRPr="0064493F">
        <w:t xml:space="preserve"> configured with one localized and one distributed sPDCCH-PRB-set</w:t>
      </w:r>
      <w:bookmarkEnd w:id="137"/>
      <w:bookmarkEnd w:id="138"/>
      <w:bookmarkEnd w:id="139"/>
      <w:bookmarkEnd w:id="140"/>
      <w:bookmarkEnd w:id="141"/>
      <w:bookmarkEnd w:id="142"/>
    </w:p>
    <w:p w14:paraId="4EE82F73" w14:textId="77777777" w:rsidR="00EC6561" w:rsidRDefault="00EC6561" w:rsidP="00E651D9">
      <w:pPr>
        <w:pStyle w:val="BodyText"/>
      </w:pPr>
    </w:p>
    <w:p w14:paraId="05352240" w14:textId="27AFF617" w:rsidR="00605FC8" w:rsidRDefault="00FE6212" w:rsidP="00EC14B8">
      <w:pPr>
        <w:pStyle w:val="BodyText"/>
      </w:pPr>
      <w:r>
        <w:t>Assuming that sPDCCH spans only the first OFDM symbol</w:t>
      </w:r>
      <w:r w:rsidR="00700F38">
        <w:t xml:space="preserve"> of a 2 symbol sTTI</w:t>
      </w:r>
      <w:r w:rsidR="00D061FF">
        <w:t xml:space="preserve">, both </w:t>
      </w:r>
      <w:r w:rsidR="00BA3A17">
        <w:t xml:space="preserve">localized and distributed </w:t>
      </w:r>
      <w:r w:rsidR="00D061FF">
        <w:t>mappings are very simple.</w:t>
      </w:r>
      <w:r w:rsidR="00700F38">
        <w:t xml:space="preserve"> Figure 1</w:t>
      </w:r>
      <w:r w:rsidR="00D061FF">
        <w:t xml:space="preserve"> gives</w:t>
      </w:r>
      <w:r w:rsidR="00700F38">
        <w:t xml:space="preserve"> </w:t>
      </w:r>
      <w:r w:rsidR="00CC6D34">
        <w:t xml:space="preserve">an example of </w:t>
      </w:r>
      <w:r w:rsidR="00F63C59">
        <w:t>distributed and localized configuration</w:t>
      </w:r>
      <w:r w:rsidR="00700F38">
        <w:t xml:space="preserve">s for </w:t>
      </w:r>
      <w:r w:rsidR="004E4EE3">
        <w:t>4</w:t>
      </w:r>
      <w:r w:rsidR="00700F38">
        <w:t xml:space="preserve"> </w:t>
      </w:r>
      <w:r w:rsidR="004E4EE3">
        <w:t>s</w:t>
      </w:r>
      <w:r w:rsidR="00F63C59">
        <w:t>CCEs</w:t>
      </w:r>
      <w:r w:rsidR="00700F38">
        <w:t xml:space="preserve"> and 1 OFDM symbol s</w:t>
      </w:r>
      <w:r w:rsidR="00E76BEF">
        <w:t>PDCCH</w:t>
      </w:r>
      <w:r w:rsidR="00D061FF">
        <w:t xml:space="preserve"> assuming that an sCCE is composed of 3 sREG</w:t>
      </w:r>
      <w:r w:rsidR="00F63C59">
        <w:t>.</w:t>
      </w:r>
    </w:p>
    <w:p w14:paraId="2F38BAF2" w14:textId="77777777" w:rsidR="00E24976" w:rsidRDefault="00E24976" w:rsidP="00EC14B8">
      <w:pPr>
        <w:pStyle w:val="BodyText"/>
      </w:pPr>
    </w:p>
    <w:p w14:paraId="626F9DFB" w14:textId="358E1327" w:rsidR="00C0309C" w:rsidRDefault="004E4EE3" w:rsidP="00C0309C">
      <w:pPr>
        <w:pStyle w:val="BodyText"/>
        <w:keepNext/>
        <w:jc w:val="center"/>
      </w:pPr>
      <w:r w:rsidRPr="004E4EE3">
        <w:rPr>
          <w:noProof/>
          <w:lang w:val="en-US" w:eastAsia="en-US"/>
        </w:rPr>
        <w:t xml:space="preserve"> </w:t>
      </w:r>
      <w:r>
        <w:rPr>
          <w:noProof/>
          <w:lang w:val="sv-SE" w:eastAsia="sv-SE"/>
        </w:rPr>
        <w:drawing>
          <wp:inline distT="0" distB="0" distL="0" distR="0" wp14:anchorId="23F514D2" wp14:editId="29A32CAF">
            <wp:extent cx="3867150" cy="1775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8204" cy="1780808"/>
                    </a:xfrm>
                    <a:prstGeom prst="rect">
                      <a:avLst/>
                    </a:prstGeom>
                  </pic:spPr>
                </pic:pic>
              </a:graphicData>
            </a:graphic>
          </wp:inline>
        </w:drawing>
      </w:r>
    </w:p>
    <w:p w14:paraId="6F0C90E1" w14:textId="3CF8276B" w:rsidR="00FE4374" w:rsidRDefault="00C0309C" w:rsidP="00C0309C">
      <w:pPr>
        <w:pStyle w:val="Caption"/>
      </w:pPr>
      <w:r>
        <w:t xml:space="preserve">Figure </w:t>
      </w:r>
      <w:r>
        <w:fldChar w:fldCharType="begin"/>
      </w:r>
      <w:r>
        <w:instrText xml:space="preserve"> SEQ Figure \* ARABIC </w:instrText>
      </w:r>
      <w:r>
        <w:fldChar w:fldCharType="separate"/>
      </w:r>
      <w:r w:rsidR="00F73030">
        <w:rPr>
          <w:noProof/>
        </w:rPr>
        <w:t>1</w:t>
      </w:r>
      <w:r>
        <w:fldChar w:fldCharType="end"/>
      </w:r>
      <w:r>
        <w:t xml:space="preserve"> Distributed an</w:t>
      </w:r>
      <w:r w:rsidR="00582C68">
        <w:t xml:space="preserve">d Localized configurations for </w:t>
      </w:r>
      <w:r w:rsidR="004E4EE3">
        <w:t>4</w:t>
      </w:r>
      <w:r w:rsidR="00700F38">
        <w:t xml:space="preserve"> </w:t>
      </w:r>
      <w:r w:rsidR="004E4EE3">
        <w:t>sCCE</w:t>
      </w:r>
      <w:r w:rsidR="00700F38">
        <w:t xml:space="preserve"> composed of 3 </w:t>
      </w:r>
      <w:r w:rsidR="004E4EE3">
        <w:t>sREG</w:t>
      </w:r>
      <w:r>
        <w:t>s</w:t>
      </w:r>
      <w:r w:rsidR="00582C68">
        <w:t xml:space="preserve"> each</w:t>
      </w:r>
      <w:r>
        <w:t xml:space="preserve"> within a 1os-</w:t>
      </w:r>
      <w:r w:rsidR="00700F38">
        <w:t>s</w:t>
      </w:r>
      <w:r w:rsidR="00582C68">
        <w:t>PDCCH-PRB-set</w:t>
      </w:r>
      <w:r w:rsidR="001A38B4">
        <w:t xml:space="preserve"> consisting of 18 PRBs</w:t>
      </w:r>
    </w:p>
    <w:p w14:paraId="501EFAC1" w14:textId="77777777" w:rsidR="00FE4374" w:rsidRDefault="00FE4374" w:rsidP="00EC14B8">
      <w:pPr>
        <w:pStyle w:val="BodyText"/>
      </w:pPr>
    </w:p>
    <w:p w14:paraId="346CA74E" w14:textId="5CD7A633" w:rsidR="00982B48" w:rsidRDefault="00522823" w:rsidP="00BF32DB">
      <w:r>
        <w:t>F</w:t>
      </w:r>
      <w:r w:rsidR="00700F38">
        <w:t>or 2 OFDM symbol s</w:t>
      </w:r>
      <w:r w:rsidR="00E76BEF">
        <w:t>PDCCH</w:t>
      </w:r>
      <w:r>
        <w:t>, several</w:t>
      </w:r>
      <w:r w:rsidR="00982B48">
        <w:t xml:space="preserve"> options </w:t>
      </w:r>
      <w:r>
        <w:t>are possible to realize</w:t>
      </w:r>
      <w:r w:rsidR="00982B48">
        <w:t xml:space="preserve"> distributed and localized configurations</w:t>
      </w:r>
      <w:r>
        <w:t>. They are</w:t>
      </w:r>
      <w:r w:rsidR="00982B48">
        <w:t xml:space="preserve"> depicted for 4 sCCEs and 2 OFDM symbols sPDCCH in Figure 2 </w:t>
      </w:r>
      <w:r>
        <w:t>assuming 3 sREG/sCCE</w:t>
      </w:r>
      <w:r w:rsidR="00582C68">
        <w:t>.</w:t>
      </w:r>
      <w:r w:rsidR="00982B48">
        <w:t xml:space="preserve"> </w:t>
      </w:r>
    </w:p>
    <w:p w14:paraId="7877C935" w14:textId="201A0706" w:rsidR="00BF32DB" w:rsidRDefault="00C355A8" w:rsidP="00BF32DB">
      <w:r>
        <w:t xml:space="preserve">In option A (Figure 2-left), the </w:t>
      </w:r>
      <w:r w:rsidR="004E4EE3">
        <w:t>s</w:t>
      </w:r>
      <w:r>
        <w:t xml:space="preserve">REG forming an </w:t>
      </w:r>
      <w:r w:rsidR="004E4EE3">
        <w:t>s</w:t>
      </w:r>
      <w:r>
        <w:t>CCE are selected in the order</w:t>
      </w:r>
      <w:r w:rsidR="00094709">
        <w:t xml:space="preserve"> </w:t>
      </w:r>
      <w:r>
        <w:t>time-first</w:t>
      </w:r>
      <w:r w:rsidR="00B148E9">
        <w:t xml:space="preserve"> mapping</w:t>
      </w:r>
      <w:r>
        <w:t>. Thus, it is possible to utilize from the beginning the 2 OFDM symbols available per PRB. However, option A comprises</w:t>
      </w:r>
      <w:r w:rsidR="00E76BEF">
        <w:t xml:space="preserve"> a low</w:t>
      </w:r>
      <w:r w:rsidR="00700F38">
        <w:t xml:space="preserve"> frequency diversity of the </w:t>
      </w:r>
      <w:r w:rsidR="004E4EE3">
        <w:t>s</w:t>
      </w:r>
      <w:r>
        <w:t xml:space="preserve">REG </w:t>
      </w:r>
      <w:r w:rsidR="00700F38">
        <w:t>in</w:t>
      </w:r>
      <w:r>
        <w:t xml:space="preserve"> a distributed configuration.</w:t>
      </w:r>
      <w:r w:rsidR="00362D33">
        <w:t xml:space="preserve"> Therefore, option A is considered for localized </w:t>
      </w:r>
      <w:r w:rsidR="009807A4" w:rsidRPr="009807A4">
        <w:t>sREG-to-sCCE mapping</w:t>
      </w:r>
      <w:r w:rsidR="00362D33">
        <w:t>.</w:t>
      </w:r>
      <w:r w:rsidR="00115D13">
        <w:t xml:space="preserve"> </w:t>
      </w:r>
      <w:r>
        <w:t xml:space="preserve">On the other hand, </w:t>
      </w:r>
      <w:r w:rsidR="00700F38">
        <w:t xml:space="preserve">in </w:t>
      </w:r>
      <w:r>
        <w:t>option B (Figure 2-right)</w:t>
      </w:r>
      <w:r w:rsidR="00115D13">
        <w:t xml:space="preserve">, </w:t>
      </w:r>
      <w:r w:rsidR="00115D13" w:rsidRPr="00115D13">
        <w:t xml:space="preserve">the </w:t>
      </w:r>
      <w:r w:rsidR="004E4EE3">
        <w:t>s</w:t>
      </w:r>
      <w:r w:rsidR="00115D13" w:rsidRPr="00115D13">
        <w:t xml:space="preserve">REG forming an </w:t>
      </w:r>
      <w:r w:rsidR="004E4EE3">
        <w:t>s</w:t>
      </w:r>
      <w:r w:rsidR="00115D13" w:rsidRPr="00115D13">
        <w:t>CCE are selected in the order frequency-first</w:t>
      </w:r>
      <w:r w:rsidR="00094709">
        <w:t xml:space="preserve"> mapping</w:t>
      </w:r>
      <w:r w:rsidR="00115D13">
        <w:t>. With option B, hig</w:t>
      </w:r>
      <w:r w:rsidR="00700F38">
        <w:t xml:space="preserve">her frequency diversity of the </w:t>
      </w:r>
      <w:r w:rsidR="004E4EE3">
        <w:t>s</w:t>
      </w:r>
      <w:r w:rsidR="00115D13">
        <w:t xml:space="preserve">REG can be achieved. </w:t>
      </w:r>
      <w:r w:rsidR="00362D33">
        <w:t>Thereby</w:t>
      </w:r>
      <w:r w:rsidR="00115D13">
        <w:t xml:space="preserve">, </w:t>
      </w:r>
      <w:r w:rsidR="00362D33">
        <w:t xml:space="preserve">option B is considered for </w:t>
      </w:r>
      <w:r w:rsidR="009807A4" w:rsidRPr="009807A4">
        <w:t>distributed sREG-to-sCCE mapping</w:t>
      </w:r>
      <w:r w:rsidR="00F83084">
        <w:t xml:space="preserve"> </w:t>
      </w:r>
      <w:r w:rsidR="00DD078E">
        <w:t xml:space="preserve">in case of CRS based demodulation for sPDCCH. As mentioned previously, for DMRS based sPDCCH more efficient multiplexing between sPDCCH and sPDSCH of multiple UEs can be achieved by using all REs of a RB in time domain for sPDCCH. Therefore, a time-first </w:t>
      </w:r>
      <w:r w:rsidR="00094709">
        <w:t>mapping</w:t>
      </w:r>
      <w:r w:rsidR="00DD078E">
        <w:t xml:space="preserve"> is more </w:t>
      </w:r>
      <w:r w:rsidR="001632B7">
        <w:t>suitable</w:t>
      </w:r>
      <w:r w:rsidR="00DD078E">
        <w:t xml:space="preserve"> for DMRS based sPDCCH with distributed sREG-to-sCCE mapping.</w:t>
      </w:r>
    </w:p>
    <w:p w14:paraId="7385D586" w14:textId="77777777" w:rsidR="00BD3239" w:rsidRDefault="00BD3239" w:rsidP="00BF32DB"/>
    <w:p w14:paraId="480CCB00" w14:textId="218C3478" w:rsidR="001E393B" w:rsidRDefault="00760BF7" w:rsidP="009807A4">
      <w:pPr>
        <w:pStyle w:val="Observation"/>
      </w:pPr>
      <w:bookmarkStart w:id="143" w:name="_Toc485917929"/>
      <w:bookmarkStart w:id="144" w:name="_Toc490235399"/>
      <w:bookmarkStart w:id="145" w:name="_Toc490241933"/>
      <w:bookmarkStart w:id="146" w:name="_Toc490255122"/>
      <w:bookmarkStart w:id="147" w:name="_Toc490255389"/>
      <w:r>
        <w:t xml:space="preserve">Selecting the </w:t>
      </w:r>
      <w:r w:rsidR="009807A4" w:rsidRPr="009807A4">
        <w:t xml:space="preserve">sREG-to-sCCE mapping </w:t>
      </w:r>
      <w:r w:rsidRPr="00115D13">
        <w:t>in the order frequency-first</w:t>
      </w:r>
      <w:r>
        <w:t>, higher frequency diversity can be achieved</w:t>
      </w:r>
      <w:bookmarkEnd w:id="143"/>
      <w:bookmarkEnd w:id="144"/>
      <w:bookmarkEnd w:id="145"/>
      <w:bookmarkEnd w:id="146"/>
      <w:bookmarkEnd w:id="147"/>
    </w:p>
    <w:p w14:paraId="2863C79B" w14:textId="7114F96B" w:rsidR="009807A4" w:rsidRDefault="009807A4" w:rsidP="00F8022D">
      <w:pPr>
        <w:pStyle w:val="Observation"/>
      </w:pPr>
      <w:bookmarkStart w:id="148" w:name="_Toc490235400"/>
      <w:bookmarkStart w:id="149" w:name="_Toc490241934"/>
      <w:bookmarkStart w:id="150" w:name="_Toc490255123"/>
      <w:bookmarkStart w:id="151" w:name="_Toc490255390"/>
      <w:r w:rsidRPr="009807A4">
        <w:t xml:space="preserve">Selecting the sREG-to-sCCE mapping in the order </w:t>
      </w:r>
      <w:r>
        <w:t>time</w:t>
      </w:r>
      <w:r w:rsidRPr="009807A4">
        <w:t xml:space="preserve">-first, </w:t>
      </w:r>
      <w:r w:rsidR="00F8022D">
        <w:t xml:space="preserve">a </w:t>
      </w:r>
      <w:r w:rsidR="00F8022D" w:rsidRPr="00F8022D">
        <w:t xml:space="preserve">condensed frequency allocation </w:t>
      </w:r>
      <w:r w:rsidRPr="009807A4">
        <w:t>can be achieved</w:t>
      </w:r>
      <w:bookmarkEnd w:id="148"/>
      <w:bookmarkEnd w:id="149"/>
      <w:bookmarkEnd w:id="150"/>
      <w:bookmarkEnd w:id="151"/>
    </w:p>
    <w:p w14:paraId="790F9A57" w14:textId="6ED7E447" w:rsidR="00F8022D" w:rsidRDefault="00F8022D" w:rsidP="00F8022D">
      <w:pPr>
        <w:pStyle w:val="Observation"/>
        <w:numPr>
          <w:ilvl w:val="0"/>
          <w:numId w:val="0"/>
        </w:numPr>
        <w:ind w:left="1701" w:hanging="1701"/>
      </w:pPr>
    </w:p>
    <w:p w14:paraId="6DF4F458" w14:textId="5101E7DB" w:rsidR="00F8022D" w:rsidRDefault="00F8022D" w:rsidP="00F8022D">
      <w:pPr>
        <w:pStyle w:val="Proposal"/>
      </w:pPr>
      <w:bookmarkStart w:id="152" w:name="_Toc490235388"/>
      <w:bookmarkStart w:id="153" w:name="_Toc490241955"/>
      <w:bookmarkStart w:id="154" w:name="_Toc490254907"/>
      <w:bookmarkStart w:id="155" w:name="_Toc490255144"/>
      <w:bookmarkStart w:id="156" w:name="_Toc490255164"/>
      <w:bookmarkStart w:id="157" w:name="_Toc490255411"/>
      <w:r>
        <w:t>F</w:t>
      </w:r>
      <w:r w:rsidRPr="00F8022D">
        <w:t>requency-first</w:t>
      </w:r>
      <w:r>
        <w:t xml:space="preserve"> </w:t>
      </w:r>
      <w:r w:rsidR="00094709">
        <w:t xml:space="preserve">mapping </w:t>
      </w:r>
      <w:r>
        <w:t xml:space="preserve">is selected for </w:t>
      </w:r>
      <w:r w:rsidRPr="00F8022D">
        <w:t>distributed sREG-to-sCCE mapping</w:t>
      </w:r>
      <w:r w:rsidR="00DD078E">
        <w:t xml:space="preserve"> for CRS based sPDCCH</w:t>
      </w:r>
      <w:bookmarkEnd w:id="152"/>
      <w:bookmarkEnd w:id="153"/>
      <w:bookmarkEnd w:id="154"/>
      <w:bookmarkEnd w:id="155"/>
      <w:bookmarkEnd w:id="156"/>
      <w:bookmarkEnd w:id="157"/>
    </w:p>
    <w:p w14:paraId="72AE1BB6" w14:textId="00DB6682" w:rsidR="00F8022D" w:rsidRDefault="00F8022D" w:rsidP="00F8022D">
      <w:pPr>
        <w:pStyle w:val="Proposal"/>
      </w:pPr>
      <w:bookmarkStart w:id="158" w:name="_Toc490235389"/>
      <w:bookmarkStart w:id="159" w:name="_Toc490241956"/>
      <w:bookmarkStart w:id="160" w:name="_Toc490254908"/>
      <w:bookmarkStart w:id="161" w:name="_Toc490255145"/>
      <w:bookmarkStart w:id="162" w:name="_Toc490255165"/>
      <w:bookmarkStart w:id="163" w:name="_Toc490255412"/>
      <w:r>
        <w:t xml:space="preserve">Time-first </w:t>
      </w:r>
      <w:r w:rsidR="00094709">
        <w:t xml:space="preserve">mapping </w:t>
      </w:r>
      <w:r>
        <w:t>is selected for localized</w:t>
      </w:r>
      <w:r w:rsidRPr="00F8022D">
        <w:t xml:space="preserve"> sREG-to-sCCE mapping</w:t>
      </w:r>
      <w:bookmarkEnd w:id="158"/>
      <w:bookmarkEnd w:id="159"/>
      <w:bookmarkEnd w:id="160"/>
      <w:bookmarkEnd w:id="161"/>
      <w:bookmarkEnd w:id="162"/>
      <w:bookmarkEnd w:id="163"/>
    </w:p>
    <w:p w14:paraId="7F1C1625" w14:textId="341223A4" w:rsidR="00DD078E" w:rsidRDefault="00DD078E" w:rsidP="00DD078E">
      <w:pPr>
        <w:pStyle w:val="Proposal"/>
      </w:pPr>
      <w:bookmarkStart w:id="164" w:name="_Toc490235390"/>
      <w:bookmarkStart w:id="165" w:name="_Toc490241957"/>
      <w:bookmarkStart w:id="166" w:name="_Toc490254909"/>
      <w:bookmarkStart w:id="167" w:name="_Toc490255146"/>
      <w:bookmarkStart w:id="168" w:name="_Toc490255166"/>
      <w:bookmarkStart w:id="169" w:name="_Toc490255413"/>
      <w:r>
        <w:t>Time-first</w:t>
      </w:r>
      <w:r w:rsidR="00094709" w:rsidDel="00094709">
        <w:t xml:space="preserve"> </w:t>
      </w:r>
      <w:r w:rsidR="00094709">
        <w:t>mapping</w:t>
      </w:r>
      <w:r>
        <w:t xml:space="preserve"> is selected for </w:t>
      </w:r>
      <w:r w:rsidRPr="00F8022D">
        <w:t>distributed sREG-to-sCCE mapping</w:t>
      </w:r>
      <w:r>
        <w:t xml:space="preserve"> for DMRS based sPDCCH</w:t>
      </w:r>
      <w:bookmarkEnd w:id="164"/>
      <w:bookmarkEnd w:id="165"/>
      <w:bookmarkEnd w:id="166"/>
      <w:bookmarkEnd w:id="167"/>
      <w:bookmarkEnd w:id="168"/>
      <w:bookmarkEnd w:id="169"/>
    </w:p>
    <w:p w14:paraId="6CAA3757" w14:textId="079A5DCA" w:rsidR="00BD3239" w:rsidRDefault="00BD3239" w:rsidP="007141EB">
      <w:pPr>
        <w:pStyle w:val="Observation"/>
        <w:numPr>
          <w:ilvl w:val="0"/>
          <w:numId w:val="0"/>
        </w:numPr>
        <w:ind w:left="360"/>
      </w:pPr>
    </w:p>
    <w:p w14:paraId="2B0F02D3" w14:textId="0CF9326A" w:rsidR="00C621E7" w:rsidRDefault="004E4EE3" w:rsidP="00C621E7">
      <w:pPr>
        <w:keepNext/>
        <w:jc w:val="center"/>
      </w:pPr>
      <w:r w:rsidRPr="004E4EE3">
        <w:rPr>
          <w:noProof/>
          <w:lang w:val="en-US" w:eastAsia="en-US"/>
        </w:rPr>
        <w:lastRenderedPageBreak/>
        <w:t xml:space="preserve"> </w:t>
      </w:r>
      <w:r>
        <w:rPr>
          <w:noProof/>
          <w:lang w:val="sv-SE" w:eastAsia="sv-SE"/>
        </w:rPr>
        <w:drawing>
          <wp:inline distT="0" distB="0" distL="0" distR="0" wp14:anchorId="078725CE" wp14:editId="2A2E3B24">
            <wp:extent cx="6120765" cy="154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544320"/>
                    </a:xfrm>
                    <a:prstGeom prst="rect">
                      <a:avLst/>
                    </a:prstGeom>
                  </pic:spPr>
                </pic:pic>
              </a:graphicData>
            </a:graphic>
          </wp:inline>
        </w:drawing>
      </w:r>
    </w:p>
    <w:p w14:paraId="79EC3064" w14:textId="66E9E635" w:rsidR="00C621E7" w:rsidRDefault="00C621E7" w:rsidP="00C621E7">
      <w:pPr>
        <w:pStyle w:val="Caption"/>
      </w:pPr>
      <w:r>
        <w:t xml:space="preserve">Figure </w:t>
      </w:r>
      <w:r>
        <w:fldChar w:fldCharType="begin"/>
      </w:r>
      <w:r>
        <w:instrText xml:space="preserve"> SEQ Figure \* ARABIC </w:instrText>
      </w:r>
      <w:r>
        <w:fldChar w:fldCharType="separate"/>
      </w:r>
      <w:r w:rsidR="00F73030">
        <w:rPr>
          <w:noProof/>
        </w:rPr>
        <w:t>2</w:t>
      </w:r>
      <w:r>
        <w:fldChar w:fldCharType="end"/>
      </w:r>
      <w:r w:rsidR="00582C68">
        <w:t xml:space="preserve"> </w:t>
      </w:r>
      <w:r w:rsidR="00582C68" w:rsidRPr="00582C68">
        <w:t>Distributed an</w:t>
      </w:r>
      <w:r w:rsidR="00582C68">
        <w:t xml:space="preserve">d Localized configurations for </w:t>
      </w:r>
      <w:r w:rsidR="004E4EE3">
        <w:t>4</w:t>
      </w:r>
      <w:r w:rsidR="00582C68" w:rsidRPr="00582C68">
        <w:t xml:space="preserve"> </w:t>
      </w:r>
      <w:r w:rsidR="004E4EE3">
        <w:t>s</w:t>
      </w:r>
      <w:r w:rsidR="00582C68" w:rsidRPr="00582C68">
        <w:t xml:space="preserve">CCE composed of 3 </w:t>
      </w:r>
      <w:r w:rsidR="004E4EE3">
        <w:t>s</w:t>
      </w:r>
      <w:r w:rsidR="00582C68" w:rsidRPr="00582C68">
        <w:t>REGs</w:t>
      </w:r>
      <w:r w:rsidR="00582C68">
        <w:t xml:space="preserve"> each</w:t>
      </w:r>
      <w:r w:rsidR="00582C68" w:rsidRPr="00582C68">
        <w:t xml:space="preserve"> within a </w:t>
      </w:r>
      <w:r w:rsidR="00582C68">
        <w:t>2</w:t>
      </w:r>
      <w:r w:rsidR="00582C68" w:rsidRPr="00582C68">
        <w:t>os-</w:t>
      </w:r>
      <w:r w:rsidR="00663669">
        <w:t>s</w:t>
      </w:r>
      <w:r w:rsidR="00582C68" w:rsidRPr="00582C68">
        <w:t>PDCCH-PRB-set</w:t>
      </w:r>
      <w:r w:rsidR="00582C68">
        <w:t>. Option A: Time-first</w:t>
      </w:r>
      <w:r w:rsidR="00752E9F">
        <w:t xml:space="preserve"> mapping</w:t>
      </w:r>
      <w:r w:rsidR="00582C68">
        <w:t>. Option B: Frequency-first</w:t>
      </w:r>
      <w:r w:rsidR="00752E9F">
        <w:t xml:space="preserve"> mapping</w:t>
      </w:r>
    </w:p>
    <w:p w14:paraId="75096110" w14:textId="77777777" w:rsidR="00760BF7" w:rsidRPr="00760BF7" w:rsidRDefault="00760BF7" w:rsidP="00760BF7"/>
    <w:p w14:paraId="038F32A1" w14:textId="77777777" w:rsidR="007047C1" w:rsidRDefault="007047C1" w:rsidP="008149FE"/>
    <w:p w14:paraId="780DE0FF" w14:textId="354D0DDE" w:rsidR="00EB200E" w:rsidRDefault="00E24976" w:rsidP="009B2D5D">
      <w:pPr>
        <w:pStyle w:val="Heading3"/>
      </w:pPr>
      <w:r>
        <w:t>sPDCCH-PRB-set configuration</w:t>
      </w:r>
    </w:p>
    <w:p w14:paraId="23E83E3F" w14:textId="6BBB7D73" w:rsidR="003A2093" w:rsidRDefault="005619F9" w:rsidP="00E24976">
      <w:pPr>
        <w:pStyle w:val="BodyText"/>
      </w:pPr>
      <w:r>
        <w:t>In RAN</w:t>
      </w:r>
      <w:r w:rsidR="00443F4A">
        <w:t xml:space="preserve">1#89 the sPDCCH-PRB-set allocation was agreed to be defined as the EPDCCH PRB allocation (TS 32.213 9.1.4.4). </w:t>
      </w:r>
      <w:r w:rsidR="00595F70">
        <w:t>For that</w:t>
      </w:r>
      <w:r w:rsidR="00443F4A">
        <w:t xml:space="preserve">, the eNB </w:t>
      </w:r>
      <w:r w:rsidR="00443F4A" w:rsidRPr="00443F4A">
        <w:t xml:space="preserve">should have full flexibility to </w:t>
      </w:r>
      <w:r w:rsidR="00443F4A">
        <w:t>assign</w:t>
      </w:r>
      <w:r w:rsidR="00443F4A" w:rsidRPr="00443F4A">
        <w:t xml:space="preserve"> a proper sPDCCH-PRB-set </w:t>
      </w:r>
      <w:r w:rsidR="00443F4A">
        <w:t>fo</w:t>
      </w:r>
      <w:r w:rsidR="00443F4A" w:rsidRPr="00443F4A">
        <w:t>r each UE</w:t>
      </w:r>
      <w:r w:rsidR="00443F4A">
        <w:t xml:space="preserve"> as well as the possibility to define that different UEs share the same search space region.</w:t>
      </w:r>
      <w:r w:rsidR="0031185B">
        <w:t xml:space="preserve"> For the case of different UEs sharing </w:t>
      </w:r>
      <w:r w:rsidR="005F21EF">
        <w:t xml:space="preserve">the same sPDCCH-PRB-set, the </w:t>
      </w:r>
      <w:r w:rsidR="003A5ACB">
        <w:t xml:space="preserve">sPDCCH candidates </w:t>
      </w:r>
      <w:r w:rsidR="0031185B">
        <w:t xml:space="preserve">should comprise </w:t>
      </w:r>
      <w:r w:rsidR="003A5ACB">
        <w:t xml:space="preserve">2os sTTI </w:t>
      </w:r>
      <w:r w:rsidR="0031185B">
        <w:t xml:space="preserve">UEs </w:t>
      </w:r>
      <w:r w:rsidR="003A5ACB">
        <w:t>and</w:t>
      </w:r>
      <w:r w:rsidR="0031185B">
        <w:t>/or</w:t>
      </w:r>
      <w:r w:rsidR="005F21EF">
        <w:t xml:space="preserve"> slot TTI</w:t>
      </w:r>
      <w:r w:rsidR="0031185B">
        <w:t xml:space="preserve"> UEs. For that, the number of symbols </w:t>
      </w:r>
      <w:r w:rsidR="007B464D">
        <w:t>per sPDCCH should be the same.</w:t>
      </w:r>
    </w:p>
    <w:p w14:paraId="315A66F3" w14:textId="5A615EEB" w:rsidR="003A5ACB" w:rsidRDefault="00443F4A" w:rsidP="00443F4A">
      <w:pPr>
        <w:pStyle w:val="Observation"/>
      </w:pPr>
      <w:bookmarkStart w:id="170" w:name="_Toc490235401"/>
      <w:bookmarkStart w:id="171" w:name="_Toc490241935"/>
      <w:bookmarkStart w:id="172" w:name="_Toc490255124"/>
      <w:bookmarkStart w:id="173" w:name="_Toc490255391"/>
      <w:r>
        <w:t xml:space="preserve">The eNB </w:t>
      </w:r>
      <w:r w:rsidRPr="00443F4A">
        <w:t>should have full flexibility to assign</w:t>
      </w:r>
      <w:r>
        <w:t xml:space="preserve"> a sPDCCH-PRB-set for an UE or for different UEs</w:t>
      </w:r>
      <w:bookmarkEnd w:id="170"/>
      <w:bookmarkEnd w:id="171"/>
      <w:bookmarkEnd w:id="172"/>
      <w:bookmarkEnd w:id="173"/>
    </w:p>
    <w:p w14:paraId="3E3F8FDC" w14:textId="43F781E5" w:rsidR="00443F4A" w:rsidRDefault="007B464D" w:rsidP="00443F4A">
      <w:pPr>
        <w:pStyle w:val="Observation"/>
      </w:pPr>
      <w:bookmarkStart w:id="174" w:name="_Toc490235402"/>
      <w:bookmarkStart w:id="175" w:name="_Toc490241936"/>
      <w:bookmarkStart w:id="176" w:name="_Toc490255125"/>
      <w:bookmarkStart w:id="177" w:name="_Toc490255392"/>
      <w:r>
        <w:t>2os sTTI UEs and slot sTTI UEs should be able to share the same sPDCCH-PRB-set as long as the number of symbols per sPDCCH is the same</w:t>
      </w:r>
      <w:bookmarkEnd w:id="174"/>
      <w:bookmarkEnd w:id="175"/>
      <w:bookmarkEnd w:id="176"/>
      <w:bookmarkEnd w:id="177"/>
    </w:p>
    <w:p w14:paraId="30918B4E" w14:textId="77777777" w:rsidR="00443F4A" w:rsidRPr="001A6384" w:rsidRDefault="00443F4A" w:rsidP="00E24976">
      <w:pPr>
        <w:pStyle w:val="BodyText"/>
      </w:pPr>
    </w:p>
    <w:p w14:paraId="5068C573" w14:textId="6F597D40" w:rsidR="00E11DF5" w:rsidRDefault="00E11DF5" w:rsidP="009B2D5D">
      <w:pPr>
        <w:pStyle w:val="Heading4"/>
      </w:pPr>
      <w:r>
        <w:t>sPDCCH-PRB-set size</w:t>
      </w:r>
    </w:p>
    <w:p w14:paraId="59CEB8C7" w14:textId="77777777" w:rsidR="00E11DF5" w:rsidRDefault="00E11DF5" w:rsidP="008149FE"/>
    <w:p w14:paraId="2EFCCBBE" w14:textId="23E69BEB" w:rsidR="0081744B" w:rsidRDefault="001A4CA8" w:rsidP="0081744B">
      <w:r>
        <w:t>A</w:t>
      </w:r>
      <w:r w:rsidR="0081744B">
        <w:t xml:space="preserve"> </w:t>
      </w:r>
      <w:r w:rsidR="0081744B" w:rsidRPr="00537FB9">
        <w:t>sPDCCH-PRB-set</w:t>
      </w:r>
      <w:r>
        <w:t xml:space="preserve"> consists of a set of sCCEs. Those sCCEs are</w:t>
      </w:r>
      <w:r w:rsidR="0081744B">
        <w:t xml:space="preserve"> composed by a group of </w:t>
      </w:r>
      <w:r>
        <w:t>sREG’s (</w:t>
      </w:r>
      <w:r w:rsidR="00164FEA">
        <w:t xml:space="preserve">i.e. </w:t>
      </w:r>
      <w:r w:rsidR="00B6368D">
        <w:t xml:space="preserve">a group of </w:t>
      </w:r>
      <w:r w:rsidR="0081744B">
        <w:t>PRBs</w:t>
      </w:r>
      <w:r w:rsidR="00794664">
        <w:t>), as previously described</w:t>
      </w:r>
      <w:r w:rsidR="0081744B">
        <w:t xml:space="preserve">. The </w:t>
      </w:r>
      <w:r w:rsidR="0081456E">
        <w:t xml:space="preserve">PRB-set size, i.e. the number of PRBs required to build the set of sCCEs, </w:t>
      </w:r>
      <w:r w:rsidR="0081744B">
        <w:t>should be</w:t>
      </w:r>
      <w:r w:rsidR="00063294">
        <w:t xml:space="preserve"> then</w:t>
      </w:r>
      <w:r w:rsidR="0081744B">
        <w:t xml:space="preserve"> well defined, so high order diversity can be achieved as well as excessive overhead is avoided. For that, the eNB should have full flexibility in order to define a proper </w:t>
      </w:r>
      <w:r w:rsidR="0081744B" w:rsidRPr="00537FB9">
        <w:t>sPDCCH-PRB-set</w:t>
      </w:r>
      <w:r w:rsidR="0081744B">
        <w:t xml:space="preserve"> size for each UE.</w:t>
      </w:r>
    </w:p>
    <w:p w14:paraId="33211144" w14:textId="77777777" w:rsidR="0081744B" w:rsidRDefault="0081744B" w:rsidP="0081744B">
      <w:r>
        <w:t xml:space="preserve"> </w:t>
      </w:r>
    </w:p>
    <w:p w14:paraId="16A01DFF" w14:textId="099583BD" w:rsidR="0081744B" w:rsidRDefault="0081744B" w:rsidP="0081744B">
      <w:pPr>
        <w:pStyle w:val="Observation"/>
      </w:pPr>
      <w:bookmarkStart w:id="178" w:name="_Toc485917933"/>
      <w:bookmarkStart w:id="179" w:name="_Toc490235403"/>
      <w:bookmarkStart w:id="180" w:name="_Toc490241937"/>
      <w:bookmarkStart w:id="181" w:name="_Toc490255126"/>
      <w:bookmarkStart w:id="182" w:name="_Toc490255393"/>
      <w:r>
        <w:t xml:space="preserve">The </w:t>
      </w:r>
      <w:r w:rsidRPr="001E393B">
        <w:t xml:space="preserve">number of </w:t>
      </w:r>
      <w:r w:rsidR="00380245">
        <w:t>PRBs required to build the set of sCCEs</w:t>
      </w:r>
      <w:r w:rsidR="00E7776C" w:rsidRPr="001E393B">
        <w:t xml:space="preserve"> </w:t>
      </w:r>
      <w:r w:rsidR="00032272">
        <w:t xml:space="preserve">in </w:t>
      </w:r>
      <w:r>
        <w:t xml:space="preserve">a </w:t>
      </w:r>
      <w:r w:rsidRPr="00537FB9">
        <w:t>sPDCCH</w:t>
      </w:r>
      <w:r w:rsidR="00032272">
        <w:t>-</w:t>
      </w:r>
      <w:r w:rsidRPr="00537FB9">
        <w:t>PRB-set</w:t>
      </w:r>
      <w:r>
        <w:t xml:space="preserve"> </w:t>
      </w:r>
      <w:r w:rsidRPr="001E393B">
        <w:t>should be well defined</w:t>
      </w:r>
      <w:r w:rsidR="00AE5751">
        <w:t>,</w:t>
      </w:r>
      <w:r w:rsidRPr="001E393B">
        <w:t xml:space="preserve"> so high order diversity can be achieved as well as excessive overhead is avoided</w:t>
      </w:r>
      <w:bookmarkEnd w:id="178"/>
      <w:bookmarkEnd w:id="179"/>
      <w:bookmarkEnd w:id="180"/>
      <w:bookmarkEnd w:id="181"/>
      <w:bookmarkEnd w:id="182"/>
    </w:p>
    <w:p w14:paraId="6C075B16" w14:textId="77777777" w:rsidR="0081744B" w:rsidRDefault="0081744B" w:rsidP="008149FE"/>
    <w:p w14:paraId="654A25BA" w14:textId="3A884287" w:rsidR="00EB200E" w:rsidRDefault="00824F4D" w:rsidP="008149FE">
      <w:r>
        <w:t xml:space="preserve">As </w:t>
      </w:r>
      <w:r w:rsidR="0077283C">
        <w:t>proposed</w:t>
      </w:r>
      <w:r>
        <w:t xml:space="preserve"> in </w:t>
      </w:r>
      <w:r w:rsidR="001E393B">
        <w:t xml:space="preserve">our companion paper about search space for </w:t>
      </w:r>
      <w:r w:rsidR="001E393B" w:rsidRPr="00E16B90">
        <w:t xml:space="preserve">sTTI </w:t>
      </w:r>
      <w:r w:rsidR="007141EB" w:rsidRPr="00564875">
        <w:t>[4</w:t>
      </w:r>
      <w:r w:rsidR="001E393B" w:rsidRPr="00564875">
        <w:t>],</w:t>
      </w:r>
      <w:r w:rsidR="001E393B">
        <w:t xml:space="preserve"> </w:t>
      </w:r>
      <w:r w:rsidR="0077283C" w:rsidRPr="0077283C">
        <w:t>sTTI operation</w:t>
      </w:r>
      <w:r w:rsidR="0077283C">
        <w:t xml:space="preserve"> should aim to</w:t>
      </w:r>
      <w:r w:rsidR="0077283C" w:rsidRPr="0077283C">
        <w:t xml:space="preserve"> support 6 sPDCCH candidates per UE for each 2-OFDM symbol sTTI</w:t>
      </w:r>
      <w:r w:rsidR="0077283C">
        <w:t>, where the candidates need to be split among the configured aggregation levels. For instance, i</w:t>
      </w:r>
      <w:r w:rsidR="001E393B">
        <w:t xml:space="preserve">f three candidates are configured for AL 2, it requires that the UE’s </w:t>
      </w:r>
      <w:r w:rsidR="001E393B" w:rsidRPr="001E393B">
        <w:t xml:space="preserve">sPDCCH-PRB-set </w:t>
      </w:r>
      <w:r w:rsidR="001E393B">
        <w:t xml:space="preserve">contains at least 6 sCCE. On the other hand, if two candidates of aggregation level 4 are considered, </w:t>
      </w:r>
      <w:r w:rsidR="001E393B" w:rsidRPr="001E393B">
        <w:t xml:space="preserve">it requires that the </w:t>
      </w:r>
      <w:r w:rsidR="001E393B">
        <w:t xml:space="preserve">UE’s </w:t>
      </w:r>
      <w:r w:rsidR="001E393B" w:rsidRPr="001E393B">
        <w:t>sP</w:t>
      </w:r>
      <w:r w:rsidR="001E393B">
        <w:t>DCCH-PRB-set contains at least 8</w:t>
      </w:r>
      <w:r w:rsidR="001E393B" w:rsidRPr="001E393B">
        <w:t xml:space="preserve"> sCCE</w:t>
      </w:r>
      <w:r w:rsidR="001E393B">
        <w:t>.</w:t>
      </w:r>
    </w:p>
    <w:p w14:paraId="71595AD9" w14:textId="77777777" w:rsidR="00A03938" w:rsidRDefault="00A03938" w:rsidP="008149FE"/>
    <w:p w14:paraId="21459EB2" w14:textId="64B912F1" w:rsidR="00A03938" w:rsidRPr="00A03938" w:rsidRDefault="00A03938" w:rsidP="00A03938">
      <w:pPr>
        <w:pStyle w:val="Observation"/>
      </w:pPr>
      <w:bookmarkStart w:id="183" w:name="_Toc485917934"/>
      <w:bookmarkStart w:id="184" w:name="_Toc490235404"/>
      <w:bookmarkStart w:id="185" w:name="_Toc490241938"/>
      <w:bookmarkStart w:id="186" w:name="_Toc490255127"/>
      <w:bookmarkStart w:id="187" w:name="_Toc490255394"/>
      <w:r>
        <w:t xml:space="preserve">The </w:t>
      </w:r>
      <w:r w:rsidRPr="00A03938">
        <w:t>UE’s sPDCCH-PRB-set should contain at least as many sCCE as required to support the maximum number of sPDCCH candidates defined per aggregation level</w:t>
      </w:r>
      <w:r w:rsidR="00521F6C">
        <w:t xml:space="preserve"> per UE</w:t>
      </w:r>
      <w:bookmarkEnd w:id="183"/>
      <w:bookmarkEnd w:id="184"/>
      <w:bookmarkEnd w:id="185"/>
      <w:bookmarkEnd w:id="186"/>
      <w:bookmarkEnd w:id="187"/>
    </w:p>
    <w:p w14:paraId="6132E231" w14:textId="6174DA30" w:rsidR="001E393B" w:rsidRDefault="001E393B" w:rsidP="008149FE"/>
    <w:p w14:paraId="0AC53F9B" w14:textId="0383A3EB" w:rsidR="00E30FF7" w:rsidRDefault="00E30FF7" w:rsidP="008149FE">
      <w:r w:rsidRPr="00E30FF7">
        <w:lastRenderedPageBreak/>
        <w:t xml:space="preserve">Likewise, if the same sPDCCH-PRB-set is configured for multiple UEs and each UE is configured at least with one high AL candidate, i.e. AL 4, the PRB-set size could contain as many sCCE as required to </w:t>
      </w:r>
      <w:r w:rsidR="008026E5">
        <w:t>support</w:t>
      </w:r>
      <w:r w:rsidRPr="00E30FF7">
        <w:t xml:space="preserve"> </w:t>
      </w:r>
      <w:r>
        <w:t xml:space="preserve">eventually </w:t>
      </w:r>
      <w:r w:rsidRPr="00E30FF7">
        <w:t>each UE with such aggregation</w:t>
      </w:r>
      <w:r>
        <w:t xml:space="preserve"> level</w:t>
      </w:r>
      <w:r w:rsidRPr="00E30FF7">
        <w:t xml:space="preserve"> sPDCCH. However, this obviously </w:t>
      </w:r>
      <w:r>
        <w:t>can lead</w:t>
      </w:r>
      <w:r w:rsidRPr="00E30FF7">
        <w:t xml:space="preserve"> to an excessive sPDCCH overhead along the available frequency bandwidth. For that, the eNB should carefully configure the number of UEs sharing the same sPDCCH-PRB-set</w:t>
      </w:r>
      <w:r>
        <w:t>.</w:t>
      </w:r>
    </w:p>
    <w:p w14:paraId="0A8C4E79" w14:textId="77777777" w:rsidR="008026E5" w:rsidRDefault="008026E5" w:rsidP="008149FE"/>
    <w:p w14:paraId="6139D218" w14:textId="081C3731" w:rsidR="008026E5" w:rsidRPr="00A03938" w:rsidRDefault="008026E5" w:rsidP="00F4251D">
      <w:pPr>
        <w:pStyle w:val="Observation"/>
      </w:pPr>
      <w:bookmarkStart w:id="188" w:name="_Toc485917935"/>
      <w:bookmarkStart w:id="189" w:name="_Toc490235405"/>
      <w:bookmarkStart w:id="190" w:name="_Toc490241939"/>
      <w:bookmarkStart w:id="191" w:name="_Toc490255128"/>
      <w:bookmarkStart w:id="192" w:name="_Toc490255395"/>
      <w:r>
        <w:t>I</w:t>
      </w:r>
      <w:r w:rsidRPr="008026E5">
        <w:t>f the same sPDCCH-PRB-set is configured for multiple UEs</w:t>
      </w:r>
      <w:r>
        <w:t xml:space="preserve">, the </w:t>
      </w:r>
      <w:r w:rsidRPr="00A03938">
        <w:t xml:space="preserve">sPDCCH-PRB-set should </w:t>
      </w:r>
      <w:r>
        <w:t xml:space="preserve">support only a limited number of </w:t>
      </w:r>
      <w:r w:rsidR="007141EB">
        <w:t xml:space="preserve">simultaneous </w:t>
      </w:r>
      <w:r>
        <w:t>UEs with a high AL sPDCCH</w:t>
      </w:r>
      <w:r w:rsidR="00521F6C">
        <w:t xml:space="preserve"> in the same sTTI</w:t>
      </w:r>
      <w:r>
        <w:t>.</w:t>
      </w:r>
      <w:bookmarkEnd w:id="188"/>
      <w:bookmarkEnd w:id="189"/>
      <w:bookmarkEnd w:id="190"/>
      <w:bookmarkEnd w:id="191"/>
      <w:bookmarkEnd w:id="192"/>
      <w:r>
        <w:t xml:space="preserve"> </w:t>
      </w:r>
    </w:p>
    <w:p w14:paraId="77D2AC3A" w14:textId="7A244FA4" w:rsidR="00E30FF7" w:rsidRDefault="00E30FF7" w:rsidP="008149FE"/>
    <w:p w14:paraId="0A7FD849" w14:textId="4F6A6AA2" w:rsidR="00A03938" w:rsidRDefault="00A03938" w:rsidP="008149FE">
      <w:r>
        <w:t xml:space="preserve">Hence, we propose to define the </w:t>
      </w:r>
      <w:r w:rsidRPr="00A03938">
        <w:t>sPDCCH-PRB-set</w:t>
      </w:r>
      <w:r>
        <w:t xml:space="preserve"> size based on </w:t>
      </w:r>
      <w:r w:rsidR="00F4251D">
        <w:t xml:space="preserve">at least </w:t>
      </w:r>
      <w:r w:rsidR="008026E5">
        <w:t xml:space="preserve">containing </w:t>
      </w:r>
      <w:r w:rsidR="00F4251D">
        <w:t>the</w:t>
      </w:r>
      <w:r>
        <w:t xml:space="preserve"> </w:t>
      </w:r>
      <w:r w:rsidRPr="00A03938">
        <w:t xml:space="preserve">number of </w:t>
      </w:r>
      <w:r>
        <w:t>s</w:t>
      </w:r>
      <w:r w:rsidRPr="00A03938">
        <w:t>CCEs</w:t>
      </w:r>
      <w:r>
        <w:t xml:space="preserve"> required to support the </w:t>
      </w:r>
      <w:r w:rsidRPr="00A03938">
        <w:t>number of sPDCCH candidates defined per aggregation level</w:t>
      </w:r>
      <w:r>
        <w:t xml:space="preserve"> </w:t>
      </w:r>
      <w:r w:rsidR="008026E5">
        <w:t>per</w:t>
      </w:r>
      <w:r>
        <w:t xml:space="preserve"> UE</w:t>
      </w:r>
      <w:r w:rsidR="00521F6C">
        <w:t xml:space="preserve"> as well as</w:t>
      </w:r>
      <w:r w:rsidR="008026E5">
        <w:t xml:space="preserve"> to support</w:t>
      </w:r>
      <w:r w:rsidR="00521F6C">
        <w:t>, if needed,</w:t>
      </w:r>
      <w:r w:rsidR="008026E5">
        <w:t xml:space="preserve"> a limited number of UEs with a high aggregation level sPDCCH, i.e. AL 4, in the same sTTI</w:t>
      </w:r>
      <w:r w:rsidR="00521F6C">
        <w:t xml:space="preserve"> (if the </w:t>
      </w:r>
      <w:r w:rsidR="00521F6C" w:rsidRPr="00A03938">
        <w:t>sPDCCH-PRB-set</w:t>
      </w:r>
      <w:r w:rsidR="00521F6C">
        <w:t xml:space="preserve"> is shared between multiple UEs)</w:t>
      </w:r>
      <w:r w:rsidR="008026E5">
        <w:t xml:space="preserve">. Also, the </w:t>
      </w:r>
      <w:r w:rsidR="008026E5" w:rsidRPr="00A03938">
        <w:t>sPDCCH-PRB-set</w:t>
      </w:r>
      <w:r w:rsidR="008026E5">
        <w:t xml:space="preserve"> size </w:t>
      </w:r>
      <w:r w:rsidR="00521F6C">
        <w:t>is based</w:t>
      </w:r>
      <w:r w:rsidR="008026E5">
        <w:t xml:space="preserve"> on</w:t>
      </w:r>
      <w:r>
        <w:t xml:space="preserve"> the number of OFDM symbols per sPDCCH and the number of sREG per sCCE.</w:t>
      </w:r>
    </w:p>
    <w:p w14:paraId="0FDD1A08" w14:textId="0931C922" w:rsidR="00A03938" w:rsidRDefault="00A03938" w:rsidP="00DF7455">
      <w:pPr>
        <w:pStyle w:val="BodyText"/>
      </w:pPr>
      <w:r>
        <w:t xml:space="preserve">The </w:t>
      </w:r>
      <w:r w:rsidRPr="00401E38">
        <w:t xml:space="preserve">sPDCCH-PRB-set </w:t>
      </w:r>
      <w:r w:rsidR="00E4013A">
        <w:t>size</w:t>
      </w:r>
      <w:r w:rsidR="00E7776C">
        <w:t xml:space="preserve"> in PRBs</w:t>
      </w:r>
      <w:r w:rsidR="00E4013A">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oMath>
      <w:r w:rsidR="00E4013A">
        <w:t xml:space="preserve">) </w:t>
      </w:r>
      <w:r w:rsidR="00EA08FA">
        <w:t>is defined as the relation</w:t>
      </w:r>
      <w:r>
        <w:t xml:space="preserve"> between </w:t>
      </w:r>
      <w:r w:rsidR="00EA08FA">
        <w:t xml:space="preserve">the number of sCCE to be supported </w:t>
      </w:r>
      <w:r w:rsidR="00087F33">
        <w:t>(</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sCCE</m:t>
            </m:r>
          </m:sub>
        </m:sSub>
      </m:oMath>
      <w:r w:rsidR="00EA08FA">
        <w:t xml:space="preserve">), </w:t>
      </w:r>
      <w:r w:rsidR="00087F33">
        <w:t xml:space="preserve">the </w:t>
      </w:r>
      <w:r>
        <w:t>number of sREG per sCCE (</w:t>
      </w:r>
      <m:oMath>
        <m:r>
          <m:rPr>
            <m:sty m:val="bi"/>
          </m:rPr>
          <w:rPr>
            <w:rFonts w:ascii="Cambria Math" w:hAnsi="Cambria Math"/>
          </w:rPr>
          <m:t>nr_of_sREG_per_sCCE</m:t>
        </m:r>
      </m:oMath>
      <w:r>
        <w:t xml:space="preserve">) </w:t>
      </w:r>
      <w:r w:rsidR="00EA08FA">
        <w:t>and</w:t>
      </w:r>
      <w:r w:rsidR="00087F33">
        <w:t xml:space="preserve"> the number of OFDM symbols per sPDCCH (</w:t>
      </w:r>
      <m:oMath>
        <m:r>
          <m:rPr>
            <m:sty m:val="bi"/>
          </m:rPr>
          <w:rPr>
            <w:rFonts w:ascii="Cambria Math" w:hAnsi="Cambria Math"/>
          </w:rPr>
          <m:t>nr_of_OFDM_symbols_per_sPDCCH</m:t>
        </m:r>
      </m:oMath>
      <w:r w:rsidR="00087F33">
        <w:t>)</w:t>
      </w:r>
      <w:r w:rsidR="00DF7455">
        <w:t xml:space="preserve"> as follows.</w:t>
      </w:r>
    </w:p>
    <w:p w14:paraId="432BF911" w14:textId="77777777" w:rsidR="00EA08FA" w:rsidRDefault="00EA08FA" w:rsidP="007141EB">
      <w:pPr>
        <w:pStyle w:val="Proposal"/>
        <w:numPr>
          <w:ilvl w:val="0"/>
          <w:numId w:val="0"/>
        </w:numPr>
        <w:ind w:left="1701"/>
      </w:pPr>
    </w:p>
    <w:bookmarkStart w:id="193" w:name="_Toc485917952"/>
    <w:bookmarkStart w:id="194" w:name="_Toc490235391"/>
    <w:bookmarkStart w:id="195" w:name="_Toc490241958"/>
    <w:bookmarkStart w:id="196" w:name="_Toc490254910"/>
    <w:bookmarkStart w:id="197" w:name="_Toc490255147"/>
    <w:bookmarkStart w:id="198" w:name="_Toc490255167"/>
    <w:bookmarkStart w:id="199" w:name="_Toc490255414"/>
    <w:p w14:paraId="79519E39" w14:textId="76130B7A" w:rsidR="00A03938" w:rsidRPr="00401E38" w:rsidRDefault="007174F1" w:rsidP="007141EB">
      <w:pPr>
        <w:pStyle w:val="Proposal"/>
        <w:numPr>
          <w:ilvl w:val="0"/>
          <w:numId w:val="0"/>
        </w:numPr>
        <w:ind w:left="1701"/>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sCCE</m:t>
                  </m:r>
                </m:sub>
              </m:sSub>
              <m:r>
                <m:rPr>
                  <m:sty m:val="bi"/>
                </m:rPr>
                <w:rPr>
                  <w:rFonts w:ascii="Cambria Math" w:hAnsi="Cambria Math"/>
                </w:rPr>
                <m:t>*nr_of_sREG_per_sCCE</m:t>
              </m:r>
            </m:num>
            <m:den>
              <m:r>
                <m:rPr>
                  <m:sty m:val="bi"/>
                </m:rPr>
                <w:rPr>
                  <w:rFonts w:ascii="Cambria Math" w:hAnsi="Cambria Math"/>
                </w:rPr>
                <m:t xml:space="preserve">nr_of_OFDM_symbols_per_sPDCCH </m:t>
              </m:r>
            </m:den>
          </m:f>
        </m:oMath>
      </m:oMathPara>
      <w:bookmarkEnd w:id="193"/>
      <w:bookmarkEnd w:id="194"/>
      <w:bookmarkEnd w:id="195"/>
      <w:bookmarkEnd w:id="196"/>
      <w:bookmarkEnd w:id="197"/>
      <w:bookmarkEnd w:id="198"/>
      <w:bookmarkEnd w:id="199"/>
    </w:p>
    <w:p w14:paraId="62D66513" w14:textId="49E7C7D9" w:rsidR="00A03938" w:rsidRDefault="00EA08FA" w:rsidP="008149FE">
      <w:r>
        <w:tab/>
      </w:r>
      <w:r>
        <w:tab/>
      </w:r>
      <w:r>
        <w:tab/>
      </w:r>
    </w:p>
    <w:p w14:paraId="52A07151" w14:textId="218A1351" w:rsidR="00EA08FA" w:rsidRDefault="007174F1" w:rsidP="00DF7455">
      <w:pPr>
        <w:pStyle w:val="BodyText"/>
      </w:pPr>
      <m:oMath>
        <m:sSub>
          <m:sSubPr>
            <m:ctrlPr>
              <w:rPr>
                <w:rFonts w:ascii="Cambria Math" w:hAnsi="Cambria Math"/>
                <w:b/>
                <w:bCs/>
                <w:i/>
              </w:rPr>
            </m:ctrlPr>
          </m:sSubPr>
          <m:e>
            <m:r>
              <w:rPr>
                <w:rFonts w:ascii="Cambria Math" w:hAnsi="Cambria Math"/>
              </w:rPr>
              <m:t>N</m:t>
            </m:r>
          </m:e>
          <m:sub>
            <m:r>
              <w:rPr>
                <w:rFonts w:ascii="Cambria Math" w:hAnsi="Cambria Math"/>
              </w:rPr>
              <m:t>sCCE</m:t>
            </m:r>
          </m:sub>
        </m:sSub>
      </m:oMath>
      <w:r w:rsidR="000D4F21">
        <w:rPr>
          <w:b/>
          <w:bCs/>
        </w:rPr>
        <w:t xml:space="preserve"> </w:t>
      </w:r>
      <w:r w:rsidR="000D4F21" w:rsidRPr="000D4F21">
        <w:t>is based on the number of sCCE required to support the maximum number of sPDCCH candidates define</w:t>
      </w:r>
      <w:r w:rsidR="00DF7455">
        <w:t>d per aggregation level per UE and</w:t>
      </w:r>
      <w:r w:rsidR="000D4F21" w:rsidRPr="000D4F21">
        <w:t xml:space="preserve"> to support, if needed, a limited number of simultaneous UEs with a high aggregation level sPDCCH, e.</w:t>
      </w:r>
      <w:r w:rsidR="000D4F21">
        <w:t>g.</w:t>
      </w:r>
      <w:r w:rsidR="000D4F21" w:rsidRPr="000D4F21">
        <w:t xml:space="preserve"> AL 4, in the same sTTI (if the sPDCCH-PRB-set is shared between multiple UEs). </w:t>
      </w:r>
    </w:p>
    <w:p w14:paraId="5A13391D" w14:textId="407A63CD" w:rsidR="00B129CF" w:rsidRDefault="00D65E27" w:rsidP="008149FE">
      <w:r>
        <w:t>Considering</w:t>
      </w:r>
      <w:r w:rsidR="00087F33">
        <w:t xml:space="preserve"> the </w:t>
      </w:r>
      <w:r w:rsidR="00063294">
        <w:t xml:space="preserve">example </w:t>
      </w:r>
      <w:r w:rsidR="00824F4D">
        <w:t>of</w:t>
      </w:r>
      <w:r w:rsidR="00087F33">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sCCE</m:t>
            </m:r>
          </m:sub>
        </m:sSub>
        <m:r>
          <m:rPr>
            <m:sty m:val="bi"/>
          </m:rPr>
          <w:rPr>
            <w:rFonts w:ascii="Cambria Math" w:hAnsi="Cambria Math"/>
          </w:rPr>
          <m:t>=8 sCCE</m:t>
        </m:r>
      </m:oMath>
      <w:r w:rsidR="00087F33" w:rsidRPr="007141EB">
        <w:rPr>
          <w:bCs/>
        </w:rPr>
        <w:t>,</w:t>
      </w:r>
      <w:r w:rsidR="00087F33">
        <w:t xml:space="preserve"> </w:t>
      </w:r>
      <w:r w:rsidR="00116748">
        <w:t>e.g.</w:t>
      </w:r>
      <w:r w:rsidR="00B129CF">
        <w:t xml:space="preserve"> for the case of supporting </w:t>
      </w:r>
      <w:r w:rsidR="00063294">
        <w:t xml:space="preserve">two </w:t>
      </w:r>
      <w:r w:rsidR="00087F33">
        <w:t>candida</w:t>
      </w:r>
      <w:r w:rsidR="00063294">
        <w:t>tes of aggregation level 4 per</w:t>
      </w:r>
      <w:r w:rsidR="00087F33">
        <w:t xml:space="preserve"> UE</w:t>
      </w:r>
      <w:r w:rsidR="00B129CF">
        <w:t>, the</w:t>
      </w:r>
      <w:r w:rsidR="00E4013A">
        <w:t xml:space="preserve"> </w:t>
      </w:r>
      <w:r w:rsidR="00773B8E" w:rsidRPr="00773B8E">
        <w:t>UE’s sPDCCH-PRB-set size</w:t>
      </w:r>
      <w:r w:rsidR="00773B8E">
        <w:t xml:space="preserve">s </w:t>
      </w:r>
      <w:r>
        <w:t>based on</w:t>
      </w:r>
      <w:r w:rsidR="00773B8E">
        <w:t xml:space="preserve"> </w:t>
      </w:r>
      <w:r w:rsidR="00773B8E" w:rsidRPr="00773B8E">
        <w:t>1</w:t>
      </w:r>
      <w:r w:rsidR="008C49B2">
        <w:t>os</w:t>
      </w:r>
      <w:r w:rsidR="00773B8E" w:rsidRPr="00773B8E">
        <w:t>, 2</w:t>
      </w:r>
      <w:r w:rsidR="008C49B2">
        <w:t>os</w:t>
      </w:r>
      <w:r w:rsidR="00773B8E" w:rsidRPr="00773B8E">
        <w:t xml:space="preserve"> and 3os sPDCCH as well as 1 sCCE = 3 sREG and 4 sREG</w:t>
      </w:r>
      <w:r w:rsidR="00773B8E">
        <w:t xml:space="preserve"> are shown in </w:t>
      </w:r>
      <w:r w:rsidR="00063294">
        <w:fldChar w:fldCharType="begin"/>
      </w:r>
      <w:r w:rsidR="00063294">
        <w:instrText xml:space="preserve"> REF _Ref488413418 \h </w:instrText>
      </w:r>
      <w:r w:rsidR="00063294">
        <w:fldChar w:fldCharType="separate"/>
      </w:r>
      <w:r w:rsidR="00063294">
        <w:t xml:space="preserve">Table </w:t>
      </w:r>
      <w:r w:rsidR="00063294">
        <w:fldChar w:fldCharType="end"/>
      </w:r>
      <w:r w:rsidR="00824F4D">
        <w:t>2</w:t>
      </w:r>
      <w:r w:rsidR="00773B8E">
        <w:t>.</w:t>
      </w:r>
      <w:r w:rsidR="00063294">
        <w:t xml:space="preserve"> As can be observed</w:t>
      </w:r>
      <w:r w:rsidR="00F733F7">
        <w:t xml:space="preserve">, supporting 8 sCCE within a </w:t>
      </w:r>
      <w:r w:rsidR="00F733F7" w:rsidRPr="00F733F7">
        <w:t>UE’s sPDCCH-PRB-set</w:t>
      </w:r>
      <w:r w:rsidR="00F733F7">
        <w:t xml:space="preserve"> </w:t>
      </w:r>
      <w:r>
        <w:t>can lead</w:t>
      </w:r>
      <w:r w:rsidR="00F733F7">
        <w:t xml:space="preserve"> to a</w:t>
      </w:r>
      <w:r w:rsidR="008246CC">
        <w:t xml:space="preserve"> somewhat</w:t>
      </w:r>
      <w:r w:rsidR="00F733F7">
        <w:t xml:space="preserve"> high sPDCCH overhead. For instance, </w:t>
      </w:r>
      <w:r w:rsidR="008246CC">
        <w:t>a PRB-set size of 24 PRBs is needed for the case of 1os-sPDCCH.</w:t>
      </w:r>
      <w:r w:rsidR="003429A8">
        <w:t xml:space="preserve"> Therefore, it becomes obvious that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sCCE</m:t>
            </m:r>
          </m:sub>
        </m:sSub>
      </m:oMath>
      <w:r w:rsidR="003429A8">
        <w:t xml:space="preserve"> will be </w:t>
      </w:r>
      <w:r w:rsidR="00116748">
        <w:t>also based on</w:t>
      </w:r>
      <w:r w:rsidR="008C49B2">
        <w:t xml:space="preserve"> different aspects, such as</w:t>
      </w:r>
      <w:r w:rsidR="00116748">
        <w:t xml:space="preserve"> the system bandwidth.</w:t>
      </w:r>
    </w:p>
    <w:p w14:paraId="6CD1D3DE" w14:textId="18D3FC37" w:rsidR="00116748" w:rsidRDefault="00116748" w:rsidP="008149FE"/>
    <w:bookmarkStart w:id="200" w:name="_Toc485917936"/>
    <w:bookmarkStart w:id="201" w:name="_Toc490235406"/>
    <w:bookmarkStart w:id="202" w:name="_Toc490241940"/>
    <w:bookmarkStart w:id="203" w:name="_Toc490255129"/>
    <w:bookmarkStart w:id="204" w:name="_Hlk489446997"/>
    <w:bookmarkStart w:id="205" w:name="_Toc490255396"/>
    <w:p w14:paraId="728EB36B" w14:textId="0685CA88" w:rsidR="00116748" w:rsidRDefault="007174F1" w:rsidP="00116748">
      <w:pPr>
        <w:pStyle w:val="Observation"/>
      </w:pP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sCCE</m:t>
            </m:r>
          </m:sub>
        </m:sSub>
      </m:oMath>
      <w:r w:rsidR="00116748">
        <w:rPr>
          <w:b w:val="0"/>
          <w:bCs w:val="0"/>
        </w:rPr>
        <w:t xml:space="preserve"> </w:t>
      </w:r>
      <w:r w:rsidR="00116748" w:rsidRPr="007141EB">
        <w:t xml:space="preserve">will be based on different </w:t>
      </w:r>
      <w:r w:rsidR="004936D8">
        <w:t>cases</w:t>
      </w:r>
      <w:r w:rsidR="004936D8" w:rsidRPr="007141EB">
        <w:t xml:space="preserve"> </w:t>
      </w:r>
      <w:r w:rsidR="000C7A12">
        <w:t xml:space="preserve">or </w:t>
      </w:r>
      <w:r w:rsidR="004936D8" w:rsidRPr="007141EB">
        <w:t>aspects</w:t>
      </w:r>
      <w:r w:rsidR="004936D8">
        <w:t xml:space="preserve"> </w:t>
      </w:r>
      <w:r w:rsidR="00116748" w:rsidRPr="007141EB">
        <w:t>such as the system bandwidth</w:t>
      </w:r>
      <w:bookmarkEnd w:id="200"/>
      <w:r w:rsidR="00D65E27">
        <w:t xml:space="preserve">, maximum number of sPDCCH candidates to </w:t>
      </w:r>
      <w:r w:rsidR="00EF5FFD">
        <w:t xml:space="preserve">be </w:t>
      </w:r>
      <w:r w:rsidR="00D65E27">
        <w:t>support</w:t>
      </w:r>
      <w:r w:rsidR="00EF5FFD">
        <w:t>ed per UE</w:t>
      </w:r>
      <w:r w:rsidR="00D65E27">
        <w:t>,</w:t>
      </w:r>
      <w:r w:rsidR="00EF5FFD">
        <w:t xml:space="preserve"> and</w:t>
      </w:r>
      <w:r w:rsidR="00D65E27">
        <w:t xml:space="preserve"> number of UEs sharing the same sPDCCH-PRB-set</w:t>
      </w:r>
      <w:bookmarkEnd w:id="201"/>
      <w:bookmarkEnd w:id="202"/>
      <w:bookmarkEnd w:id="203"/>
      <w:bookmarkEnd w:id="205"/>
    </w:p>
    <w:bookmarkEnd w:id="204"/>
    <w:p w14:paraId="38AC5407" w14:textId="2AA06B8E" w:rsidR="00B129CF" w:rsidRDefault="00B129CF" w:rsidP="008149FE"/>
    <w:p w14:paraId="6C5824F5" w14:textId="5E693997" w:rsidR="00B129CF" w:rsidRDefault="00B129CF" w:rsidP="007141EB">
      <w:pPr>
        <w:pStyle w:val="Caption"/>
        <w:keepNext/>
      </w:pPr>
      <w:bookmarkStart w:id="206" w:name="_Ref488413418"/>
      <w:r>
        <w:t xml:space="preserve">Table </w:t>
      </w:r>
      <w:bookmarkEnd w:id="206"/>
      <w:r w:rsidR="00824F4D">
        <w:t xml:space="preserve">2 </w:t>
      </w:r>
      <w:r w:rsidR="00773B8E">
        <w:t xml:space="preserve">UE’s </w:t>
      </w:r>
      <w:r w:rsidR="00E4013A">
        <w:t xml:space="preserve">sPDCCH-PRB-set size </w:t>
      </w:r>
      <w:r w:rsidR="00773B8E">
        <w:t xml:space="preserve">for the case of </w:t>
      </w:r>
      <m:oMath>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sCCE</m:t>
            </m:r>
          </m:sub>
        </m:sSub>
        <m:r>
          <m:rPr>
            <m:sty m:val="bi"/>
          </m:rPr>
          <w:rPr>
            <w:rFonts w:ascii="Cambria Math" w:hAnsi="Cambria Math"/>
          </w:rPr>
          <m:t>=8 sCCE</m:t>
        </m:r>
      </m:oMath>
      <w:r w:rsidR="00116748">
        <w:t xml:space="preserve"> and </w:t>
      </w:r>
      <w:r w:rsidR="00773B8E">
        <w:t>considering 1</w:t>
      </w:r>
      <w:r w:rsidR="000C7A12">
        <w:t>os</w:t>
      </w:r>
      <w:r w:rsidR="00773B8E">
        <w:t>, 2</w:t>
      </w:r>
      <w:r w:rsidR="000C7A12">
        <w:t>os</w:t>
      </w:r>
      <w:r w:rsidR="00773B8E">
        <w:t xml:space="preserve"> and 3os sPDCCH as well as 1 sCCE = 3 sREG and 4 sREG</w:t>
      </w:r>
    </w:p>
    <w:tbl>
      <w:tblPr>
        <w:tblStyle w:val="TableGrid"/>
        <w:tblW w:w="0" w:type="auto"/>
        <w:tblLook w:val="04A0" w:firstRow="1" w:lastRow="0" w:firstColumn="1" w:lastColumn="0" w:noHBand="0" w:noVBand="1"/>
      </w:tblPr>
      <w:tblGrid>
        <w:gridCol w:w="2407"/>
        <w:gridCol w:w="2407"/>
        <w:gridCol w:w="2407"/>
        <w:gridCol w:w="2408"/>
      </w:tblGrid>
      <w:tr w:rsidR="000334E7" w14:paraId="58F0AB3B" w14:textId="77777777" w:rsidTr="001F1515">
        <w:tc>
          <w:tcPr>
            <w:tcW w:w="4814" w:type="dxa"/>
            <w:gridSpan w:val="2"/>
          </w:tcPr>
          <w:p w14:paraId="3653D9D9" w14:textId="77777777" w:rsidR="000334E7" w:rsidRDefault="000334E7" w:rsidP="007141EB">
            <w:pPr>
              <w:jc w:val="center"/>
            </w:pPr>
          </w:p>
        </w:tc>
        <w:tc>
          <w:tcPr>
            <w:tcW w:w="2407" w:type="dxa"/>
          </w:tcPr>
          <w:p w14:paraId="49D92DFA" w14:textId="2B4B1CB0" w:rsidR="000334E7" w:rsidRDefault="000334E7" w:rsidP="007141EB">
            <w:pPr>
              <w:jc w:val="center"/>
            </w:pPr>
            <w:r>
              <w:t>1sCCE = 3 sREG</w:t>
            </w:r>
          </w:p>
        </w:tc>
        <w:tc>
          <w:tcPr>
            <w:tcW w:w="2408" w:type="dxa"/>
          </w:tcPr>
          <w:p w14:paraId="2BC5A8FD" w14:textId="1E60D362" w:rsidR="000334E7" w:rsidRDefault="000334E7" w:rsidP="007141EB">
            <w:pPr>
              <w:jc w:val="center"/>
            </w:pPr>
            <w:r>
              <w:t>1sCCE = 4 sREG</w:t>
            </w:r>
          </w:p>
        </w:tc>
      </w:tr>
      <w:tr w:rsidR="000334E7" w14:paraId="090C285D" w14:textId="77777777" w:rsidTr="000334E7">
        <w:tc>
          <w:tcPr>
            <w:tcW w:w="2407" w:type="dxa"/>
          </w:tcPr>
          <w:p w14:paraId="23E5CE8D" w14:textId="1B62B745" w:rsidR="000334E7" w:rsidRDefault="000334E7" w:rsidP="007141EB">
            <w:pPr>
              <w:jc w:val="center"/>
            </w:pPr>
            <w:r>
              <w:t>Nr of OFDM symbols for sPDCCH</w:t>
            </w:r>
          </w:p>
        </w:tc>
        <w:tc>
          <w:tcPr>
            <w:tcW w:w="2407" w:type="dxa"/>
          </w:tcPr>
          <w:p w14:paraId="4231C214" w14:textId="2733DB35" w:rsidR="000334E7" w:rsidRDefault="007174F1" w:rsidP="007141EB">
            <w:pPr>
              <w:jc w:val="center"/>
            </w:pPr>
            <m:oMathPara>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sCCE</m:t>
                    </m:r>
                  </m:sub>
                </m:sSub>
              </m:oMath>
            </m:oMathPara>
          </w:p>
        </w:tc>
        <w:tc>
          <w:tcPr>
            <w:tcW w:w="2407" w:type="dxa"/>
          </w:tcPr>
          <w:p w14:paraId="09EF3E5A" w14:textId="1F985625" w:rsidR="000334E7" w:rsidRDefault="000334E7" w:rsidP="007141EB">
            <w:pPr>
              <w:jc w:val="center"/>
            </w:pPr>
            <w:r>
              <w:t>sPDCCH PRB set size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oMath>
            <w:r>
              <w:t xml:space="preserve">) </w:t>
            </w:r>
          </w:p>
        </w:tc>
        <w:tc>
          <w:tcPr>
            <w:tcW w:w="2408" w:type="dxa"/>
          </w:tcPr>
          <w:p w14:paraId="3A37C84E" w14:textId="004AB7B3" w:rsidR="000334E7" w:rsidRDefault="000334E7" w:rsidP="007141EB">
            <w:pPr>
              <w:jc w:val="center"/>
            </w:pPr>
            <w:r>
              <w:t>sPDCCH PRB set size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RB</m:t>
                  </m:r>
                </m:sub>
              </m:sSub>
            </m:oMath>
            <w:r>
              <w:t>)</w:t>
            </w:r>
          </w:p>
        </w:tc>
      </w:tr>
      <w:tr w:rsidR="000334E7" w14:paraId="2DC137EC" w14:textId="77777777" w:rsidTr="000334E7">
        <w:tc>
          <w:tcPr>
            <w:tcW w:w="2407" w:type="dxa"/>
          </w:tcPr>
          <w:p w14:paraId="32752AF6" w14:textId="7176EF17" w:rsidR="000334E7" w:rsidRDefault="000334E7" w:rsidP="007141EB">
            <w:pPr>
              <w:jc w:val="center"/>
            </w:pPr>
            <w:r>
              <w:t>1</w:t>
            </w:r>
          </w:p>
        </w:tc>
        <w:tc>
          <w:tcPr>
            <w:tcW w:w="2407" w:type="dxa"/>
          </w:tcPr>
          <w:p w14:paraId="53FDFB87" w14:textId="3394D2F1" w:rsidR="000334E7" w:rsidRDefault="000334E7" w:rsidP="007141EB">
            <w:pPr>
              <w:jc w:val="center"/>
            </w:pPr>
            <w:r>
              <w:t>8</w:t>
            </w:r>
          </w:p>
        </w:tc>
        <w:tc>
          <w:tcPr>
            <w:tcW w:w="2407" w:type="dxa"/>
          </w:tcPr>
          <w:p w14:paraId="51A753EA" w14:textId="51EBEF73" w:rsidR="000334E7" w:rsidRDefault="000334E7" w:rsidP="007141EB">
            <w:pPr>
              <w:jc w:val="center"/>
            </w:pPr>
            <w:r>
              <w:t>24</w:t>
            </w:r>
          </w:p>
        </w:tc>
        <w:tc>
          <w:tcPr>
            <w:tcW w:w="2408" w:type="dxa"/>
          </w:tcPr>
          <w:p w14:paraId="1B4B2B1A" w14:textId="5483DCD3" w:rsidR="000334E7" w:rsidRDefault="000334E7" w:rsidP="007141EB">
            <w:pPr>
              <w:jc w:val="center"/>
            </w:pPr>
            <w:r>
              <w:t>32</w:t>
            </w:r>
          </w:p>
        </w:tc>
      </w:tr>
      <w:tr w:rsidR="000334E7" w14:paraId="0CB60A7E" w14:textId="77777777" w:rsidTr="000334E7">
        <w:tc>
          <w:tcPr>
            <w:tcW w:w="2407" w:type="dxa"/>
          </w:tcPr>
          <w:p w14:paraId="688B2A67" w14:textId="1827CCD8" w:rsidR="000334E7" w:rsidRDefault="000334E7" w:rsidP="007141EB">
            <w:pPr>
              <w:jc w:val="center"/>
            </w:pPr>
            <w:r>
              <w:t>2</w:t>
            </w:r>
          </w:p>
        </w:tc>
        <w:tc>
          <w:tcPr>
            <w:tcW w:w="2407" w:type="dxa"/>
          </w:tcPr>
          <w:p w14:paraId="3DE6B12C" w14:textId="27FFF99E" w:rsidR="000334E7" w:rsidRDefault="000334E7" w:rsidP="007141EB">
            <w:pPr>
              <w:jc w:val="center"/>
            </w:pPr>
            <w:r>
              <w:t>8</w:t>
            </w:r>
          </w:p>
        </w:tc>
        <w:tc>
          <w:tcPr>
            <w:tcW w:w="2407" w:type="dxa"/>
          </w:tcPr>
          <w:p w14:paraId="5627B335" w14:textId="6BC60111" w:rsidR="000334E7" w:rsidRDefault="000334E7" w:rsidP="007141EB">
            <w:pPr>
              <w:jc w:val="center"/>
            </w:pPr>
            <w:r>
              <w:t>12</w:t>
            </w:r>
          </w:p>
        </w:tc>
        <w:tc>
          <w:tcPr>
            <w:tcW w:w="2408" w:type="dxa"/>
          </w:tcPr>
          <w:p w14:paraId="4C12EA5F" w14:textId="435BA208" w:rsidR="000334E7" w:rsidRDefault="000334E7" w:rsidP="007141EB">
            <w:pPr>
              <w:jc w:val="center"/>
            </w:pPr>
            <w:r>
              <w:t>16</w:t>
            </w:r>
          </w:p>
        </w:tc>
      </w:tr>
      <w:tr w:rsidR="000334E7" w14:paraId="711B1E80" w14:textId="77777777" w:rsidTr="000334E7">
        <w:tc>
          <w:tcPr>
            <w:tcW w:w="2407" w:type="dxa"/>
          </w:tcPr>
          <w:p w14:paraId="3EBD3E4B" w14:textId="29F79DBB" w:rsidR="000334E7" w:rsidRDefault="000334E7" w:rsidP="007141EB">
            <w:pPr>
              <w:jc w:val="center"/>
            </w:pPr>
            <w:r>
              <w:t>3</w:t>
            </w:r>
          </w:p>
        </w:tc>
        <w:tc>
          <w:tcPr>
            <w:tcW w:w="2407" w:type="dxa"/>
          </w:tcPr>
          <w:p w14:paraId="7D0B97C3" w14:textId="5EC50135" w:rsidR="000334E7" w:rsidRDefault="000334E7" w:rsidP="007141EB">
            <w:pPr>
              <w:jc w:val="center"/>
            </w:pPr>
            <w:r>
              <w:t>8</w:t>
            </w:r>
          </w:p>
        </w:tc>
        <w:tc>
          <w:tcPr>
            <w:tcW w:w="2407" w:type="dxa"/>
          </w:tcPr>
          <w:p w14:paraId="40CA0FD9" w14:textId="45CC6649" w:rsidR="000334E7" w:rsidRDefault="000334E7" w:rsidP="007141EB">
            <w:pPr>
              <w:jc w:val="center"/>
            </w:pPr>
            <w:r>
              <w:t>8</w:t>
            </w:r>
          </w:p>
        </w:tc>
        <w:tc>
          <w:tcPr>
            <w:tcW w:w="2408" w:type="dxa"/>
          </w:tcPr>
          <w:p w14:paraId="22CEC2FD" w14:textId="33FDE269" w:rsidR="000334E7" w:rsidRDefault="000334E7" w:rsidP="007141EB">
            <w:pPr>
              <w:jc w:val="center"/>
            </w:pPr>
            <w:r>
              <w:t>N/A</w:t>
            </w:r>
          </w:p>
        </w:tc>
      </w:tr>
    </w:tbl>
    <w:p w14:paraId="674AE141" w14:textId="6F1EF4AB" w:rsidR="00B129CF" w:rsidRDefault="00B129CF" w:rsidP="00283225"/>
    <w:p w14:paraId="6D47D3CA" w14:textId="736D06D7" w:rsidR="00A03938" w:rsidRDefault="00B129CF" w:rsidP="008149FE">
      <w:r>
        <w:t xml:space="preserve"> </w:t>
      </w:r>
      <w:r w:rsidR="00087F33">
        <w:t xml:space="preserve"> </w:t>
      </w:r>
    </w:p>
    <w:p w14:paraId="78F86ABB" w14:textId="5A4C7C9A" w:rsidR="00B5207C" w:rsidRDefault="00B5207C" w:rsidP="0089197A">
      <w:pPr>
        <w:pStyle w:val="Heading2"/>
      </w:pPr>
      <w:r>
        <w:lastRenderedPageBreak/>
        <w:t>SFBC details</w:t>
      </w:r>
    </w:p>
    <w:p w14:paraId="4355094B" w14:textId="51EB08B6" w:rsidR="00D154C6" w:rsidRDefault="00016D17" w:rsidP="00D154C6">
      <w:r>
        <w:t xml:space="preserve">In RAN1#89 it was agreed that </w:t>
      </w:r>
      <w:r w:rsidR="003F74B7" w:rsidRPr="003F74B7">
        <w:t>SFBC is supported for CRS-based sPDCCH</w:t>
      </w:r>
      <w:r w:rsidR="003F74B7">
        <w:t>. When it comes to the number of antenna ports t</w:t>
      </w:r>
      <w:r w:rsidR="003F74B7" w:rsidRPr="00D154C6">
        <w:t>he same rule as in legacy can be applied</w:t>
      </w:r>
      <w:r w:rsidR="003F74B7">
        <w:t>. D</w:t>
      </w:r>
      <w:r w:rsidR="00D154C6" w:rsidRPr="00D154C6">
        <w:t>epending on PBCH</w:t>
      </w:r>
      <w:r w:rsidR="003F74B7">
        <w:t xml:space="preserve"> </w:t>
      </w:r>
      <w:r w:rsidR="003F74B7" w:rsidRPr="00D154C6">
        <w:t>2 ports or 4 ports</w:t>
      </w:r>
      <w:r w:rsidR="003F74B7">
        <w:t xml:space="preserve"> are used</w:t>
      </w:r>
      <w:r w:rsidR="00D154C6" w:rsidRPr="00D154C6">
        <w:t>. The same CRS ports as used for PBCH are used for CRS based sPDCCH.</w:t>
      </w:r>
    </w:p>
    <w:p w14:paraId="76CAA194" w14:textId="4B03B264" w:rsidR="00016D17" w:rsidRDefault="00016D17" w:rsidP="00016D17">
      <w:pPr>
        <w:pStyle w:val="Proposal"/>
      </w:pPr>
      <w:r w:rsidRPr="00016D17">
        <w:t xml:space="preserve"> </w:t>
      </w:r>
      <w:bookmarkStart w:id="207" w:name="_Hlk489447190"/>
      <w:bookmarkStart w:id="208" w:name="_Toc490235392"/>
      <w:bookmarkStart w:id="209" w:name="_Toc490241959"/>
      <w:bookmarkStart w:id="210" w:name="_Toc490254911"/>
      <w:bookmarkStart w:id="211" w:name="_Toc490255148"/>
      <w:bookmarkStart w:id="212" w:name="_Toc490255168"/>
      <w:bookmarkStart w:id="213" w:name="_Toc490255415"/>
      <w:r w:rsidRPr="00D154C6">
        <w:t>The same CRS ports as used for PBCH are used for CRS based sPDCCH</w:t>
      </w:r>
      <w:bookmarkEnd w:id="207"/>
      <w:bookmarkEnd w:id="208"/>
      <w:bookmarkEnd w:id="209"/>
      <w:bookmarkEnd w:id="210"/>
      <w:bookmarkEnd w:id="211"/>
      <w:bookmarkEnd w:id="212"/>
      <w:bookmarkEnd w:id="213"/>
    </w:p>
    <w:p w14:paraId="40BA1DD6" w14:textId="77777777" w:rsidR="00016D17" w:rsidRDefault="00016D17" w:rsidP="00D154C6"/>
    <w:p w14:paraId="0C6010B5" w14:textId="77777777" w:rsidR="003F468A" w:rsidRPr="00906BFE" w:rsidRDefault="003F468A" w:rsidP="003F468A">
      <w:r w:rsidRPr="001E43F8">
        <w:t>Assuming an X-port</w:t>
      </w:r>
      <w:r>
        <w:t xml:space="preserve"> SFBC is adopted for CRS-based sPDCCH</w:t>
      </w:r>
      <w:r w:rsidRPr="001E43F8">
        <w:t xml:space="preserve">, </w:t>
      </w:r>
      <w:r>
        <w:t>the number of usable tones per sREG</w:t>
      </w:r>
      <w:r w:rsidRPr="001E43F8">
        <w:t xml:space="preserve"> </w:t>
      </w:r>
      <w:r>
        <w:t xml:space="preserve">needs to be a multiple of X, but </w:t>
      </w:r>
      <w:r w:rsidRPr="001E43F8">
        <w:t xml:space="preserve">may not be </w:t>
      </w:r>
      <w:r>
        <w:t xml:space="preserve">for a variety of reasons.  Firstly, two port CSI-RS may be present in the same symbols as sPDCCH, as shown below.  While one two port CSI-RS is shown here, UEs can be configured with multiple two port CSI-RSs for CoMP or for FD-MIMO with K&gt;1 CSI-RS resources, and these will generally be distributed over different OFDM symbol pairs in a subframe.  Consequently, half of the sTTIs in a subframe could be impacted.  Secondly, if sPDSCH DMRS uses 3 REs in an sREG, there will again be an odd number of REs in the sREG, and this will happen in every sTTI in which the sPDSCH is scheduled.  If proposals such as simply dropping REs that do not form complete pairs/groups are used, we lose the use of up to X-1 REs </w:t>
      </w:r>
      <w:r w:rsidRPr="00150484">
        <w:rPr>
          <w:b/>
        </w:rPr>
        <w:t>per sREG</w:t>
      </w:r>
      <w:r>
        <w:t>, amounting to 1/12 and 3/12 REs for 2 port and 4 port SFBC, respectively.  Such 8-25% losses of available REs substantially reduce the gains of SFBC for sPDCCH.</w:t>
      </w:r>
    </w:p>
    <w:p w14:paraId="5C6D9D3C" w14:textId="599E6906" w:rsidR="003F468A" w:rsidRDefault="003F468A" w:rsidP="003F468A">
      <w:r>
        <w:t xml:space="preserve">An alternative to recover the otherwise lost REs is simply to repeat one of the transmitted SFBC symbols in the orphan RE. </w:t>
      </w:r>
      <w:r>
        <w:fldChar w:fldCharType="begin"/>
      </w:r>
      <w:r>
        <w:instrText xml:space="preserve"> REF _Ref490217627 \h </w:instrText>
      </w:r>
      <w:r>
        <w:fldChar w:fldCharType="separate"/>
      </w:r>
      <w:r>
        <w:t xml:space="preserve">Figure </w:t>
      </w:r>
      <w:r>
        <w:rPr>
          <w:noProof/>
        </w:rPr>
        <w:t>3</w:t>
      </w:r>
      <w:r>
        <w:fldChar w:fldCharType="end"/>
      </w:r>
      <w:r>
        <w:t xml:space="preserve"> depicts an example with two port CSI-RS and two port SFBC. The REs available in the sREG are grouped in pairs. The orphan RE is associated to the last group and contains a repetition of a symbol from this last group (here S8 on antenna port 0 and -S9* on antenna port 1).  The orphan RE can be paired with its neighboring RE using the normal SFBC reception process, as shown by the dashed arrows.  Four port SFBC can be implemented in a similar way.</w:t>
      </w:r>
    </w:p>
    <w:p w14:paraId="6B4D110C" w14:textId="77777777" w:rsidR="008F5E11" w:rsidRPr="00C5545B" w:rsidRDefault="008F5E11" w:rsidP="008F5E11">
      <w:pPr>
        <w:pStyle w:val="Proposal"/>
      </w:pPr>
      <w:bookmarkStart w:id="214" w:name="_Toc490255149"/>
      <w:bookmarkStart w:id="215" w:name="_Toc490255169"/>
      <w:bookmarkStart w:id="216" w:name="_Toc490255416"/>
      <w:r>
        <w:t>Handle SFBC ‘orphan’ REs by repeating an RE of each sREG</w:t>
      </w:r>
      <w:bookmarkEnd w:id="214"/>
      <w:bookmarkEnd w:id="215"/>
      <w:bookmarkEnd w:id="216"/>
      <w:r>
        <w:t xml:space="preserve"> </w:t>
      </w:r>
    </w:p>
    <w:p w14:paraId="2D2FF342" w14:textId="77777777" w:rsidR="008F5E11" w:rsidRDefault="008F5E11" w:rsidP="003F468A"/>
    <w:p w14:paraId="7435EA73" w14:textId="77777777" w:rsidR="003F468A" w:rsidRDefault="003F468A" w:rsidP="003F468A">
      <w:r w:rsidRPr="002F55FC">
        <w:t xml:space="preserve"> </w:t>
      </w:r>
      <w:r w:rsidRPr="00DD2AB6">
        <w:rPr>
          <w:noProof/>
          <w:lang w:val="sv-SE" w:eastAsia="sv-SE"/>
        </w:rPr>
        <w:drawing>
          <wp:inline distT="0" distB="0" distL="0" distR="0" wp14:anchorId="2D22E138" wp14:editId="2E26E801">
            <wp:extent cx="2971800" cy="3611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l="8505" r="13781"/>
                    <a:stretch/>
                  </pic:blipFill>
                  <pic:spPr bwMode="auto">
                    <a:xfrm>
                      <a:off x="0" y="0"/>
                      <a:ext cx="2971800" cy="3611880"/>
                    </a:xfrm>
                    <a:prstGeom prst="rect">
                      <a:avLst/>
                    </a:prstGeom>
                    <a:noFill/>
                    <a:ln>
                      <a:noFill/>
                    </a:ln>
                    <a:extLst>
                      <a:ext uri="{53640926-AAD7-44D8-BBD7-CCE9431645EC}">
                        <a14:shadowObscured xmlns:a14="http://schemas.microsoft.com/office/drawing/2010/main"/>
                      </a:ext>
                    </a:extLst>
                  </pic:spPr>
                </pic:pic>
              </a:graphicData>
            </a:graphic>
          </wp:inline>
        </w:drawing>
      </w:r>
      <w:r w:rsidRPr="00DD2AB6">
        <w:t xml:space="preserve"> </w:t>
      </w:r>
      <w:r w:rsidRPr="00DD2AB6">
        <w:rPr>
          <w:noProof/>
          <w:lang w:val="sv-SE" w:eastAsia="sv-SE"/>
        </w:rPr>
        <w:drawing>
          <wp:inline distT="0" distB="0" distL="0" distR="0" wp14:anchorId="259F2CDB" wp14:editId="668893C4">
            <wp:extent cx="2971800" cy="36118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8800" r="13487"/>
                    <a:stretch/>
                  </pic:blipFill>
                  <pic:spPr bwMode="auto">
                    <a:xfrm>
                      <a:off x="0" y="0"/>
                      <a:ext cx="2971800" cy="3611880"/>
                    </a:xfrm>
                    <a:prstGeom prst="rect">
                      <a:avLst/>
                    </a:prstGeom>
                    <a:noFill/>
                    <a:ln>
                      <a:noFill/>
                    </a:ln>
                    <a:extLst>
                      <a:ext uri="{53640926-AAD7-44D8-BBD7-CCE9431645EC}">
                        <a14:shadowObscured xmlns:a14="http://schemas.microsoft.com/office/drawing/2010/main"/>
                      </a:ext>
                    </a:extLst>
                  </pic:spPr>
                </pic:pic>
              </a:graphicData>
            </a:graphic>
          </wp:inline>
        </w:drawing>
      </w:r>
      <w:r w:rsidRPr="002F55FC">
        <w:t xml:space="preserve"> </w:t>
      </w:r>
    </w:p>
    <w:p w14:paraId="53702DF2" w14:textId="77777777" w:rsidR="003F468A" w:rsidRDefault="003F468A" w:rsidP="003F468A">
      <w:pPr>
        <w:pStyle w:val="Caption"/>
      </w:pPr>
      <w:bookmarkStart w:id="217" w:name="_Ref490217627"/>
      <w:r>
        <w:t xml:space="preserve">Figure </w:t>
      </w:r>
      <w:r>
        <w:fldChar w:fldCharType="begin"/>
      </w:r>
      <w:r>
        <w:instrText xml:space="preserve"> SEQ Figure \* ARABIC </w:instrText>
      </w:r>
      <w:r>
        <w:fldChar w:fldCharType="separate"/>
      </w:r>
      <w:r>
        <w:rPr>
          <w:noProof/>
        </w:rPr>
        <w:t>3</w:t>
      </w:r>
      <w:r>
        <w:fldChar w:fldCharType="end"/>
      </w:r>
      <w:bookmarkEnd w:id="217"/>
      <w:r>
        <w:t xml:space="preserve"> Orphan recovery for sPDCCH with SFBC</w:t>
      </w:r>
    </w:p>
    <w:p w14:paraId="31A5CC3B" w14:textId="0B1A1432" w:rsidR="005F060D" w:rsidRDefault="00F252F0" w:rsidP="005F060D">
      <w:pPr>
        <w:pStyle w:val="Heading2"/>
      </w:pPr>
      <w:bookmarkStart w:id="218" w:name="_Toc490254913"/>
      <w:bookmarkEnd w:id="218"/>
      <w:r>
        <w:lastRenderedPageBreak/>
        <w:t>I</w:t>
      </w:r>
      <w:r w:rsidR="005F060D">
        <w:t>n</w:t>
      </w:r>
      <w:r>
        <w:t>creasing</w:t>
      </w:r>
      <w:r w:rsidR="005F060D">
        <w:t xml:space="preserve"> sPDCCH CRC length</w:t>
      </w:r>
    </w:p>
    <w:p w14:paraId="4098AEA1" w14:textId="00EE8855" w:rsidR="005F060D" w:rsidRDefault="005F060D" w:rsidP="005F060D">
      <w:r>
        <w:t>There have been proposals about increasing the sPDCCH CRC length from 16 to 24 bits. This is motivated by the lower rate of false detection, and to avoid additional pruning algorithms in the UE to mitigate this.</w:t>
      </w:r>
      <w:r w:rsidR="0058744F">
        <w:t xml:space="preserve"> A longer CRC has some impact on the control channel performance.</w:t>
      </w:r>
    </w:p>
    <w:p w14:paraId="3C701CFF" w14:textId="0CC6E0FB" w:rsidR="005F060D" w:rsidRDefault="003F468A" w:rsidP="005F060D">
      <w:r>
        <w:fldChar w:fldCharType="begin"/>
      </w:r>
      <w:r>
        <w:instrText xml:space="preserve"> REF _Ref490221307 \h  \* MERGEFORMAT </w:instrText>
      </w:r>
      <w:r>
        <w:fldChar w:fldCharType="separate"/>
      </w:r>
      <w:r w:rsidRPr="00863570">
        <w:t xml:space="preserve">Figure </w:t>
      </w:r>
      <w:r w:rsidRPr="00834052">
        <w:rPr>
          <w:noProof/>
        </w:rPr>
        <w:t>4</w:t>
      </w:r>
      <w:r>
        <w:fldChar w:fldCharType="end"/>
      </w:r>
      <w:r>
        <w:t xml:space="preserve"> </w:t>
      </w:r>
      <w:r w:rsidR="008345A7" w:rsidRPr="00565D2E">
        <w:t xml:space="preserve">shows sPDCCH BLER for </w:t>
      </w:r>
      <w:r w:rsidR="008345A7">
        <w:t xml:space="preserve">sPDCCH </w:t>
      </w:r>
      <w:r w:rsidR="00836279">
        <w:t xml:space="preserve">of AL1 </w:t>
      </w:r>
      <w:r w:rsidR="008345A7">
        <w:t>in 10 MHz system bandwidth with an sPDCCH-PRB-set size of 18 PRBs</w:t>
      </w:r>
      <w:r w:rsidR="008345A7" w:rsidRPr="00565D2E">
        <w:t xml:space="preserve">, </w:t>
      </w:r>
      <w:r w:rsidR="008345A7">
        <w:t>assuming the</w:t>
      </w:r>
      <w:r w:rsidR="008345A7" w:rsidRPr="00565D2E">
        <w:t xml:space="preserve"> </w:t>
      </w:r>
      <w:r w:rsidR="008345A7">
        <w:t xml:space="preserve">distributed and localized configurations for the sCCE0 depicted in </w:t>
      </w:r>
      <w:r w:rsidR="008345A7" w:rsidRPr="00565D2E">
        <w:fldChar w:fldCharType="begin"/>
      </w:r>
      <w:r w:rsidR="008345A7" w:rsidRPr="00565D2E">
        <w:instrText xml:space="preserve"> REF _Ref481158069 \h  \* MERGEFORMAT </w:instrText>
      </w:r>
      <w:r w:rsidR="008345A7" w:rsidRPr="00565D2E">
        <w:fldChar w:fldCharType="separate"/>
      </w:r>
      <w:r w:rsidR="008345A7" w:rsidRPr="00565D2E">
        <w:t xml:space="preserve">Figure </w:t>
      </w:r>
      <w:r w:rsidR="008345A7" w:rsidRPr="00565D2E">
        <w:rPr>
          <w:noProof/>
        </w:rPr>
        <w:t>1</w:t>
      </w:r>
      <w:r w:rsidR="008345A7" w:rsidRPr="00565D2E">
        <w:fldChar w:fldCharType="end"/>
      </w:r>
      <w:r w:rsidR="008345A7">
        <w:t xml:space="preserve">. Results for an EVA channel (left) and for an ETU channel (right) both at 3 km/h are depicted in Figure 5. The figure shows simulations both for the standard 16 bits CRC, as well as performance when 8 additional bits are used, i.e. 24 bits CRC. As can be observed, 24 bits CRC will increase the code rate and BLER, which leads to a loss of </w:t>
      </w:r>
      <w:r w:rsidR="005F060D" w:rsidRPr="008345A7">
        <w:t>about 1.5-2 dB.</w:t>
      </w:r>
    </w:p>
    <w:p w14:paraId="3415398E" w14:textId="36CD4255" w:rsidR="005F060D" w:rsidRDefault="005F060D" w:rsidP="005F060D">
      <w:bookmarkStart w:id="219" w:name="_GoBack"/>
      <w:bookmarkEnd w:id="219"/>
    </w:p>
    <w:p w14:paraId="5EF1533E" w14:textId="77777777" w:rsidR="008345A7" w:rsidRPr="00F95F6C" w:rsidRDefault="008345A7" w:rsidP="008345A7"/>
    <w:p w14:paraId="6B136549" w14:textId="5507D409" w:rsidR="008345A7" w:rsidRPr="004E1C52" w:rsidRDefault="008345A7" w:rsidP="008345A7">
      <w:pPr>
        <w:keepNext/>
        <w:rPr>
          <w:lang w:val="sv-SE"/>
        </w:rPr>
      </w:pPr>
      <w:r>
        <w:rPr>
          <w:rFonts w:ascii="Times New Roman" w:hAnsi="Times New Roman"/>
          <w:noProof/>
          <w:color w:val="000000"/>
          <w:w w:val="0"/>
          <w:sz w:val="0"/>
          <w:szCs w:val="0"/>
          <w:u w:color="000000"/>
          <w:bdr w:val="none" w:sz="0" w:space="0" w:color="000000"/>
          <w:shd w:val="clear" w:color="000000" w:fill="000000"/>
          <w:lang w:val="sv-SE" w:eastAsia="sv-SE"/>
        </w:rPr>
        <w:drawing>
          <wp:inline distT="0" distB="0" distL="0" distR="0" wp14:anchorId="15EA564D" wp14:editId="032DA577">
            <wp:extent cx="3039194" cy="2279395"/>
            <wp:effectExtent l="0" t="0" r="889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VA_RAN1-89-1SCCE.png"/>
                    <pic:cNvPicPr/>
                  </pic:nvPicPr>
                  <pic:blipFill>
                    <a:blip r:embed="rId18">
                      <a:extLst>
                        <a:ext uri="{28A0092B-C50C-407E-A947-70E740481C1C}">
                          <a14:useLocalDpi xmlns:a14="http://schemas.microsoft.com/office/drawing/2010/main" val="0"/>
                        </a:ext>
                      </a:extLst>
                    </a:blip>
                    <a:stretch>
                      <a:fillRect/>
                    </a:stretch>
                  </pic:blipFill>
                  <pic:spPr>
                    <a:xfrm>
                      <a:off x="0" y="0"/>
                      <a:ext cx="3060867" cy="2295650"/>
                    </a:xfrm>
                    <a:prstGeom prst="rect">
                      <a:avLst/>
                    </a:prstGeom>
                  </pic:spPr>
                </pic:pic>
              </a:graphicData>
            </a:graphic>
          </wp:inline>
        </w:drawing>
      </w:r>
      <w:r w:rsidRPr="00F95F6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noProof/>
          <w:lang w:val="sv-SE" w:eastAsia="sv-SE"/>
        </w:rPr>
        <w:drawing>
          <wp:inline distT="0" distB="0" distL="0" distR="0" wp14:anchorId="6B5089A3" wp14:editId="221E0493">
            <wp:extent cx="3067840" cy="230088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_RAN1-89-1SCCE.png"/>
                    <pic:cNvPicPr/>
                  </pic:nvPicPr>
                  <pic:blipFill>
                    <a:blip r:embed="rId19">
                      <a:extLst>
                        <a:ext uri="{28A0092B-C50C-407E-A947-70E740481C1C}">
                          <a14:useLocalDpi xmlns:a14="http://schemas.microsoft.com/office/drawing/2010/main" val="0"/>
                        </a:ext>
                      </a:extLst>
                    </a:blip>
                    <a:stretch>
                      <a:fillRect/>
                    </a:stretch>
                  </pic:blipFill>
                  <pic:spPr>
                    <a:xfrm>
                      <a:off x="0" y="0"/>
                      <a:ext cx="3147816" cy="2360863"/>
                    </a:xfrm>
                    <a:prstGeom prst="rect">
                      <a:avLst/>
                    </a:prstGeom>
                  </pic:spPr>
                </pic:pic>
              </a:graphicData>
            </a:graphic>
          </wp:inline>
        </w:drawing>
      </w:r>
    </w:p>
    <w:p w14:paraId="622193B5" w14:textId="77777777" w:rsidR="008345A7" w:rsidRPr="004E1C52" w:rsidRDefault="008345A7" w:rsidP="008345A7">
      <w:pPr>
        <w:keepNext/>
        <w:rPr>
          <w:lang w:val="sv-SE"/>
        </w:rPr>
      </w:pPr>
      <w:r w:rsidRPr="004E1C52">
        <w:rPr>
          <w:lang w:val="sv-SE"/>
        </w:rPr>
        <w:t xml:space="preserve">    </w:t>
      </w:r>
      <w:r w:rsidRPr="004E1C52">
        <w:rPr>
          <w:lang w:val="sv-SE"/>
        </w:rPr>
        <w:tab/>
      </w:r>
      <w:r w:rsidRPr="004E1C52">
        <w:rPr>
          <w:lang w:val="sv-SE"/>
        </w:rPr>
        <w:tab/>
      </w:r>
      <w:r w:rsidRPr="004E1C52">
        <w:rPr>
          <w:lang w:val="sv-SE"/>
        </w:rPr>
        <w:tab/>
        <w:t xml:space="preserve">     EVA 3km/h</w:t>
      </w:r>
      <w:r w:rsidRPr="004E1C52">
        <w:rPr>
          <w:lang w:val="sv-SE"/>
        </w:rPr>
        <w:tab/>
      </w:r>
      <w:r w:rsidRPr="004E1C52">
        <w:rPr>
          <w:lang w:val="sv-SE"/>
        </w:rPr>
        <w:tab/>
      </w:r>
      <w:r w:rsidRPr="004E1C52">
        <w:rPr>
          <w:lang w:val="sv-SE"/>
        </w:rPr>
        <w:tab/>
      </w:r>
      <w:r w:rsidRPr="004E1C52">
        <w:rPr>
          <w:lang w:val="sv-SE"/>
        </w:rPr>
        <w:tab/>
      </w:r>
      <w:r w:rsidRPr="004E1C52">
        <w:rPr>
          <w:lang w:val="sv-SE"/>
        </w:rPr>
        <w:tab/>
      </w:r>
      <w:r w:rsidRPr="004E1C52">
        <w:rPr>
          <w:lang w:val="sv-SE"/>
        </w:rPr>
        <w:tab/>
        <w:t xml:space="preserve">     ETU 3km/h</w:t>
      </w:r>
    </w:p>
    <w:p w14:paraId="3D2C8010" w14:textId="77777777" w:rsidR="008345A7" w:rsidRPr="004E1C52" w:rsidRDefault="008345A7" w:rsidP="008345A7">
      <w:pPr>
        <w:keepNext/>
        <w:rPr>
          <w:lang w:val="sv-SE"/>
        </w:rPr>
      </w:pPr>
    </w:p>
    <w:p w14:paraId="6F39C292" w14:textId="44B1AC63" w:rsidR="008345A7" w:rsidRPr="006A707E" w:rsidRDefault="008345A7" w:rsidP="008345A7">
      <w:pPr>
        <w:pStyle w:val="Caption"/>
        <w:jc w:val="both"/>
      </w:pPr>
      <w:bookmarkStart w:id="220" w:name="_Ref490221307"/>
      <w:r w:rsidRPr="006A707E">
        <w:t xml:space="preserve">Figure </w:t>
      </w:r>
      <w:r w:rsidRPr="006A707E">
        <w:fldChar w:fldCharType="begin"/>
      </w:r>
      <w:r w:rsidRPr="006A707E">
        <w:instrText xml:space="preserve"> SEQ Figure \* ARABIC </w:instrText>
      </w:r>
      <w:r w:rsidRPr="006A707E">
        <w:fldChar w:fldCharType="separate"/>
      </w:r>
      <w:r w:rsidR="003F468A" w:rsidRPr="006A707E">
        <w:rPr>
          <w:noProof/>
        </w:rPr>
        <w:t>4</w:t>
      </w:r>
      <w:r w:rsidRPr="006A707E">
        <w:fldChar w:fldCharType="end"/>
      </w:r>
      <w:bookmarkEnd w:id="220"/>
      <w:r w:rsidRPr="006A707E">
        <w:t>. Link performance of different sREG mappings for one sCCE</w:t>
      </w:r>
      <w:r w:rsidR="001F2F5F" w:rsidRPr="006A707E">
        <w:t xml:space="preserve"> sPDCCH</w:t>
      </w:r>
      <w:r w:rsidRPr="006A707E">
        <w:t>. EVA on the left, ETU on the right. Both plots include curve sets with different payloads of 14 and 34 bits excluding CRC, and with CRC length 16 or 24 bits.</w:t>
      </w:r>
    </w:p>
    <w:p w14:paraId="33547BB4" w14:textId="77777777" w:rsidR="008345A7" w:rsidRDefault="008345A7" w:rsidP="005F060D"/>
    <w:p w14:paraId="0866E9B7" w14:textId="3D123EFB" w:rsidR="005F060D" w:rsidRDefault="005F060D" w:rsidP="008345A7">
      <w:r>
        <w:t xml:space="preserve">The loss in demodulation performance may be compensated by using higher aggregation levels, but this may then lead </w:t>
      </w:r>
      <w:r w:rsidR="00863570">
        <w:t xml:space="preserve">to </w:t>
      </w:r>
      <w:r>
        <w:t>more scheduling restrictions, and larger control overhead.</w:t>
      </w:r>
    </w:p>
    <w:p w14:paraId="4DE9133B" w14:textId="3FB39A4D" w:rsidR="00A50F15" w:rsidRDefault="00A50F15" w:rsidP="008149FE"/>
    <w:p w14:paraId="0ADE1DCB" w14:textId="58D37F1A" w:rsidR="008345A7" w:rsidRDefault="008345A7" w:rsidP="008345A7">
      <w:pPr>
        <w:pStyle w:val="Observation"/>
      </w:pPr>
      <w:bookmarkStart w:id="221" w:name="_Toc485917937"/>
      <w:bookmarkStart w:id="222" w:name="_Toc490235407"/>
      <w:bookmarkStart w:id="223" w:name="_Toc490241941"/>
      <w:bookmarkStart w:id="224" w:name="_Toc490255130"/>
      <w:bookmarkStart w:id="225" w:name="_Hlk489447086"/>
      <w:bookmarkStart w:id="226" w:name="_Toc490255397"/>
      <w:r>
        <w:t xml:space="preserve">The </w:t>
      </w:r>
      <w:r w:rsidR="00863570">
        <w:t>benefits</w:t>
      </w:r>
      <w:r>
        <w:t xml:space="preserve"> from increasing the sPDCCH CRC length need to be compared </w:t>
      </w:r>
      <w:r w:rsidR="00863570">
        <w:t>with</w:t>
      </w:r>
      <w:r>
        <w:t xml:space="preserve"> the SNR loss resulting from the increased coding rate</w:t>
      </w:r>
      <w:bookmarkEnd w:id="221"/>
      <w:bookmarkEnd w:id="222"/>
      <w:bookmarkEnd w:id="223"/>
      <w:bookmarkEnd w:id="224"/>
      <w:bookmarkEnd w:id="226"/>
    </w:p>
    <w:bookmarkEnd w:id="225"/>
    <w:p w14:paraId="6833573C" w14:textId="77777777" w:rsidR="008345A7" w:rsidRPr="00EC3E8B" w:rsidRDefault="008345A7" w:rsidP="008149FE"/>
    <w:p w14:paraId="01938CD0" w14:textId="77777777" w:rsidR="00C01F33" w:rsidRPr="00CE0424" w:rsidRDefault="00C01F33" w:rsidP="00CE0424">
      <w:pPr>
        <w:pStyle w:val="Heading1"/>
      </w:pPr>
      <w:r w:rsidRPr="00CE0424">
        <w:t>Conclusion</w:t>
      </w:r>
    </w:p>
    <w:p w14:paraId="343F4400" w14:textId="31CCAF05" w:rsidR="003B3640" w:rsidRDefault="00A13BCB" w:rsidP="009A1D82">
      <w:r>
        <w:t xml:space="preserve">In this contribution, we discuss the design of sPDCCH and </w:t>
      </w:r>
      <w:r w:rsidR="005E00D1">
        <w:t>have the following observation</w:t>
      </w:r>
      <w:r w:rsidR="009A1D82">
        <w:t>s</w:t>
      </w:r>
      <w:r>
        <w:t>:</w:t>
      </w:r>
    </w:p>
    <w:p w14:paraId="62D59641" w14:textId="77777777" w:rsidR="006A707E" w:rsidRPr="006A707E" w:rsidRDefault="009A1D82">
      <w:pPr>
        <w:pStyle w:val="TOC1"/>
        <w:rPr>
          <w:rFonts w:asciiTheme="minorHAnsi" w:eastAsiaTheme="minorEastAsia" w:hAnsiTheme="minorHAnsi" w:cstheme="minorBidi"/>
          <w:b w:val="0"/>
          <w:sz w:val="22"/>
          <w:lang w:val="en-GB" w:eastAsia="sv-SE"/>
        </w:rPr>
      </w:pPr>
      <w:r>
        <w:rPr>
          <w:b w:val="0"/>
          <w:bCs/>
        </w:rPr>
        <w:lastRenderedPageBreak/>
        <w:fldChar w:fldCharType="begin"/>
      </w:r>
      <w:r>
        <w:rPr>
          <w:bCs/>
        </w:rPr>
        <w:instrText xml:space="preserve"> TOC \f \n \t "Observation;1" </w:instrText>
      </w:r>
      <w:r>
        <w:rPr>
          <w:b w:val="0"/>
          <w:bCs/>
        </w:rPr>
        <w:fldChar w:fldCharType="separate"/>
      </w:r>
      <w:r w:rsidR="006A707E">
        <w:t>Observation 1</w:t>
      </w:r>
      <w:r w:rsidR="006A707E" w:rsidRPr="006A707E">
        <w:rPr>
          <w:rFonts w:asciiTheme="minorHAnsi" w:eastAsiaTheme="minorEastAsia" w:hAnsiTheme="minorHAnsi" w:cstheme="minorBidi"/>
          <w:b w:val="0"/>
          <w:sz w:val="22"/>
          <w:lang w:val="en-GB" w:eastAsia="sv-SE"/>
        </w:rPr>
        <w:tab/>
      </w:r>
      <w:r w:rsidR="006A707E">
        <w:t>There is no strong motivation to introduce a CRS based sPDCCH of 3 symbols long for CRS based demodulation</w:t>
      </w:r>
    </w:p>
    <w:p w14:paraId="36F2354C" w14:textId="77777777" w:rsidR="006A707E" w:rsidRPr="006A707E" w:rsidRDefault="006A707E">
      <w:pPr>
        <w:pStyle w:val="TOC1"/>
        <w:rPr>
          <w:rFonts w:asciiTheme="minorHAnsi" w:eastAsiaTheme="minorEastAsia" w:hAnsiTheme="minorHAnsi" w:cstheme="minorBidi"/>
          <w:b w:val="0"/>
          <w:sz w:val="22"/>
          <w:lang w:val="en-GB" w:eastAsia="sv-SE"/>
        </w:rPr>
      </w:pPr>
      <w:r>
        <w:t>Observation 2</w:t>
      </w:r>
      <w:r w:rsidRPr="006A707E">
        <w:rPr>
          <w:rFonts w:asciiTheme="minorHAnsi" w:eastAsiaTheme="minorEastAsia" w:hAnsiTheme="minorHAnsi" w:cstheme="minorBidi"/>
          <w:b w:val="0"/>
          <w:sz w:val="22"/>
          <w:lang w:val="en-GB" w:eastAsia="sv-SE"/>
        </w:rPr>
        <w:tab/>
      </w:r>
      <w:r>
        <w:t>If one symbol PDCCH is not sufficient to carry sTTI DCIs, adding a full 2</w:t>
      </w:r>
      <w:r w:rsidRPr="0049394D">
        <w:rPr>
          <w:vertAlign w:val="superscript"/>
        </w:rPr>
        <w:t>nd</w:t>
      </w:r>
      <w:r>
        <w:t xml:space="preserve"> OFDM symbol becomes less efficient than transmitting sPDCCH on sTTI0</w:t>
      </w:r>
    </w:p>
    <w:p w14:paraId="04F37DDA" w14:textId="77777777" w:rsidR="006A707E" w:rsidRPr="006A707E" w:rsidRDefault="006A707E">
      <w:pPr>
        <w:pStyle w:val="TOC1"/>
        <w:rPr>
          <w:rFonts w:asciiTheme="minorHAnsi" w:eastAsiaTheme="minorEastAsia" w:hAnsiTheme="minorHAnsi" w:cstheme="minorBidi"/>
          <w:b w:val="0"/>
          <w:sz w:val="22"/>
          <w:lang w:val="en-GB" w:eastAsia="sv-SE"/>
        </w:rPr>
      </w:pPr>
      <w:r>
        <w:t>Observation 3</w:t>
      </w:r>
      <w:r w:rsidRPr="006A707E">
        <w:rPr>
          <w:rFonts w:asciiTheme="minorHAnsi" w:eastAsiaTheme="minorEastAsia" w:hAnsiTheme="minorHAnsi" w:cstheme="minorBidi"/>
          <w:b w:val="0"/>
          <w:sz w:val="22"/>
          <w:lang w:val="en-GB" w:eastAsia="sv-SE"/>
        </w:rPr>
        <w:tab/>
      </w:r>
      <w:r>
        <w:t>The number of usable REs within one sREG may be different depending on the presence of reference signals within the sTTI</w:t>
      </w:r>
    </w:p>
    <w:p w14:paraId="0C2FD47D" w14:textId="77777777" w:rsidR="006A707E" w:rsidRPr="006A707E" w:rsidRDefault="006A707E">
      <w:pPr>
        <w:pStyle w:val="TOC1"/>
        <w:rPr>
          <w:rFonts w:asciiTheme="minorHAnsi" w:eastAsiaTheme="minorEastAsia" w:hAnsiTheme="minorHAnsi" w:cstheme="minorBidi"/>
          <w:b w:val="0"/>
          <w:sz w:val="22"/>
          <w:lang w:val="en-GB" w:eastAsia="sv-SE"/>
        </w:rPr>
      </w:pPr>
      <w:r>
        <w:t>Observation 4</w:t>
      </w:r>
      <w:r w:rsidRPr="006A707E">
        <w:rPr>
          <w:rFonts w:asciiTheme="minorHAnsi" w:eastAsiaTheme="minorEastAsia" w:hAnsiTheme="minorHAnsi" w:cstheme="minorBidi"/>
          <w:b w:val="0"/>
          <w:sz w:val="22"/>
          <w:lang w:val="en-GB" w:eastAsia="sv-SE"/>
        </w:rPr>
        <w:tab/>
      </w:r>
      <w:r>
        <w:t>A higher aggregation level can cope with high RS overhead</w:t>
      </w:r>
    </w:p>
    <w:p w14:paraId="21F76D0B" w14:textId="77777777" w:rsidR="006A707E" w:rsidRPr="006A707E" w:rsidRDefault="006A707E">
      <w:pPr>
        <w:pStyle w:val="TOC1"/>
        <w:rPr>
          <w:rFonts w:asciiTheme="minorHAnsi" w:eastAsiaTheme="minorEastAsia" w:hAnsiTheme="minorHAnsi" w:cstheme="minorBidi"/>
          <w:b w:val="0"/>
          <w:sz w:val="22"/>
          <w:lang w:val="en-GB" w:eastAsia="sv-SE"/>
        </w:rPr>
      </w:pPr>
      <w:r>
        <w:t>Observation 5</w:t>
      </w:r>
      <w:r w:rsidRPr="006A707E">
        <w:rPr>
          <w:rFonts w:asciiTheme="minorHAnsi" w:eastAsiaTheme="minorEastAsia" w:hAnsiTheme="minorHAnsi" w:cstheme="minorBidi"/>
          <w:b w:val="0"/>
          <w:sz w:val="22"/>
          <w:lang w:val="en-GB" w:eastAsia="sv-SE"/>
        </w:rPr>
        <w:tab/>
      </w:r>
      <w:r>
        <w:t>If a fixed number of sREG/sCCE is used, more aggregation levels need to be monitored by a UE or the monitored ALs should depend on the sTTI index</w:t>
      </w:r>
    </w:p>
    <w:p w14:paraId="2C1F0A3A" w14:textId="77777777" w:rsidR="006A707E" w:rsidRPr="006A707E" w:rsidRDefault="006A707E">
      <w:pPr>
        <w:pStyle w:val="TOC1"/>
        <w:rPr>
          <w:rFonts w:asciiTheme="minorHAnsi" w:eastAsiaTheme="minorEastAsia" w:hAnsiTheme="minorHAnsi" w:cstheme="minorBidi"/>
          <w:b w:val="0"/>
          <w:sz w:val="22"/>
          <w:lang w:val="en-GB" w:eastAsia="sv-SE"/>
        </w:rPr>
      </w:pPr>
      <w:r>
        <w:t>Observation 6</w:t>
      </w:r>
      <w:r w:rsidRPr="006A707E">
        <w:rPr>
          <w:rFonts w:asciiTheme="minorHAnsi" w:eastAsiaTheme="minorEastAsia" w:hAnsiTheme="minorHAnsi" w:cstheme="minorBidi"/>
          <w:b w:val="0"/>
          <w:sz w:val="22"/>
          <w:lang w:val="en-GB" w:eastAsia="sv-SE"/>
        </w:rPr>
        <w:tab/>
      </w:r>
      <w:r>
        <w:t>Varying number of sREGs per sCCE can cope with high RS overhead.</w:t>
      </w:r>
    </w:p>
    <w:p w14:paraId="3DD814A2" w14:textId="77777777" w:rsidR="006A707E" w:rsidRPr="006A707E" w:rsidRDefault="006A707E">
      <w:pPr>
        <w:pStyle w:val="TOC1"/>
        <w:rPr>
          <w:rFonts w:asciiTheme="minorHAnsi" w:eastAsiaTheme="minorEastAsia" w:hAnsiTheme="minorHAnsi" w:cstheme="minorBidi"/>
          <w:b w:val="0"/>
          <w:sz w:val="22"/>
          <w:lang w:val="en-GB" w:eastAsia="sv-SE"/>
        </w:rPr>
      </w:pPr>
      <w:r>
        <w:t>Observation 7</w:t>
      </w:r>
      <w:r w:rsidRPr="006A707E">
        <w:rPr>
          <w:rFonts w:asciiTheme="minorHAnsi" w:eastAsiaTheme="minorEastAsia" w:hAnsiTheme="minorHAnsi" w:cstheme="minorBidi"/>
          <w:b w:val="0"/>
          <w:sz w:val="22"/>
          <w:lang w:val="en-GB" w:eastAsia="sv-SE"/>
        </w:rPr>
        <w:tab/>
      </w:r>
      <w:r>
        <w:t>Selecting the sREG-to-sCCE mapping in the order frequency-first, higher frequency diversity can be achieved</w:t>
      </w:r>
    </w:p>
    <w:p w14:paraId="259C6238" w14:textId="77777777" w:rsidR="006A707E" w:rsidRPr="006A707E" w:rsidRDefault="006A707E">
      <w:pPr>
        <w:pStyle w:val="TOC1"/>
        <w:rPr>
          <w:rFonts w:asciiTheme="minorHAnsi" w:eastAsiaTheme="minorEastAsia" w:hAnsiTheme="minorHAnsi" w:cstheme="minorBidi"/>
          <w:b w:val="0"/>
          <w:sz w:val="22"/>
          <w:lang w:val="en-GB" w:eastAsia="sv-SE"/>
        </w:rPr>
      </w:pPr>
      <w:r>
        <w:t>Observation 8</w:t>
      </w:r>
      <w:r w:rsidRPr="006A707E">
        <w:rPr>
          <w:rFonts w:asciiTheme="minorHAnsi" w:eastAsiaTheme="minorEastAsia" w:hAnsiTheme="minorHAnsi" w:cstheme="minorBidi"/>
          <w:b w:val="0"/>
          <w:sz w:val="22"/>
          <w:lang w:val="en-GB" w:eastAsia="sv-SE"/>
        </w:rPr>
        <w:tab/>
      </w:r>
      <w:r>
        <w:t>Selecting the sREG-to-sCCE mapping in the order time-first, a condensed frequency allocation can be achieved</w:t>
      </w:r>
    </w:p>
    <w:p w14:paraId="7B70D03D" w14:textId="77777777" w:rsidR="006A707E" w:rsidRPr="006A707E" w:rsidRDefault="006A707E">
      <w:pPr>
        <w:pStyle w:val="TOC1"/>
        <w:rPr>
          <w:rFonts w:asciiTheme="minorHAnsi" w:eastAsiaTheme="minorEastAsia" w:hAnsiTheme="minorHAnsi" w:cstheme="minorBidi"/>
          <w:b w:val="0"/>
          <w:sz w:val="22"/>
          <w:lang w:val="en-GB" w:eastAsia="sv-SE"/>
        </w:rPr>
      </w:pPr>
      <w:r>
        <w:t>Observation 9</w:t>
      </w:r>
      <w:r w:rsidRPr="006A707E">
        <w:rPr>
          <w:rFonts w:asciiTheme="minorHAnsi" w:eastAsiaTheme="minorEastAsia" w:hAnsiTheme="minorHAnsi" w:cstheme="minorBidi"/>
          <w:b w:val="0"/>
          <w:sz w:val="22"/>
          <w:lang w:val="en-GB" w:eastAsia="sv-SE"/>
        </w:rPr>
        <w:tab/>
      </w:r>
      <w:r>
        <w:t>The eNB should have full flexibility to assign a sPDCCH-PRB-set for an UE or for different UEs</w:t>
      </w:r>
    </w:p>
    <w:p w14:paraId="31F1A275" w14:textId="77777777" w:rsidR="006A707E" w:rsidRPr="006A707E" w:rsidRDefault="006A707E">
      <w:pPr>
        <w:pStyle w:val="TOC1"/>
        <w:rPr>
          <w:rFonts w:asciiTheme="minorHAnsi" w:eastAsiaTheme="minorEastAsia" w:hAnsiTheme="minorHAnsi" w:cstheme="minorBidi"/>
          <w:b w:val="0"/>
          <w:sz w:val="22"/>
          <w:lang w:val="en-GB" w:eastAsia="sv-SE"/>
        </w:rPr>
      </w:pPr>
      <w:r>
        <w:t>Observation 10</w:t>
      </w:r>
      <w:r w:rsidRPr="006A707E">
        <w:rPr>
          <w:rFonts w:asciiTheme="minorHAnsi" w:eastAsiaTheme="minorEastAsia" w:hAnsiTheme="minorHAnsi" w:cstheme="minorBidi"/>
          <w:b w:val="0"/>
          <w:sz w:val="22"/>
          <w:lang w:val="en-GB" w:eastAsia="sv-SE"/>
        </w:rPr>
        <w:tab/>
      </w:r>
      <w:r>
        <w:t>2os sTTI UEs and slot sTTI UEs should be able to share the same sPDCCH-PRB-set as long as the number of symbols per sPDCCH is the same</w:t>
      </w:r>
    </w:p>
    <w:p w14:paraId="1DF2245E" w14:textId="77777777" w:rsidR="006A707E" w:rsidRPr="006A707E" w:rsidRDefault="006A707E">
      <w:pPr>
        <w:pStyle w:val="TOC1"/>
        <w:rPr>
          <w:rFonts w:asciiTheme="minorHAnsi" w:eastAsiaTheme="minorEastAsia" w:hAnsiTheme="minorHAnsi" w:cstheme="minorBidi"/>
          <w:b w:val="0"/>
          <w:sz w:val="22"/>
          <w:lang w:val="en-GB" w:eastAsia="sv-SE"/>
        </w:rPr>
      </w:pPr>
      <w:r>
        <w:t>Observation 11</w:t>
      </w:r>
      <w:r w:rsidRPr="006A707E">
        <w:rPr>
          <w:rFonts w:asciiTheme="minorHAnsi" w:eastAsiaTheme="minorEastAsia" w:hAnsiTheme="minorHAnsi" w:cstheme="minorBidi"/>
          <w:b w:val="0"/>
          <w:sz w:val="22"/>
          <w:lang w:val="en-GB" w:eastAsia="sv-SE"/>
        </w:rPr>
        <w:tab/>
      </w:r>
      <w:r>
        <w:t>The number of PRBs required to build the set of sCCEs in a sPDCCH-PRB-set should be well defined, so high order diversity can be achieved as well as excessive overhead is avoided</w:t>
      </w:r>
    </w:p>
    <w:p w14:paraId="6D69F706" w14:textId="77777777" w:rsidR="006A707E" w:rsidRPr="006A707E" w:rsidRDefault="006A707E">
      <w:pPr>
        <w:pStyle w:val="TOC1"/>
        <w:rPr>
          <w:rFonts w:asciiTheme="minorHAnsi" w:eastAsiaTheme="minorEastAsia" w:hAnsiTheme="minorHAnsi" w:cstheme="minorBidi"/>
          <w:b w:val="0"/>
          <w:sz w:val="22"/>
          <w:lang w:val="en-GB" w:eastAsia="sv-SE"/>
        </w:rPr>
      </w:pPr>
      <w:r>
        <w:t>Observation 12</w:t>
      </w:r>
      <w:r w:rsidRPr="006A707E">
        <w:rPr>
          <w:rFonts w:asciiTheme="minorHAnsi" w:eastAsiaTheme="minorEastAsia" w:hAnsiTheme="minorHAnsi" w:cstheme="minorBidi"/>
          <w:b w:val="0"/>
          <w:sz w:val="22"/>
          <w:lang w:val="en-GB" w:eastAsia="sv-SE"/>
        </w:rPr>
        <w:tab/>
      </w:r>
      <w:r>
        <w:t>The UE’s sPDCCH-PRB-set should contain at least as many sCCE as required to support the maximum number of sPDCCH candidates defined per aggregation level per UE</w:t>
      </w:r>
    </w:p>
    <w:p w14:paraId="153688F5" w14:textId="77777777" w:rsidR="006A707E" w:rsidRPr="006A707E" w:rsidRDefault="006A707E">
      <w:pPr>
        <w:pStyle w:val="TOC1"/>
        <w:rPr>
          <w:rFonts w:asciiTheme="minorHAnsi" w:eastAsiaTheme="minorEastAsia" w:hAnsiTheme="minorHAnsi" w:cstheme="minorBidi"/>
          <w:b w:val="0"/>
          <w:sz w:val="22"/>
          <w:lang w:val="en-GB" w:eastAsia="sv-SE"/>
        </w:rPr>
      </w:pPr>
      <w:r>
        <w:t>Observation 13</w:t>
      </w:r>
      <w:r w:rsidRPr="006A707E">
        <w:rPr>
          <w:rFonts w:asciiTheme="minorHAnsi" w:eastAsiaTheme="minorEastAsia" w:hAnsiTheme="minorHAnsi" w:cstheme="minorBidi"/>
          <w:b w:val="0"/>
          <w:sz w:val="22"/>
          <w:lang w:val="en-GB" w:eastAsia="sv-SE"/>
        </w:rPr>
        <w:tab/>
      </w:r>
      <w:r>
        <w:t>If the same sPDCCH-PRB-set is configured for multiple UEs, the sPDCCH-PRB-set should support only a limited number of simultaneous UEs with a high AL sPDCCH in the same sTTI.</w:t>
      </w:r>
    </w:p>
    <w:p w14:paraId="6830E882" w14:textId="77777777" w:rsidR="006A707E" w:rsidRPr="006A707E" w:rsidRDefault="006A707E">
      <w:pPr>
        <w:pStyle w:val="TOC1"/>
        <w:rPr>
          <w:rFonts w:asciiTheme="minorHAnsi" w:eastAsiaTheme="minorEastAsia" w:hAnsiTheme="minorHAnsi" w:cstheme="minorBidi"/>
          <w:b w:val="0"/>
          <w:sz w:val="22"/>
          <w:lang w:val="en-GB" w:eastAsia="sv-SE"/>
        </w:rPr>
      </w:pPr>
      <w:r>
        <w:t>Observation 14</w:t>
      </w:r>
      <w:r w:rsidRPr="006A707E">
        <w:rPr>
          <w:rFonts w:asciiTheme="minorHAnsi" w:eastAsiaTheme="minorEastAsia" w:hAnsiTheme="minorHAnsi" w:cstheme="minorBidi"/>
          <w:b w:val="0"/>
          <w:sz w:val="22"/>
          <w:lang w:val="en-GB" w:eastAsia="sv-SE"/>
        </w:rPr>
        <w:tab/>
      </w:r>
      <m:oMath>
        <m:r>
          <m:rPr>
            <m:sty m:val="bi"/>
          </m:rPr>
          <w:rPr>
            <w:rFonts w:ascii="Cambria Math" w:hAnsi="Cambria Math"/>
          </w:rPr>
          <m:t>NsCCE</m:t>
        </m:r>
      </m:oMath>
      <w:r w:rsidRPr="0049394D">
        <w:rPr>
          <w:b w:val="0"/>
        </w:rPr>
        <w:t xml:space="preserve"> </w:t>
      </w:r>
      <w:r>
        <w:t>will be based on different cases or aspects such as the system bandwidth, maximum number of sPDCCH candidates to be supported per UE, and number of UEs sharing the same sPDCCH-PRB-set</w:t>
      </w:r>
    </w:p>
    <w:p w14:paraId="3754A456" w14:textId="77777777" w:rsidR="006A707E" w:rsidRPr="006A707E" w:rsidRDefault="006A707E">
      <w:pPr>
        <w:pStyle w:val="TOC1"/>
        <w:rPr>
          <w:rFonts w:asciiTheme="minorHAnsi" w:eastAsiaTheme="minorEastAsia" w:hAnsiTheme="minorHAnsi" w:cstheme="minorBidi"/>
          <w:b w:val="0"/>
          <w:sz w:val="22"/>
          <w:lang w:val="en-GB" w:eastAsia="sv-SE"/>
        </w:rPr>
      </w:pPr>
      <w:r>
        <w:t>Observation 15</w:t>
      </w:r>
      <w:r w:rsidRPr="006A707E">
        <w:rPr>
          <w:rFonts w:asciiTheme="minorHAnsi" w:eastAsiaTheme="minorEastAsia" w:hAnsiTheme="minorHAnsi" w:cstheme="minorBidi"/>
          <w:b w:val="0"/>
          <w:sz w:val="22"/>
          <w:lang w:val="en-GB" w:eastAsia="sv-SE"/>
        </w:rPr>
        <w:tab/>
      </w:r>
      <w:r>
        <w:t>The benefits from increasing the sPDCCH CRC length need to be compared with the SNR loss resulting from the increased coding rate</w:t>
      </w:r>
    </w:p>
    <w:p w14:paraId="1DC3BBB5" w14:textId="4E6A65F0" w:rsidR="00241A76" w:rsidRDefault="009A1D82" w:rsidP="009A1D82">
      <w:pPr>
        <w:pStyle w:val="BodyText"/>
      </w:pPr>
      <w:r>
        <w:rPr>
          <w:b/>
          <w:bCs/>
        </w:rPr>
        <w:fldChar w:fldCharType="end"/>
      </w:r>
      <w:r>
        <w:rPr>
          <w:b/>
          <w:bCs/>
        </w:rPr>
        <w:br/>
      </w:r>
    </w:p>
    <w:p w14:paraId="4DAD6FB7" w14:textId="5993FFA8" w:rsidR="009A1D82" w:rsidRDefault="009A1D82" w:rsidP="00834052">
      <w:pPr>
        <w:pStyle w:val="BodyText"/>
        <w:keepNext/>
      </w:pPr>
      <w:r w:rsidRPr="004D559D">
        <w:lastRenderedPageBreak/>
        <w:t xml:space="preserve">Based on the discussion in section </w:t>
      </w:r>
      <w:r w:rsidRPr="004D559D">
        <w:rPr>
          <w:highlight w:val="cyan"/>
        </w:rPr>
        <w:fldChar w:fldCharType="begin"/>
      </w:r>
      <w:r w:rsidRPr="004D559D">
        <w:instrText xml:space="preserve"> REF _Ref178064866 \r \h </w:instrText>
      </w:r>
      <w:r w:rsidRPr="004D559D">
        <w:rPr>
          <w:highlight w:val="cyan"/>
        </w:rPr>
        <w:instrText xml:space="preserve"> \* MERGEFORMAT </w:instrText>
      </w:r>
      <w:r w:rsidRPr="004D559D">
        <w:rPr>
          <w:highlight w:val="cyan"/>
        </w:rPr>
      </w:r>
      <w:r w:rsidRPr="004D559D">
        <w:rPr>
          <w:highlight w:val="cyan"/>
        </w:rPr>
        <w:fldChar w:fldCharType="separate"/>
      </w:r>
      <w:r w:rsidRPr="004D559D">
        <w:t>2</w:t>
      </w:r>
      <w:r w:rsidRPr="004D559D">
        <w:rPr>
          <w:highlight w:val="cyan"/>
        </w:rPr>
        <w:fldChar w:fldCharType="end"/>
      </w:r>
      <w:r w:rsidRPr="004D559D">
        <w:t xml:space="preserve"> we propose the following:</w:t>
      </w:r>
    </w:p>
    <w:p w14:paraId="7B4B60E7" w14:textId="77777777" w:rsidR="006A707E" w:rsidRPr="006A707E" w:rsidRDefault="009A1D82">
      <w:pPr>
        <w:pStyle w:val="TOC1"/>
        <w:rPr>
          <w:rFonts w:asciiTheme="minorHAnsi" w:eastAsiaTheme="minorEastAsia" w:hAnsiTheme="minorHAnsi" w:cstheme="minorBidi"/>
          <w:b w:val="0"/>
          <w:sz w:val="22"/>
          <w:lang w:val="en-GB" w:eastAsia="sv-SE"/>
        </w:rPr>
      </w:pPr>
      <w:r w:rsidRPr="009B2D5D">
        <w:fldChar w:fldCharType="begin"/>
      </w:r>
      <w:r w:rsidRPr="009B2D5D">
        <w:instrText xml:space="preserve"> TOC \f \n \p " " \t "Proposal;1" </w:instrText>
      </w:r>
      <w:r w:rsidRPr="009B2D5D">
        <w:fldChar w:fldCharType="separate"/>
      </w:r>
      <w:r w:rsidR="006A707E">
        <w:t>Proposal 1</w:t>
      </w:r>
      <w:r w:rsidR="006A707E" w:rsidRPr="006A707E">
        <w:rPr>
          <w:rFonts w:asciiTheme="minorHAnsi" w:eastAsiaTheme="minorEastAsia" w:hAnsiTheme="minorHAnsi" w:cstheme="minorBidi"/>
          <w:b w:val="0"/>
          <w:sz w:val="22"/>
          <w:lang w:val="en-GB" w:eastAsia="sv-SE"/>
        </w:rPr>
        <w:tab/>
      </w:r>
      <w:r w:rsidR="006A707E">
        <w:t>The eNB shall be able to operate UEs configured with different control channel demodulation assumptions within the same sTTI</w:t>
      </w:r>
    </w:p>
    <w:p w14:paraId="15D17655" w14:textId="77777777" w:rsidR="006A707E" w:rsidRPr="006A707E" w:rsidRDefault="006A707E">
      <w:pPr>
        <w:pStyle w:val="TOC1"/>
        <w:rPr>
          <w:rFonts w:asciiTheme="minorHAnsi" w:eastAsiaTheme="minorEastAsia" w:hAnsiTheme="minorHAnsi" w:cstheme="minorBidi"/>
          <w:b w:val="0"/>
          <w:sz w:val="22"/>
          <w:lang w:val="en-GB" w:eastAsia="sv-SE"/>
        </w:rPr>
      </w:pPr>
      <w:r>
        <w:t>Proposal 2</w:t>
      </w:r>
      <w:r w:rsidRPr="006A707E">
        <w:rPr>
          <w:rFonts w:asciiTheme="minorHAnsi" w:eastAsiaTheme="minorEastAsia" w:hAnsiTheme="minorHAnsi" w:cstheme="minorBidi"/>
          <w:b w:val="0"/>
          <w:sz w:val="22"/>
          <w:lang w:val="en-GB" w:eastAsia="sv-SE"/>
        </w:rPr>
        <w:tab/>
      </w:r>
      <w:r>
        <w:t>Sharing of resources within a PRB can be done between UEs operating with CRS, and between UEs operating with DMRS based demodulation</w:t>
      </w:r>
    </w:p>
    <w:p w14:paraId="1FB54A76" w14:textId="77777777" w:rsidR="006A707E" w:rsidRPr="006A707E" w:rsidRDefault="006A707E">
      <w:pPr>
        <w:pStyle w:val="TOC1"/>
        <w:rPr>
          <w:rFonts w:asciiTheme="minorHAnsi" w:eastAsiaTheme="minorEastAsia" w:hAnsiTheme="minorHAnsi" w:cstheme="minorBidi"/>
          <w:b w:val="0"/>
          <w:sz w:val="22"/>
          <w:lang w:val="en-GB" w:eastAsia="sv-SE"/>
        </w:rPr>
      </w:pPr>
      <w:r>
        <w:t>Proposal 3</w:t>
      </w:r>
      <w:r w:rsidRPr="006A707E">
        <w:rPr>
          <w:rFonts w:asciiTheme="minorHAnsi" w:eastAsiaTheme="minorEastAsia" w:hAnsiTheme="minorHAnsi" w:cstheme="minorBidi"/>
          <w:b w:val="0"/>
          <w:sz w:val="22"/>
          <w:lang w:val="en-GB" w:eastAsia="sv-SE"/>
        </w:rPr>
        <w:tab/>
      </w:r>
      <w:r>
        <w:t>The design for sPDCCH is not optimized to support coexistence of UEs using CRS-based demodulation and UEs using DMRS-based demodulation in the same PRB</w:t>
      </w:r>
    </w:p>
    <w:p w14:paraId="08F65176" w14:textId="77777777" w:rsidR="006A707E" w:rsidRPr="006A707E" w:rsidRDefault="006A707E">
      <w:pPr>
        <w:pStyle w:val="TOC1"/>
        <w:rPr>
          <w:rFonts w:asciiTheme="minorHAnsi" w:eastAsiaTheme="minorEastAsia" w:hAnsiTheme="minorHAnsi" w:cstheme="minorBidi"/>
          <w:b w:val="0"/>
          <w:sz w:val="22"/>
          <w:lang w:val="en-GB" w:eastAsia="sv-SE"/>
        </w:rPr>
      </w:pPr>
      <w:r>
        <w:t>Proposal 4</w:t>
      </w:r>
      <w:r w:rsidRPr="006A707E">
        <w:rPr>
          <w:rFonts w:asciiTheme="minorHAnsi" w:eastAsiaTheme="minorEastAsia" w:hAnsiTheme="minorHAnsi" w:cstheme="minorBidi"/>
          <w:b w:val="0"/>
          <w:sz w:val="22"/>
          <w:lang w:val="en-GB" w:eastAsia="sv-SE"/>
        </w:rPr>
        <w:tab/>
      </w:r>
      <w:r>
        <w:t>Support 3 OFDM symbols DMRS-based sPDCCH for 3-symbol long sTTI</w:t>
      </w:r>
    </w:p>
    <w:p w14:paraId="6C9FBF02" w14:textId="77777777" w:rsidR="006A707E" w:rsidRPr="006A707E" w:rsidRDefault="006A707E">
      <w:pPr>
        <w:pStyle w:val="TOC1"/>
        <w:rPr>
          <w:rFonts w:asciiTheme="minorHAnsi" w:eastAsiaTheme="minorEastAsia" w:hAnsiTheme="minorHAnsi" w:cstheme="minorBidi"/>
          <w:b w:val="0"/>
          <w:sz w:val="22"/>
          <w:lang w:val="en-GB" w:eastAsia="sv-SE"/>
        </w:rPr>
      </w:pPr>
      <w:r>
        <w:t>Proposal 5</w:t>
      </w:r>
      <w:r w:rsidRPr="006A707E">
        <w:rPr>
          <w:rFonts w:asciiTheme="minorHAnsi" w:eastAsiaTheme="minorEastAsia" w:hAnsiTheme="minorHAnsi" w:cstheme="minorBidi"/>
          <w:b w:val="0"/>
          <w:sz w:val="22"/>
          <w:lang w:val="en-GB" w:eastAsia="sv-SE"/>
        </w:rPr>
        <w:tab/>
      </w:r>
      <w:r>
        <w:t>For PDCCH length = 1, the eNB should have the flexibility to configure sDCI transmission for sTTI0 either in PDCCH or sPDCCH. Alternatively, sPDCCH is used for sDCI transmission of sTTI0.</w:t>
      </w:r>
    </w:p>
    <w:p w14:paraId="476F90D5" w14:textId="77777777" w:rsidR="006A707E" w:rsidRPr="006A707E" w:rsidRDefault="006A707E">
      <w:pPr>
        <w:pStyle w:val="TOC1"/>
        <w:rPr>
          <w:rFonts w:asciiTheme="minorHAnsi" w:eastAsiaTheme="minorEastAsia" w:hAnsiTheme="minorHAnsi" w:cstheme="minorBidi"/>
          <w:b w:val="0"/>
          <w:sz w:val="22"/>
          <w:lang w:val="en-GB" w:eastAsia="sv-SE"/>
        </w:rPr>
      </w:pPr>
      <w:r>
        <w:t>Proposal 6</w:t>
      </w:r>
      <w:r w:rsidRPr="006A707E">
        <w:rPr>
          <w:rFonts w:asciiTheme="minorHAnsi" w:eastAsiaTheme="minorEastAsia" w:hAnsiTheme="minorHAnsi" w:cstheme="minorBidi"/>
          <w:b w:val="0"/>
          <w:sz w:val="22"/>
          <w:lang w:val="en-GB" w:eastAsia="sv-SE"/>
        </w:rPr>
        <w:tab/>
      </w:r>
      <w:r>
        <w:t>For PDCCH length &gt; 1, in 1-slot TTI operation sDCI for slot-based sTTI0 is transmitted in PDCCH</w:t>
      </w:r>
    </w:p>
    <w:p w14:paraId="1E1424CE" w14:textId="77777777" w:rsidR="006A707E" w:rsidRPr="006A707E" w:rsidRDefault="006A707E">
      <w:pPr>
        <w:pStyle w:val="TOC1"/>
        <w:rPr>
          <w:rFonts w:asciiTheme="minorHAnsi" w:eastAsiaTheme="minorEastAsia" w:hAnsiTheme="minorHAnsi" w:cstheme="minorBidi"/>
          <w:b w:val="0"/>
          <w:sz w:val="22"/>
          <w:lang w:val="en-GB" w:eastAsia="sv-SE"/>
        </w:rPr>
      </w:pPr>
      <w:r>
        <w:t>Proposal 7</w:t>
      </w:r>
      <w:r w:rsidRPr="006A707E">
        <w:rPr>
          <w:rFonts w:asciiTheme="minorHAnsi" w:eastAsiaTheme="minorEastAsia" w:hAnsiTheme="minorHAnsi" w:cstheme="minorBidi"/>
          <w:b w:val="0"/>
          <w:sz w:val="22"/>
          <w:lang w:val="en-GB" w:eastAsia="sv-SE"/>
        </w:rPr>
        <w:tab/>
      </w:r>
      <w:r>
        <w:t>Support for DMRS-based sPDCCH the same DMRS pattern as for 2os sPDSCH</w:t>
      </w:r>
    </w:p>
    <w:p w14:paraId="05D4BC1F" w14:textId="77777777" w:rsidR="006A707E" w:rsidRPr="006A707E" w:rsidRDefault="006A707E">
      <w:pPr>
        <w:pStyle w:val="TOC1"/>
        <w:rPr>
          <w:rFonts w:asciiTheme="minorHAnsi" w:eastAsiaTheme="minorEastAsia" w:hAnsiTheme="minorHAnsi" w:cstheme="minorBidi"/>
          <w:b w:val="0"/>
          <w:sz w:val="22"/>
          <w:lang w:val="en-GB" w:eastAsia="sv-SE"/>
        </w:rPr>
      </w:pPr>
      <w:r>
        <w:t>Proposal 8</w:t>
      </w:r>
      <w:r w:rsidRPr="006A707E">
        <w:rPr>
          <w:rFonts w:asciiTheme="minorHAnsi" w:eastAsiaTheme="minorEastAsia" w:hAnsiTheme="minorHAnsi" w:cstheme="minorBidi"/>
          <w:b w:val="0"/>
          <w:sz w:val="22"/>
          <w:lang w:val="en-GB" w:eastAsia="sv-SE"/>
        </w:rPr>
        <w:tab/>
      </w:r>
      <w:r>
        <w:t>For 2os sTTI and CRS-based sPDCCH a sCCE is composed of 3 sREG in sTTI1, sTTI2, sTTI4 and 4 sREG in sTTI0, sTTI3, sTTI5.</w:t>
      </w:r>
    </w:p>
    <w:p w14:paraId="4D41971A" w14:textId="77777777" w:rsidR="006A707E" w:rsidRPr="006A707E" w:rsidRDefault="006A707E">
      <w:pPr>
        <w:pStyle w:val="TOC1"/>
        <w:rPr>
          <w:rFonts w:asciiTheme="minorHAnsi" w:eastAsiaTheme="minorEastAsia" w:hAnsiTheme="minorHAnsi" w:cstheme="minorBidi"/>
          <w:b w:val="0"/>
          <w:sz w:val="22"/>
          <w:lang w:val="en-GB" w:eastAsia="sv-SE"/>
        </w:rPr>
      </w:pPr>
      <w:r>
        <w:t>Proposal 9</w:t>
      </w:r>
      <w:r w:rsidRPr="006A707E">
        <w:rPr>
          <w:rFonts w:asciiTheme="minorHAnsi" w:eastAsiaTheme="minorEastAsia" w:hAnsiTheme="minorHAnsi" w:cstheme="minorBidi"/>
          <w:b w:val="0"/>
          <w:sz w:val="22"/>
          <w:lang w:val="en-GB" w:eastAsia="sv-SE"/>
        </w:rPr>
        <w:tab/>
      </w:r>
      <w:r>
        <w:t>For 2os sTTI and a 2-symbol long DMRS-based sPDCCH a sCCE is composed of 4 sREG in all sTTI except sTTI 3, and 6 sREG in sTTI3.</w:t>
      </w:r>
    </w:p>
    <w:p w14:paraId="684E8FDE" w14:textId="77777777" w:rsidR="006A707E" w:rsidRPr="006A707E" w:rsidRDefault="006A707E">
      <w:pPr>
        <w:pStyle w:val="TOC1"/>
        <w:rPr>
          <w:rFonts w:asciiTheme="minorHAnsi" w:eastAsiaTheme="minorEastAsia" w:hAnsiTheme="minorHAnsi" w:cstheme="minorBidi"/>
          <w:b w:val="0"/>
          <w:sz w:val="22"/>
          <w:lang w:val="en-GB" w:eastAsia="sv-SE"/>
        </w:rPr>
      </w:pPr>
      <w:r>
        <w:t>Proposal 10</w:t>
      </w:r>
      <w:r w:rsidRPr="006A707E">
        <w:rPr>
          <w:rFonts w:asciiTheme="minorHAnsi" w:eastAsiaTheme="minorEastAsia" w:hAnsiTheme="minorHAnsi" w:cstheme="minorBidi"/>
          <w:b w:val="0"/>
          <w:sz w:val="22"/>
          <w:lang w:val="en-GB" w:eastAsia="sv-SE"/>
        </w:rPr>
        <w:tab/>
      </w:r>
      <w:r>
        <w:t>For 2os sTTI and a 3-symbol long DMRS-based sPDCCH a sCCE is composed of 3 sREG in sTTI1 and sTTI 3.</w:t>
      </w:r>
    </w:p>
    <w:p w14:paraId="28F2262B" w14:textId="77777777" w:rsidR="006A707E" w:rsidRPr="006A707E" w:rsidRDefault="006A707E">
      <w:pPr>
        <w:pStyle w:val="TOC1"/>
        <w:rPr>
          <w:rFonts w:asciiTheme="minorHAnsi" w:eastAsiaTheme="minorEastAsia" w:hAnsiTheme="minorHAnsi" w:cstheme="minorBidi"/>
          <w:b w:val="0"/>
          <w:sz w:val="22"/>
          <w:lang w:val="en-GB" w:eastAsia="sv-SE"/>
        </w:rPr>
      </w:pPr>
      <w:r>
        <w:t>Proposal 11</w:t>
      </w:r>
      <w:r w:rsidRPr="006A707E">
        <w:rPr>
          <w:rFonts w:asciiTheme="minorHAnsi" w:eastAsiaTheme="minorEastAsia" w:hAnsiTheme="minorHAnsi" w:cstheme="minorBidi"/>
          <w:b w:val="0"/>
          <w:sz w:val="22"/>
          <w:lang w:val="en-GB" w:eastAsia="sv-SE"/>
        </w:rPr>
        <w:tab/>
      </w:r>
      <w:r>
        <w:t>For slot sTTI and CRS-based sPDCCH a sCCE is composed of 4 sREG in both slot0 and slot1.</w:t>
      </w:r>
    </w:p>
    <w:p w14:paraId="6CAF1663" w14:textId="77777777" w:rsidR="006A707E" w:rsidRPr="006A707E" w:rsidRDefault="006A707E">
      <w:pPr>
        <w:pStyle w:val="TOC1"/>
        <w:rPr>
          <w:rFonts w:asciiTheme="minorHAnsi" w:eastAsiaTheme="minorEastAsia" w:hAnsiTheme="minorHAnsi" w:cstheme="minorBidi"/>
          <w:b w:val="0"/>
          <w:sz w:val="22"/>
          <w:lang w:val="en-GB" w:eastAsia="sv-SE"/>
        </w:rPr>
      </w:pPr>
      <w:r>
        <w:t>Proposal 12</w:t>
      </w:r>
      <w:r w:rsidRPr="006A707E">
        <w:rPr>
          <w:rFonts w:asciiTheme="minorHAnsi" w:eastAsiaTheme="minorEastAsia" w:hAnsiTheme="minorHAnsi" w:cstheme="minorBidi"/>
          <w:b w:val="0"/>
          <w:sz w:val="22"/>
          <w:lang w:val="en-GB" w:eastAsia="sv-SE"/>
        </w:rPr>
        <w:tab/>
      </w:r>
      <w:r>
        <w:t>For slot sTTI and DMRS-based sPDCCH a sCCE is composed of 4 sREG in slot0 and 6 sREG in slot1.</w:t>
      </w:r>
    </w:p>
    <w:p w14:paraId="13FABAD8" w14:textId="77777777" w:rsidR="006A707E" w:rsidRPr="006A707E" w:rsidRDefault="006A707E">
      <w:pPr>
        <w:pStyle w:val="TOC1"/>
        <w:rPr>
          <w:rFonts w:asciiTheme="minorHAnsi" w:eastAsiaTheme="minorEastAsia" w:hAnsiTheme="minorHAnsi" w:cstheme="minorBidi"/>
          <w:b w:val="0"/>
          <w:sz w:val="22"/>
          <w:lang w:val="en-GB" w:eastAsia="sv-SE"/>
        </w:rPr>
      </w:pPr>
      <w:r>
        <w:t>Proposal 13</w:t>
      </w:r>
      <w:r w:rsidRPr="006A707E">
        <w:rPr>
          <w:rFonts w:asciiTheme="minorHAnsi" w:eastAsiaTheme="minorEastAsia" w:hAnsiTheme="minorHAnsi" w:cstheme="minorBidi"/>
          <w:b w:val="0"/>
          <w:sz w:val="22"/>
          <w:lang w:val="en-GB" w:eastAsia="sv-SE"/>
        </w:rPr>
        <w:tab/>
      </w:r>
      <w:r>
        <w:t>DMRS-based sPDCCH can be configured with one localized and one distributed sPDCCH-PRB-set</w:t>
      </w:r>
    </w:p>
    <w:p w14:paraId="14DEB315" w14:textId="77777777" w:rsidR="006A707E" w:rsidRPr="006A707E" w:rsidRDefault="006A707E">
      <w:pPr>
        <w:pStyle w:val="TOC1"/>
        <w:rPr>
          <w:rFonts w:asciiTheme="minorHAnsi" w:eastAsiaTheme="minorEastAsia" w:hAnsiTheme="minorHAnsi" w:cstheme="minorBidi"/>
          <w:b w:val="0"/>
          <w:sz w:val="22"/>
          <w:lang w:val="en-GB" w:eastAsia="sv-SE"/>
        </w:rPr>
      </w:pPr>
      <w:r>
        <w:t>Proposal 14</w:t>
      </w:r>
      <w:r w:rsidRPr="006A707E">
        <w:rPr>
          <w:rFonts w:asciiTheme="minorHAnsi" w:eastAsiaTheme="minorEastAsia" w:hAnsiTheme="minorHAnsi" w:cstheme="minorBidi"/>
          <w:b w:val="0"/>
          <w:sz w:val="22"/>
          <w:lang w:val="en-GB" w:eastAsia="sv-SE"/>
        </w:rPr>
        <w:tab/>
      </w:r>
      <w:r>
        <w:t>Frequency-first mapping is selected for distributed sREG-to-sCCE mapping for CRS based sPDCCH</w:t>
      </w:r>
    </w:p>
    <w:p w14:paraId="3E88F276" w14:textId="77777777" w:rsidR="006A707E" w:rsidRPr="006A707E" w:rsidRDefault="006A707E">
      <w:pPr>
        <w:pStyle w:val="TOC1"/>
        <w:rPr>
          <w:rFonts w:asciiTheme="minorHAnsi" w:eastAsiaTheme="minorEastAsia" w:hAnsiTheme="minorHAnsi" w:cstheme="minorBidi"/>
          <w:b w:val="0"/>
          <w:sz w:val="22"/>
          <w:lang w:val="en-GB" w:eastAsia="sv-SE"/>
        </w:rPr>
      </w:pPr>
      <w:r>
        <w:t>Proposal 15</w:t>
      </w:r>
      <w:r w:rsidRPr="006A707E">
        <w:rPr>
          <w:rFonts w:asciiTheme="minorHAnsi" w:eastAsiaTheme="minorEastAsia" w:hAnsiTheme="minorHAnsi" w:cstheme="minorBidi"/>
          <w:b w:val="0"/>
          <w:sz w:val="22"/>
          <w:lang w:val="en-GB" w:eastAsia="sv-SE"/>
        </w:rPr>
        <w:tab/>
      </w:r>
      <w:r>
        <w:t>Time-first mapping is selected for localized sREG-to-sCCE mapping</w:t>
      </w:r>
    </w:p>
    <w:p w14:paraId="26CA7DCC" w14:textId="77777777" w:rsidR="006A707E" w:rsidRPr="006A707E" w:rsidRDefault="006A707E">
      <w:pPr>
        <w:pStyle w:val="TOC1"/>
        <w:rPr>
          <w:rFonts w:asciiTheme="minorHAnsi" w:eastAsiaTheme="minorEastAsia" w:hAnsiTheme="minorHAnsi" w:cstheme="minorBidi"/>
          <w:b w:val="0"/>
          <w:sz w:val="22"/>
          <w:lang w:val="en-GB" w:eastAsia="sv-SE"/>
        </w:rPr>
      </w:pPr>
      <w:r>
        <w:t>Proposal 16</w:t>
      </w:r>
      <w:r w:rsidRPr="006A707E">
        <w:rPr>
          <w:rFonts w:asciiTheme="minorHAnsi" w:eastAsiaTheme="minorEastAsia" w:hAnsiTheme="minorHAnsi" w:cstheme="minorBidi"/>
          <w:b w:val="0"/>
          <w:sz w:val="22"/>
          <w:lang w:val="en-GB" w:eastAsia="sv-SE"/>
        </w:rPr>
        <w:tab/>
      </w:r>
      <w:r>
        <w:t>Time-first mapping is selected for distributed sREG-to-sCCE mapping for DMRS based sPDCCH</w:t>
      </w:r>
    </w:p>
    <w:p w14:paraId="4148C849" w14:textId="77777777" w:rsidR="006A707E" w:rsidRDefault="006A707E">
      <w:pPr>
        <w:pStyle w:val="TOC1"/>
        <w:rPr>
          <w:rFonts w:asciiTheme="minorHAnsi" w:eastAsiaTheme="minorEastAsia" w:hAnsiTheme="minorHAnsi" w:cstheme="minorBidi"/>
          <w:b w:val="0"/>
          <w:sz w:val="22"/>
          <w:lang w:val="sv-SE" w:eastAsia="sv-SE"/>
        </w:rPr>
      </w:pPr>
      <m:oMathPara>
        <m:oMath>
          <m:r>
            <m:rPr>
              <m:sty m:val="bi"/>
            </m:rPr>
            <w:rPr>
              <w:rFonts w:ascii="Cambria Math" w:hAnsi="Cambria Math"/>
            </w:rPr>
            <m:t xml:space="preserve">NRB=NsCCE*nr_of_sREG_per_sCCEnr_of_OFDM_symbols_per_sPDCCH </m:t>
          </m:r>
        </m:oMath>
      </m:oMathPara>
    </w:p>
    <w:p w14:paraId="203875CF" w14:textId="77777777" w:rsidR="006A707E" w:rsidRPr="006A707E" w:rsidRDefault="006A707E">
      <w:pPr>
        <w:pStyle w:val="TOC1"/>
        <w:rPr>
          <w:rFonts w:asciiTheme="minorHAnsi" w:eastAsiaTheme="minorEastAsia" w:hAnsiTheme="minorHAnsi" w:cstheme="minorBidi"/>
          <w:b w:val="0"/>
          <w:sz w:val="22"/>
          <w:lang w:val="en-GB" w:eastAsia="sv-SE"/>
        </w:rPr>
      </w:pPr>
      <w:r>
        <w:t>Proposal 17</w:t>
      </w:r>
      <w:r w:rsidRPr="006A707E">
        <w:rPr>
          <w:rFonts w:asciiTheme="minorHAnsi" w:eastAsiaTheme="minorEastAsia" w:hAnsiTheme="minorHAnsi" w:cstheme="minorBidi"/>
          <w:b w:val="0"/>
          <w:sz w:val="22"/>
          <w:lang w:val="en-GB" w:eastAsia="sv-SE"/>
        </w:rPr>
        <w:tab/>
      </w:r>
      <w:r>
        <w:t>The same CRS ports as used for PBCH are used for CRS based sPDCCH</w:t>
      </w:r>
    </w:p>
    <w:p w14:paraId="310C3F25" w14:textId="77777777" w:rsidR="006A707E" w:rsidRPr="006A707E" w:rsidRDefault="006A707E">
      <w:pPr>
        <w:pStyle w:val="TOC1"/>
        <w:rPr>
          <w:rFonts w:asciiTheme="minorHAnsi" w:eastAsiaTheme="minorEastAsia" w:hAnsiTheme="minorHAnsi" w:cstheme="minorBidi"/>
          <w:b w:val="0"/>
          <w:sz w:val="22"/>
          <w:lang w:val="en-GB" w:eastAsia="sv-SE"/>
        </w:rPr>
      </w:pPr>
      <w:r>
        <w:t>Proposal 18</w:t>
      </w:r>
      <w:r w:rsidRPr="006A707E">
        <w:rPr>
          <w:rFonts w:asciiTheme="minorHAnsi" w:eastAsiaTheme="minorEastAsia" w:hAnsiTheme="minorHAnsi" w:cstheme="minorBidi"/>
          <w:b w:val="0"/>
          <w:sz w:val="22"/>
          <w:lang w:val="en-GB" w:eastAsia="sv-SE"/>
        </w:rPr>
        <w:tab/>
      </w:r>
      <w:r>
        <w:t>Handle SFBC ‘orphan’ REs by repeating an RE of each sREG</w:t>
      </w:r>
    </w:p>
    <w:p w14:paraId="2157CB12" w14:textId="7F33A4EF" w:rsidR="009A1D82" w:rsidRDefault="009A1D82" w:rsidP="00834052">
      <w:pPr>
        <w:pStyle w:val="TOC1"/>
        <w:ind w:left="0" w:firstLine="0"/>
      </w:pPr>
      <w:r w:rsidRPr="009B2D5D">
        <w:fldChar w:fldCharType="end"/>
      </w:r>
      <w:r w:rsidR="003F468A" w:rsidRPr="003F468A">
        <w:tab/>
        <w:t xml:space="preserve"> </w:t>
      </w:r>
    </w:p>
    <w:p w14:paraId="595C8791" w14:textId="77777777" w:rsidR="00F507D1" w:rsidRPr="00CE0424" w:rsidRDefault="00F507D1" w:rsidP="00CE0424">
      <w:pPr>
        <w:pStyle w:val="Heading1"/>
      </w:pPr>
      <w:bookmarkStart w:id="227" w:name="_In-sequence_SDU_delivery"/>
      <w:bookmarkEnd w:id="227"/>
      <w:r w:rsidRPr="00CE0424">
        <w:t>References</w:t>
      </w:r>
    </w:p>
    <w:p w14:paraId="4DC9A5A9" w14:textId="77777777" w:rsidR="003A7EF3" w:rsidRDefault="00BC79AF" w:rsidP="00BC79AF">
      <w:pPr>
        <w:pStyle w:val="BodyText"/>
        <w:numPr>
          <w:ilvl w:val="0"/>
          <w:numId w:val="21"/>
        </w:numPr>
      </w:pPr>
      <w:bookmarkStart w:id="228" w:name="_Ref457986196"/>
      <w:r>
        <w:t xml:space="preserve">3GPP TR 36.881 </w:t>
      </w:r>
      <w:r w:rsidRPr="00BC79AF">
        <w:t>Study on latency reduction techniques for LTE</w:t>
      </w:r>
      <w:r>
        <w:t xml:space="preserve"> V 14.0.0</w:t>
      </w:r>
      <w:bookmarkEnd w:id="228"/>
    </w:p>
    <w:p w14:paraId="4BE51205" w14:textId="77777777" w:rsidR="00C55430" w:rsidRDefault="00C55430" w:rsidP="00600A67">
      <w:pPr>
        <w:pStyle w:val="BodyText"/>
        <w:numPr>
          <w:ilvl w:val="0"/>
          <w:numId w:val="21"/>
        </w:numPr>
      </w:pPr>
      <w:bookmarkStart w:id="229" w:name="_Ref462744559"/>
      <w:r>
        <w:t xml:space="preserve">R1-168350, Way forward on sPDCCH, </w:t>
      </w:r>
      <w:r w:rsidRPr="00C55430">
        <w:t>Huawei, HiSilicon,</w:t>
      </w:r>
      <w:r>
        <w:t xml:space="preserve"> </w:t>
      </w:r>
      <w:r w:rsidRPr="00C55430">
        <w:t>Qualcomm,</w:t>
      </w:r>
      <w:r>
        <w:t xml:space="preserve"> </w:t>
      </w:r>
      <w:r w:rsidRPr="00C55430">
        <w:t>Ericsson,</w:t>
      </w:r>
      <w:r>
        <w:t xml:space="preserve"> </w:t>
      </w:r>
      <w:r w:rsidRPr="00C55430">
        <w:t>Nokia</w:t>
      </w:r>
      <w:r>
        <w:t xml:space="preserve"> et al., </w:t>
      </w:r>
      <w:r w:rsidRPr="00C55430">
        <w:t xml:space="preserve">3GPP </w:t>
      </w:r>
      <w:r>
        <w:t xml:space="preserve">TSG RAN WG1 #86, </w:t>
      </w:r>
      <w:r w:rsidRPr="00C55430">
        <w:t>Gothenburg, Sweden</w:t>
      </w:r>
      <w:r>
        <w:t>,</w:t>
      </w:r>
      <w:r w:rsidRPr="00C55430">
        <w:t xml:space="preserve"> 22nd - 26th August 2016</w:t>
      </w:r>
      <w:bookmarkEnd w:id="229"/>
    </w:p>
    <w:p w14:paraId="2DF12A8D" w14:textId="77777777" w:rsidR="00584F7A" w:rsidRDefault="00584F7A" w:rsidP="00584F7A">
      <w:pPr>
        <w:pStyle w:val="BodyText"/>
        <w:numPr>
          <w:ilvl w:val="0"/>
          <w:numId w:val="21"/>
        </w:numPr>
      </w:pPr>
      <w:r w:rsidRPr="00584F7A">
        <w:t>R1-1613691</w:t>
      </w:r>
      <w:r w:rsidRPr="00584F7A">
        <w:tab/>
        <w:t>Way Forward on 2-symbols DL sTTI layout structure</w:t>
      </w:r>
      <w:r w:rsidRPr="00584F7A">
        <w:tab/>
        <w:t xml:space="preserve">Intel, Ericsson, CATT, Nokia, Alcatel-Lucent Shanghai Bell, Huawei, HiSilicon, NTT DoCoMo, Samsung, Qualcomm, Vodafone  </w:t>
      </w:r>
    </w:p>
    <w:p w14:paraId="1370F13C" w14:textId="190B5A6F" w:rsidR="0021243C" w:rsidRDefault="007761FF" w:rsidP="007761FF">
      <w:pPr>
        <w:pStyle w:val="Reference"/>
        <w:numPr>
          <w:ilvl w:val="0"/>
          <w:numId w:val="21"/>
        </w:numPr>
        <w:textAlignment w:val="auto"/>
      </w:pPr>
      <w:r w:rsidRPr="007761FF">
        <w:t>R1-1712896</w:t>
      </w:r>
      <w:r w:rsidR="0021243C" w:rsidRPr="00D56954">
        <w:t xml:space="preserve">, </w:t>
      </w:r>
      <w:r w:rsidR="0021243C" w:rsidRPr="0021243C">
        <w:t>Search space for sTTI</w:t>
      </w:r>
      <w:r w:rsidR="0021243C">
        <w:t>,</w:t>
      </w:r>
      <w:r w:rsidR="00394CCD">
        <w:t xml:space="preserve"> Ericsson, </w:t>
      </w:r>
      <w:r w:rsidR="0021243C">
        <w:t>3GPP TSG-RAN WG1 #</w:t>
      </w:r>
      <w:r w:rsidR="00355C67">
        <w:t>90</w:t>
      </w:r>
      <w:r w:rsidR="0021243C" w:rsidRPr="00D56954">
        <w:t xml:space="preserve">, </w:t>
      </w:r>
      <w:r w:rsidR="00355C67">
        <w:t xml:space="preserve">August </w:t>
      </w:r>
      <w:r w:rsidR="0021243C">
        <w:t>2017</w:t>
      </w:r>
    </w:p>
    <w:p w14:paraId="704F988F" w14:textId="47C07C6C" w:rsidR="00355C67" w:rsidRDefault="00467E97" w:rsidP="00467E97">
      <w:pPr>
        <w:pStyle w:val="Reference"/>
        <w:numPr>
          <w:ilvl w:val="0"/>
          <w:numId w:val="21"/>
        </w:numPr>
        <w:textAlignment w:val="auto"/>
      </w:pPr>
      <w:r w:rsidRPr="00467E97">
        <w:t>R1-1712904</w:t>
      </w:r>
      <w:r w:rsidR="00355C67" w:rsidRPr="00D56954">
        <w:t xml:space="preserve">, </w:t>
      </w:r>
      <w:r w:rsidR="00355C67" w:rsidRPr="00355C67">
        <w:t>DL DMRS design for short TTI</w:t>
      </w:r>
      <w:r w:rsidR="00355C67">
        <w:t>, Ericsson, 3GPP TSG-RAN WG1 #90</w:t>
      </w:r>
      <w:r w:rsidR="00355C67" w:rsidRPr="00D56954">
        <w:t xml:space="preserve">, </w:t>
      </w:r>
      <w:r w:rsidR="00355C67">
        <w:t>August 2017</w:t>
      </w:r>
    </w:p>
    <w:p w14:paraId="7322A1B8" w14:textId="77777777" w:rsidR="00764870" w:rsidRPr="00CE0424" w:rsidRDefault="00764870" w:rsidP="00764870">
      <w:pPr>
        <w:pStyle w:val="BodyText"/>
        <w:ind w:left="720"/>
      </w:pPr>
    </w:p>
    <w:sectPr w:rsidR="00764870" w:rsidRPr="00CE0424" w:rsidSect="0036060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208DC" w14:textId="77777777" w:rsidR="007174F1" w:rsidRDefault="007174F1">
      <w:r>
        <w:separator/>
      </w:r>
    </w:p>
  </w:endnote>
  <w:endnote w:type="continuationSeparator" w:id="0">
    <w:p w14:paraId="05D4E892" w14:textId="77777777" w:rsidR="007174F1" w:rsidRDefault="0071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44B8" w14:textId="66AA0918" w:rsidR="00467E97" w:rsidRDefault="00467E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707E">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707E">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A74EA" w14:textId="77777777" w:rsidR="007174F1" w:rsidRDefault="007174F1">
      <w:r>
        <w:separator/>
      </w:r>
    </w:p>
  </w:footnote>
  <w:footnote w:type="continuationSeparator" w:id="0">
    <w:p w14:paraId="4D62ECE8" w14:textId="77777777" w:rsidR="007174F1" w:rsidRDefault="0071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513C8" w14:textId="77777777" w:rsidR="00467E97" w:rsidRDefault="00467E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259F0"/>
    <w:multiLevelType w:val="hybridMultilevel"/>
    <w:tmpl w:val="3B243C94"/>
    <w:lvl w:ilvl="0" w:tplc="659228B8">
      <w:start w:val="1"/>
      <w:numFmt w:val="bullet"/>
      <w:lvlText w:val="•"/>
      <w:lvlJc w:val="left"/>
      <w:pPr>
        <w:tabs>
          <w:tab w:val="num" w:pos="720"/>
        </w:tabs>
        <w:ind w:left="720" w:hanging="360"/>
      </w:pPr>
      <w:rPr>
        <w:rFonts w:ascii="Arial" w:hAnsi="Arial" w:hint="default"/>
      </w:rPr>
    </w:lvl>
    <w:lvl w:ilvl="1" w:tplc="901C2692">
      <w:start w:val="2372"/>
      <w:numFmt w:val="bullet"/>
      <w:lvlText w:val="–"/>
      <w:lvlJc w:val="left"/>
      <w:pPr>
        <w:tabs>
          <w:tab w:val="num" w:pos="1440"/>
        </w:tabs>
        <w:ind w:left="1440" w:hanging="360"/>
      </w:pPr>
      <w:rPr>
        <w:rFonts w:ascii="Arial" w:hAnsi="Arial" w:hint="default"/>
      </w:rPr>
    </w:lvl>
    <w:lvl w:ilvl="2" w:tplc="3856B592">
      <w:start w:val="2372"/>
      <w:numFmt w:val="bullet"/>
      <w:lvlText w:val="•"/>
      <w:lvlJc w:val="left"/>
      <w:pPr>
        <w:tabs>
          <w:tab w:val="num" w:pos="2160"/>
        </w:tabs>
        <w:ind w:left="2160" w:hanging="360"/>
      </w:pPr>
      <w:rPr>
        <w:rFonts w:ascii="Arial" w:hAnsi="Arial" w:hint="default"/>
      </w:rPr>
    </w:lvl>
    <w:lvl w:ilvl="3" w:tplc="3E163DFA">
      <w:start w:val="2372"/>
      <w:numFmt w:val="bullet"/>
      <w:lvlText w:val="–"/>
      <w:lvlJc w:val="left"/>
      <w:pPr>
        <w:tabs>
          <w:tab w:val="num" w:pos="2880"/>
        </w:tabs>
        <w:ind w:left="2880" w:hanging="360"/>
      </w:pPr>
      <w:rPr>
        <w:rFonts w:ascii="Arial" w:hAnsi="Arial" w:hint="default"/>
      </w:rPr>
    </w:lvl>
    <w:lvl w:ilvl="4" w:tplc="239EE17A" w:tentative="1">
      <w:start w:val="1"/>
      <w:numFmt w:val="bullet"/>
      <w:lvlText w:val="•"/>
      <w:lvlJc w:val="left"/>
      <w:pPr>
        <w:tabs>
          <w:tab w:val="num" w:pos="3600"/>
        </w:tabs>
        <w:ind w:left="3600" w:hanging="360"/>
      </w:pPr>
      <w:rPr>
        <w:rFonts w:ascii="Arial" w:hAnsi="Arial" w:hint="default"/>
      </w:rPr>
    </w:lvl>
    <w:lvl w:ilvl="5" w:tplc="CAB2C8E4" w:tentative="1">
      <w:start w:val="1"/>
      <w:numFmt w:val="bullet"/>
      <w:lvlText w:val="•"/>
      <w:lvlJc w:val="left"/>
      <w:pPr>
        <w:tabs>
          <w:tab w:val="num" w:pos="4320"/>
        </w:tabs>
        <w:ind w:left="4320" w:hanging="360"/>
      </w:pPr>
      <w:rPr>
        <w:rFonts w:ascii="Arial" w:hAnsi="Arial" w:hint="default"/>
      </w:rPr>
    </w:lvl>
    <w:lvl w:ilvl="6" w:tplc="67DCF4A8" w:tentative="1">
      <w:start w:val="1"/>
      <w:numFmt w:val="bullet"/>
      <w:lvlText w:val="•"/>
      <w:lvlJc w:val="left"/>
      <w:pPr>
        <w:tabs>
          <w:tab w:val="num" w:pos="5040"/>
        </w:tabs>
        <w:ind w:left="5040" w:hanging="360"/>
      </w:pPr>
      <w:rPr>
        <w:rFonts w:ascii="Arial" w:hAnsi="Arial" w:hint="default"/>
      </w:rPr>
    </w:lvl>
    <w:lvl w:ilvl="7" w:tplc="6F44E5A0" w:tentative="1">
      <w:start w:val="1"/>
      <w:numFmt w:val="bullet"/>
      <w:lvlText w:val="•"/>
      <w:lvlJc w:val="left"/>
      <w:pPr>
        <w:tabs>
          <w:tab w:val="num" w:pos="5760"/>
        </w:tabs>
        <w:ind w:left="5760" w:hanging="360"/>
      </w:pPr>
      <w:rPr>
        <w:rFonts w:ascii="Arial" w:hAnsi="Arial" w:hint="default"/>
      </w:rPr>
    </w:lvl>
    <w:lvl w:ilvl="8" w:tplc="AAE810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655C73"/>
    <w:multiLevelType w:val="hybridMultilevel"/>
    <w:tmpl w:val="CF64E77A"/>
    <w:lvl w:ilvl="0" w:tplc="F8C2E48C">
      <w:start w:val="1"/>
      <w:numFmt w:val="bullet"/>
      <w:lvlText w:val="•"/>
      <w:lvlJc w:val="left"/>
      <w:pPr>
        <w:tabs>
          <w:tab w:val="num" w:pos="720"/>
        </w:tabs>
        <w:ind w:left="720" w:hanging="360"/>
      </w:pPr>
      <w:rPr>
        <w:rFonts w:ascii="Arial" w:hAnsi="Arial" w:hint="default"/>
      </w:rPr>
    </w:lvl>
    <w:lvl w:ilvl="1" w:tplc="8612F260">
      <w:start w:val="1"/>
      <w:numFmt w:val="bullet"/>
      <w:lvlText w:val="•"/>
      <w:lvlJc w:val="left"/>
      <w:pPr>
        <w:tabs>
          <w:tab w:val="num" w:pos="1440"/>
        </w:tabs>
        <w:ind w:left="1440" w:hanging="360"/>
      </w:pPr>
      <w:rPr>
        <w:rFonts w:ascii="Arial" w:hAnsi="Arial" w:hint="default"/>
      </w:rPr>
    </w:lvl>
    <w:lvl w:ilvl="2" w:tplc="E2EE85F8" w:tentative="1">
      <w:start w:val="1"/>
      <w:numFmt w:val="bullet"/>
      <w:lvlText w:val="•"/>
      <w:lvlJc w:val="left"/>
      <w:pPr>
        <w:tabs>
          <w:tab w:val="num" w:pos="2160"/>
        </w:tabs>
        <w:ind w:left="2160" w:hanging="360"/>
      </w:pPr>
      <w:rPr>
        <w:rFonts w:ascii="Arial" w:hAnsi="Arial" w:hint="default"/>
      </w:rPr>
    </w:lvl>
    <w:lvl w:ilvl="3" w:tplc="1EBC943C" w:tentative="1">
      <w:start w:val="1"/>
      <w:numFmt w:val="bullet"/>
      <w:lvlText w:val="•"/>
      <w:lvlJc w:val="left"/>
      <w:pPr>
        <w:tabs>
          <w:tab w:val="num" w:pos="2880"/>
        </w:tabs>
        <w:ind w:left="2880" w:hanging="360"/>
      </w:pPr>
      <w:rPr>
        <w:rFonts w:ascii="Arial" w:hAnsi="Arial" w:hint="default"/>
      </w:rPr>
    </w:lvl>
    <w:lvl w:ilvl="4" w:tplc="2FA2C94C" w:tentative="1">
      <w:start w:val="1"/>
      <w:numFmt w:val="bullet"/>
      <w:lvlText w:val="•"/>
      <w:lvlJc w:val="left"/>
      <w:pPr>
        <w:tabs>
          <w:tab w:val="num" w:pos="3600"/>
        </w:tabs>
        <w:ind w:left="3600" w:hanging="360"/>
      </w:pPr>
      <w:rPr>
        <w:rFonts w:ascii="Arial" w:hAnsi="Arial" w:hint="default"/>
      </w:rPr>
    </w:lvl>
    <w:lvl w:ilvl="5" w:tplc="DDC8FF08" w:tentative="1">
      <w:start w:val="1"/>
      <w:numFmt w:val="bullet"/>
      <w:lvlText w:val="•"/>
      <w:lvlJc w:val="left"/>
      <w:pPr>
        <w:tabs>
          <w:tab w:val="num" w:pos="4320"/>
        </w:tabs>
        <w:ind w:left="4320" w:hanging="360"/>
      </w:pPr>
      <w:rPr>
        <w:rFonts w:ascii="Arial" w:hAnsi="Arial" w:hint="default"/>
      </w:rPr>
    </w:lvl>
    <w:lvl w:ilvl="6" w:tplc="61209BEA" w:tentative="1">
      <w:start w:val="1"/>
      <w:numFmt w:val="bullet"/>
      <w:lvlText w:val="•"/>
      <w:lvlJc w:val="left"/>
      <w:pPr>
        <w:tabs>
          <w:tab w:val="num" w:pos="5040"/>
        </w:tabs>
        <w:ind w:left="5040" w:hanging="360"/>
      </w:pPr>
      <w:rPr>
        <w:rFonts w:ascii="Arial" w:hAnsi="Arial" w:hint="default"/>
      </w:rPr>
    </w:lvl>
    <w:lvl w:ilvl="7" w:tplc="D3502BC8" w:tentative="1">
      <w:start w:val="1"/>
      <w:numFmt w:val="bullet"/>
      <w:lvlText w:val="•"/>
      <w:lvlJc w:val="left"/>
      <w:pPr>
        <w:tabs>
          <w:tab w:val="num" w:pos="5760"/>
        </w:tabs>
        <w:ind w:left="5760" w:hanging="360"/>
      </w:pPr>
      <w:rPr>
        <w:rFonts w:ascii="Arial" w:hAnsi="Arial" w:hint="default"/>
      </w:rPr>
    </w:lvl>
    <w:lvl w:ilvl="8" w:tplc="F09E8E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A66885"/>
    <w:multiLevelType w:val="hybridMultilevel"/>
    <w:tmpl w:val="24F63EE0"/>
    <w:lvl w:ilvl="0" w:tplc="6644AA6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B430BB4"/>
    <w:multiLevelType w:val="hybridMultilevel"/>
    <w:tmpl w:val="61042E50"/>
    <w:lvl w:ilvl="0" w:tplc="20920138">
      <w:start w:val="1"/>
      <w:numFmt w:val="bullet"/>
      <w:lvlText w:val="•"/>
      <w:lvlJc w:val="left"/>
      <w:pPr>
        <w:tabs>
          <w:tab w:val="num" w:pos="720"/>
        </w:tabs>
        <w:ind w:left="720" w:hanging="360"/>
      </w:pPr>
      <w:rPr>
        <w:rFonts w:ascii="Arial" w:hAnsi="Arial" w:hint="default"/>
      </w:rPr>
    </w:lvl>
    <w:lvl w:ilvl="1" w:tplc="3F60A0F6">
      <w:numFmt w:val="bullet"/>
      <w:lvlText w:val="–"/>
      <w:lvlJc w:val="left"/>
      <w:pPr>
        <w:tabs>
          <w:tab w:val="num" w:pos="1440"/>
        </w:tabs>
        <w:ind w:left="1440" w:hanging="360"/>
      </w:pPr>
      <w:rPr>
        <w:rFonts w:ascii="Arial" w:hAnsi="Arial" w:hint="default"/>
      </w:rPr>
    </w:lvl>
    <w:lvl w:ilvl="2" w:tplc="83666C4C" w:tentative="1">
      <w:start w:val="1"/>
      <w:numFmt w:val="bullet"/>
      <w:lvlText w:val="•"/>
      <w:lvlJc w:val="left"/>
      <w:pPr>
        <w:tabs>
          <w:tab w:val="num" w:pos="2160"/>
        </w:tabs>
        <w:ind w:left="2160" w:hanging="360"/>
      </w:pPr>
      <w:rPr>
        <w:rFonts w:ascii="Arial" w:hAnsi="Arial" w:hint="default"/>
      </w:rPr>
    </w:lvl>
    <w:lvl w:ilvl="3" w:tplc="022EE152" w:tentative="1">
      <w:start w:val="1"/>
      <w:numFmt w:val="bullet"/>
      <w:lvlText w:val="•"/>
      <w:lvlJc w:val="left"/>
      <w:pPr>
        <w:tabs>
          <w:tab w:val="num" w:pos="2880"/>
        </w:tabs>
        <w:ind w:left="2880" w:hanging="360"/>
      </w:pPr>
      <w:rPr>
        <w:rFonts w:ascii="Arial" w:hAnsi="Arial" w:hint="default"/>
      </w:rPr>
    </w:lvl>
    <w:lvl w:ilvl="4" w:tplc="AD5C1CBE" w:tentative="1">
      <w:start w:val="1"/>
      <w:numFmt w:val="bullet"/>
      <w:lvlText w:val="•"/>
      <w:lvlJc w:val="left"/>
      <w:pPr>
        <w:tabs>
          <w:tab w:val="num" w:pos="3600"/>
        </w:tabs>
        <w:ind w:left="3600" w:hanging="360"/>
      </w:pPr>
      <w:rPr>
        <w:rFonts w:ascii="Arial" w:hAnsi="Arial" w:hint="default"/>
      </w:rPr>
    </w:lvl>
    <w:lvl w:ilvl="5" w:tplc="239EEE30" w:tentative="1">
      <w:start w:val="1"/>
      <w:numFmt w:val="bullet"/>
      <w:lvlText w:val="•"/>
      <w:lvlJc w:val="left"/>
      <w:pPr>
        <w:tabs>
          <w:tab w:val="num" w:pos="4320"/>
        </w:tabs>
        <w:ind w:left="4320" w:hanging="360"/>
      </w:pPr>
      <w:rPr>
        <w:rFonts w:ascii="Arial" w:hAnsi="Arial" w:hint="default"/>
      </w:rPr>
    </w:lvl>
    <w:lvl w:ilvl="6" w:tplc="44B2CAF6" w:tentative="1">
      <w:start w:val="1"/>
      <w:numFmt w:val="bullet"/>
      <w:lvlText w:val="•"/>
      <w:lvlJc w:val="left"/>
      <w:pPr>
        <w:tabs>
          <w:tab w:val="num" w:pos="5040"/>
        </w:tabs>
        <w:ind w:left="5040" w:hanging="360"/>
      </w:pPr>
      <w:rPr>
        <w:rFonts w:ascii="Arial" w:hAnsi="Arial" w:hint="default"/>
      </w:rPr>
    </w:lvl>
    <w:lvl w:ilvl="7" w:tplc="D702EDE8" w:tentative="1">
      <w:start w:val="1"/>
      <w:numFmt w:val="bullet"/>
      <w:lvlText w:val="•"/>
      <w:lvlJc w:val="left"/>
      <w:pPr>
        <w:tabs>
          <w:tab w:val="num" w:pos="5760"/>
        </w:tabs>
        <w:ind w:left="5760" w:hanging="360"/>
      </w:pPr>
      <w:rPr>
        <w:rFonts w:ascii="Arial" w:hAnsi="Arial" w:hint="default"/>
      </w:rPr>
    </w:lvl>
    <w:lvl w:ilvl="8" w:tplc="7DA0C1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735E14"/>
    <w:multiLevelType w:val="hybridMultilevel"/>
    <w:tmpl w:val="8C04F54A"/>
    <w:lvl w:ilvl="0" w:tplc="ED0228A4">
      <w:start w:val="3"/>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381B2F"/>
    <w:multiLevelType w:val="hybridMultilevel"/>
    <w:tmpl w:val="0240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04F54"/>
    <w:multiLevelType w:val="hybridMultilevel"/>
    <w:tmpl w:val="4476E1A4"/>
    <w:lvl w:ilvl="0" w:tplc="FCE43946">
      <w:start w:val="1"/>
      <w:numFmt w:val="bullet"/>
      <w:lvlText w:val="•"/>
      <w:lvlJc w:val="left"/>
      <w:pPr>
        <w:tabs>
          <w:tab w:val="num" w:pos="720"/>
        </w:tabs>
        <w:ind w:left="720" w:hanging="360"/>
      </w:pPr>
      <w:rPr>
        <w:rFonts w:ascii="Arial" w:hAnsi="Arial" w:hint="default"/>
      </w:rPr>
    </w:lvl>
    <w:lvl w:ilvl="1" w:tplc="A0F093B6">
      <w:numFmt w:val="bullet"/>
      <w:lvlText w:val="–"/>
      <w:lvlJc w:val="left"/>
      <w:pPr>
        <w:tabs>
          <w:tab w:val="num" w:pos="1440"/>
        </w:tabs>
        <w:ind w:left="1440" w:hanging="360"/>
      </w:pPr>
      <w:rPr>
        <w:rFonts w:ascii="Arial" w:hAnsi="Arial" w:hint="default"/>
      </w:rPr>
    </w:lvl>
    <w:lvl w:ilvl="2" w:tplc="23DAA4BA">
      <w:numFmt w:val="bullet"/>
      <w:lvlText w:val="•"/>
      <w:lvlJc w:val="left"/>
      <w:pPr>
        <w:tabs>
          <w:tab w:val="num" w:pos="2160"/>
        </w:tabs>
        <w:ind w:left="2160" w:hanging="360"/>
      </w:pPr>
      <w:rPr>
        <w:rFonts w:ascii="Arial" w:hAnsi="Arial" w:hint="default"/>
      </w:rPr>
    </w:lvl>
    <w:lvl w:ilvl="3" w:tplc="16E842F2" w:tentative="1">
      <w:start w:val="1"/>
      <w:numFmt w:val="bullet"/>
      <w:lvlText w:val="•"/>
      <w:lvlJc w:val="left"/>
      <w:pPr>
        <w:tabs>
          <w:tab w:val="num" w:pos="2880"/>
        </w:tabs>
        <w:ind w:left="2880" w:hanging="360"/>
      </w:pPr>
      <w:rPr>
        <w:rFonts w:ascii="Arial" w:hAnsi="Arial" w:hint="default"/>
      </w:rPr>
    </w:lvl>
    <w:lvl w:ilvl="4" w:tplc="C6043028" w:tentative="1">
      <w:start w:val="1"/>
      <w:numFmt w:val="bullet"/>
      <w:lvlText w:val="•"/>
      <w:lvlJc w:val="left"/>
      <w:pPr>
        <w:tabs>
          <w:tab w:val="num" w:pos="3600"/>
        </w:tabs>
        <w:ind w:left="3600" w:hanging="360"/>
      </w:pPr>
      <w:rPr>
        <w:rFonts w:ascii="Arial" w:hAnsi="Arial" w:hint="default"/>
      </w:rPr>
    </w:lvl>
    <w:lvl w:ilvl="5" w:tplc="DD3E1D2C" w:tentative="1">
      <w:start w:val="1"/>
      <w:numFmt w:val="bullet"/>
      <w:lvlText w:val="•"/>
      <w:lvlJc w:val="left"/>
      <w:pPr>
        <w:tabs>
          <w:tab w:val="num" w:pos="4320"/>
        </w:tabs>
        <w:ind w:left="4320" w:hanging="360"/>
      </w:pPr>
      <w:rPr>
        <w:rFonts w:ascii="Arial" w:hAnsi="Arial" w:hint="default"/>
      </w:rPr>
    </w:lvl>
    <w:lvl w:ilvl="6" w:tplc="8A960EE4" w:tentative="1">
      <w:start w:val="1"/>
      <w:numFmt w:val="bullet"/>
      <w:lvlText w:val="•"/>
      <w:lvlJc w:val="left"/>
      <w:pPr>
        <w:tabs>
          <w:tab w:val="num" w:pos="5040"/>
        </w:tabs>
        <w:ind w:left="5040" w:hanging="360"/>
      </w:pPr>
      <w:rPr>
        <w:rFonts w:ascii="Arial" w:hAnsi="Arial" w:hint="default"/>
      </w:rPr>
    </w:lvl>
    <w:lvl w:ilvl="7" w:tplc="9CEC9828" w:tentative="1">
      <w:start w:val="1"/>
      <w:numFmt w:val="bullet"/>
      <w:lvlText w:val="•"/>
      <w:lvlJc w:val="left"/>
      <w:pPr>
        <w:tabs>
          <w:tab w:val="num" w:pos="5760"/>
        </w:tabs>
        <w:ind w:left="5760" w:hanging="360"/>
      </w:pPr>
      <w:rPr>
        <w:rFonts w:ascii="Arial" w:hAnsi="Arial" w:hint="default"/>
      </w:rPr>
    </w:lvl>
    <w:lvl w:ilvl="8" w:tplc="AEAA3C3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5712D"/>
    <w:multiLevelType w:val="hybridMultilevel"/>
    <w:tmpl w:val="34145BF2"/>
    <w:lvl w:ilvl="0" w:tplc="E8746E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EC30BD"/>
    <w:multiLevelType w:val="hybridMultilevel"/>
    <w:tmpl w:val="0AAE378C"/>
    <w:lvl w:ilvl="0" w:tplc="42262F1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013BF2"/>
    <w:multiLevelType w:val="hybridMultilevel"/>
    <w:tmpl w:val="72AA8368"/>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D2E7012">
      <w:start w:val="4"/>
      <w:numFmt w:val="bullet"/>
      <w:lvlText w:val="-"/>
      <w:lvlJc w:val="left"/>
      <w:pPr>
        <w:ind w:left="2880" w:hanging="360"/>
      </w:pPr>
      <w:rPr>
        <w:rFonts w:ascii="Arial" w:eastAsia="Times New Roman" w:hAnsi="Arial" w:cs="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247CFF"/>
    <w:multiLevelType w:val="hybridMultilevel"/>
    <w:tmpl w:val="950C726A"/>
    <w:lvl w:ilvl="0" w:tplc="9E20C9D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6336B"/>
    <w:multiLevelType w:val="hybridMultilevel"/>
    <w:tmpl w:val="281AC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6774BB"/>
    <w:multiLevelType w:val="hybridMultilevel"/>
    <w:tmpl w:val="193C5668"/>
    <w:lvl w:ilvl="0" w:tplc="18ACDE8A">
      <w:start w:val="3"/>
      <w:numFmt w:val="bullet"/>
      <w:lvlText w:val="-"/>
      <w:lvlJc w:val="left"/>
      <w:pPr>
        <w:ind w:left="927" w:hanging="360"/>
      </w:pPr>
      <w:rPr>
        <w:rFonts w:ascii="Arial" w:eastAsia="Times New Roman" w:hAnsi="Arial" w:cs="Aria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2" w15:restartNumberingAfterBreak="0">
    <w:nsid w:val="728939BF"/>
    <w:multiLevelType w:val="hybridMultilevel"/>
    <w:tmpl w:val="0D72490C"/>
    <w:lvl w:ilvl="0" w:tplc="0F3A89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2"/>
  </w:num>
  <w:num w:numId="3">
    <w:abstractNumId w:val="14"/>
  </w:num>
  <w:num w:numId="4">
    <w:abstractNumId w:val="15"/>
  </w:num>
  <w:num w:numId="5">
    <w:abstractNumId w:val="12"/>
  </w:num>
  <w:num w:numId="6">
    <w:abstractNumId w:val="17"/>
  </w:num>
  <w:num w:numId="7">
    <w:abstractNumId w:val="26"/>
  </w:num>
  <w:num w:numId="8">
    <w:abstractNumId w:val="13"/>
  </w:num>
  <w:num w:numId="9">
    <w:abstractNumId w:val="10"/>
  </w:num>
  <w:num w:numId="10">
    <w:abstractNumId w:val="3"/>
  </w:num>
  <w:num w:numId="11">
    <w:abstractNumId w:val="2"/>
  </w:num>
  <w:num w:numId="12">
    <w:abstractNumId w:val="1"/>
  </w:num>
  <w:num w:numId="13">
    <w:abstractNumId w:val="24"/>
  </w:num>
  <w:num w:numId="14">
    <w:abstractNumId w:val="0"/>
  </w:num>
  <w:num w:numId="15">
    <w:abstractNumId w:val="11"/>
  </w:num>
  <w:num w:numId="16">
    <w:abstractNumId w:val="27"/>
  </w:num>
  <w:num w:numId="17">
    <w:abstractNumId w:val="16"/>
  </w:num>
  <w:num w:numId="18">
    <w:abstractNumId w:val="21"/>
  </w:num>
  <w:num w:numId="19">
    <w:abstractNumId w:val="29"/>
  </w:num>
  <w:num w:numId="20">
    <w:abstractNumId w:val="18"/>
  </w:num>
  <w:num w:numId="21">
    <w:abstractNumId w:val="32"/>
  </w:num>
  <w:num w:numId="22">
    <w:abstractNumId w:val="28"/>
  </w:num>
  <w:num w:numId="23">
    <w:abstractNumId w:val="25"/>
  </w:num>
  <w:num w:numId="24">
    <w:abstractNumId w:val="31"/>
  </w:num>
  <w:num w:numId="25">
    <w:abstractNumId w:val="5"/>
  </w:num>
  <w:num w:numId="26">
    <w:abstractNumId w:val="14"/>
    <w:lvlOverride w:ilvl="0">
      <w:startOverride w:val="1"/>
    </w:lvlOverride>
  </w:num>
  <w:num w:numId="27">
    <w:abstractNumId w:val="24"/>
    <w:lvlOverride w:ilvl="0">
      <w:startOverride w:val="1"/>
    </w:lvlOverride>
  </w:num>
  <w:num w:numId="28">
    <w:abstractNumId w:val="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0"/>
  </w:num>
  <w:num w:numId="34">
    <w:abstractNumId w:val="6"/>
  </w:num>
  <w:num w:numId="35">
    <w:abstractNumId w:val="19"/>
  </w:num>
  <w:num w:numId="36">
    <w:abstractNumId w:val="8"/>
  </w:num>
  <w:num w:numId="37">
    <w:abstractNumId w:val="7"/>
  </w:num>
  <w:num w:numId="3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505"/>
    <w:rsid w:val="00005A91"/>
    <w:rsid w:val="0000620F"/>
    <w:rsid w:val="00006446"/>
    <w:rsid w:val="00006896"/>
    <w:rsid w:val="00007CDC"/>
    <w:rsid w:val="00007EDB"/>
    <w:rsid w:val="00011B28"/>
    <w:rsid w:val="000125CE"/>
    <w:rsid w:val="00014917"/>
    <w:rsid w:val="000151A1"/>
    <w:rsid w:val="00015D15"/>
    <w:rsid w:val="00016D17"/>
    <w:rsid w:val="000175CE"/>
    <w:rsid w:val="00020CBC"/>
    <w:rsid w:val="000250B3"/>
    <w:rsid w:val="0002564D"/>
    <w:rsid w:val="00025ECA"/>
    <w:rsid w:val="000273AD"/>
    <w:rsid w:val="000303D2"/>
    <w:rsid w:val="00032272"/>
    <w:rsid w:val="000325B8"/>
    <w:rsid w:val="00032982"/>
    <w:rsid w:val="000334E7"/>
    <w:rsid w:val="000340C8"/>
    <w:rsid w:val="000344FD"/>
    <w:rsid w:val="00034C15"/>
    <w:rsid w:val="0003654D"/>
    <w:rsid w:val="0003686F"/>
    <w:rsid w:val="00036BA1"/>
    <w:rsid w:val="00040B8E"/>
    <w:rsid w:val="000422E2"/>
    <w:rsid w:val="00042CD7"/>
    <w:rsid w:val="00042F22"/>
    <w:rsid w:val="000444EF"/>
    <w:rsid w:val="00052677"/>
    <w:rsid w:val="000528F7"/>
    <w:rsid w:val="00052A07"/>
    <w:rsid w:val="000534E3"/>
    <w:rsid w:val="0005606A"/>
    <w:rsid w:val="00057117"/>
    <w:rsid w:val="000616E7"/>
    <w:rsid w:val="00063209"/>
    <w:rsid w:val="00063294"/>
    <w:rsid w:val="0006478A"/>
    <w:rsid w:val="0006487E"/>
    <w:rsid w:val="00064C1D"/>
    <w:rsid w:val="00065E1A"/>
    <w:rsid w:val="00071246"/>
    <w:rsid w:val="0007265B"/>
    <w:rsid w:val="00073642"/>
    <w:rsid w:val="00075C6D"/>
    <w:rsid w:val="00076C39"/>
    <w:rsid w:val="00077E5F"/>
    <w:rsid w:val="0008036A"/>
    <w:rsid w:val="00081AE6"/>
    <w:rsid w:val="000855EB"/>
    <w:rsid w:val="00085B52"/>
    <w:rsid w:val="000866F2"/>
    <w:rsid w:val="00087435"/>
    <w:rsid w:val="00087F33"/>
    <w:rsid w:val="0009009F"/>
    <w:rsid w:val="0009012F"/>
    <w:rsid w:val="00091557"/>
    <w:rsid w:val="000924C1"/>
    <w:rsid w:val="000924F0"/>
    <w:rsid w:val="00092B4B"/>
    <w:rsid w:val="00093474"/>
    <w:rsid w:val="00094709"/>
    <w:rsid w:val="0009510F"/>
    <w:rsid w:val="000A0640"/>
    <w:rsid w:val="000A1B7B"/>
    <w:rsid w:val="000A3241"/>
    <w:rsid w:val="000A56F2"/>
    <w:rsid w:val="000B082B"/>
    <w:rsid w:val="000B1B8D"/>
    <w:rsid w:val="000B20A6"/>
    <w:rsid w:val="000B2719"/>
    <w:rsid w:val="000B2C04"/>
    <w:rsid w:val="000B372E"/>
    <w:rsid w:val="000B3A8F"/>
    <w:rsid w:val="000B4AB9"/>
    <w:rsid w:val="000B58C3"/>
    <w:rsid w:val="000B61E9"/>
    <w:rsid w:val="000B66A8"/>
    <w:rsid w:val="000B7B33"/>
    <w:rsid w:val="000C165A"/>
    <w:rsid w:val="000C2E19"/>
    <w:rsid w:val="000C4A84"/>
    <w:rsid w:val="000C732F"/>
    <w:rsid w:val="000C7976"/>
    <w:rsid w:val="000C7A12"/>
    <w:rsid w:val="000D099F"/>
    <w:rsid w:val="000D0D07"/>
    <w:rsid w:val="000D0E20"/>
    <w:rsid w:val="000D4797"/>
    <w:rsid w:val="000D4F21"/>
    <w:rsid w:val="000E0527"/>
    <w:rsid w:val="000E1E92"/>
    <w:rsid w:val="000E4844"/>
    <w:rsid w:val="000F06D6"/>
    <w:rsid w:val="000F0EB1"/>
    <w:rsid w:val="000F1106"/>
    <w:rsid w:val="000F352E"/>
    <w:rsid w:val="000F3BE9"/>
    <w:rsid w:val="000F3F6C"/>
    <w:rsid w:val="000F6DF3"/>
    <w:rsid w:val="001005FF"/>
    <w:rsid w:val="00102F75"/>
    <w:rsid w:val="00103F03"/>
    <w:rsid w:val="0010530B"/>
    <w:rsid w:val="001062FB"/>
    <w:rsid w:val="001063E6"/>
    <w:rsid w:val="001077B1"/>
    <w:rsid w:val="00107908"/>
    <w:rsid w:val="00111DC7"/>
    <w:rsid w:val="00113CF4"/>
    <w:rsid w:val="00114823"/>
    <w:rsid w:val="001153EA"/>
    <w:rsid w:val="001155DC"/>
    <w:rsid w:val="00115643"/>
    <w:rsid w:val="00115D13"/>
    <w:rsid w:val="00115E25"/>
    <w:rsid w:val="00116748"/>
    <w:rsid w:val="00116765"/>
    <w:rsid w:val="001177E7"/>
    <w:rsid w:val="001219F5"/>
    <w:rsid w:val="00121A20"/>
    <w:rsid w:val="00122EDF"/>
    <w:rsid w:val="0012377F"/>
    <w:rsid w:val="00124314"/>
    <w:rsid w:val="00124D89"/>
    <w:rsid w:val="00126B4A"/>
    <w:rsid w:val="00132FD0"/>
    <w:rsid w:val="001344C0"/>
    <w:rsid w:val="001346FA"/>
    <w:rsid w:val="00135252"/>
    <w:rsid w:val="001353F1"/>
    <w:rsid w:val="00136F34"/>
    <w:rsid w:val="00137AB5"/>
    <w:rsid w:val="00137F0B"/>
    <w:rsid w:val="00137F32"/>
    <w:rsid w:val="00142AA9"/>
    <w:rsid w:val="001476F1"/>
    <w:rsid w:val="00147BF5"/>
    <w:rsid w:val="00151E23"/>
    <w:rsid w:val="001526E0"/>
    <w:rsid w:val="00153B04"/>
    <w:rsid w:val="001551B5"/>
    <w:rsid w:val="0015568B"/>
    <w:rsid w:val="0016056F"/>
    <w:rsid w:val="001629B6"/>
    <w:rsid w:val="001632B7"/>
    <w:rsid w:val="0016360E"/>
    <w:rsid w:val="00164685"/>
    <w:rsid w:val="00164FEA"/>
    <w:rsid w:val="001659C1"/>
    <w:rsid w:val="00165A95"/>
    <w:rsid w:val="00166E7F"/>
    <w:rsid w:val="00170546"/>
    <w:rsid w:val="00170C0D"/>
    <w:rsid w:val="00171187"/>
    <w:rsid w:val="00173A8E"/>
    <w:rsid w:val="00173AF5"/>
    <w:rsid w:val="00174693"/>
    <w:rsid w:val="001748BD"/>
    <w:rsid w:val="00177795"/>
    <w:rsid w:val="00180BB7"/>
    <w:rsid w:val="0018143F"/>
    <w:rsid w:val="00182773"/>
    <w:rsid w:val="00183D3A"/>
    <w:rsid w:val="0018412F"/>
    <w:rsid w:val="00184A23"/>
    <w:rsid w:val="00185502"/>
    <w:rsid w:val="00186256"/>
    <w:rsid w:val="00190676"/>
    <w:rsid w:val="00190AC1"/>
    <w:rsid w:val="0019341A"/>
    <w:rsid w:val="001974AB"/>
    <w:rsid w:val="00197DF9"/>
    <w:rsid w:val="001A0E81"/>
    <w:rsid w:val="001A0FF8"/>
    <w:rsid w:val="001A1987"/>
    <w:rsid w:val="001A2564"/>
    <w:rsid w:val="001A2CC0"/>
    <w:rsid w:val="001A38B4"/>
    <w:rsid w:val="001A398F"/>
    <w:rsid w:val="001A4501"/>
    <w:rsid w:val="001A4CA8"/>
    <w:rsid w:val="001A6173"/>
    <w:rsid w:val="001A6384"/>
    <w:rsid w:val="001A6CBA"/>
    <w:rsid w:val="001A7F00"/>
    <w:rsid w:val="001B0D97"/>
    <w:rsid w:val="001B2715"/>
    <w:rsid w:val="001B501F"/>
    <w:rsid w:val="001B5722"/>
    <w:rsid w:val="001B5A5D"/>
    <w:rsid w:val="001C15CD"/>
    <w:rsid w:val="001C1CE5"/>
    <w:rsid w:val="001C3D2A"/>
    <w:rsid w:val="001C450E"/>
    <w:rsid w:val="001C692C"/>
    <w:rsid w:val="001D063B"/>
    <w:rsid w:val="001D175C"/>
    <w:rsid w:val="001D19CB"/>
    <w:rsid w:val="001D51BA"/>
    <w:rsid w:val="001D6342"/>
    <w:rsid w:val="001D6D53"/>
    <w:rsid w:val="001E393B"/>
    <w:rsid w:val="001E3F2B"/>
    <w:rsid w:val="001E43F8"/>
    <w:rsid w:val="001E58E2"/>
    <w:rsid w:val="001E596C"/>
    <w:rsid w:val="001E7AED"/>
    <w:rsid w:val="001F238A"/>
    <w:rsid w:val="001F2F5F"/>
    <w:rsid w:val="001F3916"/>
    <w:rsid w:val="001F4FC7"/>
    <w:rsid w:val="001F502B"/>
    <w:rsid w:val="001F54C5"/>
    <w:rsid w:val="001F662C"/>
    <w:rsid w:val="001F6F78"/>
    <w:rsid w:val="001F7074"/>
    <w:rsid w:val="00200490"/>
    <w:rsid w:val="00200C8C"/>
    <w:rsid w:val="00201BD1"/>
    <w:rsid w:val="00201F3A"/>
    <w:rsid w:val="0020366F"/>
    <w:rsid w:val="00203F96"/>
    <w:rsid w:val="002069B2"/>
    <w:rsid w:val="00207CAB"/>
    <w:rsid w:val="00207FA3"/>
    <w:rsid w:val="0021243C"/>
    <w:rsid w:val="0021450D"/>
    <w:rsid w:val="00214972"/>
    <w:rsid w:val="00214DA8"/>
    <w:rsid w:val="00215423"/>
    <w:rsid w:val="002158FA"/>
    <w:rsid w:val="00216CD3"/>
    <w:rsid w:val="00217D20"/>
    <w:rsid w:val="00220600"/>
    <w:rsid w:val="002224DB"/>
    <w:rsid w:val="002225FA"/>
    <w:rsid w:val="00223FCB"/>
    <w:rsid w:val="002252C3"/>
    <w:rsid w:val="002254BC"/>
    <w:rsid w:val="00225C54"/>
    <w:rsid w:val="00230765"/>
    <w:rsid w:val="002319E4"/>
    <w:rsid w:val="00235632"/>
    <w:rsid w:val="00235872"/>
    <w:rsid w:val="00241559"/>
    <w:rsid w:val="00241A76"/>
    <w:rsid w:val="002435B3"/>
    <w:rsid w:val="002458EB"/>
    <w:rsid w:val="002478DE"/>
    <w:rsid w:val="00247CBD"/>
    <w:rsid w:val="002500C8"/>
    <w:rsid w:val="0025080C"/>
    <w:rsid w:val="00252F75"/>
    <w:rsid w:val="00254B23"/>
    <w:rsid w:val="00257543"/>
    <w:rsid w:val="002617E7"/>
    <w:rsid w:val="00262AE8"/>
    <w:rsid w:val="00264228"/>
    <w:rsid w:val="00264334"/>
    <w:rsid w:val="0026473E"/>
    <w:rsid w:val="00264760"/>
    <w:rsid w:val="00266214"/>
    <w:rsid w:val="0026758F"/>
    <w:rsid w:val="00267C83"/>
    <w:rsid w:val="0027144F"/>
    <w:rsid w:val="00271F3A"/>
    <w:rsid w:val="00272738"/>
    <w:rsid w:val="00273278"/>
    <w:rsid w:val="002737F4"/>
    <w:rsid w:val="00276ED5"/>
    <w:rsid w:val="00277453"/>
    <w:rsid w:val="00280121"/>
    <w:rsid w:val="002805F5"/>
    <w:rsid w:val="00280751"/>
    <w:rsid w:val="00280C68"/>
    <w:rsid w:val="0028280A"/>
    <w:rsid w:val="00283225"/>
    <w:rsid w:val="00286ACD"/>
    <w:rsid w:val="00287838"/>
    <w:rsid w:val="002907B5"/>
    <w:rsid w:val="002929F5"/>
    <w:rsid w:val="00292C8F"/>
    <w:rsid w:val="00292EB7"/>
    <w:rsid w:val="00296227"/>
    <w:rsid w:val="00296F44"/>
    <w:rsid w:val="0029777D"/>
    <w:rsid w:val="002A055E"/>
    <w:rsid w:val="002A1D4E"/>
    <w:rsid w:val="002A1F25"/>
    <w:rsid w:val="002A1FC2"/>
    <w:rsid w:val="002A2206"/>
    <w:rsid w:val="002A2869"/>
    <w:rsid w:val="002A3A58"/>
    <w:rsid w:val="002B0219"/>
    <w:rsid w:val="002B1106"/>
    <w:rsid w:val="002B1A65"/>
    <w:rsid w:val="002B24D6"/>
    <w:rsid w:val="002B4CE9"/>
    <w:rsid w:val="002C41E6"/>
    <w:rsid w:val="002C4E89"/>
    <w:rsid w:val="002C692E"/>
    <w:rsid w:val="002C717F"/>
    <w:rsid w:val="002D071A"/>
    <w:rsid w:val="002D1464"/>
    <w:rsid w:val="002D34B2"/>
    <w:rsid w:val="002D41E6"/>
    <w:rsid w:val="002D4A15"/>
    <w:rsid w:val="002D60F5"/>
    <w:rsid w:val="002D7225"/>
    <w:rsid w:val="002D7637"/>
    <w:rsid w:val="002E07D2"/>
    <w:rsid w:val="002E17F2"/>
    <w:rsid w:val="002E2B17"/>
    <w:rsid w:val="002E57D9"/>
    <w:rsid w:val="002E6A8C"/>
    <w:rsid w:val="002E7775"/>
    <w:rsid w:val="002E78A9"/>
    <w:rsid w:val="002E7CAE"/>
    <w:rsid w:val="002F2771"/>
    <w:rsid w:val="002F304D"/>
    <w:rsid w:val="002F37A9"/>
    <w:rsid w:val="002F5BBD"/>
    <w:rsid w:val="002F5C6A"/>
    <w:rsid w:val="00301CE6"/>
    <w:rsid w:val="00301E1E"/>
    <w:rsid w:val="003023AE"/>
    <w:rsid w:val="0030256B"/>
    <w:rsid w:val="00302CA2"/>
    <w:rsid w:val="0030501F"/>
    <w:rsid w:val="003053E4"/>
    <w:rsid w:val="003058F8"/>
    <w:rsid w:val="0030638C"/>
    <w:rsid w:val="00306F69"/>
    <w:rsid w:val="00307BA1"/>
    <w:rsid w:val="00310511"/>
    <w:rsid w:val="00310A30"/>
    <w:rsid w:val="00311031"/>
    <w:rsid w:val="003110D0"/>
    <w:rsid w:val="00311702"/>
    <w:rsid w:val="0031185B"/>
    <w:rsid w:val="00311CC7"/>
    <w:rsid w:val="00311E82"/>
    <w:rsid w:val="00313FD6"/>
    <w:rsid w:val="003143BD"/>
    <w:rsid w:val="00315380"/>
    <w:rsid w:val="003168A6"/>
    <w:rsid w:val="00317548"/>
    <w:rsid w:val="003203ED"/>
    <w:rsid w:val="003203F1"/>
    <w:rsid w:val="00320E37"/>
    <w:rsid w:val="00322C9F"/>
    <w:rsid w:val="003244F4"/>
    <w:rsid w:val="00324D23"/>
    <w:rsid w:val="003268E0"/>
    <w:rsid w:val="0033024B"/>
    <w:rsid w:val="00330E03"/>
    <w:rsid w:val="0033168C"/>
    <w:rsid w:val="00331751"/>
    <w:rsid w:val="0033385C"/>
    <w:rsid w:val="00334579"/>
    <w:rsid w:val="00335858"/>
    <w:rsid w:val="0033662A"/>
    <w:rsid w:val="00336BDA"/>
    <w:rsid w:val="00337F45"/>
    <w:rsid w:val="00340F49"/>
    <w:rsid w:val="003429A8"/>
    <w:rsid w:val="00342BD7"/>
    <w:rsid w:val="00343A07"/>
    <w:rsid w:val="00346DB5"/>
    <w:rsid w:val="0034778E"/>
    <w:rsid w:val="003477B1"/>
    <w:rsid w:val="00350AC4"/>
    <w:rsid w:val="00350DE2"/>
    <w:rsid w:val="00355C67"/>
    <w:rsid w:val="00357380"/>
    <w:rsid w:val="003602D9"/>
    <w:rsid w:val="003604CE"/>
    <w:rsid w:val="00360608"/>
    <w:rsid w:val="003617E1"/>
    <w:rsid w:val="00362D33"/>
    <w:rsid w:val="00362EF4"/>
    <w:rsid w:val="00363E4E"/>
    <w:rsid w:val="00365F79"/>
    <w:rsid w:val="00366E37"/>
    <w:rsid w:val="00370E47"/>
    <w:rsid w:val="003742AC"/>
    <w:rsid w:val="00374F2C"/>
    <w:rsid w:val="003759DA"/>
    <w:rsid w:val="00375E93"/>
    <w:rsid w:val="003766F3"/>
    <w:rsid w:val="0037697E"/>
    <w:rsid w:val="00377CE1"/>
    <w:rsid w:val="00380245"/>
    <w:rsid w:val="0038320C"/>
    <w:rsid w:val="00383641"/>
    <w:rsid w:val="00384DC0"/>
    <w:rsid w:val="00385BF0"/>
    <w:rsid w:val="00385DED"/>
    <w:rsid w:val="00387090"/>
    <w:rsid w:val="00390043"/>
    <w:rsid w:val="003939FF"/>
    <w:rsid w:val="00394CCD"/>
    <w:rsid w:val="00395F67"/>
    <w:rsid w:val="00397737"/>
    <w:rsid w:val="003A1EC8"/>
    <w:rsid w:val="003A2093"/>
    <w:rsid w:val="003A2223"/>
    <w:rsid w:val="003A2A0F"/>
    <w:rsid w:val="003A45A1"/>
    <w:rsid w:val="003A5ACB"/>
    <w:rsid w:val="003A5B0A"/>
    <w:rsid w:val="003A5C65"/>
    <w:rsid w:val="003A66F7"/>
    <w:rsid w:val="003A6BAC"/>
    <w:rsid w:val="003A717C"/>
    <w:rsid w:val="003A7EF3"/>
    <w:rsid w:val="003B159C"/>
    <w:rsid w:val="003B227E"/>
    <w:rsid w:val="003B3640"/>
    <w:rsid w:val="003B369F"/>
    <w:rsid w:val="003B36A3"/>
    <w:rsid w:val="003B510E"/>
    <w:rsid w:val="003B6466"/>
    <w:rsid w:val="003B7FE5"/>
    <w:rsid w:val="003C11C8"/>
    <w:rsid w:val="003C2702"/>
    <w:rsid w:val="003C5F84"/>
    <w:rsid w:val="003C6703"/>
    <w:rsid w:val="003C7806"/>
    <w:rsid w:val="003D0295"/>
    <w:rsid w:val="003D0CD4"/>
    <w:rsid w:val="003D109F"/>
    <w:rsid w:val="003D2478"/>
    <w:rsid w:val="003D3C45"/>
    <w:rsid w:val="003D4B69"/>
    <w:rsid w:val="003D5B1F"/>
    <w:rsid w:val="003E15FA"/>
    <w:rsid w:val="003E1E1D"/>
    <w:rsid w:val="003E41A3"/>
    <w:rsid w:val="003E55E4"/>
    <w:rsid w:val="003E5F40"/>
    <w:rsid w:val="003E74E3"/>
    <w:rsid w:val="003F05C7"/>
    <w:rsid w:val="003F2C2C"/>
    <w:rsid w:val="003F2CD4"/>
    <w:rsid w:val="003F468A"/>
    <w:rsid w:val="003F6BBE"/>
    <w:rsid w:val="003F74B7"/>
    <w:rsid w:val="004000E8"/>
    <w:rsid w:val="004009C9"/>
    <w:rsid w:val="00401E38"/>
    <w:rsid w:val="00402DBE"/>
    <w:rsid w:val="00402E2B"/>
    <w:rsid w:val="0040512B"/>
    <w:rsid w:val="00405CA5"/>
    <w:rsid w:val="00407CD3"/>
    <w:rsid w:val="00410134"/>
    <w:rsid w:val="0041051C"/>
    <w:rsid w:val="00410630"/>
    <w:rsid w:val="00410B72"/>
    <w:rsid w:val="00410F18"/>
    <w:rsid w:val="004119F3"/>
    <w:rsid w:val="004122F3"/>
    <w:rsid w:val="0041263E"/>
    <w:rsid w:val="00413AAC"/>
    <w:rsid w:val="00413C21"/>
    <w:rsid w:val="004151A7"/>
    <w:rsid w:val="00421105"/>
    <w:rsid w:val="00421697"/>
    <w:rsid w:val="00421D18"/>
    <w:rsid w:val="004242F4"/>
    <w:rsid w:val="00425ECB"/>
    <w:rsid w:val="00427248"/>
    <w:rsid w:val="00437447"/>
    <w:rsid w:val="0044120E"/>
    <w:rsid w:val="00441A92"/>
    <w:rsid w:val="00443F4A"/>
    <w:rsid w:val="00444F56"/>
    <w:rsid w:val="00445E76"/>
    <w:rsid w:val="00446488"/>
    <w:rsid w:val="0045088A"/>
    <w:rsid w:val="004512CD"/>
    <w:rsid w:val="004517AA"/>
    <w:rsid w:val="0045232F"/>
    <w:rsid w:val="00452B53"/>
    <w:rsid w:val="00452CAC"/>
    <w:rsid w:val="0045389A"/>
    <w:rsid w:val="00456704"/>
    <w:rsid w:val="004574A5"/>
    <w:rsid w:val="00457565"/>
    <w:rsid w:val="00457B71"/>
    <w:rsid w:val="00461783"/>
    <w:rsid w:val="00464F28"/>
    <w:rsid w:val="00465CBE"/>
    <w:rsid w:val="004669E2"/>
    <w:rsid w:val="00467E97"/>
    <w:rsid w:val="00470C31"/>
    <w:rsid w:val="004734D0"/>
    <w:rsid w:val="0047447B"/>
    <w:rsid w:val="0047455D"/>
    <w:rsid w:val="0047556B"/>
    <w:rsid w:val="00477768"/>
    <w:rsid w:val="004778A8"/>
    <w:rsid w:val="00481704"/>
    <w:rsid w:val="00484369"/>
    <w:rsid w:val="00484B89"/>
    <w:rsid w:val="00484FD1"/>
    <w:rsid w:val="00486FDA"/>
    <w:rsid w:val="00490328"/>
    <w:rsid w:val="004903E5"/>
    <w:rsid w:val="00491BC5"/>
    <w:rsid w:val="00492BC5"/>
    <w:rsid w:val="004936D8"/>
    <w:rsid w:val="004951B0"/>
    <w:rsid w:val="004964F1"/>
    <w:rsid w:val="004A163A"/>
    <w:rsid w:val="004A16BC"/>
    <w:rsid w:val="004A2B94"/>
    <w:rsid w:val="004A3F21"/>
    <w:rsid w:val="004A5124"/>
    <w:rsid w:val="004A7404"/>
    <w:rsid w:val="004B08CF"/>
    <w:rsid w:val="004B147C"/>
    <w:rsid w:val="004B3836"/>
    <w:rsid w:val="004B77D0"/>
    <w:rsid w:val="004B7C0C"/>
    <w:rsid w:val="004C3898"/>
    <w:rsid w:val="004C4D69"/>
    <w:rsid w:val="004C6818"/>
    <w:rsid w:val="004D36B1"/>
    <w:rsid w:val="004D41AD"/>
    <w:rsid w:val="004D49A7"/>
    <w:rsid w:val="004D49D5"/>
    <w:rsid w:val="004D4B56"/>
    <w:rsid w:val="004D5DFD"/>
    <w:rsid w:val="004D7EBD"/>
    <w:rsid w:val="004E0478"/>
    <w:rsid w:val="004E1C52"/>
    <w:rsid w:val="004E267D"/>
    <w:rsid w:val="004E2680"/>
    <w:rsid w:val="004E28F9"/>
    <w:rsid w:val="004E3B64"/>
    <w:rsid w:val="004E462E"/>
    <w:rsid w:val="004E4EE3"/>
    <w:rsid w:val="004E56DC"/>
    <w:rsid w:val="004E5829"/>
    <w:rsid w:val="004E6B56"/>
    <w:rsid w:val="004E76F4"/>
    <w:rsid w:val="004F0B4E"/>
    <w:rsid w:val="004F0B6C"/>
    <w:rsid w:val="004F2078"/>
    <w:rsid w:val="004F4DA3"/>
    <w:rsid w:val="004F6AC6"/>
    <w:rsid w:val="004F7087"/>
    <w:rsid w:val="004F7EE5"/>
    <w:rsid w:val="00500B4A"/>
    <w:rsid w:val="00502BE5"/>
    <w:rsid w:val="00502DD1"/>
    <w:rsid w:val="0050591F"/>
    <w:rsid w:val="00506557"/>
    <w:rsid w:val="0050677A"/>
    <w:rsid w:val="0051082E"/>
    <w:rsid w:val="005108D8"/>
    <w:rsid w:val="005116F9"/>
    <w:rsid w:val="00512603"/>
    <w:rsid w:val="00514A96"/>
    <w:rsid w:val="005153A7"/>
    <w:rsid w:val="00517859"/>
    <w:rsid w:val="00520ABC"/>
    <w:rsid w:val="005219CF"/>
    <w:rsid w:val="00521F6C"/>
    <w:rsid w:val="00522823"/>
    <w:rsid w:val="00526585"/>
    <w:rsid w:val="005311D5"/>
    <w:rsid w:val="00534B59"/>
    <w:rsid w:val="00535699"/>
    <w:rsid w:val="00536759"/>
    <w:rsid w:val="00537C62"/>
    <w:rsid w:val="00537FB9"/>
    <w:rsid w:val="00541512"/>
    <w:rsid w:val="005435AA"/>
    <w:rsid w:val="00543986"/>
    <w:rsid w:val="00544CCC"/>
    <w:rsid w:val="00544D5B"/>
    <w:rsid w:val="00546970"/>
    <w:rsid w:val="00546C74"/>
    <w:rsid w:val="00547CD9"/>
    <w:rsid w:val="00550B6E"/>
    <w:rsid w:val="00554E19"/>
    <w:rsid w:val="00555435"/>
    <w:rsid w:val="005554C3"/>
    <w:rsid w:val="0055786C"/>
    <w:rsid w:val="0056121F"/>
    <w:rsid w:val="005619F9"/>
    <w:rsid w:val="005640C3"/>
    <w:rsid w:val="00564875"/>
    <w:rsid w:val="005674A1"/>
    <w:rsid w:val="00567F1D"/>
    <w:rsid w:val="0057036A"/>
    <w:rsid w:val="00572505"/>
    <w:rsid w:val="0057523E"/>
    <w:rsid w:val="0058082C"/>
    <w:rsid w:val="00580CA5"/>
    <w:rsid w:val="00580D33"/>
    <w:rsid w:val="00581970"/>
    <w:rsid w:val="00582809"/>
    <w:rsid w:val="00582C68"/>
    <w:rsid w:val="00583074"/>
    <w:rsid w:val="00583D34"/>
    <w:rsid w:val="0058491F"/>
    <w:rsid w:val="00584F7A"/>
    <w:rsid w:val="005871BE"/>
    <w:rsid w:val="0058744F"/>
    <w:rsid w:val="0058798C"/>
    <w:rsid w:val="005900FA"/>
    <w:rsid w:val="00592DC0"/>
    <w:rsid w:val="005935A4"/>
    <w:rsid w:val="005948C2"/>
    <w:rsid w:val="00595B36"/>
    <w:rsid w:val="00595DCA"/>
    <w:rsid w:val="00595F70"/>
    <w:rsid w:val="0059779B"/>
    <w:rsid w:val="005A0738"/>
    <w:rsid w:val="005A0DEB"/>
    <w:rsid w:val="005A10D0"/>
    <w:rsid w:val="005A209A"/>
    <w:rsid w:val="005A338A"/>
    <w:rsid w:val="005A61E5"/>
    <w:rsid w:val="005A662D"/>
    <w:rsid w:val="005B0683"/>
    <w:rsid w:val="005B35D7"/>
    <w:rsid w:val="005B392A"/>
    <w:rsid w:val="005B3AA3"/>
    <w:rsid w:val="005B6F83"/>
    <w:rsid w:val="005C2118"/>
    <w:rsid w:val="005C34B9"/>
    <w:rsid w:val="005C62F1"/>
    <w:rsid w:val="005C74FB"/>
    <w:rsid w:val="005D0BF0"/>
    <w:rsid w:val="005D0D20"/>
    <w:rsid w:val="005D1602"/>
    <w:rsid w:val="005D22E6"/>
    <w:rsid w:val="005E00D1"/>
    <w:rsid w:val="005E385F"/>
    <w:rsid w:val="005E5469"/>
    <w:rsid w:val="005E5B81"/>
    <w:rsid w:val="005F060D"/>
    <w:rsid w:val="005F1378"/>
    <w:rsid w:val="005F21C1"/>
    <w:rsid w:val="005F21EF"/>
    <w:rsid w:val="005F2CB1"/>
    <w:rsid w:val="005F2EEB"/>
    <w:rsid w:val="005F3025"/>
    <w:rsid w:val="005F4195"/>
    <w:rsid w:val="005F5142"/>
    <w:rsid w:val="005F618C"/>
    <w:rsid w:val="005F70BD"/>
    <w:rsid w:val="00600A67"/>
    <w:rsid w:val="00600C15"/>
    <w:rsid w:val="0060283C"/>
    <w:rsid w:val="00604F14"/>
    <w:rsid w:val="00605FC8"/>
    <w:rsid w:val="006063BC"/>
    <w:rsid w:val="006068D5"/>
    <w:rsid w:val="00606944"/>
    <w:rsid w:val="00610D98"/>
    <w:rsid w:val="00611B83"/>
    <w:rsid w:val="00612E7D"/>
    <w:rsid w:val="00613257"/>
    <w:rsid w:val="00615EBC"/>
    <w:rsid w:val="00620A71"/>
    <w:rsid w:val="00620D80"/>
    <w:rsid w:val="006234A6"/>
    <w:rsid w:val="00624DAA"/>
    <w:rsid w:val="00625095"/>
    <w:rsid w:val="00625846"/>
    <w:rsid w:val="00625D91"/>
    <w:rsid w:val="00630001"/>
    <w:rsid w:val="006311B3"/>
    <w:rsid w:val="0063284C"/>
    <w:rsid w:val="00636398"/>
    <w:rsid w:val="006368D3"/>
    <w:rsid w:val="006377EC"/>
    <w:rsid w:val="0064151F"/>
    <w:rsid w:val="00641533"/>
    <w:rsid w:val="0064208D"/>
    <w:rsid w:val="00643475"/>
    <w:rsid w:val="0064396A"/>
    <w:rsid w:val="0064493F"/>
    <w:rsid w:val="0064624E"/>
    <w:rsid w:val="00650AB9"/>
    <w:rsid w:val="00655733"/>
    <w:rsid w:val="00655ACD"/>
    <w:rsid w:val="00656A92"/>
    <w:rsid w:val="00656DDE"/>
    <w:rsid w:val="00656FD2"/>
    <w:rsid w:val="0066011D"/>
    <w:rsid w:val="006607C0"/>
    <w:rsid w:val="006613A6"/>
    <w:rsid w:val="006627A2"/>
    <w:rsid w:val="00662B9F"/>
    <w:rsid w:val="00662E0C"/>
    <w:rsid w:val="006634E6"/>
    <w:rsid w:val="00663669"/>
    <w:rsid w:val="006655EE"/>
    <w:rsid w:val="00666C3C"/>
    <w:rsid w:val="00667B93"/>
    <w:rsid w:val="00667EE7"/>
    <w:rsid w:val="00670922"/>
    <w:rsid w:val="00670BE1"/>
    <w:rsid w:val="0067218F"/>
    <w:rsid w:val="006741F2"/>
    <w:rsid w:val="00674CC3"/>
    <w:rsid w:val="00675C72"/>
    <w:rsid w:val="006771F9"/>
    <w:rsid w:val="006776D7"/>
    <w:rsid w:val="00680213"/>
    <w:rsid w:val="00680B32"/>
    <w:rsid w:val="00681003"/>
    <w:rsid w:val="006814F7"/>
    <w:rsid w:val="006817C9"/>
    <w:rsid w:val="00682D74"/>
    <w:rsid w:val="00682DD2"/>
    <w:rsid w:val="00683ECE"/>
    <w:rsid w:val="006876D5"/>
    <w:rsid w:val="006906FE"/>
    <w:rsid w:val="00695FC2"/>
    <w:rsid w:val="00696949"/>
    <w:rsid w:val="00697052"/>
    <w:rsid w:val="006A1881"/>
    <w:rsid w:val="006A46FB"/>
    <w:rsid w:val="006A4F98"/>
    <w:rsid w:val="006A5E28"/>
    <w:rsid w:val="006A697B"/>
    <w:rsid w:val="006A707E"/>
    <w:rsid w:val="006A7453"/>
    <w:rsid w:val="006A7AFF"/>
    <w:rsid w:val="006B1816"/>
    <w:rsid w:val="006B2099"/>
    <w:rsid w:val="006B3648"/>
    <w:rsid w:val="006B50CF"/>
    <w:rsid w:val="006B5BE6"/>
    <w:rsid w:val="006C03B8"/>
    <w:rsid w:val="006C3409"/>
    <w:rsid w:val="006C4F4E"/>
    <w:rsid w:val="006C5EC9"/>
    <w:rsid w:val="006C6059"/>
    <w:rsid w:val="006C644D"/>
    <w:rsid w:val="006C7046"/>
    <w:rsid w:val="006C7522"/>
    <w:rsid w:val="006D0254"/>
    <w:rsid w:val="006D1623"/>
    <w:rsid w:val="006D2139"/>
    <w:rsid w:val="006D303B"/>
    <w:rsid w:val="006D6F08"/>
    <w:rsid w:val="006D7093"/>
    <w:rsid w:val="006E062C"/>
    <w:rsid w:val="006E0DA8"/>
    <w:rsid w:val="006E18D3"/>
    <w:rsid w:val="006E28B7"/>
    <w:rsid w:val="006E3310"/>
    <w:rsid w:val="006E3F07"/>
    <w:rsid w:val="006E4E39"/>
    <w:rsid w:val="006E565E"/>
    <w:rsid w:val="006E673D"/>
    <w:rsid w:val="006E7D3B"/>
    <w:rsid w:val="006F06B5"/>
    <w:rsid w:val="006F1B70"/>
    <w:rsid w:val="006F341D"/>
    <w:rsid w:val="006F3C0F"/>
    <w:rsid w:val="006F3CDE"/>
    <w:rsid w:val="006F5251"/>
    <w:rsid w:val="006F58D4"/>
    <w:rsid w:val="006F642D"/>
    <w:rsid w:val="00700F38"/>
    <w:rsid w:val="00701A19"/>
    <w:rsid w:val="0070346E"/>
    <w:rsid w:val="007039EB"/>
    <w:rsid w:val="007047C1"/>
    <w:rsid w:val="00704EDB"/>
    <w:rsid w:val="00706101"/>
    <w:rsid w:val="00707072"/>
    <w:rsid w:val="00707D61"/>
    <w:rsid w:val="007100E6"/>
    <w:rsid w:val="00712287"/>
    <w:rsid w:val="00712772"/>
    <w:rsid w:val="007141EB"/>
    <w:rsid w:val="007148D3"/>
    <w:rsid w:val="0071565A"/>
    <w:rsid w:val="00715B9A"/>
    <w:rsid w:val="007174F1"/>
    <w:rsid w:val="00720210"/>
    <w:rsid w:val="00720D98"/>
    <w:rsid w:val="0072321D"/>
    <w:rsid w:val="00726EA6"/>
    <w:rsid w:val="00727208"/>
    <w:rsid w:val="00727680"/>
    <w:rsid w:val="00730670"/>
    <w:rsid w:val="00730A5D"/>
    <w:rsid w:val="007348B1"/>
    <w:rsid w:val="007362A6"/>
    <w:rsid w:val="0073652E"/>
    <w:rsid w:val="00736D7D"/>
    <w:rsid w:val="00740E58"/>
    <w:rsid w:val="00742371"/>
    <w:rsid w:val="007445A0"/>
    <w:rsid w:val="0074524B"/>
    <w:rsid w:val="00746183"/>
    <w:rsid w:val="00747D8B"/>
    <w:rsid w:val="00750DD0"/>
    <w:rsid w:val="00750E8F"/>
    <w:rsid w:val="00751228"/>
    <w:rsid w:val="00751505"/>
    <w:rsid w:val="007525B4"/>
    <w:rsid w:val="00752E9F"/>
    <w:rsid w:val="007551AA"/>
    <w:rsid w:val="007557B4"/>
    <w:rsid w:val="007560E5"/>
    <w:rsid w:val="00756270"/>
    <w:rsid w:val="007571E1"/>
    <w:rsid w:val="007604B2"/>
    <w:rsid w:val="00760BF7"/>
    <w:rsid w:val="0076237A"/>
    <w:rsid w:val="0076240D"/>
    <w:rsid w:val="007624BE"/>
    <w:rsid w:val="00764870"/>
    <w:rsid w:val="00765281"/>
    <w:rsid w:val="00766BAD"/>
    <w:rsid w:val="00767F41"/>
    <w:rsid w:val="00770283"/>
    <w:rsid w:val="0077283C"/>
    <w:rsid w:val="00772B47"/>
    <w:rsid w:val="00772CD9"/>
    <w:rsid w:val="007730BD"/>
    <w:rsid w:val="00773B8E"/>
    <w:rsid w:val="007755F2"/>
    <w:rsid w:val="007761FF"/>
    <w:rsid w:val="00776971"/>
    <w:rsid w:val="0078177E"/>
    <w:rsid w:val="00781E3F"/>
    <w:rsid w:val="0078304C"/>
    <w:rsid w:val="00783673"/>
    <w:rsid w:val="00785490"/>
    <w:rsid w:val="007869B5"/>
    <w:rsid w:val="0079010F"/>
    <w:rsid w:val="00791306"/>
    <w:rsid w:val="007925EA"/>
    <w:rsid w:val="00793CD8"/>
    <w:rsid w:val="00794664"/>
    <w:rsid w:val="00795C92"/>
    <w:rsid w:val="00796231"/>
    <w:rsid w:val="007A02E9"/>
    <w:rsid w:val="007A1CB3"/>
    <w:rsid w:val="007A306F"/>
    <w:rsid w:val="007A43A6"/>
    <w:rsid w:val="007A43C7"/>
    <w:rsid w:val="007A512C"/>
    <w:rsid w:val="007A58A6"/>
    <w:rsid w:val="007A7209"/>
    <w:rsid w:val="007B3B09"/>
    <w:rsid w:val="007B3D2D"/>
    <w:rsid w:val="007B464D"/>
    <w:rsid w:val="007B50AE"/>
    <w:rsid w:val="007B51DF"/>
    <w:rsid w:val="007B5283"/>
    <w:rsid w:val="007B67CC"/>
    <w:rsid w:val="007B71A3"/>
    <w:rsid w:val="007C05DD"/>
    <w:rsid w:val="007C17F9"/>
    <w:rsid w:val="007C2C5A"/>
    <w:rsid w:val="007C32AF"/>
    <w:rsid w:val="007C3D18"/>
    <w:rsid w:val="007C573F"/>
    <w:rsid w:val="007C60BF"/>
    <w:rsid w:val="007C6A07"/>
    <w:rsid w:val="007C75A1"/>
    <w:rsid w:val="007C77A5"/>
    <w:rsid w:val="007D04E5"/>
    <w:rsid w:val="007D497F"/>
    <w:rsid w:val="007D55FC"/>
    <w:rsid w:val="007D5901"/>
    <w:rsid w:val="007D63E1"/>
    <w:rsid w:val="007D7526"/>
    <w:rsid w:val="007E0665"/>
    <w:rsid w:val="007E1602"/>
    <w:rsid w:val="007E3C38"/>
    <w:rsid w:val="007E3C89"/>
    <w:rsid w:val="007E444A"/>
    <w:rsid w:val="007E4610"/>
    <w:rsid w:val="007E4715"/>
    <w:rsid w:val="007E505B"/>
    <w:rsid w:val="007E5A4C"/>
    <w:rsid w:val="007E7091"/>
    <w:rsid w:val="007E7A40"/>
    <w:rsid w:val="007F18A3"/>
    <w:rsid w:val="007F7848"/>
    <w:rsid w:val="00801525"/>
    <w:rsid w:val="008026E5"/>
    <w:rsid w:val="00803FAE"/>
    <w:rsid w:val="00804708"/>
    <w:rsid w:val="00805721"/>
    <w:rsid w:val="00805FDE"/>
    <w:rsid w:val="0080605F"/>
    <w:rsid w:val="00807786"/>
    <w:rsid w:val="008077AB"/>
    <w:rsid w:val="00807ED8"/>
    <w:rsid w:val="00811DD3"/>
    <w:rsid w:val="00811FCB"/>
    <w:rsid w:val="00812E30"/>
    <w:rsid w:val="00813819"/>
    <w:rsid w:val="0081456E"/>
    <w:rsid w:val="008149FE"/>
    <w:rsid w:val="008158D6"/>
    <w:rsid w:val="00817196"/>
    <w:rsid w:val="0081744B"/>
    <w:rsid w:val="008208B2"/>
    <w:rsid w:val="0082276B"/>
    <w:rsid w:val="008235DB"/>
    <w:rsid w:val="008246CC"/>
    <w:rsid w:val="00824709"/>
    <w:rsid w:val="008249C2"/>
    <w:rsid w:val="00824AB4"/>
    <w:rsid w:val="00824F4D"/>
    <w:rsid w:val="00825C42"/>
    <w:rsid w:val="00825D25"/>
    <w:rsid w:val="00826F6B"/>
    <w:rsid w:val="00827D6F"/>
    <w:rsid w:val="0083365D"/>
    <w:rsid w:val="00834052"/>
    <w:rsid w:val="008345A7"/>
    <w:rsid w:val="00836279"/>
    <w:rsid w:val="00836B3D"/>
    <w:rsid w:val="008374E5"/>
    <w:rsid w:val="008376AC"/>
    <w:rsid w:val="00840839"/>
    <w:rsid w:val="00841B10"/>
    <w:rsid w:val="00841CC6"/>
    <w:rsid w:val="00841EAA"/>
    <w:rsid w:val="00844235"/>
    <w:rsid w:val="008444E8"/>
    <w:rsid w:val="00844E80"/>
    <w:rsid w:val="00846FE7"/>
    <w:rsid w:val="00847312"/>
    <w:rsid w:val="0085075F"/>
    <w:rsid w:val="00850AC6"/>
    <w:rsid w:val="00851771"/>
    <w:rsid w:val="00852D00"/>
    <w:rsid w:val="0085342A"/>
    <w:rsid w:val="008547AE"/>
    <w:rsid w:val="00856787"/>
    <w:rsid w:val="00856911"/>
    <w:rsid w:val="00861455"/>
    <w:rsid w:val="00863570"/>
    <w:rsid w:val="00864766"/>
    <w:rsid w:val="008677FD"/>
    <w:rsid w:val="00867C14"/>
    <w:rsid w:val="00870125"/>
    <w:rsid w:val="008706D4"/>
    <w:rsid w:val="00870F8A"/>
    <w:rsid w:val="00871913"/>
    <w:rsid w:val="008719A4"/>
    <w:rsid w:val="00871D23"/>
    <w:rsid w:val="00872EDF"/>
    <w:rsid w:val="00874312"/>
    <w:rsid w:val="0087437C"/>
    <w:rsid w:val="00875A8E"/>
    <w:rsid w:val="00875CD7"/>
    <w:rsid w:val="00876B4D"/>
    <w:rsid w:val="00877F18"/>
    <w:rsid w:val="00885A3D"/>
    <w:rsid w:val="008914B5"/>
    <w:rsid w:val="0089197A"/>
    <w:rsid w:val="00894A88"/>
    <w:rsid w:val="00895386"/>
    <w:rsid w:val="00895561"/>
    <w:rsid w:val="00895791"/>
    <w:rsid w:val="008967DC"/>
    <w:rsid w:val="008A21FF"/>
    <w:rsid w:val="008A2CE2"/>
    <w:rsid w:val="008A30AC"/>
    <w:rsid w:val="008A44B8"/>
    <w:rsid w:val="008A4A72"/>
    <w:rsid w:val="008A4C2B"/>
    <w:rsid w:val="008A51A8"/>
    <w:rsid w:val="008A54C7"/>
    <w:rsid w:val="008A656D"/>
    <w:rsid w:val="008A679B"/>
    <w:rsid w:val="008A77D8"/>
    <w:rsid w:val="008B012E"/>
    <w:rsid w:val="008B0483"/>
    <w:rsid w:val="008B1158"/>
    <w:rsid w:val="008B120C"/>
    <w:rsid w:val="008B1B85"/>
    <w:rsid w:val="008B2BFE"/>
    <w:rsid w:val="008B4CCE"/>
    <w:rsid w:val="008B51A0"/>
    <w:rsid w:val="008B592A"/>
    <w:rsid w:val="008B7B5C"/>
    <w:rsid w:val="008C0C99"/>
    <w:rsid w:val="008C2017"/>
    <w:rsid w:val="008C21B7"/>
    <w:rsid w:val="008C48E6"/>
    <w:rsid w:val="008C4958"/>
    <w:rsid w:val="008C49B2"/>
    <w:rsid w:val="008C4BAA"/>
    <w:rsid w:val="008C6AE8"/>
    <w:rsid w:val="008C7292"/>
    <w:rsid w:val="008C7573"/>
    <w:rsid w:val="008D34F1"/>
    <w:rsid w:val="008D39D8"/>
    <w:rsid w:val="008D6D1A"/>
    <w:rsid w:val="008D743F"/>
    <w:rsid w:val="008E065E"/>
    <w:rsid w:val="008E0927"/>
    <w:rsid w:val="008E1909"/>
    <w:rsid w:val="008E68B6"/>
    <w:rsid w:val="008E7453"/>
    <w:rsid w:val="008F1EAB"/>
    <w:rsid w:val="008F3171"/>
    <w:rsid w:val="008F33DC"/>
    <w:rsid w:val="008F477F"/>
    <w:rsid w:val="008F5E11"/>
    <w:rsid w:val="008F71D3"/>
    <w:rsid w:val="0090053F"/>
    <w:rsid w:val="0090185D"/>
    <w:rsid w:val="00902350"/>
    <w:rsid w:val="0090336B"/>
    <w:rsid w:val="00903B34"/>
    <w:rsid w:val="009053AA"/>
    <w:rsid w:val="00906939"/>
    <w:rsid w:val="009070C1"/>
    <w:rsid w:val="00907D51"/>
    <w:rsid w:val="00910B7D"/>
    <w:rsid w:val="00911DFB"/>
    <w:rsid w:val="009139D9"/>
    <w:rsid w:val="009140A5"/>
    <w:rsid w:val="00914AD8"/>
    <w:rsid w:val="009157CD"/>
    <w:rsid w:val="00916079"/>
    <w:rsid w:val="00917194"/>
    <w:rsid w:val="00917CE9"/>
    <w:rsid w:val="00920BF2"/>
    <w:rsid w:val="0092134F"/>
    <w:rsid w:val="00921404"/>
    <w:rsid w:val="00922010"/>
    <w:rsid w:val="00931BD9"/>
    <w:rsid w:val="009368F3"/>
    <w:rsid w:val="009413F8"/>
    <w:rsid w:val="009414E8"/>
    <w:rsid w:val="00941636"/>
    <w:rsid w:val="00943742"/>
    <w:rsid w:val="00944A0E"/>
    <w:rsid w:val="00945C05"/>
    <w:rsid w:val="00946945"/>
    <w:rsid w:val="00946E1F"/>
    <w:rsid w:val="00947713"/>
    <w:rsid w:val="00947DF7"/>
    <w:rsid w:val="00950DE7"/>
    <w:rsid w:val="009526E0"/>
    <w:rsid w:val="00953920"/>
    <w:rsid w:val="00953D47"/>
    <w:rsid w:val="0095681E"/>
    <w:rsid w:val="00956B82"/>
    <w:rsid w:val="009572D4"/>
    <w:rsid w:val="00961921"/>
    <w:rsid w:val="00962898"/>
    <w:rsid w:val="00963B3A"/>
    <w:rsid w:val="00963B9A"/>
    <w:rsid w:val="0096430A"/>
    <w:rsid w:val="00964BB7"/>
    <w:rsid w:val="0096518D"/>
    <w:rsid w:val="0096554B"/>
    <w:rsid w:val="0096584A"/>
    <w:rsid w:val="00971F08"/>
    <w:rsid w:val="00973C7B"/>
    <w:rsid w:val="00974779"/>
    <w:rsid w:val="0097548D"/>
    <w:rsid w:val="00975872"/>
    <w:rsid w:val="0097603D"/>
    <w:rsid w:val="00976949"/>
    <w:rsid w:val="00976E66"/>
    <w:rsid w:val="0098021B"/>
    <w:rsid w:val="00980477"/>
    <w:rsid w:val="009807A4"/>
    <w:rsid w:val="009822CE"/>
    <w:rsid w:val="00982B48"/>
    <w:rsid w:val="00982CEF"/>
    <w:rsid w:val="0098381D"/>
    <w:rsid w:val="00983EFA"/>
    <w:rsid w:val="00985253"/>
    <w:rsid w:val="009853B3"/>
    <w:rsid w:val="0098620A"/>
    <w:rsid w:val="00990630"/>
    <w:rsid w:val="00990A4D"/>
    <w:rsid w:val="0099115B"/>
    <w:rsid w:val="00991761"/>
    <w:rsid w:val="009921F5"/>
    <w:rsid w:val="00992A22"/>
    <w:rsid w:val="00994DCA"/>
    <w:rsid w:val="00994FD6"/>
    <w:rsid w:val="00995568"/>
    <w:rsid w:val="00995A19"/>
    <w:rsid w:val="009960EC"/>
    <w:rsid w:val="009970DD"/>
    <w:rsid w:val="009A0FBA"/>
    <w:rsid w:val="009A1601"/>
    <w:rsid w:val="009A1D82"/>
    <w:rsid w:val="009A2BE0"/>
    <w:rsid w:val="009A462D"/>
    <w:rsid w:val="009A5CBA"/>
    <w:rsid w:val="009A5FF1"/>
    <w:rsid w:val="009B0B93"/>
    <w:rsid w:val="009B1F30"/>
    <w:rsid w:val="009B2D5D"/>
    <w:rsid w:val="009B36D4"/>
    <w:rsid w:val="009B3AC2"/>
    <w:rsid w:val="009B4DF4"/>
    <w:rsid w:val="009B564E"/>
    <w:rsid w:val="009B7E87"/>
    <w:rsid w:val="009C11C1"/>
    <w:rsid w:val="009C403E"/>
    <w:rsid w:val="009C5D6A"/>
    <w:rsid w:val="009C7988"/>
    <w:rsid w:val="009D4FF0"/>
    <w:rsid w:val="009D703C"/>
    <w:rsid w:val="009D718F"/>
    <w:rsid w:val="009E068F"/>
    <w:rsid w:val="009E14E0"/>
    <w:rsid w:val="009E35DB"/>
    <w:rsid w:val="009E47A3"/>
    <w:rsid w:val="009F0732"/>
    <w:rsid w:val="009F08F3"/>
    <w:rsid w:val="009F1512"/>
    <w:rsid w:val="009F2C70"/>
    <w:rsid w:val="009F344F"/>
    <w:rsid w:val="009F3934"/>
    <w:rsid w:val="009F5384"/>
    <w:rsid w:val="009F6796"/>
    <w:rsid w:val="00A03938"/>
    <w:rsid w:val="00A048A8"/>
    <w:rsid w:val="00A04F49"/>
    <w:rsid w:val="00A05EA8"/>
    <w:rsid w:val="00A065D4"/>
    <w:rsid w:val="00A1065C"/>
    <w:rsid w:val="00A1096B"/>
    <w:rsid w:val="00A13BCB"/>
    <w:rsid w:val="00A13E54"/>
    <w:rsid w:val="00A17F63"/>
    <w:rsid w:val="00A2193B"/>
    <w:rsid w:val="00A2351A"/>
    <w:rsid w:val="00A264A9"/>
    <w:rsid w:val="00A275C6"/>
    <w:rsid w:val="00A27785"/>
    <w:rsid w:val="00A30187"/>
    <w:rsid w:val="00A3448A"/>
    <w:rsid w:val="00A34AAE"/>
    <w:rsid w:val="00A36297"/>
    <w:rsid w:val="00A36326"/>
    <w:rsid w:val="00A4028B"/>
    <w:rsid w:val="00A41AC0"/>
    <w:rsid w:val="00A41E2B"/>
    <w:rsid w:val="00A44C89"/>
    <w:rsid w:val="00A44D4E"/>
    <w:rsid w:val="00A45B74"/>
    <w:rsid w:val="00A46B75"/>
    <w:rsid w:val="00A50F15"/>
    <w:rsid w:val="00A52E1D"/>
    <w:rsid w:val="00A53D35"/>
    <w:rsid w:val="00A54B08"/>
    <w:rsid w:val="00A54FB5"/>
    <w:rsid w:val="00A61499"/>
    <w:rsid w:val="00A62A77"/>
    <w:rsid w:val="00A62E8F"/>
    <w:rsid w:val="00A63483"/>
    <w:rsid w:val="00A653DB"/>
    <w:rsid w:val="00A657D7"/>
    <w:rsid w:val="00A660AC"/>
    <w:rsid w:val="00A67E6C"/>
    <w:rsid w:val="00A71B99"/>
    <w:rsid w:val="00A7315F"/>
    <w:rsid w:val="00A73765"/>
    <w:rsid w:val="00A739D0"/>
    <w:rsid w:val="00A761D4"/>
    <w:rsid w:val="00A77441"/>
    <w:rsid w:val="00A77EC4"/>
    <w:rsid w:val="00A8033B"/>
    <w:rsid w:val="00A8282F"/>
    <w:rsid w:val="00A84B48"/>
    <w:rsid w:val="00A92879"/>
    <w:rsid w:val="00A9442A"/>
    <w:rsid w:val="00A94573"/>
    <w:rsid w:val="00A95CF5"/>
    <w:rsid w:val="00A967B9"/>
    <w:rsid w:val="00A971C3"/>
    <w:rsid w:val="00AA016F"/>
    <w:rsid w:val="00AA1ED6"/>
    <w:rsid w:val="00AA3A6A"/>
    <w:rsid w:val="00AA3BFA"/>
    <w:rsid w:val="00AA4701"/>
    <w:rsid w:val="00AA4801"/>
    <w:rsid w:val="00AA51D6"/>
    <w:rsid w:val="00AB0BC8"/>
    <w:rsid w:val="00AB11CA"/>
    <w:rsid w:val="00AB14D9"/>
    <w:rsid w:val="00AB1598"/>
    <w:rsid w:val="00AB18D6"/>
    <w:rsid w:val="00AB3DC4"/>
    <w:rsid w:val="00AB435F"/>
    <w:rsid w:val="00AB4AB8"/>
    <w:rsid w:val="00AB5B17"/>
    <w:rsid w:val="00AB5D50"/>
    <w:rsid w:val="00AB655E"/>
    <w:rsid w:val="00AB7F4E"/>
    <w:rsid w:val="00AC007F"/>
    <w:rsid w:val="00AC2ECD"/>
    <w:rsid w:val="00AC3119"/>
    <w:rsid w:val="00AC49FB"/>
    <w:rsid w:val="00AC4DFF"/>
    <w:rsid w:val="00AC5266"/>
    <w:rsid w:val="00AC5A10"/>
    <w:rsid w:val="00AC5AE6"/>
    <w:rsid w:val="00AC5C78"/>
    <w:rsid w:val="00AD0AA3"/>
    <w:rsid w:val="00AD3F94"/>
    <w:rsid w:val="00AD4A5A"/>
    <w:rsid w:val="00AD628D"/>
    <w:rsid w:val="00AE155C"/>
    <w:rsid w:val="00AE19A0"/>
    <w:rsid w:val="00AE27AC"/>
    <w:rsid w:val="00AE40E0"/>
    <w:rsid w:val="00AE433C"/>
    <w:rsid w:val="00AE4DBA"/>
    <w:rsid w:val="00AE4F07"/>
    <w:rsid w:val="00AE5751"/>
    <w:rsid w:val="00AE5AE8"/>
    <w:rsid w:val="00AE718D"/>
    <w:rsid w:val="00AF1C5D"/>
    <w:rsid w:val="00AF273E"/>
    <w:rsid w:val="00AF42D7"/>
    <w:rsid w:val="00B00698"/>
    <w:rsid w:val="00B006FE"/>
    <w:rsid w:val="00B007CB"/>
    <w:rsid w:val="00B025B8"/>
    <w:rsid w:val="00B02AA9"/>
    <w:rsid w:val="00B02FA3"/>
    <w:rsid w:val="00B04AF5"/>
    <w:rsid w:val="00B05084"/>
    <w:rsid w:val="00B050C9"/>
    <w:rsid w:val="00B053D8"/>
    <w:rsid w:val="00B05920"/>
    <w:rsid w:val="00B119E8"/>
    <w:rsid w:val="00B129CF"/>
    <w:rsid w:val="00B148E9"/>
    <w:rsid w:val="00B157F9"/>
    <w:rsid w:val="00B20256"/>
    <w:rsid w:val="00B20D09"/>
    <w:rsid w:val="00B212D1"/>
    <w:rsid w:val="00B24E94"/>
    <w:rsid w:val="00B2763F"/>
    <w:rsid w:val="00B27AAC"/>
    <w:rsid w:val="00B30929"/>
    <w:rsid w:val="00B30D6D"/>
    <w:rsid w:val="00B326A7"/>
    <w:rsid w:val="00B33203"/>
    <w:rsid w:val="00B372AA"/>
    <w:rsid w:val="00B3730A"/>
    <w:rsid w:val="00B40445"/>
    <w:rsid w:val="00B41888"/>
    <w:rsid w:val="00B43CF0"/>
    <w:rsid w:val="00B4408D"/>
    <w:rsid w:val="00B44610"/>
    <w:rsid w:val="00B45A52"/>
    <w:rsid w:val="00B45AC2"/>
    <w:rsid w:val="00B46175"/>
    <w:rsid w:val="00B47E43"/>
    <w:rsid w:val="00B5207C"/>
    <w:rsid w:val="00B5335A"/>
    <w:rsid w:val="00B55A12"/>
    <w:rsid w:val="00B5723B"/>
    <w:rsid w:val="00B60EF1"/>
    <w:rsid w:val="00B6188F"/>
    <w:rsid w:val="00B61D69"/>
    <w:rsid w:val="00B6368D"/>
    <w:rsid w:val="00B64E41"/>
    <w:rsid w:val="00B65CCD"/>
    <w:rsid w:val="00B660FA"/>
    <w:rsid w:val="00B664C7"/>
    <w:rsid w:val="00B739F6"/>
    <w:rsid w:val="00B763E6"/>
    <w:rsid w:val="00B80162"/>
    <w:rsid w:val="00B81A6C"/>
    <w:rsid w:val="00B82061"/>
    <w:rsid w:val="00B825F3"/>
    <w:rsid w:val="00B828CA"/>
    <w:rsid w:val="00B833F9"/>
    <w:rsid w:val="00B83618"/>
    <w:rsid w:val="00B83AC3"/>
    <w:rsid w:val="00B842A0"/>
    <w:rsid w:val="00B85DE5"/>
    <w:rsid w:val="00B90F73"/>
    <w:rsid w:val="00B91EEE"/>
    <w:rsid w:val="00B92755"/>
    <w:rsid w:val="00B92EF4"/>
    <w:rsid w:val="00B92FEB"/>
    <w:rsid w:val="00B9371D"/>
    <w:rsid w:val="00B93B59"/>
    <w:rsid w:val="00B93BDD"/>
    <w:rsid w:val="00B9406A"/>
    <w:rsid w:val="00B9609A"/>
    <w:rsid w:val="00BA2280"/>
    <w:rsid w:val="00BA2490"/>
    <w:rsid w:val="00BA2A08"/>
    <w:rsid w:val="00BA2EE7"/>
    <w:rsid w:val="00BA3A17"/>
    <w:rsid w:val="00BA56D2"/>
    <w:rsid w:val="00BA6C49"/>
    <w:rsid w:val="00BA76E0"/>
    <w:rsid w:val="00BB09B6"/>
    <w:rsid w:val="00BB207A"/>
    <w:rsid w:val="00BB2A25"/>
    <w:rsid w:val="00BB51E9"/>
    <w:rsid w:val="00BB6EE7"/>
    <w:rsid w:val="00BC0FDC"/>
    <w:rsid w:val="00BC3053"/>
    <w:rsid w:val="00BC4D2E"/>
    <w:rsid w:val="00BC782B"/>
    <w:rsid w:val="00BC79AF"/>
    <w:rsid w:val="00BD0ABF"/>
    <w:rsid w:val="00BD31EC"/>
    <w:rsid w:val="00BD3239"/>
    <w:rsid w:val="00BD35E3"/>
    <w:rsid w:val="00BD48AC"/>
    <w:rsid w:val="00BD5C65"/>
    <w:rsid w:val="00BD5F1A"/>
    <w:rsid w:val="00BD6AA3"/>
    <w:rsid w:val="00BE1234"/>
    <w:rsid w:val="00BE2FA6"/>
    <w:rsid w:val="00BE333F"/>
    <w:rsid w:val="00BE7406"/>
    <w:rsid w:val="00BE7603"/>
    <w:rsid w:val="00BF0B72"/>
    <w:rsid w:val="00BF3279"/>
    <w:rsid w:val="00BF32DB"/>
    <w:rsid w:val="00BF3591"/>
    <w:rsid w:val="00BF74C7"/>
    <w:rsid w:val="00C015F1"/>
    <w:rsid w:val="00C01F33"/>
    <w:rsid w:val="00C025DB"/>
    <w:rsid w:val="00C0274C"/>
    <w:rsid w:val="00C02CC6"/>
    <w:rsid w:val="00C0309C"/>
    <w:rsid w:val="00C040F7"/>
    <w:rsid w:val="00C041B0"/>
    <w:rsid w:val="00C044AB"/>
    <w:rsid w:val="00C05706"/>
    <w:rsid w:val="00C07377"/>
    <w:rsid w:val="00C101FF"/>
    <w:rsid w:val="00C10478"/>
    <w:rsid w:val="00C1049B"/>
    <w:rsid w:val="00C12107"/>
    <w:rsid w:val="00C1362D"/>
    <w:rsid w:val="00C14D4B"/>
    <w:rsid w:val="00C154BB"/>
    <w:rsid w:val="00C200EB"/>
    <w:rsid w:val="00C202DC"/>
    <w:rsid w:val="00C207B3"/>
    <w:rsid w:val="00C2111B"/>
    <w:rsid w:val="00C21B09"/>
    <w:rsid w:val="00C239B3"/>
    <w:rsid w:val="00C25CF7"/>
    <w:rsid w:val="00C25F2F"/>
    <w:rsid w:val="00C26CFD"/>
    <w:rsid w:val="00C27624"/>
    <w:rsid w:val="00C279B5"/>
    <w:rsid w:val="00C27C45"/>
    <w:rsid w:val="00C327D2"/>
    <w:rsid w:val="00C355A8"/>
    <w:rsid w:val="00C360BD"/>
    <w:rsid w:val="00C36204"/>
    <w:rsid w:val="00C3719D"/>
    <w:rsid w:val="00C3787A"/>
    <w:rsid w:val="00C4072C"/>
    <w:rsid w:val="00C42DFA"/>
    <w:rsid w:val="00C50111"/>
    <w:rsid w:val="00C51ABE"/>
    <w:rsid w:val="00C54645"/>
    <w:rsid w:val="00C54995"/>
    <w:rsid w:val="00C54D41"/>
    <w:rsid w:val="00C55430"/>
    <w:rsid w:val="00C5545B"/>
    <w:rsid w:val="00C57B03"/>
    <w:rsid w:val="00C60783"/>
    <w:rsid w:val="00C621E7"/>
    <w:rsid w:val="00C64672"/>
    <w:rsid w:val="00C6624E"/>
    <w:rsid w:val="00C673AA"/>
    <w:rsid w:val="00C70697"/>
    <w:rsid w:val="00C72EF4"/>
    <w:rsid w:val="00C73281"/>
    <w:rsid w:val="00C75069"/>
    <w:rsid w:val="00C75D2F"/>
    <w:rsid w:val="00C767BE"/>
    <w:rsid w:val="00C76E3C"/>
    <w:rsid w:val="00C77721"/>
    <w:rsid w:val="00C81568"/>
    <w:rsid w:val="00C837EA"/>
    <w:rsid w:val="00C9027A"/>
    <w:rsid w:val="00C9068E"/>
    <w:rsid w:val="00C91B06"/>
    <w:rsid w:val="00C93C4B"/>
    <w:rsid w:val="00C93E01"/>
    <w:rsid w:val="00C944AB"/>
    <w:rsid w:val="00C95B40"/>
    <w:rsid w:val="00C96E08"/>
    <w:rsid w:val="00C96EDB"/>
    <w:rsid w:val="00CA1B65"/>
    <w:rsid w:val="00CA1ED8"/>
    <w:rsid w:val="00CA424B"/>
    <w:rsid w:val="00CA4D6F"/>
    <w:rsid w:val="00CA77E7"/>
    <w:rsid w:val="00CB1F63"/>
    <w:rsid w:val="00CB462A"/>
    <w:rsid w:val="00CB5062"/>
    <w:rsid w:val="00CB7170"/>
    <w:rsid w:val="00CC040E"/>
    <w:rsid w:val="00CC111F"/>
    <w:rsid w:val="00CC2011"/>
    <w:rsid w:val="00CC3EA0"/>
    <w:rsid w:val="00CC5691"/>
    <w:rsid w:val="00CC6D34"/>
    <w:rsid w:val="00CC6F59"/>
    <w:rsid w:val="00CC731D"/>
    <w:rsid w:val="00CC7B45"/>
    <w:rsid w:val="00CD1188"/>
    <w:rsid w:val="00CD2ED1"/>
    <w:rsid w:val="00CD337B"/>
    <w:rsid w:val="00CD5445"/>
    <w:rsid w:val="00CD582F"/>
    <w:rsid w:val="00CD5B8A"/>
    <w:rsid w:val="00CD676E"/>
    <w:rsid w:val="00CE0424"/>
    <w:rsid w:val="00CE1DA6"/>
    <w:rsid w:val="00CE2889"/>
    <w:rsid w:val="00CE36CF"/>
    <w:rsid w:val="00CE5C14"/>
    <w:rsid w:val="00CE6622"/>
    <w:rsid w:val="00CE6967"/>
    <w:rsid w:val="00CE7561"/>
    <w:rsid w:val="00CE7715"/>
    <w:rsid w:val="00CF0245"/>
    <w:rsid w:val="00CF1354"/>
    <w:rsid w:val="00CF19C7"/>
    <w:rsid w:val="00CF2937"/>
    <w:rsid w:val="00CF2B5A"/>
    <w:rsid w:val="00CF3B1F"/>
    <w:rsid w:val="00CF3BF6"/>
    <w:rsid w:val="00CF50CE"/>
    <w:rsid w:val="00CF5CD9"/>
    <w:rsid w:val="00CF625B"/>
    <w:rsid w:val="00CF67ED"/>
    <w:rsid w:val="00CF687E"/>
    <w:rsid w:val="00D00035"/>
    <w:rsid w:val="00D0276E"/>
    <w:rsid w:val="00D0349B"/>
    <w:rsid w:val="00D04FD5"/>
    <w:rsid w:val="00D061FF"/>
    <w:rsid w:val="00D10249"/>
    <w:rsid w:val="00D115C3"/>
    <w:rsid w:val="00D11897"/>
    <w:rsid w:val="00D1276A"/>
    <w:rsid w:val="00D13135"/>
    <w:rsid w:val="00D131AD"/>
    <w:rsid w:val="00D1399C"/>
    <w:rsid w:val="00D13E4E"/>
    <w:rsid w:val="00D154C6"/>
    <w:rsid w:val="00D17A16"/>
    <w:rsid w:val="00D17D6A"/>
    <w:rsid w:val="00D221AF"/>
    <w:rsid w:val="00D239A7"/>
    <w:rsid w:val="00D23F47"/>
    <w:rsid w:val="00D325BC"/>
    <w:rsid w:val="00D34769"/>
    <w:rsid w:val="00D34D96"/>
    <w:rsid w:val="00D36BB2"/>
    <w:rsid w:val="00D36E71"/>
    <w:rsid w:val="00D37D87"/>
    <w:rsid w:val="00D40B33"/>
    <w:rsid w:val="00D41422"/>
    <w:rsid w:val="00D42818"/>
    <w:rsid w:val="00D4318F"/>
    <w:rsid w:val="00D4350F"/>
    <w:rsid w:val="00D438BF"/>
    <w:rsid w:val="00D440F8"/>
    <w:rsid w:val="00D50EDF"/>
    <w:rsid w:val="00D50F97"/>
    <w:rsid w:val="00D51A75"/>
    <w:rsid w:val="00D51F08"/>
    <w:rsid w:val="00D5231F"/>
    <w:rsid w:val="00D53035"/>
    <w:rsid w:val="00D546FF"/>
    <w:rsid w:val="00D55AD5"/>
    <w:rsid w:val="00D576CA"/>
    <w:rsid w:val="00D60227"/>
    <w:rsid w:val="00D61AF5"/>
    <w:rsid w:val="00D61DB7"/>
    <w:rsid w:val="00D64519"/>
    <w:rsid w:val="00D6470A"/>
    <w:rsid w:val="00D652B5"/>
    <w:rsid w:val="00D65E27"/>
    <w:rsid w:val="00D66155"/>
    <w:rsid w:val="00D6664A"/>
    <w:rsid w:val="00D669AC"/>
    <w:rsid w:val="00D66D55"/>
    <w:rsid w:val="00D708B0"/>
    <w:rsid w:val="00D70E86"/>
    <w:rsid w:val="00D71A3A"/>
    <w:rsid w:val="00D77B1D"/>
    <w:rsid w:val="00D8021F"/>
    <w:rsid w:val="00D80383"/>
    <w:rsid w:val="00D81986"/>
    <w:rsid w:val="00D823C6"/>
    <w:rsid w:val="00D86CA3"/>
    <w:rsid w:val="00D871CE"/>
    <w:rsid w:val="00D91854"/>
    <w:rsid w:val="00D9196D"/>
    <w:rsid w:val="00D91ADA"/>
    <w:rsid w:val="00D92982"/>
    <w:rsid w:val="00DA0AD4"/>
    <w:rsid w:val="00DA305E"/>
    <w:rsid w:val="00DA5417"/>
    <w:rsid w:val="00DA56E8"/>
    <w:rsid w:val="00DA757E"/>
    <w:rsid w:val="00DB0A9F"/>
    <w:rsid w:val="00DB0F79"/>
    <w:rsid w:val="00DB2E53"/>
    <w:rsid w:val="00DB3449"/>
    <w:rsid w:val="00DB367D"/>
    <w:rsid w:val="00DB377D"/>
    <w:rsid w:val="00DC08F3"/>
    <w:rsid w:val="00DC2D36"/>
    <w:rsid w:val="00DC2D80"/>
    <w:rsid w:val="00DC53EF"/>
    <w:rsid w:val="00DC5FBA"/>
    <w:rsid w:val="00DD078E"/>
    <w:rsid w:val="00DD442E"/>
    <w:rsid w:val="00DD5680"/>
    <w:rsid w:val="00DE1A75"/>
    <w:rsid w:val="00DE48E5"/>
    <w:rsid w:val="00DE5608"/>
    <w:rsid w:val="00DE58D0"/>
    <w:rsid w:val="00DE654F"/>
    <w:rsid w:val="00DF0B6E"/>
    <w:rsid w:val="00DF15E0"/>
    <w:rsid w:val="00DF37A0"/>
    <w:rsid w:val="00DF5042"/>
    <w:rsid w:val="00DF5494"/>
    <w:rsid w:val="00DF7455"/>
    <w:rsid w:val="00DF7CE9"/>
    <w:rsid w:val="00E00B8A"/>
    <w:rsid w:val="00E02475"/>
    <w:rsid w:val="00E02827"/>
    <w:rsid w:val="00E03E99"/>
    <w:rsid w:val="00E110E7"/>
    <w:rsid w:val="00E11B20"/>
    <w:rsid w:val="00E11DF5"/>
    <w:rsid w:val="00E130AF"/>
    <w:rsid w:val="00E16B90"/>
    <w:rsid w:val="00E17FA2"/>
    <w:rsid w:val="00E22330"/>
    <w:rsid w:val="00E24796"/>
    <w:rsid w:val="00E24976"/>
    <w:rsid w:val="00E26434"/>
    <w:rsid w:val="00E27AA3"/>
    <w:rsid w:val="00E30225"/>
    <w:rsid w:val="00E30B5A"/>
    <w:rsid w:val="00E30FF7"/>
    <w:rsid w:val="00E31168"/>
    <w:rsid w:val="00E3123D"/>
    <w:rsid w:val="00E31461"/>
    <w:rsid w:val="00E31492"/>
    <w:rsid w:val="00E31D43"/>
    <w:rsid w:val="00E32608"/>
    <w:rsid w:val="00E32771"/>
    <w:rsid w:val="00E32F47"/>
    <w:rsid w:val="00E334D4"/>
    <w:rsid w:val="00E34188"/>
    <w:rsid w:val="00E34B6E"/>
    <w:rsid w:val="00E35559"/>
    <w:rsid w:val="00E35E06"/>
    <w:rsid w:val="00E3672F"/>
    <w:rsid w:val="00E370CE"/>
    <w:rsid w:val="00E3723A"/>
    <w:rsid w:val="00E37860"/>
    <w:rsid w:val="00E40023"/>
    <w:rsid w:val="00E4013A"/>
    <w:rsid w:val="00E41597"/>
    <w:rsid w:val="00E42121"/>
    <w:rsid w:val="00E446F1"/>
    <w:rsid w:val="00E46382"/>
    <w:rsid w:val="00E46886"/>
    <w:rsid w:val="00E47AEF"/>
    <w:rsid w:val="00E53B75"/>
    <w:rsid w:val="00E5424D"/>
    <w:rsid w:val="00E54E3B"/>
    <w:rsid w:val="00E55DA2"/>
    <w:rsid w:val="00E568F3"/>
    <w:rsid w:val="00E57565"/>
    <w:rsid w:val="00E60EFD"/>
    <w:rsid w:val="00E62CF0"/>
    <w:rsid w:val="00E631DC"/>
    <w:rsid w:val="00E63838"/>
    <w:rsid w:val="00E64434"/>
    <w:rsid w:val="00E651D9"/>
    <w:rsid w:val="00E67C51"/>
    <w:rsid w:val="00E71CF8"/>
    <w:rsid w:val="00E71E34"/>
    <w:rsid w:val="00E72EFC"/>
    <w:rsid w:val="00E758EC"/>
    <w:rsid w:val="00E76359"/>
    <w:rsid w:val="00E76BEF"/>
    <w:rsid w:val="00E76E18"/>
    <w:rsid w:val="00E7776C"/>
    <w:rsid w:val="00E77B6F"/>
    <w:rsid w:val="00E8234C"/>
    <w:rsid w:val="00E82C4D"/>
    <w:rsid w:val="00E83AA9"/>
    <w:rsid w:val="00E85928"/>
    <w:rsid w:val="00E859C7"/>
    <w:rsid w:val="00E85DCD"/>
    <w:rsid w:val="00E87822"/>
    <w:rsid w:val="00E90395"/>
    <w:rsid w:val="00E90E49"/>
    <w:rsid w:val="00E917F9"/>
    <w:rsid w:val="00E91C25"/>
    <w:rsid w:val="00E92838"/>
    <w:rsid w:val="00E9291C"/>
    <w:rsid w:val="00E93FFE"/>
    <w:rsid w:val="00E94F8A"/>
    <w:rsid w:val="00EA08FA"/>
    <w:rsid w:val="00EA18F8"/>
    <w:rsid w:val="00EA3DED"/>
    <w:rsid w:val="00EA41B8"/>
    <w:rsid w:val="00EA4A9E"/>
    <w:rsid w:val="00EA4F61"/>
    <w:rsid w:val="00EA5159"/>
    <w:rsid w:val="00EA57B5"/>
    <w:rsid w:val="00EA7A41"/>
    <w:rsid w:val="00EB077B"/>
    <w:rsid w:val="00EB1255"/>
    <w:rsid w:val="00EB200E"/>
    <w:rsid w:val="00EB3571"/>
    <w:rsid w:val="00EB3AF5"/>
    <w:rsid w:val="00EB46D8"/>
    <w:rsid w:val="00EB4EA2"/>
    <w:rsid w:val="00EB5D35"/>
    <w:rsid w:val="00EB6307"/>
    <w:rsid w:val="00EB639A"/>
    <w:rsid w:val="00EC0B90"/>
    <w:rsid w:val="00EC0C80"/>
    <w:rsid w:val="00EC14B8"/>
    <w:rsid w:val="00EC27C6"/>
    <w:rsid w:val="00EC2BE6"/>
    <w:rsid w:val="00EC3E8B"/>
    <w:rsid w:val="00EC4207"/>
    <w:rsid w:val="00EC5653"/>
    <w:rsid w:val="00EC5904"/>
    <w:rsid w:val="00EC6148"/>
    <w:rsid w:val="00EC6561"/>
    <w:rsid w:val="00EC67AC"/>
    <w:rsid w:val="00EC6CD2"/>
    <w:rsid w:val="00EC71CE"/>
    <w:rsid w:val="00ED1006"/>
    <w:rsid w:val="00ED3BA3"/>
    <w:rsid w:val="00ED4362"/>
    <w:rsid w:val="00ED5007"/>
    <w:rsid w:val="00ED5EA7"/>
    <w:rsid w:val="00ED6678"/>
    <w:rsid w:val="00ED7E46"/>
    <w:rsid w:val="00EE662B"/>
    <w:rsid w:val="00EE66C7"/>
    <w:rsid w:val="00EE7DBF"/>
    <w:rsid w:val="00EF18FE"/>
    <w:rsid w:val="00EF191A"/>
    <w:rsid w:val="00EF1EA9"/>
    <w:rsid w:val="00EF2213"/>
    <w:rsid w:val="00EF39C9"/>
    <w:rsid w:val="00EF441C"/>
    <w:rsid w:val="00EF5787"/>
    <w:rsid w:val="00EF5FFD"/>
    <w:rsid w:val="00EF60D0"/>
    <w:rsid w:val="00EF7DD9"/>
    <w:rsid w:val="00F02322"/>
    <w:rsid w:val="00F02DB2"/>
    <w:rsid w:val="00F02EAC"/>
    <w:rsid w:val="00F0320F"/>
    <w:rsid w:val="00F03487"/>
    <w:rsid w:val="00F03D6C"/>
    <w:rsid w:val="00F0528D"/>
    <w:rsid w:val="00F05BA1"/>
    <w:rsid w:val="00F06200"/>
    <w:rsid w:val="00F06C67"/>
    <w:rsid w:val="00F06DFD"/>
    <w:rsid w:val="00F071D1"/>
    <w:rsid w:val="00F07533"/>
    <w:rsid w:val="00F10629"/>
    <w:rsid w:val="00F123EC"/>
    <w:rsid w:val="00F15FA5"/>
    <w:rsid w:val="00F20372"/>
    <w:rsid w:val="00F209B7"/>
    <w:rsid w:val="00F2376F"/>
    <w:rsid w:val="00F243D8"/>
    <w:rsid w:val="00F252F0"/>
    <w:rsid w:val="00F25A92"/>
    <w:rsid w:val="00F27417"/>
    <w:rsid w:val="00F30828"/>
    <w:rsid w:val="00F30FD6"/>
    <w:rsid w:val="00F313D6"/>
    <w:rsid w:val="00F359C8"/>
    <w:rsid w:val="00F37FEA"/>
    <w:rsid w:val="00F40F0C"/>
    <w:rsid w:val="00F40FF3"/>
    <w:rsid w:val="00F4251D"/>
    <w:rsid w:val="00F4766C"/>
    <w:rsid w:val="00F507D1"/>
    <w:rsid w:val="00F513F3"/>
    <w:rsid w:val="00F5199B"/>
    <w:rsid w:val="00F519CE"/>
    <w:rsid w:val="00F51ADA"/>
    <w:rsid w:val="00F53E31"/>
    <w:rsid w:val="00F607C5"/>
    <w:rsid w:val="00F60DEA"/>
    <w:rsid w:val="00F6302A"/>
    <w:rsid w:val="00F63C59"/>
    <w:rsid w:val="00F64643"/>
    <w:rsid w:val="00F64AC7"/>
    <w:rsid w:val="00F64C2B"/>
    <w:rsid w:val="00F651BE"/>
    <w:rsid w:val="00F66EB7"/>
    <w:rsid w:val="00F67F53"/>
    <w:rsid w:val="00F703BE"/>
    <w:rsid w:val="00F70DCF"/>
    <w:rsid w:val="00F713A2"/>
    <w:rsid w:val="00F71D08"/>
    <w:rsid w:val="00F71F69"/>
    <w:rsid w:val="00F72B72"/>
    <w:rsid w:val="00F73030"/>
    <w:rsid w:val="00F73152"/>
    <w:rsid w:val="00F733F7"/>
    <w:rsid w:val="00F74BB9"/>
    <w:rsid w:val="00F75582"/>
    <w:rsid w:val="00F76EFA"/>
    <w:rsid w:val="00F776AA"/>
    <w:rsid w:val="00F8022D"/>
    <w:rsid w:val="00F804BE"/>
    <w:rsid w:val="00F8103F"/>
    <w:rsid w:val="00F817CE"/>
    <w:rsid w:val="00F8244C"/>
    <w:rsid w:val="00F83084"/>
    <w:rsid w:val="00F84012"/>
    <w:rsid w:val="00F84440"/>
    <w:rsid w:val="00F8456C"/>
    <w:rsid w:val="00F859D8"/>
    <w:rsid w:val="00F85E3B"/>
    <w:rsid w:val="00F868F5"/>
    <w:rsid w:val="00F9056A"/>
    <w:rsid w:val="00F90F8D"/>
    <w:rsid w:val="00F91A3D"/>
    <w:rsid w:val="00F92782"/>
    <w:rsid w:val="00F93AA9"/>
    <w:rsid w:val="00F9422E"/>
    <w:rsid w:val="00F96985"/>
    <w:rsid w:val="00F97838"/>
    <w:rsid w:val="00F97909"/>
    <w:rsid w:val="00FA0D49"/>
    <w:rsid w:val="00FA2BB3"/>
    <w:rsid w:val="00FA5270"/>
    <w:rsid w:val="00FA6F0B"/>
    <w:rsid w:val="00FA6F7E"/>
    <w:rsid w:val="00FB3346"/>
    <w:rsid w:val="00FB4C80"/>
    <w:rsid w:val="00FB6A6A"/>
    <w:rsid w:val="00FC33CE"/>
    <w:rsid w:val="00FC5855"/>
    <w:rsid w:val="00FC6ECE"/>
    <w:rsid w:val="00FC7429"/>
    <w:rsid w:val="00FC78B2"/>
    <w:rsid w:val="00FD0620"/>
    <w:rsid w:val="00FD07F6"/>
    <w:rsid w:val="00FD1EC8"/>
    <w:rsid w:val="00FD25D1"/>
    <w:rsid w:val="00FD45B7"/>
    <w:rsid w:val="00FD47ED"/>
    <w:rsid w:val="00FD5F17"/>
    <w:rsid w:val="00FD6099"/>
    <w:rsid w:val="00FD640E"/>
    <w:rsid w:val="00FD74DB"/>
    <w:rsid w:val="00FD7660"/>
    <w:rsid w:val="00FE0655"/>
    <w:rsid w:val="00FE1B5F"/>
    <w:rsid w:val="00FE2365"/>
    <w:rsid w:val="00FE2FF7"/>
    <w:rsid w:val="00FE40D0"/>
    <w:rsid w:val="00FE4374"/>
    <w:rsid w:val="00FE4C7B"/>
    <w:rsid w:val="00FE6212"/>
    <w:rsid w:val="00FE6989"/>
    <w:rsid w:val="00FE7336"/>
    <w:rsid w:val="00FE787C"/>
    <w:rsid w:val="00FF1171"/>
    <w:rsid w:val="00FF2FE4"/>
    <w:rsid w:val="00FF45A5"/>
    <w:rsid w:val="00FF5AC3"/>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F5648"/>
  <w15:chartTrackingRefBased/>
  <w15:docId w15:val="{92BD1F6B-BC25-4F02-8247-2A76F47E8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85E3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85E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85E3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85E3B"/>
    <w:pPr>
      <w:numPr>
        <w:ilvl w:val="2"/>
      </w:numPr>
      <w:spacing w:before="120"/>
      <w:outlineLvl w:val="2"/>
    </w:pPr>
    <w:rPr>
      <w:sz w:val="28"/>
      <w:szCs w:val="28"/>
    </w:rPr>
  </w:style>
  <w:style w:type="paragraph" w:styleId="Heading4">
    <w:name w:val="heading 4"/>
    <w:basedOn w:val="Heading3"/>
    <w:next w:val="Normal"/>
    <w:link w:val="Heading4Char"/>
    <w:qFormat/>
    <w:rsid w:val="00F85E3B"/>
    <w:pPr>
      <w:numPr>
        <w:ilvl w:val="3"/>
      </w:numPr>
      <w:outlineLvl w:val="3"/>
    </w:pPr>
    <w:rPr>
      <w:sz w:val="24"/>
      <w:szCs w:val="24"/>
    </w:rPr>
  </w:style>
  <w:style w:type="paragraph" w:styleId="Heading5">
    <w:name w:val="heading 5"/>
    <w:basedOn w:val="Heading4"/>
    <w:next w:val="Normal"/>
    <w:qFormat/>
    <w:rsid w:val="00F85E3B"/>
    <w:pPr>
      <w:numPr>
        <w:ilvl w:val="4"/>
      </w:numPr>
      <w:outlineLvl w:val="4"/>
    </w:pPr>
    <w:rPr>
      <w:sz w:val="22"/>
      <w:szCs w:val="22"/>
    </w:rPr>
  </w:style>
  <w:style w:type="paragraph" w:styleId="Heading6">
    <w:name w:val="heading 6"/>
    <w:basedOn w:val="Normal"/>
    <w:next w:val="Normal"/>
    <w:qFormat/>
    <w:rsid w:val="00F85E3B"/>
    <w:pPr>
      <w:keepNext/>
      <w:keepLines/>
      <w:numPr>
        <w:ilvl w:val="5"/>
        <w:numId w:val="1"/>
      </w:numPr>
      <w:spacing w:before="120"/>
      <w:outlineLvl w:val="5"/>
    </w:pPr>
    <w:rPr>
      <w:rFonts w:cs="Arial"/>
    </w:rPr>
  </w:style>
  <w:style w:type="paragraph" w:styleId="Heading7">
    <w:name w:val="heading 7"/>
    <w:basedOn w:val="Normal"/>
    <w:next w:val="Normal"/>
    <w:qFormat/>
    <w:rsid w:val="00F85E3B"/>
    <w:pPr>
      <w:keepNext/>
      <w:keepLines/>
      <w:numPr>
        <w:ilvl w:val="6"/>
        <w:numId w:val="1"/>
      </w:numPr>
      <w:spacing w:before="120"/>
      <w:outlineLvl w:val="6"/>
    </w:pPr>
    <w:rPr>
      <w:rFonts w:cs="Arial"/>
    </w:rPr>
  </w:style>
  <w:style w:type="paragraph" w:styleId="Heading8">
    <w:name w:val="heading 8"/>
    <w:basedOn w:val="Heading7"/>
    <w:next w:val="Normal"/>
    <w:qFormat/>
    <w:rsid w:val="00F85E3B"/>
    <w:pPr>
      <w:numPr>
        <w:ilvl w:val="7"/>
      </w:numPr>
      <w:outlineLvl w:val="7"/>
    </w:pPr>
  </w:style>
  <w:style w:type="paragraph" w:styleId="Heading9">
    <w:name w:val="heading 9"/>
    <w:basedOn w:val="Heading8"/>
    <w:next w:val="Normal"/>
    <w:qFormat/>
    <w:rsid w:val="00F85E3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85E3B"/>
    <w:pPr>
      <w:spacing w:before="180"/>
      <w:ind w:left="2693" w:hanging="2693"/>
    </w:pPr>
    <w:rPr>
      <w:b w:val="0"/>
      <w:bCs/>
    </w:rPr>
  </w:style>
  <w:style w:type="paragraph" w:styleId="TOC1">
    <w:name w:val="toc 1"/>
    <w:aliases w:val="Observation TOC2"/>
    <w:uiPriority w:val="39"/>
    <w:rsid w:val="00F85E3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85E3B"/>
    <w:pPr>
      <w:keepNext/>
      <w:keepLines/>
      <w:spacing w:before="180"/>
      <w:jc w:val="center"/>
    </w:pPr>
  </w:style>
  <w:style w:type="paragraph" w:styleId="Caption">
    <w:name w:val="caption"/>
    <w:basedOn w:val="Normal"/>
    <w:next w:val="Normal"/>
    <w:qFormat/>
    <w:rsid w:val="00F85E3B"/>
    <w:pPr>
      <w:spacing w:after="240"/>
      <w:jc w:val="center"/>
    </w:pPr>
    <w:rPr>
      <w:b/>
      <w:bCs/>
    </w:rPr>
  </w:style>
  <w:style w:type="paragraph" w:styleId="TOC5">
    <w:name w:val="toc 5"/>
    <w:aliases w:val="Observation TOC"/>
    <w:basedOn w:val="TOC4"/>
    <w:semiHidden/>
    <w:rsid w:val="00F85E3B"/>
    <w:pPr>
      <w:tabs>
        <w:tab w:val="right" w:pos="1701"/>
      </w:tabs>
      <w:ind w:left="1701" w:hanging="1701"/>
    </w:pPr>
  </w:style>
  <w:style w:type="paragraph" w:styleId="TOC4">
    <w:name w:val="toc 4"/>
    <w:basedOn w:val="TOC3"/>
    <w:semiHidden/>
    <w:rsid w:val="00F85E3B"/>
    <w:pPr>
      <w:ind w:left="1418" w:hanging="1418"/>
    </w:pPr>
  </w:style>
  <w:style w:type="paragraph" w:styleId="TOC3">
    <w:name w:val="toc 3"/>
    <w:basedOn w:val="TOC2"/>
    <w:semiHidden/>
    <w:rsid w:val="00F85E3B"/>
    <w:pPr>
      <w:ind w:left="1134" w:hanging="1134"/>
    </w:pPr>
  </w:style>
  <w:style w:type="paragraph" w:styleId="TOC2">
    <w:name w:val="toc 2"/>
    <w:basedOn w:val="TOC1"/>
    <w:semiHidden/>
    <w:rsid w:val="00F85E3B"/>
    <w:pPr>
      <w:keepNext w:val="0"/>
      <w:spacing w:before="0"/>
      <w:ind w:left="851" w:hanging="851"/>
    </w:pPr>
    <w:rPr>
      <w:szCs w:val="20"/>
    </w:rPr>
  </w:style>
  <w:style w:type="paragraph" w:styleId="Index2">
    <w:name w:val="index 2"/>
    <w:basedOn w:val="Index1"/>
    <w:semiHidden/>
    <w:rsid w:val="00F85E3B"/>
    <w:pPr>
      <w:ind w:left="284"/>
    </w:pPr>
  </w:style>
  <w:style w:type="paragraph" w:styleId="Index1">
    <w:name w:val="index 1"/>
    <w:basedOn w:val="Normal"/>
    <w:semiHidden/>
    <w:rsid w:val="00F85E3B"/>
    <w:pPr>
      <w:keepLines/>
      <w:spacing w:after="0"/>
    </w:pPr>
  </w:style>
  <w:style w:type="paragraph" w:styleId="DocumentMap">
    <w:name w:val="Document Map"/>
    <w:basedOn w:val="Normal"/>
    <w:semiHidden/>
    <w:rsid w:val="00F85E3B"/>
    <w:pPr>
      <w:shd w:val="clear" w:color="auto" w:fill="000080"/>
    </w:pPr>
    <w:rPr>
      <w:rFonts w:ascii="Tahoma" w:hAnsi="Tahoma" w:cs="Tahoma"/>
    </w:rPr>
  </w:style>
  <w:style w:type="paragraph" w:styleId="ListNumber2">
    <w:name w:val="List Number 2"/>
    <w:basedOn w:val="ListNumber"/>
    <w:rsid w:val="00F85E3B"/>
    <w:pPr>
      <w:ind w:left="851"/>
    </w:pPr>
  </w:style>
  <w:style w:type="paragraph" w:styleId="ListNumber">
    <w:name w:val="List Number"/>
    <w:basedOn w:val="List"/>
    <w:rsid w:val="00F85E3B"/>
  </w:style>
  <w:style w:type="paragraph" w:styleId="List">
    <w:name w:val="List"/>
    <w:basedOn w:val="Normal"/>
    <w:rsid w:val="00F85E3B"/>
    <w:pPr>
      <w:ind w:left="568" w:hanging="284"/>
    </w:pPr>
  </w:style>
  <w:style w:type="paragraph" w:styleId="Header">
    <w:name w:val="header"/>
    <w:rsid w:val="00F85E3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85E3B"/>
    <w:rPr>
      <w:b/>
      <w:bCs/>
      <w:position w:val="6"/>
      <w:sz w:val="16"/>
      <w:szCs w:val="16"/>
    </w:rPr>
  </w:style>
  <w:style w:type="paragraph" w:styleId="FootnoteText">
    <w:name w:val="footnote text"/>
    <w:basedOn w:val="Normal"/>
    <w:semiHidden/>
    <w:rsid w:val="00F85E3B"/>
    <w:pPr>
      <w:keepLines/>
      <w:spacing w:after="0"/>
      <w:ind w:left="454" w:hanging="454"/>
    </w:pPr>
    <w:rPr>
      <w:sz w:val="16"/>
      <w:szCs w:val="16"/>
    </w:rPr>
  </w:style>
  <w:style w:type="paragraph" w:customStyle="1" w:styleId="3GPPHeader">
    <w:name w:val="3GPP_Header"/>
    <w:basedOn w:val="Normal"/>
    <w:rsid w:val="00F85E3B"/>
    <w:pPr>
      <w:tabs>
        <w:tab w:val="left" w:pos="1701"/>
        <w:tab w:val="right" w:pos="9639"/>
      </w:tabs>
      <w:spacing w:after="240"/>
    </w:pPr>
    <w:rPr>
      <w:b/>
      <w:sz w:val="24"/>
    </w:rPr>
  </w:style>
  <w:style w:type="paragraph" w:styleId="TOC9">
    <w:name w:val="toc 9"/>
    <w:basedOn w:val="TOC8"/>
    <w:semiHidden/>
    <w:rsid w:val="00F85E3B"/>
    <w:pPr>
      <w:ind w:left="1418" w:hanging="1418"/>
    </w:pPr>
  </w:style>
  <w:style w:type="paragraph" w:styleId="TOC6">
    <w:name w:val="toc 6"/>
    <w:basedOn w:val="TOC5"/>
    <w:next w:val="Normal"/>
    <w:semiHidden/>
    <w:rsid w:val="00F85E3B"/>
    <w:pPr>
      <w:ind w:left="1985" w:hanging="1985"/>
    </w:pPr>
  </w:style>
  <w:style w:type="paragraph" w:styleId="TOC7">
    <w:name w:val="toc 7"/>
    <w:basedOn w:val="TOC6"/>
    <w:next w:val="Normal"/>
    <w:semiHidden/>
    <w:rsid w:val="00F85E3B"/>
    <w:pPr>
      <w:ind w:left="2268" w:hanging="2268"/>
    </w:pPr>
  </w:style>
  <w:style w:type="paragraph" w:styleId="ListBullet2">
    <w:name w:val="List Bullet 2"/>
    <w:basedOn w:val="ListBullet"/>
    <w:rsid w:val="00F85E3B"/>
    <w:pPr>
      <w:numPr>
        <w:numId w:val="6"/>
      </w:numPr>
    </w:pPr>
  </w:style>
  <w:style w:type="paragraph" w:styleId="ListBullet">
    <w:name w:val="List Bullet"/>
    <w:basedOn w:val="BodyText"/>
    <w:rsid w:val="00F85E3B"/>
    <w:pPr>
      <w:numPr>
        <w:numId w:val="5"/>
      </w:numPr>
    </w:pPr>
  </w:style>
  <w:style w:type="paragraph" w:styleId="ListBullet3">
    <w:name w:val="List Bullet 3"/>
    <w:basedOn w:val="ListBullet2"/>
    <w:rsid w:val="00F85E3B"/>
    <w:pPr>
      <w:numPr>
        <w:numId w:val="7"/>
      </w:numPr>
    </w:pPr>
  </w:style>
  <w:style w:type="paragraph" w:customStyle="1" w:styleId="EQ">
    <w:name w:val="EQ"/>
    <w:basedOn w:val="Normal"/>
    <w:next w:val="Normal"/>
    <w:rsid w:val="00F85E3B"/>
    <w:pPr>
      <w:keepLines/>
      <w:tabs>
        <w:tab w:val="center" w:pos="4536"/>
        <w:tab w:val="right" w:pos="9072"/>
      </w:tabs>
      <w:spacing w:after="180"/>
      <w:jc w:val="left"/>
    </w:pPr>
    <w:rPr>
      <w:noProof/>
      <w:lang w:eastAsia="en-US"/>
    </w:rPr>
  </w:style>
  <w:style w:type="paragraph" w:styleId="List2">
    <w:name w:val="List 2"/>
    <w:basedOn w:val="List"/>
    <w:rsid w:val="00F85E3B"/>
    <w:pPr>
      <w:ind w:left="851"/>
    </w:pPr>
  </w:style>
  <w:style w:type="paragraph" w:styleId="List3">
    <w:name w:val="List 3"/>
    <w:basedOn w:val="List2"/>
    <w:rsid w:val="00F85E3B"/>
    <w:pPr>
      <w:ind w:left="1135"/>
    </w:pPr>
  </w:style>
  <w:style w:type="paragraph" w:styleId="List4">
    <w:name w:val="List 4"/>
    <w:basedOn w:val="List3"/>
    <w:rsid w:val="00F85E3B"/>
    <w:pPr>
      <w:ind w:left="1418"/>
    </w:pPr>
  </w:style>
  <w:style w:type="paragraph" w:styleId="List5">
    <w:name w:val="List 5"/>
    <w:basedOn w:val="List4"/>
    <w:rsid w:val="00F85E3B"/>
    <w:pPr>
      <w:ind w:left="1702"/>
    </w:pPr>
  </w:style>
  <w:style w:type="paragraph" w:customStyle="1" w:styleId="EditorsNote">
    <w:name w:val="Editor's Note"/>
    <w:basedOn w:val="Normal"/>
    <w:rsid w:val="00F85E3B"/>
    <w:pPr>
      <w:keepLines/>
      <w:spacing w:after="180"/>
      <w:ind w:left="1135" w:hanging="851"/>
      <w:jc w:val="left"/>
    </w:pPr>
    <w:rPr>
      <w:color w:val="FF0000"/>
      <w:lang w:eastAsia="en-US"/>
    </w:rPr>
  </w:style>
  <w:style w:type="paragraph" w:styleId="ListBullet4">
    <w:name w:val="List Bullet 4"/>
    <w:basedOn w:val="ListBullet3"/>
    <w:rsid w:val="00F85E3B"/>
    <w:pPr>
      <w:numPr>
        <w:numId w:val="8"/>
      </w:numPr>
    </w:pPr>
  </w:style>
  <w:style w:type="paragraph" w:styleId="ListBullet5">
    <w:name w:val="List Bullet 5"/>
    <w:basedOn w:val="ListBullet4"/>
    <w:rsid w:val="00F85E3B"/>
    <w:pPr>
      <w:numPr>
        <w:numId w:val="4"/>
      </w:numPr>
    </w:pPr>
  </w:style>
  <w:style w:type="paragraph" w:styleId="Footer">
    <w:name w:val="footer"/>
    <w:basedOn w:val="Header"/>
    <w:semiHidden/>
    <w:rsid w:val="00F85E3B"/>
    <w:pPr>
      <w:jc w:val="center"/>
    </w:pPr>
    <w:rPr>
      <w:i/>
      <w:iCs/>
    </w:rPr>
  </w:style>
  <w:style w:type="paragraph" w:customStyle="1" w:styleId="Reference">
    <w:name w:val="Reference"/>
    <w:basedOn w:val="Normal"/>
    <w:link w:val="ReferenceChar"/>
    <w:rsid w:val="00F85E3B"/>
    <w:pPr>
      <w:numPr>
        <w:numId w:val="2"/>
      </w:numPr>
    </w:pPr>
  </w:style>
  <w:style w:type="paragraph" w:styleId="BalloonText">
    <w:name w:val="Balloon Text"/>
    <w:basedOn w:val="Normal"/>
    <w:semiHidden/>
    <w:rsid w:val="00F85E3B"/>
    <w:rPr>
      <w:rFonts w:ascii="Tahoma" w:hAnsi="Tahoma" w:cs="Tahoma"/>
      <w:sz w:val="16"/>
      <w:szCs w:val="16"/>
    </w:rPr>
  </w:style>
  <w:style w:type="character" w:styleId="PageNumber">
    <w:name w:val="page number"/>
    <w:basedOn w:val="DefaultParagraphFont"/>
    <w:semiHidden/>
    <w:rsid w:val="00F85E3B"/>
  </w:style>
  <w:style w:type="paragraph" w:styleId="BodyText">
    <w:name w:val="Body Text"/>
    <w:basedOn w:val="Normal"/>
    <w:link w:val="BodyTextChar"/>
    <w:rsid w:val="00F85E3B"/>
  </w:style>
  <w:style w:type="character" w:styleId="Hyperlink">
    <w:name w:val="Hyperlink"/>
    <w:uiPriority w:val="99"/>
    <w:rsid w:val="00F85E3B"/>
    <w:rPr>
      <w:color w:val="0000FF"/>
      <w:u w:val="single"/>
      <w:lang w:val="en-GB"/>
    </w:rPr>
  </w:style>
  <w:style w:type="character" w:styleId="FollowedHyperlink">
    <w:name w:val="FollowedHyperlink"/>
    <w:semiHidden/>
    <w:rsid w:val="00F85E3B"/>
    <w:rPr>
      <w:color w:val="FF0000"/>
      <w:u w:val="single"/>
    </w:rPr>
  </w:style>
  <w:style w:type="character" w:styleId="CommentReference">
    <w:name w:val="annotation reference"/>
    <w:semiHidden/>
    <w:rsid w:val="00F85E3B"/>
    <w:rPr>
      <w:sz w:val="16"/>
      <w:szCs w:val="16"/>
    </w:rPr>
  </w:style>
  <w:style w:type="paragraph" w:styleId="CommentText">
    <w:name w:val="annotation text"/>
    <w:basedOn w:val="Normal"/>
    <w:link w:val="CommentTextChar"/>
    <w:semiHidden/>
    <w:rsid w:val="00F85E3B"/>
  </w:style>
  <w:style w:type="paragraph" w:styleId="CommentSubject">
    <w:name w:val="annotation subject"/>
    <w:basedOn w:val="CommentText"/>
    <w:next w:val="CommentText"/>
    <w:semiHidden/>
    <w:rsid w:val="00F85E3B"/>
    <w:rPr>
      <w:b/>
      <w:bCs/>
    </w:rPr>
  </w:style>
  <w:style w:type="character" w:customStyle="1" w:styleId="Heading1Char">
    <w:name w:val="Heading 1 Char"/>
    <w:link w:val="Heading1"/>
    <w:rsid w:val="00F85E3B"/>
    <w:rPr>
      <w:rFonts w:ascii="Arial" w:hAnsi="Arial" w:cs="Arial"/>
      <w:sz w:val="36"/>
      <w:szCs w:val="36"/>
      <w:lang w:val="en-GB" w:eastAsia="zh-CN"/>
    </w:rPr>
  </w:style>
  <w:style w:type="paragraph" w:customStyle="1" w:styleId="B1">
    <w:name w:val="B1"/>
    <w:basedOn w:val="List"/>
    <w:rsid w:val="00F85E3B"/>
    <w:pPr>
      <w:spacing w:after="180"/>
      <w:jc w:val="left"/>
    </w:pPr>
    <w:rPr>
      <w:lang w:eastAsia="en-US"/>
    </w:rPr>
  </w:style>
  <w:style w:type="paragraph" w:customStyle="1" w:styleId="B2">
    <w:name w:val="B2"/>
    <w:basedOn w:val="List2"/>
    <w:rsid w:val="00F85E3B"/>
    <w:pPr>
      <w:spacing w:after="180"/>
      <w:jc w:val="left"/>
    </w:pPr>
    <w:rPr>
      <w:lang w:eastAsia="en-US"/>
    </w:rPr>
  </w:style>
  <w:style w:type="paragraph" w:customStyle="1" w:styleId="B3">
    <w:name w:val="B3"/>
    <w:basedOn w:val="List3"/>
    <w:rsid w:val="00F85E3B"/>
    <w:pPr>
      <w:spacing w:after="180"/>
      <w:jc w:val="left"/>
    </w:pPr>
    <w:rPr>
      <w:lang w:eastAsia="en-US"/>
    </w:rPr>
  </w:style>
  <w:style w:type="paragraph" w:customStyle="1" w:styleId="B4">
    <w:name w:val="B4"/>
    <w:basedOn w:val="List4"/>
    <w:rsid w:val="00F85E3B"/>
    <w:pPr>
      <w:spacing w:after="180"/>
      <w:jc w:val="left"/>
    </w:pPr>
    <w:rPr>
      <w:lang w:eastAsia="en-US"/>
    </w:rPr>
  </w:style>
  <w:style w:type="paragraph" w:customStyle="1" w:styleId="Proposal">
    <w:name w:val="Proposal"/>
    <w:basedOn w:val="Normal"/>
    <w:rsid w:val="00F85E3B"/>
    <w:pPr>
      <w:numPr>
        <w:numId w:val="3"/>
      </w:numPr>
      <w:tabs>
        <w:tab w:val="clear" w:pos="1304"/>
        <w:tab w:val="left" w:pos="1701"/>
      </w:tabs>
      <w:ind w:left="1701" w:hanging="1701"/>
    </w:pPr>
    <w:rPr>
      <w:b/>
      <w:bCs/>
    </w:rPr>
  </w:style>
  <w:style w:type="character" w:customStyle="1" w:styleId="BodyTextChar">
    <w:name w:val="Body Text Char"/>
    <w:link w:val="BodyText"/>
    <w:rsid w:val="00F85E3B"/>
    <w:rPr>
      <w:rFonts w:ascii="Arial" w:hAnsi="Arial"/>
      <w:lang w:val="en-GB" w:eastAsia="zh-CN"/>
    </w:rPr>
  </w:style>
  <w:style w:type="paragraph" w:customStyle="1" w:styleId="B5">
    <w:name w:val="B5"/>
    <w:basedOn w:val="List5"/>
    <w:rsid w:val="00F85E3B"/>
    <w:pPr>
      <w:spacing w:after="180"/>
      <w:jc w:val="left"/>
    </w:pPr>
    <w:rPr>
      <w:lang w:eastAsia="en-US"/>
    </w:rPr>
  </w:style>
  <w:style w:type="paragraph" w:customStyle="1" w:styleId="EX">
    <w:name w:val="EX"/>
    <w:basedOn w:val="Normal"/>
    <w:rsid w:val="00F85E3B"/>
    <w:pPr>
      <w:keepLines/>
      <w:spacing w:after="180"/>
      <w:ind w:left="1702" w:hanging="1418"/>
      <w:jc w:val="left"/>
    </w:pPr>
    <w:rPr>
      <w:lang w:eastAsia="en-US"/>
    </w:rPr>
  </w:style>
  <w:style w:type="paragraph" w:customStyle="1" w:styleId="EW">
    <w:name w:val="EW"/>
    <w:basedOn w:val="EX"/>
    <w:rsid w:val="00F85E3B"/>
    <w:pPr>
      <w:spacing w:after="0"/>
    </w:pPr>
  </w:style>
  <w:style w:type="paragraph" w:customStyle="1" w:styleId="TAL">
    <w:name w:val="TAL"/>
    <w:basedOn w:val="Normal"/>
    <w:rsid w:val="00F85E3B"/>
    <w:pPr>
      <w:keepNext/>
      <w:keepLines/>
      <w:spacing w:after="0"/>
      <w:jc w:val="left"/>
    </w:pPr>
    <w:rPr>
      <w:sz w:val="18"/>
      <w:lang w:eastAsia="en-US"/>
    </w:rPr>
  </w:style>
  <w:style w:type="paragraph" w:customStyle="1" w:styleId="TAC">
    <w:name w:val="TAC"/>
    <w:basedOn w:val="TAL"/>
    <w:rsid w:val="00F85E3B"/>
    <w:pPr>
      <w:jc w:val="center"/>
    </w:pPr>
  </w:style>
  <w:style w:type="paragraph" w:customStyle="1" w:styleId="TAH">
    <w:name w:val="TAH"/>
    <w:basedOn w:val="TAC"/>
    <w:rsid w:val="00F85E3B"/>
    <w:rPr>
      <w:b/>
    </w:rPr>
  </w:style>
  <w:style w:type="paragraph" w:customStyle="1" w:styleId="TAN">
    <w:name w:val="TAN"/>
    <w:basedOn w:val="TAL"/>
    <w:rsid w:val="00F85E3B"/>
    <w:pPr>
      <w:ind w:left="851" w:hanging="851"/>
    </w:pPr>
  </w:style>
  <w:style w:type="paragraph" w:customStyle="1" w:styleId="TAR">
    <w:name w:val="TAR"/>
    <w:basedOn w:val="TAL"/>
    <w:rsid w:val="00F85E3B"/>
    <w:pPr>
      <w:jc w:val="right"/>
    </w:pPr>
  </w:style>
  <w:style w:type="paragraph" w:customStyle="1" w:styleId="TH">
    <w:name w:val="TH"/>
    <w:basedOn w:val="Normal"/>
    <w:rsid w:val="00F85E3B"/>
    <w:pPr>
      <w:keepNext/>
      <w:keepLines/>
      <w:spacing w:before="60" w:after="180"/>
      <w:jc w:val="center"/>
    </w:pPr>
    <w:rPr>
      <w:b/>
      <w:lang w:eastAsia="en-US"/>
    </w:rPr>
  </w:style>
  <w:style w:type="paragraph" w:customStyle="1" w:styleId="TF">
    <w:name w:val="TF"/>
    <w:basedOn w:val="TH"/>
    <w:rsid w:val="00F85E3B"/>
    <w:pPr>
      <w:keepNext w:val="0"/>
      <w:spacing w:before="0" w:after="240"/>
    </w:pPr>
  </w:style>
  <w:style w:type="paragraph" w:customStyle="1" w:styleId="TT">
    <w:name w:val="TT"/>
    <w:basedOn w:val="Heading1"/>
    <w:next w:val="Normal"/>
    <w:rsid w:val="00F85E3B"/>
    <w:pPr>
      <w:numPr>
        <w:numId w:val="0"/>
      </w:numPr>
      <w:ind w:left="1134" w:hanging="1134"/>
      <w:outlineLvl w:val="9"/>
    </w:pPr>
    <w:rPr>
      <w:rFonts w:cs="Times New Roman"/>
      <w:szCs w:val="20"/>
      <w:lang w:eastAsia="en-US"/>
    </w:rPr>
  </w:style>
  <w:style w:type="paragraph" w:customStyle="1" w:styleId="ZA">
    <w:name w:val="ZA"/>
    <w:rsid w:val="00F85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85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85E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85E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85E3B"/>
  </w:style>
  <w:style w:type="paragraph" w:customStyle="1" w:styleId="ZH">
    <w:name w:val="ZH"/>
    <w:rsid w:val="00F85E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85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85E3B"/>
    <w:pPr>
      <w:framePr w:hRule="auto" w:wrap="notBeside" w:y="852"/>
    </w:pPr>
    <w:rPr>
      <w:i w:val="0"/>
      <w:sz w:val="40"/>
    </w:rPr>
  </w:style>
  <w:style w:type="paragraph" w:customStyle="1" w:styleId="ZU">
    <w:name w:val="ZU"/>
    <w:rsid w:val="00F85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85E3B"/>
    <w:pPr>
      <w:framePr w:wrap="notBeside" w:y="16161"/>
    </w:pPr>
  </w:style>
  <w:style w:type="paragraph" w:customStyle="1" w:styleId="FP">
    <w:name w:val="FP"/>
    <w:basedOn w:val="Normal"/>
    <w:rsid w:val="00F85E3B"/>
    <w:pPr>
      <w:spacing w:after="0"/>
      <w:jc w:val="left"/>
    </w:pPr>
    <w:rPr>
      <w:lang w:eastAsia="en-US"/>
    </w:rPr>
  </w:style>
  <w:style w:type="paragraph" w:customStyle="1" w:styleId="Observation">
    <w:name w:val="Observation"/>
    <w:basedOn w:val="Proposal"/>
    <w:qFormat/>
    <w:rsid w:val="00F85E3B"/>
    <w:pPr>
      <w:numPr>
        <w:numId w:val="13"/>
      </w:numPr>
      <w:ind w:left="1701" w:hanging="1701"/>
    </w:pPr>
  </w:style>
  <w:style w:type="paragraph" w:styleId="TableofFigures">
    <w:name w:val="table of figures"/>
    <w:basedOn w:val="Normal"/>
    <w:next w:val="Normal"/>
    <w:uiPriority w:val="99"/>
    <w:rsid w:val="00F85E3B"/>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table" w:styleId="TableGrid">
    <w:name w:val="Table Grid"/>
    <w:basedOn w:val="TableNormal"/>
    <w:rsid w:val="00EA3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0366F"/>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Heading4Char">
    <w:name w:val="Heading 4 Char"/>
    <w:basedOn w:val="DefaultParagraphFont"/>
    <w:link w:val="Heading4"/>
    <w:rsid w:val="00464F28"/>
    <w:rPr>
      <w:rFonts w:ascii="Arial" w:hAnsi="Arial" w:cs="Arial"/>
      <w:sz w:val="24"/>
      <w:szCs w:val="24"/>
      <w:lang w:val="en-GB" w:eastAsia="zh-CN"/>
    </w:rPr>
  </w:style>
  <w:style w:type="character" w:styleId="PlaceholderText">
    <w:name w:val="Placeholder Text"/>
    <w:basedOn w:val="DefaultParagraphFont"/>
    <w:uiPriority w:val="99"/>
    <w:semiHidden/>
    <w:rsid w:val="00D42818"/>
    <w:rPr>
      <w:color w:val="808080"/>
    </w:rPr>
  </w:style>
  <w:style w:type="paragraph" w:styleId="ListParagraph">
    <w:name w:val="List Paragraph"/>
    <w:basedOn w:val="Normal"/>
    <w:uiPriority w:val="34"/>
    <w:qFormat/>
    <w:rsid w:val="004A3F21"/>
    <w:pPr>
      <w:ind w:left="720"/>
      <w:contextualSpacing/>
    </w:pPr>
  </w:style>
  <w:style w:type="character" w:customStyle="1" w:styleId="CommentTextChar">
    <w:name w:val="Comment Text Char"/>
    <w:link w:val="CommentText"/>
    <w:semiHidden/>
    <w:rsid w:val="00D04FD5"/>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969287">
      <w:bodyDiv w:val="1"/>
      <w:marLeft w:val="0"/>
      <w:marRight w:val="0"/>
      <w:marTop w:val="0"/>
      <w:marBottom w:val="0"/>
      <w:divBdr>
        <w:top w:val="none" w:sz="0" w:space="0" w:color="auto"/>
        <w:left w:val="none" w:sz="0" w:space="0" w:color="auto"/>
        <w:bottom w:val="none" w:sz="0" w:space="0" w:color="auto"/>
        <w:right w:val="none" w:sz="0" w:space="0" w:color="auto"/>
      </w:divBdr>
    </w:div>
    <w:div w:id="762069765">
      <w:bodyDiv w:val="1"/>
      <w:marLeft w:val="0"/>
      <w:marRight w:val="0"/>
      <w:marTop w:val="0"/>
      <w:marBottom w:val="0"/>
      <w:divBdr>
        <w:top w:val="none" w:sz="0" w:space="0" w:color="auto"/>
        <w:left w:val="none" w:sz="0" w:space="0" w:color="auto"/>
        <w:bottom w:val="none" w:sz="0" w:space="0" w:color="auto"/>
        <w:right w:val="none" w:sz="0" w:space="0" w:color="auto"/>
      </w:divBdr>
    </w:div>
    <w:div w:id="921450873">
      <w:bodyDiv w:val="1"/>
      <w:marLeft w:val="0"/>
      <w:marRight w:val="0"/>
      <w:marTop w:val="0"/>
      <w:marBottom w:val="0"/>
      <w:divBdr>
        <w:top w:val="none" w:sz="0" w:space="0" w:color="auto"/>
        <w:left w:val="none" w:sz="0" w:space="0" w:color="auto"/>
        <w:bottom w:val="none" w:sz="0" w:space="0" w:color="auto"/>
        <w:right w:val="none" w:sz="0" w:space="0" w:color="auto"/>
      </w:divBdr>
      <w:divsChild>
        <w:div w:id="119493052">
          <w:marLeft w:val="547"/>
          <w:marRight w:val="0"/>
          <w:marTop w:val="115"/>
          <w:marBottom w:val="0"/>
          <w:divBdr>
            <w:top w:val="none" w:sz="0" w:space="0" w:color="auto"/>
            <w:left w:val="none" w:sz="0" w:space="0" w:color="auto"/>
            <w:bottom w:val="none" w:sz="0" w:space="0" w:color="auto"/>
            <w:right w:val="none" w:sz="0" w:space="0" w:color="auto"/>
          </w:divBdr>
        </w:div>
        <w:div w:id="160196449">
          <w:marLeft w:val="1166"/>
          <w:marRight w:val="0"/>
          <w:marTop w:val="96"/>
          <w:marBottom w:val="0"/>
          <w:divBdr>
            <w:top w:val="none" w:sz="0" w:space="0" w:color="auto"/>
            <w:left w:val="none" w:sz="0" w:space="0" w:color="auto"/>
            <w:bottom w:val="none" w:sz="0" w:space="0" w:color="auto"/>
            <w:right w:val="none" w:sz="0" w:space="0" w:color="auto"/>
          </w:divBdr>
        </w:div>
        <w:div w:id="281615935">
          <w:marLeft w:val="2520"/>
          <w:marRight w:val="0"/>
          <w:marTop w:val="96"/>
          <w:marBottom w:val="0"/>
          <w:divBdr>
            <w:top w:val="none" w:sz="0" w:space="0" w:color="auto"/>
            <w:left w:val="none" w:sz="0" w:space="0" w:color="auto"/>
            <w:bottom w:val="none" w:sz="0" w:space="0" w:color="auto"/>
            <w:right w:val="none" w:sz="0" w:space="0" w:color="auto"/>
          </w:divBdr>
        </w:div>
        <w:div w:id="390622120">
          <w:marLeft w:val="1166"/>
          <w:marRight w:val="0"/>
          <w:marTop w:val="96"/>
          <w:marBottom w:val="0"/>
          <w:divBdr>
            <w:top w:val="none" w:sz="0" w:space="0" w:color="auto"/>
            <w:left w:val="none" w:sz="0" w:space="0" w:color="auto"/>
            <w:bottom w:val="none" w:sz="0" w:space="0" w:color="auto"/>
            <w:right w:val="none" w:sz="0" w:space="0" w:color="auto"/>
          </w:divBdr>
        </w:div>
        <w:div w:id="390927972">
          <w:marLeft w:val="2520"/>
          <w:marRight w:val="0"/>
          <w:marTop w:val="96"/>
          <w:marBottom w:val="0"/>
          <w:divBdr>
            <w:top w:val="none" w:sz="0" w:space="0" w:color="auto"/>
            <w:left w:val="none" w:sz="0" w:space="0" w:color="auto"/>
            <w:bottom w:val="none" w:sz="0" w:space="0" w:color="auto"/>
            <w:right w:val="none" w:sz="0" w:space="0" w:color="auto"/>
          </w:divBdr>
        </w:div>
        <w:div w:id="592934754">
          <w:marLeft w:val="547"/>
          <w:marRight w:val="0"/>
          <w:marTop w:val="115"/>
          <w:marBottom w:val="0"/>
          <w:divBdr>
            <w:top w:val="none" w:sz="0" w:space="0" w:color="auto"/>
            <w:left w:val="none" w:sz="0" w:space="0" w:color="auto"/>
            <w:bottom w:val="none" w:sz="0" w:space="0" w:color="auto"/>
            <w:right w:val="none" w:sz="0" w:space="0" w:color="auto"/>
          </w:divBdr>
        </w:div>
        <w:div w:id="690768407">
          <w:marLeft w:val="547"/>
          <w:marRight w:val="0"/>
          <w:marTop w:val="115"/>
          <w:marBottom w:val="0"/>
          <w:divBdr>
            <w:top w:val="none" w:sz="0" w:space="0" w:color="auto"/>
            <w:left w:val="none" w:sz="0" w:space="0" w:color="auto"/>
            <w:bottom w:val="none" w:sz="0" w:space="0" w:color="auto"/>
            <w:right w:val="none" w:sz="0" w:space="0" w:color="auto"/>
          </w:divBdr>
        </w:div>
        <w:div w:id="1063143588">
          <w:marLeft w:val="1800"/>
          <w:marRight w:val="0"/>
          <w:marTop w:val="115"/>
          <w:marBottom w:val="0"/>
          <w:divBdr>
            <w:top w:val="none" w:sz="0" w:space="0" w:color="auto"/>
            <w:left w:val="none" w:sz="0" w:space="0" w:color="auto"/>
            <w:bottom w:val="none" w:sz="0" w:space="0" w:color="auto"/>
            <w:right w:val="none" w:sz="0" w:space="0" w:color="auto"/>
          </w:divBdr>
        </w:div>
        <w:div w:id="1364483172">
          <w:marLeft w:val="547"/>
          <w:marRight w:val="0"/>
          <w:marTop w:val="115"/>
          <w:marBottom w:val="0"/>
          <w:divBdr>
            <w:top w:val="none" w:sz="0" w:space="0" w:color="auto"/>
            <w:left w:val="none" w:sz="0" w:space="0" w:color="auto"/>
            <w:bottom w:val="none" w:sz="0" w:space="0" w:color="auto"/>
            <w:right w:val="none" w:sz="0" w:space="0" w:color="auto"/>
          </w:divBdr>
        </w:div>
      </w:divsChild>
    </w:div>
    <w:div w:id="1051811463">
      <w:bodyDiv w:val="1"/>
      <w:marLeft w:val="0"/>
      <w:marRight w:val="0"/>
      <w:marTop w:val="0"/>
      <w:marBottom w:val="0"/>
      <w:divBdr>
        <w:top w:val="none" w:sz="0" w:space="0" w:color="auto"/>
        <w:left w:val="none" w:sz="0" w:space="0" w:color="auto"/>
        <w:bottom w:val="none" w:sz="0" w:space="0" w:color="auto"/>
        <w:right w:val="none" w:sz="0" w:space="0" w:color="auto"/>
      </w:divBdr>
      <w:divsChild>
        <w:div w:id="71047983">
          <w:marLeft w:val="2520"/>
          <w:marRight w:val="0"/>
          <w:marTop w:val="96"/>
          <w:marBottom w:val="0"/>
          <w:divBdr>
            <w:top w:val="none" w:sz="0" w:space="0" w:color="auto"/>
            <w:left w:val="none" w:sz="0" w:space="0" w:color="auto"/>
            <w:bottom w:val="none" w:sz="0" w:space="0" w:color="auto"/>
            <w:right w:val="none" w:sz="0" w:space="0" w:color="auto"/>
          </w:divBdr>
        </w:div>
        <w:div w:id="156575882">
          <w:marLeft w:val="1166"/>
          <w:marRight w:val="0"/>
          <w:marTop w:val="96"/>
          <w:marBottom w:val="0"/>
          <w:divBdr>
            <w:top w:val="none" w:sz="0" w:space="0" w:color="auto"/>
            <w:left w:val="none" w:sz="0" w:space="0" w:color="auto"/>
            <w:bottom w:val="none" w:sz="0" w:space="0" w:color="auto"/>
            <w:right w:val="none" w:sz="0" w:space="0" w:color="auto"/>
          </w:divBdr>
        </w:div>
        <w:div w:id="1009483244">
          <w:marLeft w:val="547"/>
          <w:marRight w:val="0"/>
          <w:marTop w:val="115"/>
          <w:marBottom w:val="0"/>
          <w:divBdr>
            <w:top w:val="none" w:sz="0" w:space="0" w:color="auto"/>
            <w:left w:val="none" w:sz="0" w:space="0" w:color="auto"/>
            <w:bottom w:val="none" w:sz="0" w:space="0" w:color="auto"/>
            <w:right w:val="none" w:sz="0" w:space="0" w:color="auto"/>
          </w:divBdr>
        </w:div>
        <w:div w:id="1172181794">
          <w:marLeft w:val="547"/>
          <w:marRight w:val="0"/>
          <w:marTop w:val="115"/>
          <w:marBottom w:val="0"/>
          <w:divBdr>
            <w:top w:val="none" w:sz="0" w:space="0" w:color="auto"/>
            <w:left w:val="none" w:sz="0" w:space="0" w:color="auto"/>
            <w:bottom w:val="none" w:sz="0" w:space="0" w:color="auto"/>
            <w:right w:val="none" w:sz="0" w:space="0" w:color="auto"/>
          </w:divBdr>
        </w:div>
        <w:div w:id="1247030928">
          <w:marLeft w:val="1800"/>
          <w:marRight w:val="0"/>
          <w:marTop w:val="115"/>
          <w:marBottom w:val="0"/>
          <w:divBdr>
            <w:top w:val="none" w:sz="0" w:space="0" w:color="auto"/>
            <w:left w:val="none" w:sz="0" w:space="0" w:color="auto"/>
            <w:bottom w:val="none" w:sz="0" w:space="0" w:color="auto"/>
            <w:right w:val="none" w:sz="0" w:space="0" w:color="auto"/>
          </w:divBdr>
        </w:div>
        <w:div w:id="1270620024">
          <w:marLeft w:val="547"/>
          <w:marRight w:val="0"/>
          <w:marTop w:val="115"/>
          <w:marBottom w:val="0"/>
          <w:divBdr>
            <w:top w:val="none" w:sz="0" w:space="0" w:color="auto"/>
            <w:left w:val="none" w:sz="0" w:space="0" w:color="auto"/>
            <w:bottom w:val="none" w:sz="0" w:space="0" w:color="auto"/>
            <w:right w:val="none" w:sz="0" w:space="0" w:color="auto"/>
          </w:divBdr>
        </w:div>
        <w:div w:id="1387022119">
          <w:marLeft w:val="547"/>
          <w:marRight w:val="0"/>
          <w:marTop w:val="115"/>
          <w:marBottom w:val="0"/>
          <w:divBdr>
            <w:top w:val="none" w:sz="0" w:space="0" w:color="auto"/>
            <w:left w:val="none" w:sz="0" w:space="0" w:color="auto"/>
            <w:bottom w:val="none" w:sz="0" w:space="0" w:color="auto"/>
            <w:right w:val="none" w:sz="0" w:space="0" w:color="auto"/>
          </w:divBdr>
        </w:div>
        <w:div w:id="1549293903">
          <w:marLeft w:val="1166"/>
          <w:marRight w:val="0"/>
          <w:marTop w:val="96"/>
          <w:marBottom w:val="0"/>
          <w:divBdr>
            <w:top w:val="none" w:sz="0" w:space="0" w:color="auto"/>
            <w:left w:val="none" w:sz="0" w:space="0" w:color="auto"/>
            <w:bottom w:val="none" w:sz="0" w:space="0" w:color="auto"/>
            <w:right w:val="none" w:sz="0" w:space="0" w:color="auto"/>
          </w:divBdr>
        </w:div>
        <w:div w:id="1991321464">
          <w:marLeft w:val="2520"/>
          <w:marRight w:val="0"/>
          <w:marTop w:val="96"/>
          <w:marBottom w:val="0"/>
          <w:divBdr>
            <w:top w:val="none" w:sz="0" w:space="0" w:color="auto"/>
            <w:left w:val="none" w:sz="0" w:space="0" w:color="auto"/>
            <w:bottom w:val="none" w:sz="0" w:space="0" w:color="auto"/>
            <w:right w:val="none" w:sz="0" w:space="0" w:color="auto"/>
          </w:divBdr>
        </w:div>
      </w:divsChild>
    </w:div>
    <w:div w:id="1486629912">
      <w:bodyDiv w:val="1"/>
      <w:marLeft w:val="0"/>
      <w:marRight w:val="0"/>
      <w:marTop w:val="0"/>
      <w:marBottom w:val="0"/>
      <w:divBdr>
        <w:top w:val="none" w:sz="0" w:space="0" w:color="auto"/>
        <w:left w:val="none" w:sz="0" w:space="0" w:color="auto"/>
        <w:bottom w:val="none" w:sz="0" w:space="0" w:color="auto"/>
        <w:right w:val="none" w:sz="0" w:space="0" w:color="auto"/>
      </w:divBdr>
      <w:divsChild>
        <w:div w:id="451024042">
          <w:marLeft w:val="1800"/>
          <w:marRight w:val="0"/>
          <w:marTop w:val="115"/>
          <w:marBottom w:val="0"/>
          <w:divBdr>
            <w:top w:val="none" w:sz="0" w:space="0" w:color="auto"/>
            <w:left w:val="none" w:sz="0" w:space="0" w:color="auto"/>
            <w:bottom w:val="none" w:sz="0" w:space="0" w:color="auto"/>
            <w:right w:val="none" w:sz="0" w:space="0" w:color="auto"/>
          </w:divBdr>
        </w:div>
      </w:divsChild>
    </w:div>
    <w:div w:id="1915629615">
      <w:bodyDiv w:val="1"/>
      <w:marLeft w:val="0"/>
      <w:marRight w:val="0"/>
      <w:marTop w:val="0"/>
      <w:marBottom w:val="0"/>
      <w:divBdr>
        <w:top w:val="none" w:sz="0" w:space="0" w:color="auto"/>
        <w:left w:val="none" w:sz="0" w:space="0" w:color="auto"/>
        <w:bottom w:val="none" w:sz="0" w:space="0" w:color="auto"/>
        <w:right w:val="none" w:sz="0" w:space="0" w:color="auto"/>
      </w:divBdr>
    </w:div>
    <w:div w:id="202338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5NUHHDQN7SK2-1-175246</_dlc_DocId>
    <_dlc_DocIdUrl xmlns="08b2df90-05d3-4030-90d4-c9feeb4a1cd9">
      <Url>https://ericoll.internal.ericsson.com/sites/star/_layouts/DocIdRedir.aspx?ID=5NUHHDQN7SK2-1-175246</Url>
      <Description>5NUHHDQN7SK2-1-175246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CCE37-949F-4078-8032-1C95EB127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1F149-03EE-4732-883F-0ACCADB120F3}">
  <ds:schemaRefs>
    <ds:schemaRef ds:uri="http://schemas.microsoft.com/office/2006/metadata/longProperties"/>
  </ds:schemaRefs>
</ds:datastoreItem>
</file>

<file path=customXml/itemProps3.xml><?xml version="1.0" encoding="utf-8"?>
<ds:datastoreItem xmlns:ds="http://schemas.openxmlformats.org/officeDocument/2006/customXml" ds:itemID="{0F12E1C5-1C9B-4F1F-A758-F74D603389D8}">
  <ds:schemaRefs>
    <ds:schemaRef ds:uri="Microsoft.SharePoint.Taxonomy.ContentTypeSync"/>
  </ds:schemaRefs>
</ds:datastoreItem>
</file>

<file path=customXml/itemProps4.xml><?xml version="1.0" encoding="utf-8"?>
<ds:datastoreItem xmlns:ds="http://schemas.openxmlformats.org/officeDocument/2006/customXml" ds:itemID="{D991A5CD-2596-41D8-A61B-9E64BC6A53DB}">
  <ds:schemaRefs>
    <ds:schemaRef ds:uri="http://schemas.microsoft.com/sharepoint/v3/contenttype/forms"/>
  </ds:schemaRefs>
</ds:datastoreItem>
</file>

<file path=customXml/itemProps5.xml><?xml version="1.0" encoding="utf-8"?>
<ds:datastoreItem xmlns:ds="http://schemas.openxmlformats.org/officeDocument/2006/customXml" ds:itemID="{0F791010-1975-4FBD-9420-FBA7BEC9EF57}">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FA51670-3906-4284-BCB7-E14B92C3CC01}">
  <ds:schemaRefs>
    <ds:schemaRef ds:uri="http://schemas.microsoft.com/sharepoint/events"/>
  </ds:schemaRefs>
</ds:datastoreItem>
</file>

<file path=customXml/itemProps7.xml><?xml version="1.0" encoding="utf-8"?>
<ds:datastoreItem xmlns:ds="http://schemas.openxmlformats.org/officeDocument/2006/customXml" ds:itemID="{A6E871D2-A9B9-4452-95B4-2BC477A4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121</TotalTime>
  <Pages>12</Pages>
  <Words>4915</Words>
  <Characters>26052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317</cp:revision>
  <cp:lastPrinted>2008-01-31T07:09:00Z</cp:lastPrinted>
  <dcterms:created xsi:type="dcterms:W3CDTF">2017-04-28T14:08:00Z</dcterms:created>
  <dcterms:modified xsi:type="dcterms:W3CDTF">2017-08-11T20:54:00Z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ae940d42-f263-4b4b-81f0-db5c69b6259e</vt:lpwstr>
  </property>
</Properties>
</file>