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2A5FFBC3" w:rsidR="00C07E87" w:rsidRPr="00D22346" w:rsidRDefault="00812072" w:rsidP="00C07E87">
      <w:pPr>
        <w:pStyle w:val="3GPPHeader"/>
        <w:spacing w:after="60"/>
        <w:rPr>
          <w:sz w:val="32"/>
          <w:szCs w:val="32"/>
          <w:highlight w:val="yellow"/>
        </w:rPr>
      </w:pPr>
      <w:r w:rsidRPr="00D22346">
        <w:t xml:space="preserve">3GPP TSG-RAN WG1 </w:t>
      </w:r>
      <w:r w:rsidR="00467E87">
        <w:t>Meeting</w:t>
      </w:r>
      <w:r w:rsidR="00844FDA">
        <w:t>#89</w:t>
      </w:r>
      <w:r w:rsidR="00C07E87" w:rsidRPr="00D22346">
        <w:tab/>
      </w:r>
      <w:r w:rsidR="003B365D" w:rsidRPr="00467E87">
        <w:rPr>
          <w:sz w:val="22"/>
        </w:rPr>
        <w:t xml:space="preserve"> </w:t>
      </w:r>
      <w:r w:rsidR="00240B51" w:rsidRPr="006C6517">
        <w:rPr>
          <w:szCs w:val="32"/>
        </w:rPr>
        <w:t>R1-</w:t>
      </w:r>
      <w:r w:rsidR="00AE553B" w:rsidRPr="006C6517">
        <w:rPr>
          <w:szCs w:val="32"/>
        </w:rPr>
        <w:t>17</w:t>
      </w:r>
      <w:r w:rsidR="00467A29">
        <w:rPr>
          <w:szCs w:val="32"/>
        </w:rPr>
        <w:t>09075</w:t>
      </w:r>
    </w:p>
    <w:p w14:paraId="0AE713F2" w14:textId="764CE75E" w:rsidR="00CE227E" w:rsidRDefault="00844FDA" w:rsidP="00CE227E">
      <w:pPr>
        <w:pStyle w:val="CRCoverPage"/>
        <w:outlineLvl w:val="0"/>
        <w:rPr>
          <w:b/>
          <w:noProof/>
          <w:sz w:val="24"/>
        </w:rPr>
      </w:pPr>
      <w:r>
        <w:rPr>
          <w:b/>
          <w:noProof/>
          <w:sz w:val="24"/>
        </w:rPr>
        <w:t>Hangzhou, China</w:t>
      </w:r>
      <w:r w:rsidR="00CE227E" w:rsidRPr="00AB78B2">
        <w:rPr>
          <w:b/>
          <w:noProof/>
          <w:sz w:val="24"/>
        </w:rPr>
        <w:t xml:space="preserve">, </w:t>
      </w:r>
      <w:r>
        <w:rPr>
          <w:b/>
          <w:noProof/>
          <w:sz w:val="24"/>
        </w:rPr>
        <w:t>15</w:t>
      </w:r>
      <w:r>
        <w:rPr>
          <w:b/>
          <w:noProof/>
          <w:sz w:val="24"/>
          <w:vertAlign w:val="superscript"/>
        </w:rPr>
        <w:t>th</w:t>
      </w:r>
      <w:r w:rsidR="00467E87">
        <w:rPr>
          <w:b/>
          <w:noProof/>
          <w:sz w:val="24"/>
        </w:rPr>
        <w:t xml:space="preserve">- </w:t>
      </w:r>
      <w:r>
        <w:rPr>
          <w:b/>
          <w:noProof/>
          <w:sz w:val="24"/>
        </w:rPr>
        <w:t>19</w:t>
      </w:r>
      <w:r w:rsidR="00CE227E" w:rsidRPr="00BD6748">
        <w:rPr>
          <w:b/>
          <w:noProof/>
          <w:sz w:val="24"/>
          <w:vertAlign w:val="superscript"/>
        </w:rPr>
        <w:t>th</w:t>
      </w:r>
      <w:r>
        <w:rPr>
          <w:b/>
          <w:noProof/>
          <w:sz w:val="24"/>
        </w:rPr>
        <w:t xml:space="preserve"> May</w:t>
      </w:r>
      <w:r w:rsidR="00CE227E">
        <w:rPr>
          <w:b/>
          <w:noProof/>
          <w:sz w:val="24"/>
        </w:rPr>
        <w:t xml:space="preserve"> 2017</w:t>
      </w:r>
    </w:p>
    <w:p w14:paraId="189863E3" w14:textId="77777777" w:rsidR="00C07E87" w:rsidRPr="00CE0424" w:rsidRDefault="00C07E87" w:rsidP="00C07E87">
      <w:pPr>
        <w:pStyle w:val="3GPPHeader"/>
      </w:pPr>
    </w:p>
    <w:p w14:paraId="293CC8DE" w14:textId="7ADA2882"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70493">
        <w:rPr>
          <w:sz w:val="22"/>
          <w:szCs w:val="22"/>
        </w:rPr>
        <w:t>7</w:t>
      </w:r>
      <w:r w:rsidR="00AE553B" w:rsidRPr="00AE553B">
        <w:rPr>
          <w:sz w:val="22"/>
          <w:szCs w:val="22"/>
        </w:rPr>
        <w:t>.1.3.1.</w:t>
      </w:r>
      <w:r w:rsidR="00823EF8">
        <w:rPr>
          <w:sz w:val="22"/>
          <w:szCs w:val="22"/>
        </w:rPr>
        <w:t>5</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2D27EE85" w:rsidR="00E90E49" w:rsidRPr="00CE0424" w:rsidRDefault="003D3C45" w:rsidP="00311702">
      <w:pPr>
        <w:pStyle w:val="3GPPHeader"/>
        <w:rPr>
          <w:sz w:val="22"/>
          <w:szCs w:val="22"/>
        </w:rPr>
      </w:pPr>
      <w:r>
        <w:rPr>
          <w:sz w:val="22"/>
          <w:szCs w:val="22"/>
        </w:rPr>
        <w:t>Title:</w:t>
      </w:r>
      <w:r w:rsidR="00E90E49" w:rsidRPr="00CE0424">
        <w:rPr>
          <w:sz w:val="22"/>
          <w:szCs w:val="22"/>
        </w:rPr>
        <w:tab/>
      </w:r>
      <w:r w:rsidR="00AE5C65">
        <w:rPr>
          <w:sz w:val="22"/>
          <w:szCs w:val="22"/>
        </w:rPr>
        <w:t>On</w:t>
      </w:r>
      <w:r w:rsidR="00047697">
        <w:rPr>
          <w:sz w:val="22"/>
          <w:szCs w:val="22"/>
        </w:rPr>
        <w:t xml:space="preserve"> </w:t>
      </w:r>
      <w:r w:rsidR="00A70493">
        <w:rPr>
          <w:sz w:val="22"/>
          <w:szCs w:val="22"/>
        </w:rPr>
        <w:t>Blind Decoding</w:t>
      </w:r>
      <w:r w:rsidR="00823EF8">
        <w:rPr>
          <w:sz w:val="22"/>
          <w:szCs w:val="22"/>
        </w:rPr>
        <w:t xml:space="preserve"> Complexity</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6457A446" w14:textId="0FCF1664" w:rsidR="00E61AA3" w:rsidRPr="00E61AA3" w:rsidRDefault="00E30225" w:rsidP="006628A0">
      <w:pPr>
        <w:pStyle w:val="Heading1"/>
      </w:pPr>
      <w:r w:rsidRPr="00CE0424">
        <w:t>Introduction</w:t>
      </w:r>
    </w:p>
    <w:p w14:paraId="62CDF67D" w14:textId="77777777" w:rsidR="00E61AA3" w:rsidRPr="006628A0" w:rsidRDefault="00E61AA3" w:rsidP="006628A0">
      <w:pPr>
        <w:pStyle w:val="BodyText"/>
      </w:pPr>
    </w:p>
    <w:p w14:paraId="1F36573B" w14:textId="4A4FA7EF" w:rsidR="005F087C" w:rsidRDefault="00E54A3A" w:rsidP="005F087C">
      <w:pPr>
        <w:pStyle w:val="BodyText"/>
      </w:pPr>
      <w:r>
        <w:t xml:space="preserve">The following </w:t>
      </w:r>
      <w:r w:rsidR="006C2623">
        <w:t xml:space="preserve">have been agreed regarding the group common PDCCH </w:t>
      </w:r>
      <w:r w:rsidR="00E214D8">
        <w:fldChar w:fldCharType="begin"/>
      </w:r>
      <w:r w:rsidR="00E214D8">
        <w:instrText xml:space="preserve"> REF _Ref473934775 \n \h </w:instrText>
      </w:r>
      <w:r w:rsidR="00E214D8">
        <w:fldChar w:fldCharType="separate"/>
      </w:r>
      <w:r w:rsidR="002C1019">
        <w:t>[1]</w:t>
      </w:r>
      <w:r w:rsidR="00E214D8">
        <w:fldChar w:fldCharType="end"/>
      </w:r>
    </w:p>
    <w:p w14:paraId="29CD9921" w14:textId="77777777" w:rsidR="006C2623" w:rsidRPr="00BE3726" w:rsidRDefault="006C2623" w:rsidP="006C2623">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4F7845C7" w14:textId="77777777" w:rsidR="006C2623" w:rsidRPr="00F24B1D" w:rsidRDefault="006C2623" w:rsidP="006C2623">
      <w:pPr>
        <w:numPr>
          <w:ilvl w:val="0"/>
          <w:numId w:val="21"/>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5419C560" w14:textId="77777777" w:rsidR="006C2623" w:rsidRPr="00F24B1D" w:rsidRDefault="006C2623" w:rsidP="006C2623">
      <w:pPr>
        <w:numPr>
          <w:ilvl w:val="1"/>
          <w:numId w:val="21"/>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7BB5C4CB" w14:textId="77777777" w:rsidR="006C2623" w:rsidRPr="00F24B1D" w:rsidRDefault="006C2623" w:rsidP="006C2623">
      <w:pPr>
        <w:numPr>
          <w:ilvl w:val="1"/>
          <w:numId w:val="21"/>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074BA68C" w14:textId="77777777" w:rsidR="006C2623" w:rsidRPr="00F24B1D" w:rsidRDefault="006C2623" w:rsidP="006C2623">
      <w:pPr>
        <w:numPr>
          <w:ilvl w:val="1"/>
          <w:numId w:val="21"/>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7C40F3A4" w14:textId="77777777" w:rsidR="006C2623" w:rsidRPr="00F24B1D" w:rsidRDefault="006C2623" w:rsidP="006C2623">
      <w:pPr>
        <w:numPr>
          <w:ilvl w:val="1"/>
          <w:numId w:val="21"/>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62CFCFEA" w14:textId="77777777" w:rsidR="006C2623" w:rsidRPr="00174E40" w:rsidRDefault="006C2623" w:rsidP="006C2623">
      <w:pPr>
        <w:numPr>
          <w:ilvl w:val="1"/>
          <w:numId w:val="21"/>
        </w:numPr>
        <w:overflowPunct/>
        <w:autoSpaceDE/>
        <w:autoSpaceDN/>
        <w:adjustRightInd/>
        <w:spacing w:after="0"/>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59682F3B" w14:textId="77777777" w:rsidR="006C2623" w:rsidRPr="005F5317" w:rsidRDefault="006C2623" w:rsidP="006C2623">
      <w:pPr>
        <w:ind w:leftChars="7" w:left="14"/>
        <w:rPr>
          <w:rFonts w:eastAsia="MS Mincho"/>
          <w:b/>
          <w:i/>
          <w:iCs/>
          <w:color w:val="4472C4" w:themeColor="accent5"/>
          <w:lang w:eastAsia="ja-JP"/>
        </w:rPr>
      </w:pPr>
    </w:p>
    <w:p w14:paraId="0CE8C181" w14:textId="77777777" w:rsidR="006C2623" w:rsidRPr="00D810AA" w:rsidRDefault="006C2623" w:rsidP="006C2623">
      <w:pPr>
        <w:rPr>
          <w:rFonts w:eastAsia="MS Mincho"/>
          <w:b/>
          <w:u w:val="single"/>
          <w:lang w:eastAsia="ja-JP"/>
        </w:rPr>
      </w:pPr>
      <w:r w:rsidRPr="00D810AA">
        <w:rPr>
          <w:rFonts w:eastAsia="MS Mincho" w:hint="eastAsia"/>
          <w:b/>
          <w:highlight w:val="green"/>
          <w:u w:val="single"/>
          <w:lang w:eastAsia="ja-JP"/>
        </w:rPr>
        <w:t>Agreements:</w:t>
      </w:r>
    </w:p>
    <w:p w14:paraId="585427E3" w14:textId="0DAF1971" w:rsidR="006C2623" w:rsidRPr="006C2623" w:rsidRDefault="006C2623" w:rsidP="006C2623">
      <w:pPr>
        <w:pStyle w:val="ListParagraph"/>
        <w:numPr>
          <w:ilvl w:val="0"/>
          <w:numId w:val="10"/>
        </w:numPr>
        <w:ind w:left="720"/>
        <w:contextualSpacing/>
        <w:rPr>
          <w:rFonts w:ascii="Arial" w:eastAsia="MS Mincho" w:hAnsi="Arial" w:cs="Arial"/>
          <w:sz w:val="20"/>
          <w:szCs w:val="20"/>
          <w:lang w:val="en-US" w:eastAsia="ja-JP"/>
        </w:rPr>
      </w:pPr>
      <w:r w:rsidRPr="006C2623">
        <w:rPr>
          <w:rFonts w:ascii="Arial" w:eastAsia="MS Mincho" w:hAnsi="Arial" w:cs="Arial"/>
          <w:sz w:val="20"/>
          <w:szCs w:val="20"/>
          <w:lang w:val="en-US" w:eastAsia="ja-JP"/>
        </w:rPr>
        <w:t>The starting position of downlink data in a slot can be explicitly and dynamically indicated to the UE.</w:t>
      </w:r>
    </w:p>
    <w:p w14:paraId="2F8B07E2" w14:textId="77777777" w:rsidR="006C2623" w:rsidRPr="006C2623" w:rsidRDefault="006C2623" w:rsidP="006C2623">
      <w:pPr>
        <w:pStyle w:val="ListParagraph"/>
        <w:numPr>
          <w:ilvl w:val="1"/>
          <w:numId w:val="10"/>
        </w:numPr>
        <w:ind w:left="1440"/>
        <w:contextualSpacing/>
        <w:rPr>
          <w:rFonts w:ascii="Arial" w:eastAsia="MS Mincho" w:hAnsi="Arial" w:cs="Arial"/>
          <w:sz w:val="20"/>
          <w:szCs w:val="20"/>
          <w:lang w:val="en-US" w:eastAsia="ja-JP"/>
        </w:rPr>
      </w:pPr>
      <w:r w:rsidRPr="006C2623">
        <w:rPr>
          <w:rFonts w:ascii="Arial" w:eastAsia="MS Mincho" w:hAnsi="Arial" w:cs="Arial"/>
          <w:sz w:val="20"/>
          <w:szCs w:val="20"/>
          <w:lang w:val="en-US" w:eastAsia="ja-JP"/>
        </w:rPr>
        <w:t>FFS: signaled in the UE-specific DCI and/or a ‘group-common PDCCH’</w:t>
      </w:r>
    </w:p>
    <w:p w14:paraId="03BA2978" w14:textId="77777777" w:rsidR="006C2623" w:rsidRPr="006C2623" w:rsidRDefault="006C2623" w:rsidP="006C2623">
      <w:pPr>
        <w:pStyle w:val="ListParagraph"/>
        <w:numPr>
          <w:ilvl w:val="1"/>
          <w:numId w:val="10"/>
        </w:numPr>
        <w:ind w:left="1440"/>
        <w:contextualSpacing/>
        <w:rPr>
          <w:rFonts w:ascii="Arial" w:eastAsia="MS Mincho" w:hAnsi="Arial" w:cs="Arial"/>
          <w:sz w:val="20"/>
          <w:szCs w:val="20"/>
          <w:lang w:val="en-US" w:eastAsia="ja-JP"/>
        </w:rPr>
      </w:pPr>
      <w:r w:rsidRPr="006C2623">
        <w:rPr>
          <w:rFonts w:ascii="Arial" w:eastAsia="MS Mincho" w:hAnsi="Arial" w:cs="Arial"/>
          <w:sz w:val="20"/>
          <w:szCs w:val="20"/>
          <w:lang w:val="en-US" w:eastAsia="ja-JP"/>
        </w:rPr>
        <w:t>FFS: how and with what granularity the unused control resource set(s) can be used for data</w:t>
      </w:r>
    </w:p>
    <w:p w14:paraId="7CE920F0" w14:textId="77777777" w:rsidR="006C2623" w:rsidRDefault="006C2623" w:rsidP="006C2623">
      <w:pPr>
        <w:rPr>
          <w:rFonts w:eastAsia="MS Mincho"/>
          <w:b/>
          <w:highlight w:val="green"/>
          <w:u w:val="single"/>
          <w:lang w:eastAsia="ja-JP"/>
        </w:rPr>
      </w:pPr>
    </w:p>
    <w:p w14:paraId="17D59532" w14:textId="7DC4AB36" w:rsidR="006C2623" w:rsidRPr="007F7517" w:rsidRDefault="006C2623" w:rsidP="006C2623">
      <w:pPr>
        <w:rPr>
          <w:rFonts w:eastAsia="MS Mincho"/>
          <w:b/>
          <w:u w:val="single"/>
          <w:lang w:eastAsia="ja-JP"/>
        </w:rPr>
      </w:pPr>
      <w:r w:rsidRPr="00633195">
        <w:rPr>
          <w:rFonts w:eastAsia="MS Mincho" w:hint="eastAsia"/>
          <w:b/>
          <w:highlight w:val="green"/>
          <w:u w:val="single"/>
          <w:lang w:eastAsia="ja-JP"/>
        </w:rPr>
        <w:t>Agreements:</w:t>
      </w:r>
    </w:p>
    <w:p w14:paraId="77C96645" w14:textId="77777777" w:rsidR="006C2623" w:rsidRPr="006C2623" w:rsidRDefault="006C2623" w:rsidP="006C2623">
      <w:pPr>
        <w:pStyle w:val="ListParagraph"/>
        <w:numPr>
          <w:ilvl w:val="0"/>
          <w:numId w:val="41"/>
        </w:numPr>
        <w:contextualSpacing/>
        <w:rPr>
          <w:rFonts w:ascii="Arial" w:eastAsia="MS Mincho" w:hAnsi="Arial" w:cs="Arial"/>
          <w:sz w:val="20"/>
          <w:szCs w:val="20"/>
          <w:lang w:val="en-US" w:eastAsia="ja-JP"/>
        </w:rPr>
      </w:pPr>
      <w:r w:rsidRPr="006C2623">
        <w:rPr>
          <w:rFonts w:ascii="Arial" w:eastAsia="MS Mincho" w:hAnsi="Arial" w:cs="Arial"/>
          <w:sz w:val="20"/>
          <w:szCs w:val="20"/>
          <w:lang w:val="en-US" w:eastAsia="ja-JP"/>
        </w:rPr>
        <w:t>The UE will have the possibility to determine whether some blind decodings can be skipped based on information on a ‘group common PDCCH’ (if present).</w:t>
      </w:r>
    </w:p>
    <w:p w14:paraId="04654D5F" w14:textId="77777777" w:rsidR="006C2623" w:rsidRPr="006C2623" w:rsidRDefault="006C2623" w:rsidP="006C2623">
      <w:pPr>
        <w:pStyle w:val="ListParagraph"/>
        <w:numPr>
          <w:ilvl w:val="0"/>
          <w:numId w:val="41"/>
        </w:numPr>
        <w:contextualSpacing/>
        <w:rPr>
          <w:rFonts w:ascii="Arial" w:eastAsia="MS Mincho" w:hAnsi="Arial" w:cs="Arial"/>
          <w:sz w:val="20"/>
          <w:szCs w:val="20"/>
          <w:lang w:val="en-US" w:eastAsia="ja-JP"/>
        </w:rPr>
      </w:pPr>
      <w:r w:rsidRPr="006C2623">
        <w:rPr>
          <w:rFonts w:ascii="Arial" w:eastAsia="MS Mincho" w:hAnsi="Arial" w:cs="Arial"/>
          <w:sz w:val="20"/>
          <w:szCs w:val="20"/>
          <w:lang w:val="en-US" w:eastAsia="ja-JP"/>
        </w:rPr>
        <w:t>FFS: if the data starting position is signaled on the group common PDCCH, the UE may exploit this information to skip some blind decodings</w:t>
      </w:r>
    </w:p>
    <w:p w14:paraId="3D55E2FE" w14:textId="77777777" w:rsidR="006C2623" w:rsidRPr="006C2623" w:rsidRDefault="006C2623" w:rsidP="006C2623">
      <w:pPr>
        <w:pStyle w:val="ListParagraph"/>
        <w:numPr>
          <w:ilvl w:val="0"/>
          <w:numId w:val="41"/>
        </w:numPr>
        <w:contextualSpacing/>
        <w:rPr>
          <w:rFonts w:ascii="Arial" w:eastAsia="MS Mincho" w:hAnsi="Arial" w:cs="Arial"/>
          <w:sz w:val="20"/>
          <w:szCs w:val="20"/>
          <w:lang w:val="en-US" w:eastAsia="ja-JP"/>
        </w:rPr>
      </w:pPr>
      <w:r w:rsidRPr="006C2623">
        <w:rPr>
          <w:rFonts w:ascii="Arial" w:eastAsia="MS Mincho" w:hAnsi="Arial" w:cs="Arial"/>
          <w:sz w:val="20"/>
          <w:szCs w:val="20"/>
          <w:lang w:val="en-US" w:eastAsia="ja-JP"/>
        </w:rPr>
        <w:t>FFS: if the end of the control resource set is signaled on the ‘group common PDCCH’, the UE may exploit this information to skip some blind decodings</w:t>
      </w:r>
    </w:p>
    <w:p w14:paraId="22F20DEE" w14:textId="77777777" w:rsidR="006C2623" w:rsidRPr="006C2623" w:rsidRDefault="006C2623" w:rsidP="006C2623">
      <w:pPr>
        <w:pStyle w:val="ListParagraph"/>
        <w:numPr>
          <w:ilvl w:val="0"/>
          <w:numId w:val="41"/>
        </w:numPr>
        <w:contextualSpacing/>
        <w:rPr>
          <w:rFonts w:ascii="Arial" w:eastAsia="MS Mincho" w:hAnsi="Arial" w:cs="Arial"/>
          <w:sz w:val="20"/>
          <w:szCs w:val="20"/>
          <w:lang w:val="en-US" w:eastAsia="ja-JP"/>
        </w:rPr>
      </w:pPr>
      <w:r w:rsidRPr="006C2623">
        <w:rPr>
          <w:rFonts w:ascii="Arial" w:eastAsia="MS Mincho" w:hAnsi="Arial" w:cs="Arial"/>
          <w:sz w:val="20"/>
          <w:szCs w:val="20"/>
          <w:lang w:val="en-US" w:eastAsia="ja-JP"/>
        </w:rPr>
        <w:t>FFS: how to handle the case when there is no ‘group common PDCCH’ in a slot</w:t>
      </w:r>
    </w:p>
    <w:p w14:paraId="3B0D2D44" w14:textId="77777777" w:rsidR="006C2623" w:rsidRPr="006C2623" w:rsidRDefault="006C2623" w:rsidP="006C2623">
      <w:pPr>
        <w:pStyle w:val="ListParagraph"/>
        <w:numPr>
          <w:ilvl w:val="0"/>
          <w:numId w:val="41"/>
        </w:numPr>
        <w:contextualSpacing/>
        <w:rPr>
          <w:rFonts w:ascii="Arial" w:eastAsia="MS Mincho" w:hAnsi="Arial" w:cs="Arial"/>
          <w:sz w:val="20"/>
          <w:szCs w:val="20"/>
          <w:lang w:val="en-US" w:eastAsia="ja-JP"/>
        </w:rPr>
      </w:pPr>
      <w:r w:rsidRPr="006C2623">
        <w:rPr>
          <w:rFonts w:ascii="Arial" w:eastAsia="MS Mincho" w:hAnsi="Arial" w:cs="Arial"/>
          <w:sz w:val="20"/>
          <w:szCs w:val="20"/>
          <w:lang w:val="en-US" w:eastAsia="ja-JP"/>
        </w:rPr>
        <w:t>When monitoring for a PDCCH, the UE should be able to process a detected PDCCH irrespective of whether the ‘group common PDCCH’ is received or not</w:t>
      </w:r>
    </w:p>
    <w:p w14:paraId="2BE76C20" w14:textId="77777777" w:rsidR="00F3619D" w:rsidRDefault="00F3619D" w:rsidP="006C2623">
      <w:pPr>
        <w:pStyle w:val="BodyText"/>
        <w:spacing w:after="0"/>
        <w:rPr>
          <w:rFonts w:eastAsia="MS Mincho" w:cs="Arial"/>
          <w:b/>
          <w:highlight w:val="green"/>
          <w:u w:val="single"/>
          <w:lang w:eastAsia="ja-JP"/>
        </w:rPr>
      </w:pPr>
    </w:p>
    <w:p w14:paraId="038E6053" w14:textId="18A9246F" w:rsidR="006C2623" w:rsidRPr="006C2623" w:rsidRDefault="006C2623" w:rsidP="006C2623">
      <w:pPr>
        <w:pStyle w:val="BodyText"/>
        <w:spacing w:after="0"/>
        <w:rPr>
          <w:rFonts w:cs="Arial"/>
          <w:b/>
          <w:u w:val="single"/>
          <w:lang w:eastAsia="ja-JP"/>
        </w:rPr>
      </w:pPr>
      <w:r w:rsidRPr="006C2623">
        <w:rPr>
          <w:rFonts w:eastAsia="MS Mincho" w:cs="Arial"/>
          <w:b/>
          <w:highlight w:val="green"/>
          <w:u w:val="single"/>
          <w:lang w:eastAsia="ja-JP"/>
        </w:rPr>
        <w:t>Agreements:</w:t>
      </w:r>
    </w:p>
    <w:p w14:paraId="081202BC" w14:textId="77777777" w:rsidR="006C2623" w:rsidRPr="00476354" w:rsidRDefault="006C2623" w:rsidP="006C2623">
      <w:pPr>
        <w:pStyle w:val="BodyText"/>
        <w:numPr>
          <w:ilvl w:val="0"/>
          <w:numId w:val="42"/>
        </w:numPr>
        <w:overflowPunct/>
        <w:autoSpaceDE/>
        <w:autoSpaceDN/>
        <w:adjustRightInd/>
        <w:spacing w:after="0"/>
        <w:textAlignment w:val="auto"/>
        <w:rPr>
          <w:lang w:eastAsia="ja-JP"/>
        </w:rPr>
      </w:pPr>
      <w:r w:rsidRPr="00476354">
        <w:rPr>
          <w:lang w:eastAsia="ja-JP"/>
        </w:rPr>
        <w:t>‘Slot format related information’</w:t>
      </w:r>
    </w:p>
    <w:p w14:paraId="35FF8AB7" w14:textId="77777777" w:rsidR="006C2623" w:rsidRPr="00476354" w:rsidRDefault="006C2623" w:rsidP="006C2623">
      <w:pPr>
        <w:pStyle w:val="BodyText"/>
        <w:numPr>
          <w:ilvl w:val="1"/>
          <w:numId w:val="42"/>
        </w:numPr>
        <w:overflowPunct/>
        <w:autoSpaceDE/>
        <w:autoSpaceDN/>
        <w:adjustRightInd/>
        <w:spacing w:after="0"/>
        <w:textAlignment w:val="auto"/>
        <w:rPr>
          <w:lang w:eastAsia="ja-JP"/>
        </w:rPr>
      </w:pPr>
      <w:r w:rsidRPr="00476354">
        <w:rPr>
          <w:lang w:eastAsia="ja-JP"/>
        </w:rPr>
        <w:t>Information from which the UE can derive at least which symbols in a slot that are ‘DL’, ‘UL’ (for Rel-15), and ‘other’, respectively</w:t>
      </w:r>
    </w:p>
    <w:p w14:paraId="27794C99" w14:textId="77777777" w:rsidR="006C2623" w:rsidRPr="00476354" w:rsidRDefault="006C2623" w:rsidP="006C2623">
      <w:pPr>
        <w:pStyle w:val="BodyText"/>
        <w:numPr>
          <w:ilvl w:val="1"/>
          <w:numId w:val="42"/>
        </w:numPr>
        <w:overflowPunct/>
        <w:autoSpaceDE/>
        <w:autoSpaceDN/>
        <w:adjustRightInd/>
        <w:spacing w:after="0"/>
        <w:textAlignment w:val="auto"/>
        <w:rPr>
          <w:lang w:eastAsia="ja-JP"/>
        </w:rPr>
      </w:pPr>
      <w:r w:rsidRPr="00476354">
        <w:rPr>
          <w:lang w:eastAsia="ja-JP"/>
        </w:rPr>
        <w:t>FFS: if ‘other’ can be subdivided into ‘blank’, ‘sidelink’, etc</w:t>
      </w:r>
    </w:p>
    <w:p w14:paraId="737C534F" w14:textId="77777777" w:rsidR="006C2623" w:rsidRPr="00476354" w:rsidRDefault="006C2623" w:rsidP="006C2623">
      <w:pPr>
        <w:pStyle w:val="BodyText"/>
        <w:numPr>
          <w:ilvl w:val="0"/>
          <w:numId w:val="42"/>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‘Control resource set duration’</w:t>
      </w:r>
    </w:p>
    <w:p w14:paraId="0394F3B7" w14:textId="77777777" w:rsidR="006C2623" w:rsidRPr="00476354" w:rsidRDefault="006C2623" w:rsidP="006C2623">
      <w:pPr>
        <w:pStyle w:val="BodyText"/>
        <w:numPr>
          <w:ilvl w:val="1"/>
          <w:numId w:val="42"/>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04566A42" w14:textId="77777777" w:rsidR="006C2623" w:rsidRPr="006C2623" w:rsidRDefault="006C2623" w:rsidP="006C2623">
      <w:pPr>
        <w:pStyle w:val="BodyText"/>
        <w:numPr>
          <w:ilvl w:val="1"/>
          <w:numId w:val="42"/>
        </w:numPr>
        <w:overflowPunct/>
        <w:autoSpaceDE/>
        <w:autoSpaceDN/>
        <w:adjustRightInd/>
        <w:spacing w:after="0"/>
        <w:textAlignment w:val="auto"/>
        <w:rPr>
          <w:rFonts w:eastAsia="MS Mincho"/>
          <w:lang w:eastAsia="ja-JP"/>
        </w:rPr>
      </w:pPr>
      <w:r w:rsidRPr="00BA7C2D">
        <w:rPr>
          <w:rFonts w:eastAsia="MS Mincho" w:hint="eastAsia"/>
          <w:lang w:eastAsia="ja-JP"/>
        </w:rPr>
        <w:t xml:space="preserve">FFS: </w:t>
      </w:r>
      <w:r w:rsidRPr="006C2623">
        <w:rPr>
          <w:rFonts w:eastAsia="MS Mincho"/>
          <w:lang w:eastAsia="ja-JP"/>
        </w:rPr>
        <w:t>Can help</w:t>
      </w:r>
      <w:bookmarkStart w:id="0" w:name="_GoBack"/>
      <w:bookmarkEnd w:id="0"/>
      <w:r w:rsidRPr="006C2623">
        <w:rPr>
          <w:rFonts w:eastAsia="MS Mincho"/>
          <w:lang w:eastAsia="ja-JP"/>
        </w:rPr>
        <w:t xml:space="preserve"> the UE skip some of the semi-statically configured blind decodings. If not received, the UE performs all blind decodings</w:t>
      </w:r>
    </w:p>
    <w:p w14:paraId="64D0BB57" w14:textId="77777777" w:rsidR="00DB0354" w:rsidRDefault="00DB0354" w:rsidP="006628A0">
      <w:pPr>
        <w:pStyle w:val="BodyText"/>
      </w:pPr>
    </w:p>
    <w:p w14:paraId="58BE3C0C" w14:textId="77777777" w:rsidR="00741FF0" w:rsidRDefault="00281B02" w:rsidP="006628A0">
      <w:pPr>
        <w:pStyle w:val="BodyText"/>
      </w:pPr>
      <w:r>
        <w:lastRenderedPageBreak/>
        <w:t xml:space="preserve">One of the key motivations that has been cited for having the group common PDCCH is the need to </w:t>
      </w:r>
      <w:r w:rsidR="00741FF0">
        <w:t xml:space="preserve">reduce blind decoding complexity for the UE. This contribution discusses the topic of blind decoding complexity and how the management of this complexity may be addressed by the group common PDCCH. </w:t>
      </w:r>
    </w:p>
    <w:p w14:paraId="1026FACB" w14:textId="34FFC7DE" w:rsidR="00047697" w:rsidRPr="00DB0354" w:rsidRDefault="005261FA" w:rsidP="003245DE">
      <w:pPr>
        <w:pStyle w:val="Heading1"/>
      </w:pPr>
      <w:r>
        <w:t>Discussion</w:t>
      </w:r>
    </w:p>
    <w:p w14:paraId="775E8D69" w14:textId="330A9F37" w:rsidR="00741FF0" w:rsidRDefault="00741FF0" w:rsidP="00741FF0">
      <w:pPr>
        <w:pStyle w:val="BodyText"/>
      </w:pPr>
      <w:r>
        <w:t>For the group common PDCCH, some functionality such as the PCFICH in LTE, which allows a dynamic indication of the control region size has been discussed as a means of reducing the number of blind decodes that the UE must attempt in the slot. The indication of a control resource set duration has been left for further study. In order to understand the amount of power savings that may be achieved by providing such information it is important to consider the structure of the PDCCH as well as the various components that contribute to power consumption when performing blind decodes.</w:t>
      </w:r>
    </w:p>
    <w:p w14:paraId="26CC9265" w14:textId="04E63DA7" w:rsidR="00741FF0" w:rsidRDefault="00741FF0" w:rsidP="00741FF0">
      <w:pPr>
        <w:pStyle w:val="BodyText"/>
      </w:pPr>
      <w:r>
        <w:t xml:space="preserve">In general, in the UE, power consumption is affected </w:t>
      </w:r>
      <w:r w:rsidR="00023AAD">
        <w:t xml:space="preserve">at least </w:t>
      </w:r>
      <w:r>
        <w:t xml:space="preserve">by </w:t>
      </w:r>
      <w:r w:rsidR="00023AAD">
        <w:t>the following factors</w:t>
      </w:r>
      <w:r>
        <w:t xml:space="preserve"> with respect to blind decoding.</w:t>
      </w:r>
    </w:p>
    <w:p w14:paraId="7F852E54" w14:textId="093BD2EE" w:rsidR="00741FF0" w:rsidRDefault="00741FF0" w:rsidP="00741FF0">
      <w:pPr>
        <w:pStyle w:val="BodyText"/>
        <w:numPr>
          <w:ilvl w:val="0"/>
          <w:numId w:val="43"/>
        </w:numPr>
      </w:pPr>
      <w:r>
        <w:t>Aspects related to reception of the signal such as the power taken by the radio receiver including RF and baseband components</w:t>
      </w:r>
    </w:p>
    <w:p w14:paraId="410DC682" w14:textId="235F5290" w:rsidR="00741FF0" w:rsidRDefault="00741FF0" w:rsidP="00741FF0">
      <w:pPr>
        <w:pStyle w:val="BodyText"/>
        <w:numPr>
          <w:ilvl w:val="0"/>
          <w:numId w:val="43"/>
        </w:numPr>
      </w:pPr>
      <w:r>
        <w:t>The computational complexity of performing the blind decodes</w:t>
      </w:r>
    </w:p>
    <w:p w14:paraId="1AEF2E57" w14:textId="3961FB6F" w:rsidR="00741FF0" w:rsidRDefault="00741FF0" w:rsidP="00741FF0">
      <w:pPr>
        <w:pStyle w:val="BodyText"/>
        <w:numPr>
          <w:ilvl w:val="0"/>
          <w:numId w:val="43"/>
        </w:numPr>
      </w:pPr>
      <w:r>
        <w:t>The processing capability in the UE which impacts the time needed to perform blind decodes</w:t>
      </w:r>
      <w:r w:rsidR="00B9277F">
        <w:t xml:space="preserve"> and whether blind decode candidates can be processed in parallel or whether they are processed serially</w:t>
      </w:r>
    </w:p>
    <w:p w14:paraId="175C2B76" w14:textId="49864E04" w:rsidR="00023AAD" w:rsidRDefault="00023AAD" w:rsidP="003245DE">
      <w:pPr>
        <w:pStyle w:val="BodyText"/>
        <w:numPr>
          <w:ilvl w:val="0"/>
          <w:numId w:val="43"/>
        </w:numPr>
      </w:pPr>
      <w:r>
        <w:t xml:space="preserve">The power saving capabilities in the UE, i.e., the speed with which various components can be turned off or on in order to save </w:t>
      </w:r>
      <w:r w:rsidR="004A2EBF">
        <w:t>power</w:t>
      </w:r>
    </w:p>
    <w:p w14:paraId="54088F23" w14:textId="63D20879" w:rsidR="00C12D25" w:rsidRDefault="00C12D25" w:rsidP="003245DE">
      <w:pPr>
        <w:pStyle w:val="BodyText"/>
        <w:numPr>
          <w:ilvl w:val="0"/>
          <w:numId w:val="43"/>
        </w:numPr>
      </w:pPr>
      <w:r>
        <w:t>The structure of the control channel resource set</w:t>
      </w:r>
    </w:p>
    <w:p w14:paraId="0B9C05BE" w14:textId="52538260" w:rsidR="004A2EBF" w:rsidRDefault="004A2EBF" w:rsidP="003245DE">
      <w:pPr>
        <w:pStyle w:val="BodyText"/>
        <w:numPr>
          <w:ilvl w:val="0"/>
          <w:numId w:val="43"/>
        </w:numPr>
      </w:pPr>
      <w:r>
        <w:t>The latency in reading the group common PDCCH and responding to the information in it</w:t>
      </w:r>
    </w:p>
    <w:p w14:paraId="7FE81469" w14:textId="77777777" w:rsidR="00023AAD" w:rsidRDefault="00023AAD" w:rsidP="003245DE">
      <w:pPr>
        <w:rPr>
          <w:color w:val="000000"/>
        </w:rPr>
      </w:pPr>
    </w:p>
    <w:p w14:paraId="54941F2D" w14:textId="49131AEA" w:rsidR="00741FF0" w:rsidRDefault="00023AAD" w:rsidP="003245DE">
      <w:pPr>
        <w:rPr>
          <w:color w:val="000000"/>
        </w:rPr>
      </w:pPr>
      <w:r>
        <w:rPr>
          <w:color w:val="000000"/>
        </w:rPr>
        <w:t>The ratios of the power consumed by various sources of power consumption will play a key role in the realizable power saving due to any information provided in the group common PDCCH that may reduce the number of blind decoding attempts to be performed by the UE.</w:t>
      </w:r>
      <w:r w:rsidR="00C12D25">
        <w:rPr>
          <w:color w:val="000000"/>
        </w:rPr>
        <w:t xml:space="preserve"> If for example, </w:t>
      </w:r>
      <w:r w:rsidR="00741FF0">
        <w:rPr>
          <w:color w:val="000000"/>
        </w:rPr>
        <w:t>the UE is unable to take advantage of micro-sleep procedures in time granularities of less th</w:t>
      </w:r>
      <w:r>
        <w:rPr>
          <w:color w:val="000000"/>
        </w:rPr>
        <w:t>an a slot length</w:t>
      </w:r>
      <w:r w:rsidR="00C12D25">
        <w:rPr>
          <w:color w:val="000000"/>
        </w:rPr>
        <w:t xml:space="preserve"> and a large fraction of the power is consumed by the radio receiver, then the power savings due to reducing blind decoding complexity could be quite limited. If the UE is able to enable micro-sleep within a slot and turn off the receiver based on information received in the group common PDCCH, then there could be some potential for power reduction. However, the power reduction will then depend on the control resource set structure and how the blind decode processing is performed. For instance, if blind decodes are completed quite fast in comparison to the slot time or the time it takes for the UE to turn off the radio receiver and enable micro-sleep, then, the savings in power from avoiding some blind decodes</w:t>
      </w:r>
      <w:r w:rsidR="00C317B7">
        <w:rPr>
          <w:color w:val="000000"/>
        </w:rPr>
        <w:t xml:space="preserve"> would be rather limited. Or if the blind decodes are performed in parallel, then the number of blind decodes that can be avoided based on the information from the group common PDCCH may also be limited.</w:t>
      </w:r>
    </w:p>
    <w:p w14:paraId="77AD737E" w14:textId="406CC95A" w:rsidR="00413560" w:rsidRDefault="004A2EBF" w:rsidP="00791B28">
      <w:pPr>
        <w:rPr>
          <w:rFonts w:cs="Arial"/>
          <w:color w:val="000000"/>
        </w:rPr>
      </w:pPr>
      <w:r>
        <w:rPr>
          <w:color w:val="000000"/>
        </w:rPr>
        <w:t xml:space="preserve">Another aspect that plays a role is the structure of the control resource set and the location of the group common PDCCH within it. For instance, if the control resource set is only one OFDM symbol long and the UE has the ability to perform blind decodes in parallel, the power saving may not be significant since the UE can only start the decoding of the group common PDCCH </w:t>
      </w:r>
      <w:r w:rsidR="00A8219A">
        <w:rPr>
          <w:color w:val="000000"/>
        </w:rPr>
        <w:t>after the first OFDM symbol. By the time the UE is able to decode the group common PDCCH and decide that other blind decodes are not needed, most of them may be completed anyway. If the UE waits to do the other blind decodes after the result of the decoding of the group common PDCCH is known, then the buffering requirements will be greater and in fact more power may be consumed due to a delay in when micro-sleep can be applied.</w:t>
      </w:r>
      <w:r w:rsidR="00791B28">
        <w:rPr>
          <w:color w:val="000000"/>
        </w:rPr>
        <w:t xml:space="preserve"> </w:t>
      </w:r>
      <w:r w:rsidR="00791B28">
        <w:rPr>
          <w:rFonts w:cs="Arial"/>
          <w:color w:val="000000"/>
        </w:rPr>
        <w:t>If a CORESET longer than one OFDM symbol is used and the group common PDCCH is confined to the first OFDM symbol, then the potential for power savings is potentially greater. Based on this discussion we propose the following.</w:t>
      </w:r>
    </w:p>
    <w:p w14:paraId="28756520" w14:textId="052CCE11" w:rsidR="00791B28" w:rsidRDefault="00791B28" w:rsidP="00791B28">
      <w:pPr>
        <w:rPr>
          <w:rFonts w:cs="Arial"/>
          <w:color w:val="000000"/>
        </w:rPr>
      </w:pPr>
      <w:r w:rsidRPr="00791B28">
        <w:rPr>
          <w:rFonts w:cs="Arial"/>
          <w:b/>
          <w:color w:val="000000"/>
        </w:rPr>
        <w:t xml:space="preserve">Proposal: </w:t>
      </w:r>
      <w:r>
        <w:rPr>
          <w:rFonts w:cs="Arial"/>
          <w:color w:val="000000"/>
        </w:rPr>
        <w:t>The power savings achievable with implementation constraints should be considered when defining information to be sent in the group common PDCCH for the purpose of blind decode reduction.</w:t>
      </w:r>
    </w:p>
    <w:p w14:paraId="22EA1714" w14:textId="53A3F747" w:rsidR="00791B28" w:rsidRDefault="00791B28" w:rsidP="00791B28">
      <w:pPr>
        <w:rPr>
          <w:rFonts w:cs="Arial"/>
          <w:color w:val="000000"/>
        </w:rPr>
      </w:pPr>
    </w:p>
    <w:p w14:paraId="545245AB" w14:textId="0B3D7572" w:rsidR="00791B28" w:rsidRPr="00791B28" w:rsidRDefault="00225CFB" w:rsidP="00791B28">
      <w:pPr>
        <w:rPr>
          <w:rFonts w:cs="Arial"/>
          <w:color w:val="000000"/>
        </w:rPr>
      </w:pPr>
      <w:r>
        <w:rPr>
          <w:rFonts w:cs="Arial"/>
          <w:color w:val="000000"/>
        </w:rPr>
        <w:t xml:space="preserve">It should also be noted that the slot format information already agreed could be provided not just for the current slot but for future slots as well when the slot formats are not otherwise known by some other means, e.g., when dynamic TDD is used. When the UE is provided information about future slots which indicates that these </w:t>
      </w:r>
      <w:r>
        <w:rPr>
          <w:rFonts w:cs="Arial"/>
          <w:color w:val="000000"/>
        </w:rPr>
        <w:lastRenderedPageBreak/>
        <w:t>slots do not have any symbols for DL within them, the UE can skip all blind decodes including the group common PDCCH for the entire slot. This can serve to reduce the number of blind decodes that the UE has to perform.</w:t>
      </w:r>
    </w:p>
    <w:p w14:paraId="67B3F33A" w14:textId="6160D072" w:rsidR="00225CFB" w:rsidRPr="00791B28" w:rsidRDefault="003A2F2D" w:rsidP="00791B28">
      <w:pPr>
        <w:rPr>
          <w:color w:val="000000"/>
        </w:rPr>
      </w:pPr>
      <w:r>
        <w:rPr>
          <w:color w:val="000000"/>
        </w:rPr>
        <w:t>A</w:t>
      </w:r>
      <w:r w:rsidR="00225CFB">
        <w:rPr>
          <w:color w:val="000000"/>
        </w:rPr>
        <w:t xml:space="preserve"> complication with signaling </w:t>
      </w:r>
      <w:r>
        <w:rPr>
          <w:color w:val="000000"/>
        </w:rPr>
        <w:t xml:space="preserve">the duration of the </w:t>
      </w:r>
      <w:r w:rsidR="00225CFB">
        <w:rPr>
          <w:color w:val="000000"/>
        </w:rPr>
        <w:t>control resource set</w:t>
      </w:r>
      <w:r>
        <w:rPr>
          <w:color w:val="000000"/>
        </w:rPr>
        <w:t>, which was left for further study,</w:t>
      </w:r>
      <w:r w:rsidR="00225CFB">
        <w:rPr>
          <w:color w:val="000000"/>
        </w:rPr>
        <w:t xml:space="preserve"> is that the UE may be configured with multiple control resource sets which may be of different d</w:t>
      </w:r>
      <w:r>
        <w:rPr>
          <w:color w:val="000000"/>
        </w:rPr>
        <w:t xml:space="preserve">urations. It should be noted that the motivation for indicating the control resource set size in LTE was not only to reduce blind decoding complexity but mainly to increase throughput. Considering that CORESETs can be flexible in bandwidth, maximizing throughput is not a good motivation in NR to indicate the duration of the CORESET. </w:t>
      </w:r>
    </w:p>
    <w:p w14:paraId="52194F8F" w14:textId="5F2EDD0E" w:rsidR="00AE553B" w:rsidRDefault="00AE553B" w:rsidP="00AE553B">
      <w:pPr>
        <w:pStyle w:val="Heading1"/>
      </w:pPr>
      <w:r>
        <w:t>Conclusion</w:t>
      </w:r>
    </w:p>
    <w:p w14:paraId="683F4B88" w14:textId="2803231D" w:rsidR="00956E62" w:rsidRPr="00620462" w:rsidRDefault="00956E62" w:rsidP="00956E62">
      <w:pPr>
        <w:pStyle w:val="BodyText"/>
        <w:rPr>
          <w:rFonts w:cs="Arial"/>
          <w:color w:val="000000"/>
        </w:rPr>
      </w:pPr>
      <w:r>
        <w:t>We discussed the potential for reduction of blind decoding complexity via signaling of information in group common PDCCH and propose the following.</w:t>
      </w:r>
    </w:p>
    <w:p w14:paraId="32F48431" w14:textId="1AE48F70" w:rsidR="004F7D42" w:rsidRPr="00956E62" w:rsidRDefault="00956E62" w:rsidP="00956E62">
      <w:pPr>
        <w:contextualSpacing/>
        <w:rPr>
          <w:rFonts w:cs="Arial"/>
          <w:color w:val="000000"/>
        </w:rPr>
      </w:pPr>
      <w:r w:rsidRPr="00791B28">
        <w:rPr>
          <w:rFonts w:cs="Arial"/>
          <w:b/>
          <w:color w:val="000000"/>
        </w:rPr>
        <w:t xml:space="preserve">Proposal: </w:t>
      </w:r>
      <w:r>
        <w:rPr>
          <w:rFonts w:cs="Arial"/>
          <w:color w:val="000000"/>
        </w:rPr>
        <w:t>The power savings achievable with implementation constraints should be considered when defining information to be sent in the group common PDCCH for the purpose of blind decode reduction.</w:t>
      </w:r>
    </w:p>
    <w:p w14:paraId="2A456164" w14:textId="3A7E3D6F" w:rsidR="00047697" w:rsidRDefault="00047697" w:rsidP="00A66C42">
      <w:pPr>
        <w:pStyle w:val="ListParagraph"/>
        <w:autoSpaceDE w:val="0"/>
        <w:autoSpaceDN w:val="0"/>
        <w:contextualSpacing/>
        <w:rPr>
          <w:rFonts w:ascii="Arial" w:hAnsi="Arial" w:cs="Arial"/>
          <w:color w:val="000000"/>
          <w:sz w:val="20"/>
          <w:szCs w:val="20"/>
          <w:lang w:val="en-US"/>
        </w:rPr>
      </w:pPr>
    </w:p>
    <w:p w14:paraId="1807A744" w14:textId="77777777" w:rsidR="00A66C42" w:rsidRPr="00A66C42" w:rsidRDefault="00A66C42" w:rsidP="00A66C42">
      <w:pPr>
        <w:pStyle w:val="ListParagraph"/>
        <w:autoSpaceDE w:val="0"/>
        <w:autoSpaceDN w:val="0"/>
        <w:contextualSpacing/>
        <w:rPr>
          <w:rFonts w:ascii="Arial" w:hAnsi="Arial" w:cs="Arial"/>
          <w:color w:val="000000"/>
          <w:sz w:val="20"/>
          <w:szCs w:val="20"/>
          <w:lang w:val="en-US"/>
        </w:rPr>
      </w:pPr>
    </w:p>
    <w:p w14:paraId="3CA25FCB" w14:textId="041390C9" w:rsidR="00F507D1" w:rsidRDefault="00F507D1" w:rsidP="0009033B">
      <w:pPr>
        <w:pStyle w:val="Heading1"/>
      </w:pPr>
      <w:bookmarkStart w:id="1" w:name="_In-sequence_SDU_delivery"/>
      <w:bookmarkEnd w:id="1"/>
      <w:r w:rsidRPr="00CE0424">
        <w:t>References</w:t>
      </w:r>
    </w:p>
    <w:p w14:paraId="2E0E0E5C" w14:textId="6ADB19C0" w:rsidR="00836182" w:rsidRDefault="00EA313F" w:rsidP="003B365D">
      <w:pPr>
        <w:pStyle w:val="Reference"/>
      </w:pPr>
      <w:bookmarkStart w:id="2" w:name="_Ref473934775"/>
      <w:bookmarkStart w:id="3" w:name="_Ref473637092"/>
      <w:bookmarkStart w:id="4" w:name="_Ref470613638"/>
      <w:bookmarkStart w:id="5" w:name="_Ref465931227"/>
      <w:bookmarkStart w:id="6" w:name="_Ref458515583"/>
      <w:bookmarkStart w:id="7" w:name="_Ref174151459"/>
      <w:bookmarkStart w:id="8" w:name="_Ref189809556"/>
      <w:bookmarkStart w:id="9" w:name="_Ref458165837"/>
      <w:bookmarkStart w:id="10" w:name="_Ref473896381"/>
      <w:r w:rsidRPr="006C6517">
        <w:t>C</w:t>
      </w:r>
      <w:r w:rsidR="003579EB" w:rsidRPr="006C6517">
        <w:t>hairman’s N</w:t>
      </w:r>
      <w:r w:rsidR="004C5E10" w:rsidRPr="006C6517">
        <w:t xml:space="preserve">otes, 3GPP TSG RAN WG1 </w:t>
      </w:r>
      <w:bookmarkEnd w:id="2"/>
      <w:r w:rsidR="006C2623">
        <w:t>Ad Hoc, January, 2017</w:t>
      </w:r>
    </w:p>
    <w:bookmarkEnd w:id="3"/>
    <w:bookmarkEnd w:id="4"/>
    <w:bookmarkEnd w:id="5"/>
    <w:bookmarkEnd w:id="6"/>
    <w:bookmarkEnd w:id="7"/>
    <w:bookmarkEnd w:id="8"/>
    <w:bookmarkEnd w:id="9"/>
    <w:bookmarkEnd w:id="10"/>
    <w:p w14:paraId="7BD1958E" w14:textId="7986C986" w:rsidR="002F43C5" w:rsidRPr="00BE3726" w:rsidRDefault="002F43C5" w:rsidP="0009560B">
      <w:pPr>
        <w:pStyle w:val="Reference"/>
        <w:numPr>
          <w:ilvl w:val="0"/>
          <w:numId w:val="0"/>
        </w:numPr>
        <w:ind w:left="567"/>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90175" w14:textId="77777777" w:rsidR="00282182" w:rsidRDefault="00282182">
      <w:r>
        <w:separator/>
      </w:r>
    </w:p>
  </w:endnote>
  <w:endnote w:type="continuationSeparator" w:id="0">
    <w:p w14:paraId="41E464B3" w14:textId="77777777" w:rsidR="00282182" w:rsidRDefault="00282182">
      <w:r>
        <w:continuationSeparator/>
      </w:r>
    </w:p>
  </w:endnote>
  <w:endnote w:type="continuationNotice" w:id="1">
    <w:p w14:paraId="4F241A67" w14:textId="77777777" w:rsidR="00282182" w:rsidRDefault="00282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A5002D7"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287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287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4365B" w14:textId="77777777" w:rsidR="00282182" w:rsidRDefault="00282182">
      <w:r>
        <w:separator/>
      </w:r>
    </w:p>
  </w:footnote>
  <w:footnote w:type="continuationSeparator" w:id="0">
    <w:p w14:paraId="7ABC74B3" w14:textId="77777777" w:rsidR="00282182" w:rsidRDefault="00282182">
      <w:r>
        <w:continuationSeparator/>
      </w:r>
    </w:p>
  </w:footnote>
  <w:footnote w:type="continuationNotice" w:id="1">
    <w:p w14:paraId="6E5A9A17" w14:textId="77777777" w:rsidR="00282182" w:rsidRDefault="002821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1A28C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6" w15:restartNumberingAfterBreak="0">
    <w:nsid w:val="2FFE5365"/>
    <w:multiLevelType w:val="hybridMultilevel"/>
    <w:tmpl w:val="1DF83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B7F43CE"/>
    <w:multiLevelType w:val="hybridMultilevel"/>
    <w:tmpl w:val="C58030D8"/>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3107E44"/>
    <w:multiLevelType w:val="hybridMultilevel"/>
    <w:tmpl w:val="742E8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4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2"/>
  </w:num>
  <w:num w:numId="3">
    <w:abstractNumId w:val="22"/>
  </w:num>
  <w:num w:numId="4">
    <w:abstractNumId w:val="25"/>
  </w:num>
  <w:num w:numId="5">
    <w:abstractNumId w:val="18"/>
  </w:num>
  <w:num w:numId="6">
    <w:abstractNumId w:val="28"/>
  </w:num>
  <w:num w:numId="7">
    <w:abstractNumId w:val="35"/>
  </w:num>
  <w:num w:numId="8">
    <w:abstractNumId w:val="19"/>
  </w:num>
  <w:num w:numId="9">
    <w:abstractNumId w:val="34"/>
  </w:num>
  <w:num w:numId="10">
    <w:abstractNumId w:val="8"/>
  </w:num>
  <w:num w:numId="11">
    <w:abstractNumId w:val="2"/>
  </w:num>
  <w:num w:numId="12">
    <w:abstractNumId w:val="6"/>
  </w:num>
  <w:num w:numId="13">
    <w:abstractNumId w:val="37"/>
  </w:num>
  <w:num w:numId="14">
    <w:abstractNumId w:val="23"/>
  </w:num>
  <w:num w:numId="15">
    <w:abstractNumId w:val="10"/>
  </w:num>
  <w:num w:numId="16">
    <w:abstractNumId w:val="36"/>
  </w:num>
  <w:num w:numId="17">
    <w:abstractNumId w:val="26"/>
  </w:num>
  <w:num w:numId="18">
    <w:abstractNumId w:val="15"/>
  </w:num>
  <w:num w:numId="19">
    <w:abstractNumId w:val="31"/>
  </w:num>
  <w:num w:numId="20">
    <w:abstractNumId w:val="38"/>
  </w:num>
  <w:num w:numId="21">
    <w:abstractNumId w:val="12"/>
  </w:num>
  <w:num w:numId="22">
    <w:abstractNumId w:val="41"/>
  </w:num>
  <w:num w:numId="23">
    <w:abstractNumId w:val="4"/>
  </w:num>
  <w:num w:numId="24">
    <w:abstractNumId w:val="29"/>
  </w:num>
  <w:num w:numId="25">
    <w:abstractNumId w:val="11"/>
  </w:num>
  <w:num w:numId="26">
    <w:abstractNumId w:val="30"/>
  </w:num>
  <w:num w:numId="27">
    <w:abstractNumId w:val="0"/>
  </w:num>
  <w:num w:numId="28">
    <w:abstractNumId w:val="17"/>
  </w:num>
  <w:num w:numId="29">
    <w:abstractNumId w:val="24"/>
  </w:num>
  <w:num w:numId="30">
    <w:abstractNumId w:val="33"/>
  </w:num>
  <w:num w:numId="31">
    <w:abstractNumId w:val="42"/>
  </w:num>
  <w:num w:numId="32">
    <w:abstractNumId w:val="40"/>
  </w:num>
  <w:num w:numId="33">
    <w:abstractNumId w:val="14"/>
  </w:num>
  <w:num w:numId="34">
    <w:abstractNumId w:val="5"/>
  </w:num>
  <w:num w:numId="35">
    <w:abstractNumId w:val="13"/>
  </w:num>
  <w:num w:numId="36">
    <w:abstractNumId w:val="21"/>
  </w:num>
  <w:num w:numId="37">
    <w:abstractNumId w:val="7"/>
  </w:num>
  <w:num w:numId="38">
    <w:abstractNumId w:val="9"/>
  </w:num>
  <w:num w:numId="39">
    <w:abstractNumId w:val="39"/>
  </w:num>
  <w:num w:numId="40">
    <w:abstractNumId w:val="27"/>
  </w:num>
  <w:num w:numId="41">
    <w:abstractNumId w:val="20"/>
  </w:num>
  <w:num w:numId="42">
    <w:abstractNumId w:val="3"/>
  </w:num>
  <w:num w:numId="4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3AAD"/>
    <w:rsid w:val="00025234"/>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7265B"/>
    <w:rsid w:val="000756BD"/>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2870"/>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2CC"/>
    <w:rsid w:val="00223847"/>
    <w:rsid w:val="00223FCB"/>
    <w:rsid w:val="002252C3"/>
    <w:rsid w:val="00225C54"/>
    <w:rsid w:val="00225CFB"/>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3E9"/>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0AD8"/>
    <w:rsid w:val="00281B02"/>
    <w:rsid w:val="00282182"/>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42F1"/>
    <w:rsid w:val="002A7A8C"/>
    <w:rsid w:val="002B0227"/>
    <w:rsid w:val="002B0907"/>
    <w:rsid w:val="002B24D6"/>
    <w:rsid w:val="002B4CE9"/>
    <w:rsid w:val="002B5943"/>
    <w:rsid w:val="002C1019"/>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882"/>
    <w:rsid w:val="00313FD6"/>
    <w:rsid w:val="003143BD"/>
    <w:rsid w:val="00314D7C"/>
    <w:rsid w:val="003203ED"/>
    <w:rsid w:val="00322C9F"/>
    <w:rsid w:val="003242AA"/>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106"/>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2F2D"/>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C45"/>
    <w:rsid w:val="003D549B"/>
    <w:rsid w:val="003D5B1F"/>
    <w:rsid w:val="003D6F47"/>
    <w:rsid w:val="003E15FA"/>
    <w:rsid w:val="003E1E1D"/>
    <w:rsid w:val="003E25DB"/>
    <w:rsid w:val="003E55E4"/>
    <w:rsid w:val="003E5F40"/>
    <w:rsid w:val="003E5F77"/>
    <w:rsid w:val="003E6625"/>
    <w:rsid w:val="003E74E3"/>
    <w:rsid w:val="003F0058"/>
    <w:rsid w:val="003F05C7"/>
    <w:rsid w:val="003F26FA"/>
    <w:rsid w:val="003F2CD4"/>
    <w:rsid w:val="003F6BBE"/>
    <w:rsid w:val="003F6F52"/>
    <w:rsid w:val="004000E8"/>
    <w:rsid w:val="00400F1F"/>
    <w:rsid w:val="00402E2B"/>
    <w:rsid w:val="0040512B"/>
    <w:rsid w:val="00405CA5"/>
    <w:rsid w:val="00407CD3"/>
    <w:rsid w:val="00410134"/>
    <w:rsid w:val="00410B72"/>
    <w:rsid w:val="00410F18"/>
    <w:rsid w:val="0041263E"/>
    <w:rsid w:val="00413560"/>
    <w:rsid w:val="00413AAC"/>
    <w:rsid w:val="0041557D"/>
    <w:rsid w:val="00421105"/>
    <w:rsid w:val="0042144C"/>
    <w:rsid w:val="004242F4"/>
    <w:rsid w:val="004264D4"/>
    <w:rsid w:val="00426A03"/>
    <w:rsid w:val="00426AF1"/>
    <w:rsid w:val="00427248"/>
    <w:rsid w:val="004314DE"/>
    <w:rsid w:val="00435264"/>
    <w:rsid w:val="00437447"/>
    <w:rsid w:val="00441A92"/>
    <w:rsid w:val="00444F56"/>
    <w:rsid w:val="00446488"/>
    <w:rsid w:val="00446AFF"/>
    <w:rsid w:val="00447DDB"/>
    <w:rsid w:val="00451587"/>
    <w:rsid w:val="004517AA"/>
    <w:rsid w:val="00452B53"/>
    <w:rsid w:val="00452CAC"/>
    <w:rsid w:val="00454932"/>
    <w:rsid w:val="00457565"/>
    <w:rsid w:val="00457B71"/>
    <w:rsid w:val="004669E2"/>
    <w:rsid w:val="00467A29"/>
    <w:rsid w:val="00467E87"/>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2EBF"/>
    <w:rsid w:val="004A3DA8"/>
    <w:rsid w:val="004B17E1"/>
    <w:rsid w:val="004B6991"/>
    <w:rsid w:val="004B7787"/>
    <w:rsid w:val="004B7C0C"/>
    <w:rsid w:val="004C3898"/>
    <w:rsid w:val="004C4D69"/>
    <w:rsid w:val="004C5E10"/>
    <w:rsid w:val="004C6818"/>
    <w:rsid w:val="004C691A"/>
    <w:rsid w:val="004C6FA5"/>
    <w:rsid w:val="004D204A"/>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4F7D42"/>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5998"/>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3D40"/>
    <w:rsid w:val="00565C08"/>
    <w:rsid w:val="00566E2B"/>
    <w:rsid w:val="0057036A"/>
    <w:rsid w:val="00572505"/>
    <w:rsid w:val="005827E6"/>
    <w:rsid w:val="00582809"/>
    <w:rsid w:val="00585F85"/>
    <w:rsid w:val="0058798C"/>
    <w:rsid w:val="005900FA"/>
    <w:rsid w:val="005935A4"/>
    <w:rsid w:val="005948C2"/>
    <w:rsid w:val="00595DCA"/>
    <w:rsid w:val="00595EC8"/>
    <w:rsid w:val="0059719A"/>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087C"/>
    <w:rsid w:val="005F10E8"/>
    <w:rsid w:val="005F2CB1"/>
    <w:rsid w:val="005F3025"/>
    <w:rsid w:val="005F3106"/>
    <w:rsid w:val="005F618C"/>
    <w:rsid w:val="005F70BD"/>
    <w:rsid w:val="005F70DE"/>
    <w:rsid w:val="00602337"/>
    <w:rsid w:val="0060283C"/>
    <w:rsid w:val="00604F14"/>
    <w:rsid w:val="00611444"/>
    <w:rsid w:val="00611B83"/>
    <w:rsid w:val="00613257"/>
    <w:rsid w:val="00617C2C"/>
    <w:rsid w:val="00620462"/>
    <w:rsid w:val="00620A71"/>
    <w:rsid w:val="00620D80"/>
    <w:rsid w:val="00621B29"/>
    <w:rsid w:val="006234A6"/>
    <w:rsid w:val="006238D8"/>
    <w:rsid w:val="00623B0C"/>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D3F"/>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397"/>
    <w:rsid w:val="006B6614"/>
    <w:rsid w:val="006C03B8"/>
    <w:rsid w:val="006C2623"/>
    <w:rsid w:val="006C3409"/>
    <w:rsid w:val="006C5761"/>
    <w:rsid w:val="006C5EC9"/>
    <w:rsid w:val="006C6059"/>
    <w:rsid w:val="006C6517"/>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30DC"/>
    <w:rsid w:val="007146C7"/>
    <w:rsid w:val="007148D3"/>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1FF0"/>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1B28"/>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B7B40"/>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EF8"/>
    <w:rsid w:val="00824AB4"/>
    <w:rsid w:val="00825C42"/>
    <w:rsid w:val="00825D25"/>
    <w:rsid w:val="00825D3D"/>
    <w:rsid w:val="00826F90"/>
    <w:rsid w:val="00827D6F"/>
    <w:rsid w:val="00830A27"/>
    <w:rsid w:val="008349CB"/>
    <w:rsid w:val="00836182"/>
    <w:rsid w:val="00836B3D"/>
    <w:rsid w:val="008376AC"/>
    <w:rsid w:val="00840358"/>
    <w:rsid w:val="0084390D"/>
    <w:rsid w:val="008444E8"/>
    <w:rsid w:val="00844E80"/>
    <w:rsid w:val="00844FDA"/>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102"/>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1F97"/>
    <w:rsid w:val="00912C6A"/>
    <w:rsid w:val="009139D9"/>
    <w:rsid w:val="00914AD8"/>
    <w:rsid w:val="00916079"/>
    <w:rsid w:val="00917194"/>
    <w:rsid w:val="00917BEA"/>
    <w:rsid w:val="00917CE9"/>
    <w:rsid w:val="00920BF2"/>
    <w:rsid w:val="00922010"/>
    <w:rsid w:val="00924D26"/>
    <w:rsid w:val="00931BD9"/>
    <w:rsid w:val="009368F3"/>
    <w:rsid w:val="009375A0"/>
    <w:rsid w:val="00937B36"/>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4E2B"/>
    <w:rsid w:val="0095681E"/>
    <w:rsid w:val="00956E62"/>
    <w:rsid w:val="009572D4"/>
    <w:rsid w:val="009615CB"/>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A02E75"/>
    <w:rsid w:val="00A0362C"/>
    <w:rsid w:val="00A048A8"/>
    <w:rsid w:val="00A04F49"/>
    <w:rsid w:val="00A12469"/>
    <w:rsid w:val="00A13E54"/>
    <w:rsid w:val="00A17F63"/>
    <w:rsid w:val="00A207DD"/>
    <w:rsid w:val="00A2193B"/>
    <w:rsid w:val="00A220BC"/>
    <w:rsid w:val="00A2351A"/>
    <w:rsid w:val="00A2583F"/>
    <w:rsid w:val="00A264A9"/>
    <w:rsid w:val="00A275C6"/>
    <w:rsid w:val="00A27785"/>
    <w:rsid w:val="00A30187"/>
    <w:rsid w:val="00A3448A"/>
    <w:rsid w:val="00A36297"/>
    <w:rsid w:val="00A374E0"/>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6C42"/>
    <w:rsid w:val="00A67E6C"/>
    <w:rsid w:val="00A70493"/>
    <w:rsid w:val="00A71B99"/>
    <w:rsid w:val="00A7315F"/>
    <w:rsid w:val="00A739D0"/>
    <w:rsid w:val="00A761D4"/>
    <w:rsid w:val="00A77441"/>
    <w:rsid w:val="00A77EC4"/>
    <w:rsid w:val="00A8033B"/>
    <w:rsid w:val="00A80920"/>
    <w:rsid w:val="00A8219A"/>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1C5D"/>
    <w:rsid w:val="00AF42D7"/>
    <w:rsid w:val="00B006FE"/>
    <w:rsid w:val="00B007CB"/>
    <w:rsid w:val="00B02AA9"/>
    <w:rsid w:val="00B02FA3"/>
    <w:rsid w:val="00B05084"/>
    <w:rsid w:val="00B05920"/>
    <w:rsid w:val="00B07227"/>
    <w:rsid w:val="00B10020"/>
    <w:rsid w:val="00B10446"/>
    <w:rsid w:val="00B119E8"/>
    <w:rsid w:val="00B12C24"/>
    <w:rsid w:val="00B1337F"/>
    <w:rsid w:val="00B157F9"/>
    <w:rsid w:val="00B20256"/>
    <w:rsid w:val="00B207CF"/>
    <w:rsid w:val="00B20D09"/>
    <w:rsid w:val="00B25305"/>
    <w:rsid w:val="00B2763F"/>
    <w:rsid w:val="00B27AAC"/>
    <w:rsid w:val="00B30929"/>
    <w:rsid w:val="00B372AA"/>
    <w:rsid w:val="00B40445"/>
    <w:rsid w:val="00B41888"/>
    <w:rsid w:val="00B4408D"/>
    <w:rsid w:val="00B44CDC"/>
    <w:rsid w:val="00B457D3"/>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2871"/>
    <w:rsid w:val="00B842A0"/>
    <w:rsid w:val="00B85DE5"/>
    <w:rsid w:val="00B90F73"/>
    <w:rsid w:val="00B9130D"/>
    <w:rsid w:val="00B9277F"/>
    <w:rsid w:val="00B9371D"/>
    <w:rsid w:val="00B93B59"/>
    <w:rsid w:val="00B9406A"/>
    <w:rsid w:val="00BA2280"/>
    <w:rsid w:val="00BA2A08"/>
    <w:rsid w:val="00BA520C"/>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33A7"/>
    <w:rsid w:val="00C040F7"/>
    <w:rsid w:val="00C041B0"/>
    <w:rsid w:val="00C044AB"/>
    <w:rsid w:val="00C05706"/>
    <w:rsid w:val="00C06DB3"/>
    <w:rsid w:val="00C07377"/>
    <w:rsid w:val="00C07E87"/>
    <w:rsid w:val="00C10478"/>
    <w:rsid w:val="00C1093B"/>
    <w:rsid w:val="00C12107"/>
    <w:rsid w:val="00C12D25"/>
    <w:rsid w:val="00C12DA1"/>
    <w:rsid w:val="00C1414B"/>
    <w:rsid w:val="00C14D4B"/>
    <w:rsid w:val="00C154BB"/>
    <w:rsid w:val="00C20166"/>
    <w:rsid w:val="00C25F2F"/>
    <w:rsid w:val="00C27624"/>
    <w:rsid w:val="00C279B5"/>
    <w:rsid w:val="00C27C45"/>
    <w:rsid w:val="00C317B7"/>
    <w:rsid w:val="00C3719D"/>
    <w:rsid w:val="00C43027"/>
    <w:rsid w:val="00C43FE1"/>
    <w:rsid w:val="00C450B3"/>
    <w:rsid w:val="00C46A98"/>
    <w:rsid w:val="00C47B3C"/>
    <w:rsid w:val="00C5028B"/>
    <w:rsid w:val="00C54995"/>
    <w:rsid w:val="00C54D41"/>
    <w:rsid w:val="00C57688"/>
    <w:rsid w:val="00C57B03"/>
    <w:rsid w:val="00C60783"/>
    <w:rsid w:val="00C61DA0"/>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83592"/>
    <w:rsid w:val="00C9027A"/>
    <w:rsid w:val="00C904BF"/>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1B2"/>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354"/>
    <w:rsid w:val="00DB0A9F"/>
    <w:rsid w:val="00DB2E53"/>
    <w:rsid w:val="00DB377D"/>
    <w:rsid w:val="00DB6E61"/>
    <w:rsid w:val="00DB72E3"/>
    <w:rsid w:val="00DC015E"/>
    <w:rsid w:val="00DC2D36"/>
    <w:rsid w:val="00DC2D80"/>
    <w:rsid w:val="00DC3716"/>
    <w:rsid w:val="00DC53EF"/>
    <w:rsid w:val="00DC5DD1"/>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37CFE"/>
    <w:rsid w:val="00E446F1"/>
    <w:rsid w:val="00E45919"/>
    <w:rsid w:val="00E46886"/>
    <w:rsid w:val="00E47AEF"/>
    <w:rsid w:val="00E53B75"/>
    <w:rsid w:val="00E54A3A"/>
    <w:rsid w:val="00E54E3B"/>
    <w:rsid w:val="00E55DFA"/>
    <w:rsid w:val="00E57565"/>
    <w:rsid w:val="00E61AA3"/>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199B"/>
    <w:rsid w:val="00E9291C"/>
    <w:rsid w:val="00E93FFE"/>
    <w:rsid w:val="00E94F8A"/>
    <w:rsid w:val="00E95A90"/>
    <w:rsid w:val="00EA313F"/>
    <w:rsid w:val="00EA38BD"/>
    <w:rsid w:val="00EA41B8"/>
    <w:rsid w:val="00EA4A9E"/>
    <w:rsid w:val="00EA5018"/>
    <w:rsid w:val="00EA6412"/>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3619D"/>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5NUHHDQN7SK2-1-114603</_dlc_DocId>
    <_dlc_DocIdUrl xmlns="08b2df90-05d3-4030-90d4-c9feeb4a1cd9">
      <Url>https://ericoll.internal.ericsson.com/sites/STAR/_layouts/DocIdRedir.aspx?ID=5NUHHDQN7SK2-1-114603</Url>
      <Description>5NUHHDQN7SK2-1-114603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CC816339-5AD9-404E-BEB4-A4E905000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D2B3B072-2EC0-4B1D-B794-273415B29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3</Pages>
  <Words>1215</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Ericsson</cp:lastModifiedBy>
  <cp:revision>4</cp:revision>
  <cp:lastPrinted>2008-01-31T07:09:00Z</cp:lastPrinted>
  <dcterms:created xsi:type="dcterms:W3CDTF">2017-05-06T07:06:00Z</dcterms:created>
  <dcterms:modified xsi:type="dcterms:W3CDTF">2017-05-06T07:07:00Z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4561f055-15d5-4d2e-a34b-b1e7b78fdbbf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