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51E94F" w14:textId="3B80ACD9" w:rsidR="006F7DB8" w:rsidRPr="00D14D22" w:rsidRDefault="006F7DB8" w:rsidP="006F7DB8">
      <w:pPr>
        <w:pStyle w:val="Header"/>
        <w:rPr>
          <w:bCs/>
          <w:noProof w:val="0"/>
          <w:sz w:val="24"/>
          <w:lang w:val="en-GB"/>
        </w:rPr>
      </w:pPr>
      <w:r>
        <w:rPr>
          <w:bCs/>
          <w:noProof w:val="0"/>
          <w:sz w:val="24"/>
          <w:lang w:val="en-GB"/>
        </w:rPr>
        <w:t>3</w:t>
      </w:r>
      <w:r w:rsidRPr="00E50E74">
        <w:rPr>
          <w:bCs/>
          <w:noProof w:val="0"/>
          <w:sz w:val="24"/>
          <w:lang w:val="en-GB"/>
        </w:rPr>
        <w:t>GPP TSG RAN WG1</w:t>
      </w:r>
      <w:r>
        <w:rPr>
          <w:bCs/>
          <w:noProof w:val="0"/>
          <w:sz w:val="24"/>
          <w:lang w:val="en-GB"/>
        </w:rPr>
        <w:t xml:space="preserve">#89 </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Pr="00E50E74">
        <w:rPr>
          <w:bCs/>
          <w:noProof w:val="0"/>
          <w:sz w:val="24"/>
          <w:lang w:val="en-GB"/>
        </w:rPr>
        <w:t xml:space="preserve">          </w:t>
      </w:r>
      <w:r w:rsidRPr="00E50E74">
        <w:rPr>
          <w:bCs/>
          <w:noProof w:val="0"/>
          <w:sz w:val="24"/>
          <w:lang w:val="en-GB"/>
        </w:rPr>
        <w:tab/>
        <w:t xml:space="preserve">                 </w:t>
      </w:r>
      <w:r w:rsidRPr="00E50E74">
        <w:rPr>
          <w:bCs/>
          <w:noProof w:val="0"/>
          <w:sz w:val="24"/>
          <w:lang w:val="en-GB"/>
        </w:rPr>
        <w:tab/>
      </w:r>
      <w:r>
        <w:rPr>
          <w:bCs/>
          <w:noProof w:val="0"/>
          <w:sz w:val="24"/>
          <w:lang w:val="en-GB"/>
        </w:rPr>
        <w:t xml:space="preserve">   </w:t>
      </w:r>
      <w:r w:rsidR="00CC0DF3" w:rsidRPr="00CC0DF3">
        <w:rPr>
          <w:bCs/>
          <w:noProof w:val="0"/>
          <w:sz w:val="24"/>
          <w:lang w:val="en-GB"/>
        </w:rPr>
        <w:t>R1-1708908</w:t>
      </w:r>
    </w:p>
    <w:p w14:paraId="5A706233" w14:textId="77777777" w:rsidR="006F7DB8" w:rsidRDefault="006F7DB8" w:rsidP="006F7DB8">
      <w:pPr>
        <w:pStyle w:val="Header"/>
        <w:rPr>
          <w:bCs/>
          <w:noProof w:val="0"/>
          <w:sz w:val="24"/>
          <w:lang w:val="en-GB"/>
        </w:rPr>
      </w:pPr>
      <w:r w:rsidRPr="007C2C78">
        <w:rPr>
          <w:bCs/>
          <w:noProof w:val="0"/>
          <w:sz w:val="24"/>
          <w:lang w:val="en-GB"/>
        </w:rPr>
        <w:t>Hangzhou, P.R. China 15th – 19th May 2017</w:t>
      </w:r>
    </w:p>
    <w:p w14:paraId="013EACEC" w14:textId="77777777" w:rsidR="00683A73" w:rsidRPr="007B7496" w:rsidRDefault="00683A73" w:rsidP="00683A73">
      <w:pPr>
        <w:pStyle w:val="Header"/>
        <w:rPr>
          <w:bCs/>
          <w:noProof w:val="0"/>
          <w:sz w:val="24"/>
          <w:lang w:val="en-GB" w:eastAsia="ja-JP"/>
        </w:rPr>
      </w:pPr>
    </w:p>
    <w:p w14:paraId="5C7C9C58" w14:textId="27300EA0" w:rsidR="000C3073" w:rsidRPr="007B7496" w:rsidRDefault="000C3073" w:rsidP="000C3073">
      <w:pPr>
        <w:pStyle w:val="CRCoverPage"/>
        <w:rPr>
          <w:rFonts w:cs="Arial"/>
          <w:b/>
          <w:bCs/>
          <w:sz w:val="24"/>
          <w:lang w:eastAsia="ja-JP"/>
        </w:rPr>
      </w:pPr>
      <w:r w:rsidRPr="00117051">
        <w:rPr>
          <w:rFonts w:cs="Arial"/>
          <w:b/>
          <w:bCs/>
          <w:sz w:val="24"/>
        </w:rPr>
        <w:t>Agenda item:</w:t>
      </w:r>
      <w:r w:rsidRPr="00117051">
        <w:rPr>
          <w:rFonts w:cs="Arial"/>
          <w:b/>
          <w:bCs/>
          <w:sz w:val="24"/>
        </w:rPr>
        <w:tab/>
      </w:r>
      <w:r w:rsidRPr="00117051">
        <w:rPr>
          <w:rFonts w:cs="Arial"/>
          <w:b/>
          <w:bCs/>
          <w:sz w:val="24"/>
        </w:rPr>
        <w:tab/>
      </w:r>
      <w:r w:rsidR="00DB7533">
        <w:rPr>
          <w:rFonts w:cs="Arial"/>
          <w:b/>
          <w:bCs/>
          <w:sz w:val="24"/>
        </w:rPr>
        <w:t>7.1.2.2.3</w:t>
      </w:r>
    </w:p>
    <w:p w14:paraId="3386C82B" w14:textId="77777777" w:rsidR="000C3073" w:rsidRPr="00F174DB" w:rsidRDefault="000C3073" w:rsidP="000C3073">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0" w:name="OLE_LINK1"/>
      <w:bookmarkStart w:id="1" w:name="OLE_LINK2"/>
      <w:r w:rsidRPr="00F174DB">
        <w:rPr>
          <w:rFonts w:ascii="Arial" w:hAnsi="Arial" w:cs="Arial"/>
          <w:b/>
          <w:bCs/>
          <w:sz w:val="24"/>
        </w:rPr>
        <w:t>N</w:t>
      </w:r>
      <w:r>
        <w:rPr>
          <w:rFonts w:ascii="Arial" w:hAnsi="Arial" w:cs="Arial"/>
          <w:b/>
          <w:bCs/>
          <w:sz w:val="24"/>
        </w:rPr>
        <w:t>okia</w:t>
      </w:r>
      <w:bookmarkEnd w:id="0"/>
      <w:bookmarkEnd w:id="1"/>
      <w:r>
        <w:rPr>
          <w:rFonts w:ascii="Arial" w:hAnsi="Arial" w:cs="Arial"/>
          <w:b/>
          <w:bCs/>
          <w:sz w:val="24"/>
        </w:rPr>
        <w:t xml:space="preserve">, Alcatel-Lucent Shanghai Bell </w:t>
      </w:r>
    </w:p>
    <w:p w14:paraId="54B9E3A6" w14:textId="46DA0907" w:rsidR="000C3073" w:rsidRPr="00F174DB" w:rsidRDefault="000C3073" w:rsidP="000C3073">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0A7648" w:rsidRPr="000A7648">
        <w:rPr>
          <w:rFonts w:ascii="Arial" w:hAnsi="Arial" w:cs="Arial"/>
          <w:b/>
          <w:bCs/>
          <w:sz w:val="24"/>
        </w:rPr>
        <w:t>Multi beam transmission of UL channels</w:t>
      </w:r>
    </w:p>
    <w:p w14:paraId="7A5F42D3" w14:textId="77777777" w:rsidR="0034111C" w:rsidRPr="0016316A" w:rsidRDefault="000C3073" w:rsidP="000C3073">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33938B98" w14:textId="77777777" w:rsidR="0034111C" w:rsidRPr="0016316A" w:rsidRDefault="0034111C">
      <w:pPr>
        <w:pStyle w:val="Heading1"/>
      </w:pPr>
      <w:r w:rsidRPr="0016316A">
        <w:t>1</w:t>
      </w:r>
      <w:r w:rsidRPr="0016316A">
        <w:tab/>
      </w:r>
      <w:r w:rsidR="00EE7FA7" w:rsidRPr="0016316A">
        <w:t>Introduction</w:t>
      </w:r>
    </w:p>
    <w:p w14:paraId="3E5F1245" w14:textId="77777777" w:rsidR="002317FF" w:rsidRDefault="001C5B55" w:rsidP="002317FF">
      <w:pPr>
        <w:spacing w:after="120"/>
        <w:jc w:val="both"/>
        <w:rPr>
          <w:bCs/>
        </w:rPr>
      </w:pPr>
      <w:r>
        <w:rPr>
          <w:bCs/>
        </w:rPr>
        <w:t>The new radio work item based on [1] was accepted in RAN#75 plenary.</w:t>
      </w:r>
    </w:p>
    <w:p w14:paraId="604CC8EA" w14:textId="77777777" w:rsidR="00F92921" w:rsidRDefault="00F318CF" w:rsidP="006909FE">
      <w:pPr>
        <w:spacing w:after="120"/>
        <w:rPr>
          <w:bCs/>
        </w:rPr>
      </w:pPr>
      <w:r>
        <w:rPr>
          <w:bCs/>
        </w:rPr>
        <w:t>In this contribution we discuss about</w:t>
      </w:r>
      <w:r w:rsidR="005239EA">
        <w:rPr>
          <w:bCs/>
        </w:rPr>
        <w:t xml:space="preserve"> methods against beam pair blocking for NR-PUCCH transmissions. As a starting point we consider the following agreement made in RAN1#88</w:t>
      </w:r>
      <w:r w:rsidR="000E441A">
        <w:rPr>
          <w:bCs/>
        </w:rPr>
        <w:t xml:space="preserve"> [2]</w:t>
      </w:r>
      <w:r w:rsidR="005239EA">
        <w:rPr>
          <w:bCs/>
        </w:rPr>
        <w:t xml:space="preserve">: </w:t>
      </w:r>
    </w:p>
    <w:tbl>
      <w:tblPr>
        <w:tblStyle w:val="TableGrid"/>
        <w:tblW w:w="0" w:type="auto"/>
        <w:tblLook w:val="04A0" w:firstRow="1" w:lastRow="0" w:firstColumn="1" w:lastColumn="0" w:noHBand="0" w:noVBand="1"/>
      </w:tblPr>
      <w:tblGrid>
        <w:gridCol w:w="9629"/>
      </w:tblGrid>
      <w:tr w:rsidR="00F318CF" w14:paraId="4DE3E587" w14:textId="77777777" w:rsidTr="00F318CF">
        <w:tc>
          <w:tcPr>
            <w:tcW w:w="9629" w:type="dxa"/>
          </w:tcPr>
          <w:p w14:paraId="7CC4AFC4" w14:textId="77777777" w:rsidR="005239EA" w:rsidRPr="005239EA" w:rsidRDefault="005239EA" w:rsidP="005239EA">
            <w:pPr>
              <w:overflowPunct/>
              <w:autoSpaceDE/>
              <w:autoSpaceDN/>
              <w:adjustRightInd/>
              <w:spacing w:after="0"/>
              <w:textAlignment w:val="auto"/>
              <w:rPr>
                <w:rFonts w:ascii="Times" w:eastAsia="MS Mincho" w:hAnsi="Times"/>
                <w:b/>
                <w:lang w:eastAsia="ja-JP"/>
              </w:rPr>
            </w:pPr>
            <w:r w:rsidRPr="005239EA">
              <w:rPr>
                <w:rFonts w:ascii="Times" w:eastAsia="MS Mincho" w:hAnsi="Times"/>
                <w:highlight w:val="green"/>
                <w:lang w:eastAsia="ja-JP"/>
              </w:rPr>
              <w:t>Agreement</w:t>
            </w:r>
            <w:r w:rsidRPr="005239EA">
              <w:rPr>
                <w:rFonts w:ascii="Times" w:eastAsia="MS Mincho" w:hAnsi="Times"/>
                <w:b/>
                <w:lang w:eastAsia="ja-JP"/>
              </w:rPr>
              <w:t>:</w:t>
            </w:r>
          </w:p>
          <w:p w14:paraId="2097EE96" w14:textId="77777777" w:rsidR="005239EA" w:rsidRPr="005239EA" w:rsidRDefault="005239EA" w:rsidP="005239EA">
            <w:pPr>
              <w:numPr>
                <w:ilvl w:val="0"/>
                <w:numId w:val="8"/>
              </w:numPr>
              <w:overflowPunct/>
              <w:autoSpaceDE/>
              <w:autoSpaceDN/>
              <w:adjustRightInd/>
              <w:spacing w:after="0"/>
              <w:contextualSpacing/>
              <w:textAlignment w:val="auto"/>
              <w:rPr>
                <w:rFonts w:eastAsia="MS Mincho"/>
                <w:lang w:val="en-US" w:eastAsia="ja-JP"/>
              </w:rPr>
            </w:pPr>
            <w:r w:rsidRPr="005239EA">
              <w:rPr>
                <w:rFonts w:eastAsia="MS Mincho"/>
                <w:lang w:val="en-US" w:eastAsia="ja-JP"/>
              </w:rPr>
              <w:t>Study further multi-beam based NR-PUCCH transmission for robustness against beam pair link blocking</w:t>
            </w:r>
          </w:p>
          <w:p w14:paraId="7FA8B80C" w14:textId="77777777" w:rsidR="005239EA" w:rsidRPr="005239EA" w:rsidRDefault="005239EA" w:rsidP="005239EA">
            <w:pPr>
              <w:numPr>
                <w:ilvl w:val="1"/>
                <w:numId w:val="8"/>
              </w:numPr>
              <w:overflowPunct/>
              <w:autoSpaceDE/>
              <w:autoSpaceDN/>
              <w:adjustRightInd/>
              <w:spacing w:after="0"/>
              <w:contextualSpacing/>
              <w:textAlignment w:val="auto"/>
              <w:rPr>
                <w:rFonts w:eastAsia="MS Mincho"/>
                <w:lang w:val="en-US" w:eastAsia="ja-JP"/>
              </w:rPr>
            </w:pPr>
            <w:r w:rsidRPr="005239EA">
              <w:rPr>
                <w:rFonts w:eastAsia="MS Mincho"/>
                <w:lang w:val="en-US" w:eastAsia="ja-JP"/>
              </w:rPr>
              <w:t>E.g., UE transmits NR-PUCCH on different UL Tx beams in different NR-PUCCH OFDM symbols</w:t>
            </w:r>
          </w:p>
          <w:p w14:paraId="06A9901C" w14:textId="77777777" w:rsidR="005239EA" w:rsidRDefault="005239EA" w:rsidP="005239EA">
            <w:pPr>
              <w:numPr>
                <w:ilvl w:val="2"/>
                <w:numId w:val="8"/>
              </w:numPr>
              <w:overflowPunct/>
              <w:autoSpaceDE/>
              <w:autoSpaceDN/>
              <w:adjustRightInd/>
              <w:spacing w:after="0"/>
              <w:contextualSpacing/>
              <w:textAlignment w:val="auto"/>
              <w:rPr>
                <w:rFonts w:eastAsia="MS Mincho"/>
                <w:lang w:val="en-US" w:eastAsia="ja-JP"/>
              </w:rPr>
            </w:pPr>
            <w:r w:rsidRPr="005239EA">
              <w:rPr>
                <w:rFonts w:eastAsia="MS Mincho"/>
                <w:lang w:val="en-US" w:eastAsia="ja-JP"/>
              </w:rPr>
              <w:t>FFS: multi-beam triggering condition/mechanism (e.g. event-triggered, network configured, etc.)</w:t>
            </w:r>
          </w:p>
          <w:p w14:paraId="320A3D71" w14:textId="77777777" w:rsidR="00F318CF" w:rsidRPr="00F318CF" w:rsidRDefault="005239EA" w:rsidP="005239EA">
            <w:pPr>
              <w:numPr>
                <w:ilvl w:val="2"/>
                <w:numId w:val="8"/>
              </w:numPr>
              <w:overflowPunct/>
              <w:autoSpaceDE/>
              <w:autoSpaceDN/>
              <w:adjustRightInd/>
              <w:spacing w:after="0"/>
              <w:contextualSpacing/>
              <w:textAlignment w:val="auto"/>
              <w:rPr>
                <w:bCs/>
                <w:lang w:val="en-US"/>
              </w:rPr>
            </w:pPr>
            <w:r w:rsidRPr="005239EA">
              <w:rPr>
                <w:rFonts w:ascii="Times" w:eastAsia="MS Mincho" w:hAnsi="Times"/>
                <w:szCs w:val="24"/>
                <w:lang w:val="en-US"/>
              </w:rPr>
              <w:t>FFS: number of OFDM symbols for each beam</w:t>
            </w:r>
          </w:p>
        </w:tc>
      </w:tr>
    </w:tbl>
    <w:p w14:paraId="3AE93ED7" w14:textId="77777777" w:rsidR="00F318CF" w:rsidRDefault="00F318CF" w:rsidP="006909FE">
      <w:pPr>
        <w:spacing w:after="120"/>
        <w:rPr>
          <w:bCs/>
        </w:rPr>
      </w:pPr>
    </w:p>
    <w:p w14:paraId="211C8CEF" w14:textId="77777777" w:rsidR="003625CF" w:rsidRDefault="003625CF" w:rsidP="006909FE">
      <w:pPr>
        <w:spacing w:after="120"/>
        <w:rPr>
          <w:bCs/>
        </w:rPr>
      </w:pPr>
      <w:r>
        <w:rPr>
          <w:bCs/>
        </w:rPr>
        <w:t>In RAN1#88bis there was a way forward</w:t>
      </w:r>
      <w:r w:rsidR="000E441A">
        <w:rPr>
          <w:bCs/>
        </w:rPr>
        <w:t xml:space="preserve"> with the following proposals [3</w:t>
      </w:r>
      <w:r>
        <w:rPr>
          <w:bCs/>
        </w:rPr>
        <w:t>]:</w:t>
      </w:r>
    </w:p>
    <w:tbl>
      <w:tblPr>
        <w:tblStyle w:val="TableGrid"/>
        <w:tblW w:w="0" w:type="auto"/>
        <w:tblLook w:val="04A0" w:firstRow="1" w:lastRow="0" w:firstColumn="1" w:lastColumn="0" w:noHBand="0" w:noVBand="1"/>
      </w:tblPr>
      <w:tblGrid>
        <w:gridCol w:w="9629"/>
      </w:tblGrid>
      <w:tr w:rsidR="003625CF" w14:paraId="2A2DECCD" w14:textId="77777777" w:rsidTr="003625CF">
        <w:tc>
          <w:tcPr>
            <w:tcW w:w="9629" w:type="dxa"/>
          </w:tcPr>
          <w:p w14:paraId="5F576398" w14:textId="77777777" w:rsidR="000B0C9B" w:rsidRPr="00BA107D" w:rsidRDefault="005E68CF" w:rsidP="00BA107D">
            <w:pPr>
              <w:numPr>
                <w:ilvl w:val="0"/>
                <w:numId w:val="11"/>
              </w:numPr>
              <w:spacing w:after="120"/>
              <w:rPr>
                <w:bCs/>
                <w:lang w:val="en-US"/>
              </w:rPr>
            </w:pPr>
            <w:r w:rsidRPr="00BA107D">
              <w:rPr>
                <w:bCs/>
                <w:lang w:val="en-US"/>
              </w:rPr>
              <w:t>Support robust transmission on PUCCH via multiple UL beams. At least one of following methods is supported</w:t>
            </w:r>
          </w:p>
          <w:p w14:paraId="3694B5F4" w14:textId="77777777" w:rsidR="000B0C9B" w:rsidRPr="00CC0DF3" w:rsidRDefault="005E68CF" w:rsidP="00BA107D">
            <w:pPr>
              <w:numPr>
                <w:ilvl w:val="1"/>
                <w:numId w:val="11"/>
              </w:numPr>
              <w:spacing w:after="120"/>
              <w:rPr>
                <w:bCs/>
                <w:lang w:val="en-US"/>
              </w:rPr>
            </w:pPr>
            <w:bookmarkStart w:id="2" w:name="_GoBack"/>
            <w:bookmarkEnd w:id="2"/>
            <w:r w:rsidRPr="00CC0DF3">
              <w:rPr>
                <w:bCs/>
                <w:lang w:val="en-US"/>
              </w:rPr>
              <w:t>Method 1: Event-triggered multi-beam based PUCCH transmission</w:t>
            </w:r>
          </w:p>
          <w:p w14:paraId="02153586" w14:textId="77777777" w:rsidR="000B0C9B" w:rsidRPr="00BA107D" w:rsidRDefault="005E68CF" w:rsidP="00BA107D">
            <w:pPr>
              <w:numPr>
                <w:ilvl w:val="1"/>
                <w:numId w:val="11"/>
              </w:numPr>
              <w:spacing w:after="120"/>
              <w:rPr>
                <w:bCs/>
                <w:lang w:val="en-US"/>
              </w:rPr>
            </w:pPr>
            <w:r w:rsidRPr="00BA107D">
              <w:rPr>
                <w:bCs/>
                <w:lang w:val="en-US"/>
              </w:rPr>
              <w:t>Method 2: NW initiated multi-beam based PUCCH transmission</w:t>
            </w:r>
          </w:p>
          <w:p w14:paraId="02B30E08" w14:textId="77777777" w:rsidR="003625CF" w:rsidRPr="00BA107D" w:rsidRDefault="005E68CF" w:rsidP="006909FE">
            <w:pPr>
              <w:numPr>
                <w:ilvl w:val="1"/>
                <w:numId w:val="11"/>
              </w:numPr>
              <w:spacing w:after="120"/>
              <w:rPr>
                <w:bCs/>
                <w:lang w:val="en-US"/>
              </w:rPr>
            </w:pPr>
            <w:r w:rsidRPr="00BA107D">
              <w:rPr>
                <w:bCs/>
                <w:lang w:val="en-US"/>
              </w:rPr>
              <w:t>FFS: Each beam for PUCCH can configured in different symbols within a slot or symbols in different slots.</w:t>
            </w:r>
          </w:p>
        </w:tc>
      </w:tr>
    </w:tbl>
    <w:p w14:paraId="3EE23F2C" w14:textId="77777777" w:rsidR="003625CF" w:rsidRDefault="003625CF" w:rsidP="006909FE">
      <w:pPr>
        <w:spacing w:after="120"/>
        <w:rPr>
          <w:bCs/>
        </w:rPr>
      </w:pPr>
    </w:p>
    <w:p w14:paraId="089E50DB" w14:textId="77777777" w:rsidR="00D34956" w:rsidRDefault="008D4B8A" w:rsidP="00D34956">
      <w:pPr>
        <w:pStyle w:val="Heading1"/>
        <w:rPr>
          <w:color w:val="000000"/>
        </w:rPr>
      </w:pPr>
      <w:r>
        <w:rPr>
          <w:color w:val="000000"/>
        </w:rPr>
        <w:t>2</w:t>
      </w:r>
      <w:r w:rsidR="004B23AD" w:rsidRPr="00A51522">
        <w:rPr>
          <w:color w:val="000000"/>
        </w:rPr>
        <w:tab/>
      </w:r>
      <w:r w:rsidR="006909FE">
        <w:rPr>
          <w:color w:val="000000"/>
        </w:rPr>
        <w:t>Discussion</w:t>
      </w:r>
    </w:p>
    <w:p w14:paraId="3C909B2E" w14:textId="5074189C" w:rsidR="009B429D" w:rsidRDefault="00D24E8D" w:rsidP="000550B4">
      <w:pPr>
        <w:jc w:val="both"/>
        <w:rPr>
          <w:lang w:val="en-US" w:eastAsia="x-none"/>
        </w:rPr>
      </w:pPr>
      <w:r>
        <w:rPr>
          <w:lang w:val="en-US" w:eastAsia="x-none"/>
        </w:rPr>
        <w:t xml:space="preserve">To provide link robustness between UE and gNB for both downlink and uplink, there may be multiple beam pair links between UE and gNB </w:t>
      </w:r>
      <w:r w:rsidR="00A468C8">
        <w:rPr>
          <w:lang w:val="en-US" w:eastAsia="x-none"/>
        </w:rPr>
        <w:t xml:space="preserve">to be </w:t>
      </w:r>
      <w:r>
        <w:rPr>
          <w:lang w:val="en-US" w:eastAsia="x-none"/>
        </w:rPr>
        <w:t>kept tracked</w:t>
      </w:r>
      <w:r w:rsidR="00A468C8">
        <w:rPr>
          <w:lang w:val="en-US" w:eastAsia="x-none"/>
        </w:rPr>
        <w:t xml:space="preserve"> and aligned</w:t>
      </w:r>
      <w:r w:rsidR="00C71E75">
        <w:rPr>
          <w:lang w:val="en-US" w:eastAsia="x-none"/>
        </w:rPr>
        <w:t xml:space="preserve">, where a beam pair link </w:t>
      </w:r>
      <w:r w:rsidR="00992182">
        <w:rPr>
          <w:lang w:val="en-US" w:eastAsia="x-none"/>
        </w:rPr>
        <w:t xml:space="preserve">would comprise </w:t>
      </w:r>
      <w:r w:rsidR="00C71E75">
        <w:rPr>
          <w:lang w:val="en-US" w:eastAsia="x-none"/>
        </w:rPr>
        <w:t xml:space="preserve">a UE TX beam and a gNB RX beam. </w:t>
      </w:r>
      <w:r w:rsidR="009B429D">
        <w:rPr>
          <w:lang w:val="en-US" w:eastAsia="x-none"/>
        </w:rPr>
        <w:t xml:space="preserve">There may be different </w:t>
      </w:r>
      <w:r w:rsidR="00D62C1F">
        <w:rPr>
          <w:lang w:val="en-US" w:eastAsia="x-none"/>
        </w:rPr>
        <w:t>situations when</w:t>
      </w:r>
      <w:r>
        <w:rPr>
          <w:lang w:val="en-US" w:eastAsia="x-none"/>
        </w:rPr>
        <w:t xml:space="preserve"> a certain beam pair link gets non-aligned:</w:t>
      </w:r>
    </w:p>
    <w:p w14:paraId="129E0157" w14:textId="77777777" w:rsidR="00D24E8D" w:rsidRDefault="00D24E8D" w:rsidP="00A468C8">
      <w:pPr>
        <w:ind w:firstLine="284"/>
        <w:jc w:val="both"/>
        <w:rPr>
          <w:lang w:val="en-US" w:eastAsia="x-none"/>
        </w:rPr>
      </w:pPr>
      <w:r w:rsidRPr="00C90F79">
        <w:rPr>
          <w:u w:val="single"/>
          <w:lang w:val="en-US" w:eastAsia="x-none"/>
        </w:rPr>
        <w:t>Case 1</w:t>
      </w:r>
      <w:r>
        <w:rPr>
          <w:lang w:val="en-US" w:eastAsia="x-none"/>
        </w:rPr>
        <w:t>: UE rotates but no blockage between UE and gNB RX beam</w:t>
      </w:r>
    </w:p>
    <w:p w14:paraId="52A620F9" w14:textId="77777777" w:rsidR="007E5CDB" w:rsidRDefault="007E5CDB" w:rsidP="00A468C8">
      <w:pPr>
        <w:ind w:left="284"/>
        <w:jc w:val="both"/>
        <w:rPr>
          <w:lang w:val="en-US" w:eastAsia="x-none"/>
        </w:rPr>
      </w:pPr>
      <w:r>
        <w:rPr>
          <w:lang w:val="en-US" w:eastAsia="x-none"/>
        </w:rPr>
        <w:t>In this case, the gNB RX beam would remain the same but the UE may need to switch its TX beam or widen the TX beam in order to compensate the rotation effect and get the beam pair link aligned again.</w:t>
      </w:r>
      <w:r w:rsidR="00C71E75">
        <w:rPr>
          <w:lang w:val="en-US" w:eastAsia="x-none"/>
        </w:rPr>
        <w:t xml:space="preserve"> </w:t>
      </w:r>
      <w:r w:rsidR="000268D5">
        <w:rPr>
          <w:lang w:val="en-US" w:eastAsia="x-none"/>
        </w:rPr>
        <w:t xml:space="preserve">There is a downlink RS associated to gNB RX beam and the UE should keep </w:t>
      </w:r>
      <w:r w:rsidR="00992182">
        <w:rPr>
          <w:lang w:val="en-US" w:eastAsia="x-none"/>
        </w:rPr>
        <w:t>its</w:t>
      </w:r>
      <w:r w:rsidR="000268D5">
        <w:rPr>
          <w:lang w:val="en-US" w:eastAsia="x-none"/>
        </w:rPr>
        <w:t xml:space="preserve"> RX and TX aligned to the downlink RS. If UE cannot re-align, it shall consider </w:t>
      </w:r>
      <w:r w:rsidR="00992182">
        <w:rPr>
          <w:lang w:val="en-US" w:eastAsia="x-none"/>
        </w:rPr>
        <w:t xml:space="preserve">the beam pair link in question out-of-synch. If the UE detects beam pair link out-of-synch it’s </w:t>
      </w:r>
      <w:r w:rsidR="00EF1537">
        <w:rPr>
          <w:lang w:val="en-US" w:eastAsia="x-none"/>
        </w:rPr>
        <w:t xml:space="preserve">considered not feasible that </w:t>
      </w:r>
      <w:r w:rsidR="00992182">
        <w:rPr>
          <w:lang w:val="en-US" w:eastAsia="x-none"/>
        </w:rPr>
        <w:t>the UE would try different UL TX beams for PUCCH transmissions</w:t>
      </w:r>
      <w:r w:rsidR="007F75E4">
        <w:rPr>
          <w:lang w:val="en-US" w:eastAsia="x-none"/>
        </w:rPr>
        <w:t xml:space="preserve"> but rather trigger beam recovery procedure</w:t>
      </w:r>
      <w:r w:rsidR="00992182">
        <w:rPr>
          <w:lang w:val="en-US" w:eastAsia="x-none"/>
        </w:rPr>
        <w:t>. Reasoning are</w:t>
      </w:r>
      <w:r w:rsidR="006B7F4C">
        <w:rPr>
          <w:lang w:val="en-US" w:eastAsia="x-none"/>
        </w:rPr>
        <w:t xml:space="preserve">, </w:t>
      </w:r>
      <w:r w:rsidR="007F75E4">
        <w:rPr>
          <w:lang w:val="en-US" w:eastAsia="x-none"/>
        </w:rPr>
        <w:t xml:space="preserve">as illustrated also in </w:t>
      </w:r>
      <w:r w:rsidR="003E0552">
        <w:rPr>
          <w:lang w:val="en-US" w:eastAsia="x-none"/>
        </w:rPr>
        <w:fldChar w:fldCharType="begin"/>
      </w:r>
      <w:r w:rsidR="003E0552">
        <w:rPr>
          <w:lang w:val="en-US" w:eastAsia="x-none"/>
        </w:rPr>
        <w:instrText xml:space="preserve"> REF _Ref480975566 \h </w:instrText>
      </w:r>
      <w:r w:rsidR="003E0552">
        <w:rPr>
          <w:lang w:val="en-US" w:eastAsia="x-none"/>
        </w:rPr>
      </w:r>
      <w:r w:rsidR="003E0552">
        <w:rPr>
          <w:lang w:val="en-US" w:eastAsia="x-none"/>
        </w:rPr>
        <w:fldChar w:fldCharType="separate"/>
      </w:r>
      <w:r w:rsidR="003E0552">
        <w:t xml:space="preserve">Figure </w:t>
      </w:r>
      <w:r w:rsidR="003E0552">
        <w:rPr>
          <w:noProof/>
        </w:rPr>
        <w:t>1</w:t>
      </w:r>
      <w:r w:rsidR="003E0552">
        <w:rPr>
          <w:lang w:val="en-US" w:eastAsia="x-none"/>
        </w:rPr>
        <w:fldChar w:fldCharType="end"/>
      </w:r>
      <w:r w:rsidR="00992182">
        <w:rPr>
          <w:lang w:val="en-US" w:eastAsia="x-none"/>
        </w:rPr>
        <w:t>:</w:t>
      </w:r>
    </w:p>
    <w:p w14:paraId="4A4BDD67" w14:textId="77777777" w:rsidR="00EF1537" w:rsidRDefault="005345F1" w:rsidP="00984E19">
      <w:pPr>
        <w:pStyle w:val="ListParagraph"/>
        <w:numPr>
          <w:ilvl w:val="0"/>
          <w:numId w:val="12"/>
        </w:numPr>
        <w:jc w:val="both"/>
        <w:rPr>
          <w:lang w:val="en-US" w:eastAsia="x-none"/>
        </w:rPr>
      </w:pPr>
      <w:r w:rsidRPr="00984E19">
        <w:rPr>
          <w:sz w:val="20"/>
          <w:lang w:val="en-US" w:eastAsia="x-none"/>
        </w:rPr>
        <w:t xml:space="preserve">UE </w:t>
      </w:r>
      <w:r>
        <w:rPr>
          <w:sz w:val="20"/>
          <w:lang w:val="en-US" w:eastAsia="x-none"/>
        </w:rPr>
        <w:t xml:space="preserve">would </w:t>
      </w:r>
      <w:r w:rsidR="00EF1537">
        <w:rPr>
          <w:sz w:val="20"/>
          <w:lang w:val="en-US" w:eastAsia="x-none"/>
        </w:rPr>
        <w:t xml:space="preserve">introduce interference </w:t>
      </w:r>
      <w:r w:rsidR="003E0552">
        <w:rPr>
          <w:sz w:val="20"/>
          <w:lang w:val="en-US" w:eastAsia="x-none"/>
        </w:rPr>
        <w:t xml:space="preserve">to </w:t>
      </w:r>
      <w:r w:rsidR="00EF1537">
        <w:rPr>
          <w:sz w:val="20"/>
          <w:lang w:val="en-US" w:eastAsia="x-none"/>
        </w:rPr>
        <w:t>the system</w:t>
      </w:r>
    </w:p>
    <w:p w14:paraId="5B79964D" w14:textId="77777777" w:rsidR="00992182" w:rsidRPr="00984E19" w:rsidRDefault="00EF1537" w:rsidP="00984E19">
      <w:pPr>
        <w:pStyle w:val="ListParagraph"/>
        <w:numPr>
          <w:ilvl w:val="0"/>
          <w:numId w:val="12"/>
        </w:numPr>
        <w:jc w:val="both"/>
        <w:rPr>
          <w:lang w:val="en-US" w:eastAsia="x-none"/>
        </w:rPr>
      </w:pPr>
      <w:r>
        <w:rPr>
          <w:sz w:val="20"/>
          <w:lang w:val="en-US" w:eastAsia="x-none"/>
        </w:rPr>
        <w:t>gNB needs to pre-configure and pre-reserve multiple time domain resources introducing potentially significant system overhead, especially when gNB / TRPs operate using analog/hybrid beamforming architecture</w:t>
      </w:r>
      <w:r w:rsidR="006B7F4C">
        <w:rPr>
          <w:sz w:val="20"/>
          <w:lang w:val="en-US" w:eastAsia="x-none"/>
        </w:rPr>
        <w:t xml:space="preserve">. </w:t>
      </w:r>
    </w:p>
    <w:p w14:paraId="6287F8AA" w14:textId="77777777" w:rsidR="00992182" w:rsidRDefault="00992182" w:rsidP="00A468C8">
      <w:pPr>
        <w:ind w:firstLine="284"/>
        <w:jc w:val="both"/>
        <w:rPr>
          <w:u w:val="single"/>
          <w:lang w:val="en-US" w:eastAsia="x-none"/>
        </w:rPr>
      </w:pPr>
    </w:p>
    <w:p w14:paraId="155B72CB" w14:textId="77777777" w:rsidR="006B7F4C" w:rsidRDefault="006B7F4C" w:rsidP="00984E19">
      <w:pPr>
        <w:ind w:firstLine="284"/>
        <w:jc w:val="center"/>
        <w:rPr>
          <w:u w:val="single"/>
          <w:lang w:val="en-US" w:eastAsia="x-none"/>
        </w:rPr>
      </w:pPr>
      <w:r>
        <w:rPr>
          <w:noProof/>
          <w:u w:val="single"/>
          <w:lang w:eastAsia="en-GB"/>
        </w:rPr>
        <w:lastRenderedPageBreak/>
        <w:drawing>
          <wp:inline distT="0" distB="0" distL="0" distR="0" wp14:anchorId="6E3CF7B3" wp14:editId="33F7853D">
            <wp:extent cx="4611905" cy="24586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19030" cy="2462408"/>
                    </a:xfrm>
                    <a:prstGeom prst="rect">
                      <a:avLst/>
                    </a:prstGeom>
                    <a:noFill/>
                  </pic:spPr>
                </pic:pic>
              </a:graphicData>
            </a:graphic>
          </wp:inline>
        </w:drawing>
      </w:r>
    </w:p>
    <w:p w14:paraId="704F91D6" w14:textId="77777777" w:rsidR="007F75E4" w:rsidRPr="007F75E4" w:rsidRDefault="007F75E4" w:rsidP="00984E19">
      <w:pPr>
        <w:pStyle w:val="Caption"/>
        <w:jc w:val="center"/>
        <w:rPr>
          <w:u w:val="single"/>
          <w:lang w:val="en-US"/>
        </w:rPr>
      </w:pPr>
      <w:bookmarkStart w:id="3" w:name="_Ref480975566"/>
      <w:r>
        <w:t xml:space="preserve">Figure </w:t>
      </w:r>
      <w:r>
        <w:fldChar w:fldCharType="begin"/>
      </w:r>
      <w:r>
        <w:instrText xml:space="preserve"> SEQ Figure \* ARABIC </w:instrText>
      </w:r>
      <w:r>
        <w:fldChar w:fldCharType="separate"/>
      </w:r>
      <w:r>
        <w:rPr>
          <w:noProof/>
        </w:rPr>
        <w:t>1</w:t>
      </w:r>
      <w:r>
        <w:fldChar w:fldCharType="end"/>
      </w:r>
      <w:bookmarkEnd w:id="3"/>
      <w:r w:rsidRPr="00984E19">
        <w:rPr>
          <w:lang w:val="en-US"/>
        </w:rPr>
        <w:t xml:space="preserve"> UE rotating and tries different TX beams</w:t>
      </w:r>
      <w:r>
        <w:rPr>
          <w:lang w:val="en-US"/>
        </w:rPr>
        <w:t>.</w:t>
      </w:r>
    </w:p>
    <w:p w14:paraId="379AB282" w14:textId="77777777" w:rsidR="006B7F4C" w:rsidRDefault="006B7F4C" w:rsidP="00984E19">
      <w:pPr>
        <w:ind w:firstLine="284"/>
        <w:jc w:val="center"/>
        <w:rPr>
          <w:u w:val="single"/>
          <w:lang w:val="en-US" w:eastAsia="x-none"/>
        </w:rPr>
      </w:pPr>
    </w:p>
    <w:p w14:paraId="44BEF121" w14:textId="77777777" w:rsidR="00D24E8D" w:rsidRDefault="00D24E8D" w:rsidP="00A468C8">
      <w:pPr>
        <w:ind w:firstLine="284"/>
        <w:jc w:val="both"/>
        <w:rPr>
          <w:lang w:val="en-US" w:eastAsia="x-none"/>
        </w:rPr>
      </w:pPr>
      <w:r w:rsidRPr="00C90F79">
        <w:rPr>
          <w:u w:val="single"/>
          <w:lang w:val="en-US" w:eastAsia="x-none"/>
        </w:rPr>
        <w:t>Case 2</w:t>
      </w:r>
      <w:r>
        <w:rPr>
          <w:lang w:val="en-US" w:eastAsia="x-none"/>
        </w:rPr>
        <w:t xml:space="preserve">: There is </w:t>
      </w:r>
      <w:r w:rsidR="000A6F21">
        <w:rPr>
          <w:lang w:val="en-US" w:eastAsia="x-none"/>
        </w:rPr>
        <w:t xml:space="preserve">a </w:t>
      </w:r>
      <w:r>
        <w:rPr>
          <w:lang w:val="en-US" w:eastAsia="x-none"/>
        </w:rPr>
        <w:t>blockage between UE and gNB RX beam</w:t>
      </w:r>
    </w:p>
    <w:p w14:paraId="6C3558E6" w14:textId="77777777" w:rsidR="00D24E8D" w:rsidRDefault="007E5CDB" w:rsidP="00C71E75">
      <w:pPr>
        <w:ind w:left="284"/>
        <w:jc w:val="both"/>
        <w:rPr>
          <w:lang w:val="en-US" w:eastAsia="x-none"/>
        </w:rPr>
      </w:pPr>
      <w:r>
        <w:rPr>
          <w:lang w:val="en-US" w:eastAsia="x-none"/>
        </w:rPr>
        <w:t xml:space="preserve">In this case both the UE TX and gNB RX beams would need </w:t>
      </w:r>
      <w:r w:rsidR="00A468C8">
        <w:rPr>
          <w:lang w:val="en-US" w:eastAsia="x-none"/>
        </w:rPr>
        <w:t>to be changed in order to re-align the beam pair link</w:t>
      </w:r>
      <w:r w:rsidR="009665A9">
        <w:rPr>
          <w:lang w:val="en-US" w:eastAsia="x-none"/>
        </w:rPr>
        <w:t xml:space="preserve"> or alternative beam pair link is to be used</w:t>
      </w:r>
      <w:r w:rsidR="00A468C8">
        <w:rPr>
          <w:lang w:val="en-US" w:eastAsia="x-none"/>
        </w:rPr>
        <w:t>.</w:t>
      </w:r>
      <w:r w:rsidR="00C71E75">
        <w:rPr>
          <w:lang w:val="en-US" w:eastAsia="x-none"/>
        </w:rPr>
        <w:t xml:space="preserve"> In other words, the beam pair link of interest becomes blocked. </w:t>
      </w:r>
    </w:p>
    <w:p w14:paraId="55A06E8F" w14:textId="77777777" w:rsidR="00A468C8" w:rsidRDefault="00C71E75" w:rsidP="000550B4">
      <w:pPr>
        <w:jc w:val="both"/>
        <w:rPr>
          <w:lang w:val="en-US" w:eastAsia="x-none"/>
        </w:rPr>
      </w:pPr>
      <w:r>
        <w:rPr>
          <w:lang w:val="en-US" w:eastAsia="x-none"/>
        </w:rPr>
        <w:t>As said, apparent</w:t>
      </w:r>
      <w:r w:rsidR="00A468C8">
        <w:rPr>
          <w:lang w:val="en-US" w:eastAsia="x-none"/>
        </w:rPr>
        <w:t xml:space="preserve"> mechanism to provide robustness against blockages is beam pair diversity where UE may be configured with multiple NR-PUCCH resources each corresponding to a certain UE TX beam and gNB RX beam pair. Given the fact that both UE and gNB may have limited capabilities and be able to form one beam at a time, the resources for different beam pair links need to be time domain multiplexed. </w:t>
      </w:r>
    </w:p>
    <w:p w14:paraId="06BE394C" w14:textId="77777777" w:rsidR="00A468C8" w:rsidRDefault="00F37232" w:rsidP="000550B4">
      <w:pPr>
        <w:jc w:val="both"/>
        <w:rPr>
          <w:b/>
          <w:i/>
          <w:lang w:val="en-US" w:eastAsia="x-none"/>
        </w:rPr>
      </w:pPr>
      <w:r>
        <w:rPr>
          <w:b/>
          <w:i/>
          <w:lang w:val="en-US" w:eastAsia="x-none"/>
        </w:rPr>
        <w:t>Observation</w:t>
      </w:r>
      <w:r w:rsidR="00A468C8">
        <w:rPr>
          <w:b/>
          <w:i/>
          <w:lang w:val="en-US" w:eastAsia="x-none"/>
        </w:rPr>
        <w:t xml:space="preserve">: If UE is configured with multiple NR-PUCCH resources for beam pair diversity, </w:t>
      </w:r>
      <w:r>
        <w:rPr>
          <w:b/>
          <w:i/>
          <w:lang w:val="en-US" w:eastAsia="x-none"/>
        </w:rPr>
        <w:t>TDM multiplexing is needed for UE’s NR-PUCCH resources.</w:t>
      </w:r>
    </w:p>
    <w:p w14:paraId="4AA8C7D0" w14:textId="77777777" w:rsidR="00F37232" w:rsidRDefault="00F37232" w:rsidP="000550B4">
      <w:pPr>
        <w:jc w:val="both"/>
        <w:rPr>
          <w:lang w:val="en-US" w:eastAsia="x-none"/>
        </w:rPr>
      </w:pPr>
      <w:r>
        <w:rPr>
          <w:lang w:val="en-US" w:eastAsia="x-none"/>
        </w:rPr>
        <w:t xml:space="preserve">Then, </w:t>
      </w:r>
      <w:r w:rsidR="00D62C1F">
        <w:rPr>
          <w:lang w:val="en-US" w:eastAsia="x-none"/>
        </w:rPr>
        <w:t>do</w:t>
      </w:r>
      <w:r w:rsidR="00D7218B">
        <w:rPr>
          <w:lang w:val="en-US" w:eastAsia="x-none"/>
        </w:rPr>
        <w:t xml:space="preserve"> above</w:t>
      </w:r>
      <w:r w:rsidR="00234B9D">
        <w:rPr>
          <w:lang w:val="en-US" w:eastAsia="x-none"/>
        </w:rPr>
        <w:t xml:space="preserve"> </w:t>
      </w:r>
      <w:r>
        <w:rPr>
          <w:lang w:val="en-US" w:eastAsia="x-none"/>
        </w:rPr>
        <w:t xml:space="preserve">Case 1 and Case 2 need to be separated </w:t>
      </w:r>
      <w:r w:rsidR="00234B9D">
        <w:rPr>
          <w:lang w:val="en-US" w:eastAsia="x-none"/>
        </w:rPr>
        <w:t>when UE is configured multiple NR-PUCCH resources? It</w:t>
      </w:r>
      <w:r w:rsidR="00D62C1F">
        <w:rPr>
          <w:lang w:val="en-US" w:eastAsia="x-none"/>
        </w:rPr>
        <w:t xml:space="preserve"> i</w:t>
      </w:r>
      <w:r w:rsidR="00234B9D">
        <w:rPr>
          <w:lang w:val="en-US" w:eastAsia="x-none"/>
        </w:rPr>
        <w:t xml:space="preserve">s assumed that UE derives UL TX power from DL RS which has an association to the gNB RX beam pair of the certain beam pair link. Thus, it’s considered that in configuration the UE needs to be indicated what will be gNB RX </w:t>
      </w:r>
      <w:r w:rsidR="00666902">
        <w:rPr>
          <w:lang w:val="en-US" w:eastAsia="x-none"/>
        </w:rPr>
        <w:t>beam for the NR-PUCCH reception.</w:t>
      </w:r>
    </w:p>
    <w:p w14:paraId="48066109" w14:textId="77777777" w:rsidR="00666902" w:rsidRPr="00666902" w:rsidRDefault="00666902" w:rsidP="000550B4">
      <w:pPr>
        <w:jc w:val="both"/>
        <w:rPr>
          <w:b/>
          <w:i/>
          <w:lang w:val="en-US" w:eastAsia="x-none"/>
        </w:rPr>
      </w:pPr>
      <w:r>
        <w:rPr>
          <w:b/>
          <w:i/>
          <w:lang w:val="en-US" w:eastAsia="x-none"/>
        </w:rPr>
        <w:t xml:space="preserve">Observation: Configuration of NR-PUCCH resources for beam diversity needs to indicate the gNB RX beam and associated DL RS for UL TX power control. </w:t>
      </w:r>
    </w:p>
    <w:p w14:paraId="37C57461" w14:textId="77777777" w:rsidR="00E64DC0" w:rsidRDefault="008C0FE7" w:rsidP="000550B4">
      <w:pPr>
        <w:jc w:val="both"/>
        <w:rPr>
          <w:lang w:val="en-US" w:eastAsia="x-none"/>
        </w:rPr>
      </w:pPr>
      <w:r>
        <w:rPr>
          <w:lang w:val="en-US" w:eastAsia="x-none"/>
        </w:rPr>
        <w:t xml:space="preserve">The UL transmission diversity has some commonalities and differences from the DL case. In DL the idea is that </w:t>
      </w:r>
      <w:r w:rsidR="00E64DC0">
        <w:rPr>
          <w:lang w:val="en-US" w:eastAsia="x-none"/>
        </w:rPr>
        <w:t xml:space="preserve">different beams from same or different TRPs are used for multiple PDCCH transmission. This covers also the case when beam widths used for these transmission occasions are different, for example using a narrower beam for the primary PDCCH transmission and a wider beam for the secondary PDCCH transmission. We can see such transmission as a form of beam selection from a CoMP-type of transmission. </w:t>
      </w:r>
    </w:p>
    <w:p w14:paraId="2D0E8C79" w14:textId="77777777" w:rsidR="00E64DC0" w:rsidRDefault="00E64DC0" w:rsidP="000550B4">
      <w:pPr>
        <w:jc w:val="both"/>
        <w:rPr>
          <w:lang w:val="en-US" w:eastAsia="x-none"/>
        </w:rPr>
      </w:pPr>
      <w:r>
        <w:rPr>
          <w:lang w:val="en-US" w:eastAsia="x-none"/>
        </w:rPr>
        <w:t xml:space="preserve">In UL there are a few options for the transmission, and in fact more importantly for the reception of the UL signals: </w:t>
      </w:r>
    </w:p>
    <w:p w14:paraId="222FD2A1" w14:textId="076BFB43" w:rsidR="00F37232" w:rsidRDefault="00E64DC0" w:rsidP="00C90F79">
      <w:pPr>
        <w:pStyle w:val="ListParagraph"/>
        <w:numPr>
          <w:ilvl w:val="0"/>
          <w:numId w:val="10"/>
        </w:numPr>
        <w:jc w:val="both"/>
        <w:rPr>
          <w:lang w:val="en-US" w:eastAsia="x-none"/>
        </w:rPr>
      </w:pPr>
      <w:r w:rsidRPr="00C90F79">
        <w:rPr>
          <w:sz w:val="20"/>
          <w:szCs w:val="20"/>
          <w:lang w:val="en-US" w:eastAsia="x-none"/>
        </w:rPr>
        <w:t xml:space="preserve">the primary and secondary ULs </w:t>
      </w:r>
      <w:r>
        <w:rPr>
          <w:sz w:val="20"/>
          <w:szCs w:val="20"/>
          <w:lang w:val="en-US" w:eastAsia="x-none"/>
        </w:rPr>
        <w:t xml:space="preserve">can be received by the same TRP, on different </w:t>
      </w:r>
      <w:r w:rsidR="00D7218B">
        <w:rPr>
          <w:sz w:val="20"/>
          <w:szCs w:val="20"/>
          <w:lang w:val="en-US" w:eastAsia="x-none"/>
        </w:rPr>
        <w:t>gNB RX beams</w:t>
      </w:r>
      <w:r>
        <w:rPr>
          <w:sz w:val="20"/>
          <w:szCs w:val="20"/>
          <w:lang w:val="en-US" w:eastAsia="x-none"/>
        </w:rPr>
        <w:t>.</w:t>
      </w:r>
    </w:p>
    <w:p w14:paraId="1FB027B5" w14:textId="504ED510" w:rsidR="00E64DC0" w:rsidRDefault="00E64DC0" w:rsidP="00C90F79">
      <w:pPr>
        <w:pStyle w:val="ListParagraph"/>
        <w:numPr>
          <w:ilvl w:val="0"/>
          <w:numId w:val="10"/>
        </w:numPr>
        <w:jc w:val="both"/>
        <w:rPr>
          <w:sz w:val="20"/>
          <w:szCs w:val="20"/>
          <w:lang w:val="en-US" w:eastAsia="x-none"/>
        </w:rPr>
      </w:pPr>
      <w:r w:rsidRPr="00F002D9">
        <w:rPr>
          <w:sz w:val="20"/>
          <w:szCs w:val="20"/>
          <w:lang w:val="en-US" w:eastAsia="x-none"/>
        </w:rPr>
        <w:t xml:space="preserve">the primary and secondary ULs can be received by </w:t>
      </w:r>
      <w:r>
        <w:rPr>
          <w:sz w:val="20"/>
          <w:szCs w:val="20"/>
          <w:lang w:val="en-US" w:eastAsia="x-none"/>
        </w:rPr>
        <w:t>different</w:t>
      </w:r>
      <w:r w:rsidRPr="00F002D9">
        <w:rPr>
          <w:sz w:val="20"/>
          <w:szCs w:val="20"/>
          <w:lang w:val="en-US" w:eastAsia="x-none"/>
        </w:rPr>
        <w:t xml:space="preserve"> TRP, on differ</w:t>
      </w:r>
      <w:r>
        <w:rPr>
          <w:sz w:val="20"/>
          <w:szCs w:val="20"/>
          <w:lang w:val="en-US" w:eastAsia="x-none"/>
        </w:rPr>
        <w:t>e</w:t>
      </w:r>
      <w:r w:rsidRPr="00F002D9">
        <w:rPr>
          <w:sz w:val="20"/>
          <w:szCs w:val="20"/>
          <w:lang w:val="en-US" w:eastAsia="x-none"/>
        </w:rPr>
        <w:t xml:space="preserve">nt </w:t>
      </w:r>
      <w:r w:rsidR="00A20B55">
        <w:rPr>
          <w:sz w:val="20"/>
          <w:szCs w:val="20"/>
          <w:lang w:val="en-US" w:eastAsia="x-none"/>
        </w:rPr>
        <w:t>gNB RX beams</w:t>
      </w:r>
      <w:r>
        <w:rPr>
          <w:sz w:val="20"/>
          <w:szCs w:val="20"/>
          <w:lang w:val="en-US" w:eastAsia="x-none"/>
        </w:rPr>
        <w:t>.</w:t>
      </w:r>
    </w:p>
    <w:p w14:paraId="43F00D97" w14:textId="77777777" w:rsidR="00E64DC0" w:rsidRDefault="00E64DC0" w:rsidP="00C90F79">
      <w:pPr>
        <w:pStyle w:val="ListParagraph"/>
        <w:numPr>
          <w:ilvl w:val="0"/>
          <w:numId w:val="10"/>
        </w:numPr>
        <w:jc w:val="both"/>
        <w:rPr>
          <w:sz w:val="20"/>
          <w:szCs w:val="20"/>
          <w:lang w:val="en-US" w:eastAsia="x-none"/>
        </w:rPr>
      </w:pPr>
      <w:r w:rsidRPr="00F002D9">
        <w:rPr>
          <w:sz w:val="20"/>
          <w:szCs w:val="20"/>
          <w:lang w:val="en-US" w:eastAsia="x-none"/>
        </w:rPr>
        <w:t>The</w:t>
      </w:r>
      <w:r>
        <w:rPr>
          <w:sz w:val="20"/>
          <w:szCs w:val="20"/>
          <w:lang w:val="en-US" w:eastAsia="x-none"/>
        </w:rPr>
        <w:t>re can be a single UL transmission received by different TRP beams or different TRPs. In such a case the UE would utilize a wider beam for UL transmission. Such a scenario is not possible in downlink and resembles a form of UL CoMP.</w:t>
      </w:r>
    </w:p>
    <w:p w14:paraId="6B463497" w14:textId="77777777" w:rsidR="00E64DC0" w:rsidRDefault="00E64DC0">
      <w:pPr>
        <w:jc w:val="both"/>
        <w:rPr>
          <w:lang w:val="en-US" w:eastAsia="x-none"/>
        </w:rPr>
      </w:pPr>
    </w:p>
    <w:p w14:paraId="7F5C83C8" w14:textId="620A177D" w:rsidR="00E64DC0" w:rsidRDefault="00E64DC0">
      <w:pPr>
        <w:jc w:val="both"/>
        <w:rPr>
          <w:lang w:val="en-US" w:eastAsia="x-none"/>
        </w:rPr>
      </w:pPr>
      <w:r>
        <w:rPr>
          <w:lang w:val="en-US" w:eastAsia="x-none"/>
        </w:rPr>
        <w:t xml:space="preserve">The first 2 cases above can mirror the DL diversity operation where the two transmissions can be either TDMed or transmitted in the same time. The beam widths used for the of these transmission of such UL signals are UE implementation aspects and hence a narrower beam can be used for the primary UL transmission and a </w:t>
      </w:r>
      <w:r w:rsidR="00C727BF">
        <w:rPr>
          <w:lang w:val="en-US" w:eastAsia="x-none"/>
        </w:rPr>
        <w:t xml:space="preserve">wider </w:t>
      </w:r>
      <w:r>
        <w:rPr>
          <w:lang w:val="en-US" w:eastAsia="x-none"/>
        </w:rPr>
        <w:t>beam can be used for the secondary UL transmission. From the network operation perspective, only the reception of the UL diversity transmission in the same TRP does not involve cooperation between TRPs.</w:t>
      </w:r>
    </w:p>
    <w:p w14:paraId="1B388479" w14:textId="77777777" w:rsidR="00E64DC0" w:rsidRDefault="00E64DC0">
      <w:pPr>
        <w:jc w:val="both"/>
        <w:rPr>
          <w:b/>
          <w:i/>
          <w:lang w:val="en-US" w:eastAsia="x-none"/>
        </w:rPr>
      </w:pPr>
      <w:r w:rsidRPr="00C90F79">
        <w:rPr>
          <w:b/>
          <w:i/>
          <w:lang w:val="en-US" w:eastAsia="x-none"/>
        </w:rPr>
        <w:lastRenderedPageBreak/>
        <w:t>Proposal: Compare the reception of different UL transmissions in same TRP, differ</w:t>
      </w:r>
      <w:r w:rsidR="0036293F" w:rsidRPr="00C90F79">
        <w:rPr>
          <w:b/>
          <w:i/>
          <w:lang w:val="en-US" w:eastAsia="x-none"/>
        </w:rPr>
        <w:t>e</w:t>
      </w:r>
      <w:r w:rsidRPr="00C90F79">
        <w:rPr>
          <w:b/>
          <w:i/>
          <w:lang w:val="en-US" w:eastAsia="x-none"/>
        </w:rPr>
        <w:t>n</w:t>
      </w:r>
      <w:r w:rsidR="0036293F" w:rsidRPr="00C90F79">
        <w:rPr>
          <w:b/>
          <w:i/>
          <w:lang w:val="en-US" w:eastAsia="x-none"/>
        </w:rPr>
        <w:t>t TRPs as well as the reception of a single UL transmission by multiple TRPs.</w:t>
      </w:r>
    </w:p>
    <w:p w14:paraId="623ED053" w14:textId="77777777" w:rsidR="00C727BF" w:rsidRDefault="00C727BF">
      <w:pPr>
        <w:jc w:val="both"/>
        <w:rPr>
          <w:lang w:val="en-US" w:eastAsia="x-none"/>
        </w:rPr>
      </w:pPr>
      <w:r>
        <w:rPr>
          <w:lang w:val="en-US" w:eastAsia="x-none"/>
        </w:rPr>
        <w:t xml:space="preserve">Then, how to trigger and/or configure transmission </w:t>
      </w:r>
      <w:r w:rsidR="009665A9">
        <w:rPr>
          <w:lang w:val="en-US" w:eastAsia="x-none"/>
        </w:rPr>
        <w:t>when UE has been configured multiple receive gNB beams (corresponding to multiple UE TX beams) NR-PUCCH transmissions. Two options can be considered:</w:t>
      </w:r>
    </w:p>
    <w:p w14:paraId="1ECAED1A" w14:textId="77777777" w:rsidR="009665A9" w:rsidRPr="00984E19" w:rsidRDefault="009665A9" w:rsidP="00984E19">
      <w:pPr>
        <w:pStyle w:val="ListParagraph"/>
        <w:numPr>
          <w:ilvl w:val="0"/>
          <w:numId w:val="13"/>
        </w:numPr>
        <w:jc w:val="both"/>
        <w:rPr>
          <w:lang w:val="en-US" w:eastAsia="x-none"/>
        </w:rPr>
      </w:pPr>
      <w:r w:rsidRPr="00984E19">
        <w:rPr>
          <w:sz w:val="20"/>
          <w:lang w:val="en-US" w:eastAsia="x-none"/>
        </w:rPr>
        <w:t>Semi-static time domain pattern similar to NR-PDCCH monitoring configuration</w:t>
      </w:r>
    </w:p>
    <w:p w14:paraId="69F6B5F7" w14:textId="77777777" w:rsidR="009665A9" w:rsidRPr="00574B1E" w:rsidRDefault="00574B1E" w:rsidP="00984E19">
      <w:pPr>
        <w:pStyle w:val="ListParagraph"/>
        <w:numPr>
          <w:ilvl w:val="0"/>
          <w:numId w:val="13"/>
        </w:numPr>
        <w:jc w:val="both"/>
        <w:rPr>
          <w:lang w:val="en-US" w:eastAsia="x-none"/>
        </w:rPr>
      </w:pPr>
      <w:r>
        <w:rPr>
          <w:sz w:val="20"/>
          <w:lang w:val="en-US" w:eastAsia="x-none"/>
        </w:rPr>
        <w:t>gNB indicates in DCI, when it allocates dynamically NR-PUCCH resources to UE, that what is receive gNB beam (and QCL associated DL RS)</w:t>
      </w:r>
    </w:p>
    <w:p w14:paraId="38AFB56C" w14:textId="77777777" w:rsidR="00574B1E" w:rsidRDefault="00574B1E" w:rsidP="00574B1E">
      <w:pPr>
        <w:jc w:val="both"/>
        <w:rPr>
          <w:lang w:val="en-US" w:eastAsia="x-none"/>
        </w:rPr>
      </w:pPr>
    </w:p>
    <w:p w14:paraId="47CFD144" w14:textId="77777777" w:rsidR="00244BFC" w:rsidRDefault="00574B1E" w:rsidP="00984E19">
      <w:pPr>
        <w:rPr>
          <w:lang w:val="en-US" w:eastAsia="ja-JP"/>
        </w:rPr>
      </w:pPr>
      <w:r>
        <w:rPr>
          <w:lang w:val="en-US" w:eastAsia="x-none"/>
        </w:rPr>
        <w:t xml:space="preserve">Since </w:t>
      </w:r>
      <w:r w:rsidRPr="007C3D44">
        <w:rPr>
          <w:lang w:val="en-US" w:eastAsia="ja-JP"/>
        </w:rPr>
        <w:t>NR supports aperiodic</w:t>
      </w:r>
      <w:r>
        <w:rPr>
          <w:rFonts w:hint="eastAsia"/>
          <w:lang w:val="en-US" w:eastAsia="ja-JP"/>
        </w:rPr>
        <w:t>,</w:t>
      </w:r>
      <w:r w:rsidRPr="007C3D44">
        <w:rPr>
          <w:lang w:val="en-US" w:eastAsia="ja-JP"/>
        </w:rPr>
        <w:t xml:space="preserve"> </w:t>
      </w:r>
      <w:r w:rsidRPr="00C915CF">
        <w:t>semi-persistent, and periodic</w:t>
      </w:r>
      <w:r>
        <w:t xml:space="preserve"> </w:t>
      </w:r>
      <w:r w:rsidRPr="007C3D44">
        <w:rPr>
          <w:lang w:val="en-US" w:eastAsia="ja-JP"/>
        </w:rPr>
        <w:t>CSI reporting</w:t>
      </w:r>
      <w:r>
        <w:rPr>
          <w:rFonts w:hint="eastAsia"/>
          <w:lang w:val="en-US" w:eastAsia="ja-JP"/>
        </w:rPr>
        <w:t>, it</w:t>
      </w:r>
      <w:r>
        <w:rPr>
          <w:lang w:val="en-US" w:eastAsia="ja-JP"/>
        </w:rPr>
        <w:t xml:space="preserve">’s considered that both </w:t>
      </w:r>
      <w:r w:rsidR="008067A7">
        <w:rPr>
          <w:lang w:val="en-US" w:eastAsia="ja-JP"/>
        </w:rPr>
        <w:t xml:space="preserve">options </w:t>
      </w:r>
      <w:r>
        <w:rPr>
          <w:lang w:val="en-US" w:eastAsia="ja-JP"/>
        </w:rPr>
        <w:t xml:space="preserve">1. and 2. are </w:t>
      </w:r>
      <w:r w:rsidR="008067A7">
        <w:rPr>
          <w:lang w:val="en-US" w:eastAsia="ja-JP"/>
        </w:rPr>
        <w:t>needed. In other words, option 1. could be used for all aperiodic, semi-persistent and periodic CSI-reporting, and option 2. could be for aperiodic CSI reporting.</w:t>
      </w:r>
      <w:r w:rsidR="00244BFC">
        <w:rPr>
          <w:lang w:val="en-US" w:eastAsia="ja-JP"/>
        </w:rPr>
        <w:t xml:space="preserve"> Rationale to have also option 2 is to have possibility for the gNB to balance dynamically load on beam resources.</w:t>
      </w:r>
    </w:p>
    <w:p w14:paraId="0A9C002A" w14:textId="77777777" w:rsidR="00574B1E" w:rsidRPr="00984E19" w:rsidRDefault="008067A7" w:rsidP="00984E19">
      <w:pPr>
        <w:rPr>
          <w:lang w:val="en-US" w:eastAsia="x-none"/>
        </w:rPr>
      </w:pPr>
      <w:r>
        <w:rPr>
          <w:b/>
          <w:i/>
          <w:lang w:val="en-US" w:eastAsia="ja-JP"/>
        </w:rPr>
        <w:t>Proposal: Support both semi-statically configured multi-beam NR-PUCCH transmissions as well as dynamic receive gNB beam allocation for NR-PUCCH.</w:t>
      </w:r>
    </w:p>
    <w:p w14:paraId="1DBEF24C" w14:textId="77777777" w:rsidR="00620244" w:rsidRPr="00B74C8F" w:rsidRDefault="00A16D0F"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41621970" w14:textId="77777777" w:rsidR="00666902" w:rsidRDefault="00666902" w:rsidP="000550B4">
      <w:pPr>
        <w:jc w:val="both"/>
        <w:rPr>
          <w:lang w:val="en-US" w:eastAsia="x-none"/>
        </w:rPr>
      </w:pPr>
      <w:r>
        <w:rPr>
          <w:lang w:val="en-US" w:eastAsia="x-none"/>
        </w:rPr>
        <w:t>In this contribution we discussed about providing robustness for NR-PUCCH in multi-beam scenario. Based on the discussion, the following observations and agreements were made:</w:t>
      </w:r>
    </w:p>
    <w:p w14:paraId="6B76B0A1" w14:textId="77777777" w:rsidR="00666902" w:rsidRDefault="00666902" w:rsidP="000550B4">
      <w:pPr>
        <w:jc w:val="both"/>
        <w:rPr>
          <w:b/>
          <w:i/>
          <w:lang w:val="en-US" w:eastAsia="x-none"/>
        </w:rPr>
      </w:pPr>
      <w:r>
        <w:rPr>
          <w:b/>
          <w:i/>
          <w:lang w:val="en-US" w:eastAsia="x-none"/>
        </w:rPr>
        <w:t>Observation: If UE is configured with multiple NR-PUCCH resources for beam pair diversity, TDM multiplexing is needed for UE’s NR-PUCCH resources.</w:t>
      </w:r>
    </w:p>
    <w:p w14:paraId="4363139D" w14:textId="77777777" w:rsidR="00666902" w:rsidRPr="00666902" w:rsidRDefault="00666902" w:rsidP="00666902">
      <w:pPr>
        <w:jc w:val="both"/>
        <w:rPr>
          <w:b/>
          <w:i/>
          <w:lang w:val="en-US" w:eastAsia="x-none"/>
        </w:rPr>
      </w:pPr>
      <w:r>
        <w:rPr>
          <w:b/>
          <w:i/>
          <w:lang w:val="en-US" w:eastAsia="x-none"/>
        </w:rPr>
        <w:t xml:space="preserve">Observation: Configuration of NR-PUCCH resources for beam diversity needs to indicate the gNB RX beam and associated DL RS for UL TX power control. </w:t>
      </w:r>
    </w:p>
    <w:p w14:paraId="4AF44314" w14:textId="77777777" w:rsidR="0036293F" w:rsidRPr="00F002D9" w:rsidRDefault="0036293F" w:rsidP="0036293F">
      <w:pPr>
        <w:jc w:val="both"/>
        <w:rPr>
          <w:b/>
          <w:i/>
          <w:lang w:val="en-US" w:eastAsia="x-none"/>
        </w:rPr>
      </w:pPr>
      <w:r w:rsidRPr="00F002D9">
        <w:rPr>
          <w:b/>
          <w:i/>
          <w:lang w:val="en-US" w:eastAsia="x-none"/>
        </w:rPr>
        <w:t>Proposal: Compare the reception of different UL transmissions in same TRP, different TRPs as well as the reception of a single UL transmission by multiple TRPs.</w:t>
      </w:r>
    </w:p>
    <w:p w14:paraId="17BE3654" w14:textId="77777777" w:rsidR="00DA5766" w:rsidRPr="00C90F79" w:rsidRDefault="008C6B54" w:rsidP="00984E19">
      <w:pPr>
        <w:rPr>
          <w:lang w:val="en-US" w:eastAsia="x-none"/>
        </w:rPr>
      </w:pPr>
      <w:r>
        <w:rPr>
          <w:b/>
          <w:i/>
          <w:lang w:val="en-US" w:eastAsia="ja-JP"/>
        </w:rPr>
        <w:t>Proposal: Support both semi-statically configured multi-beam NR-PUCCH transmissions as well as dynamic receive gNB beam allocation for NR-PUCCH.</w:t>
      </w:r>
    </w:p>
    <w:p w14:paraId="7736E2BE" w14:textId="77777777" w:rsidR="0034111C" w:rsidRPr="00A51522" w:rsidRDefault="0034111C">
      <w:pPr>
        <w:pStyle w:val="Heading1"/>
      </w:pPr>
      <w:r w:rsidRPr="00A51522">
        <w:t>References</w:t>
      </w:r>
      <w:r w:rsidR="00A2459D" w:rsidRPr="00A51522">
        <w:t xml:space="preserve"> </w:t>
      </w:r>
    </w:p>
    <w:p w14:paraId="0FA59600" w14:textId="77777777" w:rsidR="001C5B55" w:rsidRPr="001C5B55" w:rsidRDefault="001C5B55" w:rsidP="001C5B55">
      <w:pPr>
        <w:numPr>
          <w:ilvl w:val="0"/>
          <w:numId w:val="1"/>
        </w:numPr>
        <w:rPr>
          <w:sz w:val="18"/>
        </w:rPr>
      </w:pPr>
      <w:r w:rsidRPr="001C5B55">
        <w:rPr>
          <w:sz w:val="18"/>
          <w:lang w:eastAsia="zh-CN"/>
        </w:rPr>
        <w:t>3GPP Work Item Description, “New WID on New Radio Access Technology”, March 2017.</w:t>
      </w:r>
    </w:p>
    <w:p w14:paraId="5E7844F5" w14:textId="77777777" w:rsidR="00AA73EA" w:rsidRDefault="005239EA" w:rsidP="00D35EF4">
      <w:pPr>
        <w:numPr>
          <w:ilvl w:val="0"/>
          <w:numId w:val="1"/>
        </w:numPr>
        <w:rPr>
          <w:sz w:val="18"/>
        </w:rPr>
      </w:pPr>
      <w:r w:rsidRPr="001C5B55">
        <w:rPr>
          <w:sz w:val="18"/>
        </w:rPr>
        <w:t>RAN1#88 Chairman notes</w:t>
      </w:r>
    </w:p>
    <w:p w14:paraId="0A44033D" w14:textId="38340B39" w:rsidR="005239EA" w:rsidRPr="00D7218B" w:rsidRDefault="00D7218B" w:rsidP="00DB76D6">
      <w:pPr>
        <w:numPr>
          <w:ilvl w:val="0"/>
          <w:numId w:val="1"/>
        </w:numPr>
        <w:rPr>
          <w:sz w:val="16"/>
        </w:rPr>
      </w:pPr>
      <w:r w:rsidRPr="00D7218B">
        <w:rPr>
          <w:sz w:val="18"/>
        </w:rPr>
        <w:t>R1-1706454, “</w:t>
      </w:r>
      <w:r w:rsidRPr="00D7218B">
        <w:rPr>
          <w:sz w:val="18"/>
          <w:lang w:val="en-US"/>
        </w:rPr>
        <w:t>WF on multi-beam based PUCCH transmission”, LG Electronics, WILUS Inc., KT Corp.</w:t>
      </w:r>
      <w:r w:rsidR="005239EA" w:rsidRPr="00D7218B">
        <w:rPr>
          <w:sz w:val="18"/>
        </w:rPr>
        <w:t>R1-1703167</w:t>
      </w:r>
      <w:r w:rsidR="006E07B3" w:rsidRPr="00D7218B">
        <w:rPr>
          <w:sz w:val="18"/>
        </w:rPr>
        <w:t>,</w:t>
      </w:r>
      <w:r w:rsidR="005239EA" w:rsidRPr="00D7218B">
        <w:rPr>
          <w:sz w:val="18"/>
        </w:rPr>
        <w:t xml:space="preserve"> “Multi-beam control channel transmission”, Nokia, Alcatel-Lucent Shanghai Bell</w:t>
      </w:r>
    </w:p>
    <w:sectPr w:rsidR="005239EA" w:rsidRPr="00D7218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69E742" w14:textId="77777777" w:rsidR="001C15B9" w:rsidRDefault="001C15B9">
      <w:r>
        <w:separator/>
      </w:r>
    </w:p>
  </w:endnote>
  <w:endnote w:type="continuationSeparator" w:id="0">
    <w:p w14:paraId="1FB51A16" w14:textId="77777777" w:rsidR="001C15B9" w:rsidRDefault="001C1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3706C7" w14:textId="77777777" w:rsidR="001C15B9" w:rsidRDefault="001C15B9">
      <w:r>
        <w:separator/>
      </w:r>
    </w:p>
  </w:footnote>
  <w:footnote w:type="continuationSeparator" w:id="0">
    <w:p w14:paraId="5507DDB8" w14:textId="77777777" w:rsidR="001C15B9" w:rsidRDefault="001C15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65E5E"/>
    <w:multiLevelType w:val="hybridMultilevel"/>
    <w:tmpl w:val="250E1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7047CD4"/>
    <w:multiLevelType w:val="hybridMultilevel"/>
    <w:tmpl w:val="0EB8ED24"/>
    <w:lvl w:ilvl="0" w:tplc="428689FE">
      <w:start w:val="2"/>
      <w:numFmt w:val="bullet"/>
      <w:lvlText w:val="-"/>
      <w:lvlJc w:val="left"/>
      <w:pPr>
        <w:ind w:left="644" w:hanging="360"/>
      </w:pPr>
      <w:rPr>
        <w:rFonts w:ascii="Times New Roman" w:eastAsia="SimSun" w:hAnsi="Times New Roman" w:cs="Times New Roman" w:hint="default"/>
        <w:sz w:val="20"/>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 w15:restartNumberingAfterBreak="0">
    <w:nsid w:val="2A9A7F7A"/>
    <w:multiLevelType w:val="hybridMultilevel"/>
    <w:tmpl w:val="7BB0AFFE"/>
    <w:lvl w:ilvl="0" w:tplc="529CB7D2">
      <w:start w:val="1"/>
      <w:numFmt w:val="decimal"/>
      <w:lvlText w:val="%1."/>
      <w:lvlJc w:val="left"/>
      <w:pPr>
        <w:ind w:left="720" w:hanging="360"/>
      </w:pPr>
      <w:rPr>
        <w:rFonts w:hint="default"/>
        <w:sz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DC133E"/>
    <w:multiLevelType w:val="hybridMultilevel"/>
    <w:tmpl w:val="BB067884"/>
    <w:lvl w:ilvl="0" w:tplc="CEF66D1E">
      <w:start w:val="1"/>
      <w:numFmt w:val="decimal"/>
      <w:lvlText w:val="%1."/>
      <w:lvlJc w:val="left"/>
      <w:pPr>
        <w:ind w:left="720" w:hanging="360"/>
      </w:pPr>
      <w:rPr>
        <w:rFonts w:hint="default"/>
        <w:sz w:val="2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33586479"/>
    <w:multiLevelType w:val="hybridMultilevel"/>
    <w:tmpl w:val="9FCE15CA"/>
    <w:lvl w:ilvl="0" w:tplc="53C8A576">
      <w:start w:val="1"/>
      <w:numFmt w:val="bullet"/>
      <w:lvlText w:val="•"/>
      <w:lvlJc w:val="left"/>
      <w:pPr>
        <w:tabs>
          <w:tab w:val="num" w:pos="720"/>
        </w:tabs>
        <w:ind w:left="720" w:hanging="360"/>
      </w:pPr>
      <w:rPr>
        <w:rFonts w:ascii="Arial" w:hAnsi="Arial" w:hint="default"/>
      </w:rPr>
    </w:lvl>
    <w:lvl w:ilvl="1" w:tplc="0D96AD4A">
      <w:start w:val="276"/>
      <w:numFmt w:val="bullet"/>
      <w:lvlText w:val="–"/>
      <w:lvlJc w:val="left"/>
      <w:pPr>
        <w:tabs>
          <w:tab w:val="num" w:pos="1440"/>
        </w:tabs>
        <w:ind w:left="1440" w:hanging="360"/>
      </w:pPr>
      <w:rPr>
        <w:rFonts w:ascii="Arial" w:hAnsi="Arial" w:hint="default"/>
      </w:rPr>
    </w:lvl>
    <w:lvl w:ilvl="2" w:tplc="711CC5B2">
      <w:start w:val="276"/>
      <w:numFmt w:val="bullet"/>
      <w:lvlText w:val="•"/>
      <w:lvlJc w:val="left"/>
      <w:pPr>
        <w:tabs>
          <w:tab w:val="num" w:pos="2160"/>
        </w:tabs>
        <w:ind w:left="2160" w:hanging="360"/>
      </w:pPr>
      <w:rPr>
        <w:rFonts w:ascii="Arial" w:hAnsi="Arial" w:hint="default"/>
      </w:rPr>
    </w:lvl>
    <w:lvl w:ilvl="3" w:tplc="F104AB24" w:tentative="1">
      <w:start w:val="1"/>
      <w:numFmt w:val="bullet"/>
      <w:lvlText w:val="•"/>
      <w:lvlJc w:val="left"/>
      <w:pPr>
        <w:tabs>
          <w:tab w:val="num" w:pos="2880"/>
        </w:tabs>
        <w:ind w:left="2880" w:hanging="360"/>
      </w:pPr>
      <w:rPr>
        <w:rFonts w:ascii="Arial" w:hAnsi="Arial" w:hint="default"/>
      </w:rPr>
    </w:lvl>
    <w:lvl w:ilvl="4" w:tplc="288023C6" w:tentative="1">
      <w:start w:val="1"/>
      <w:numFmt w:val="bullet"/>
      <w:lvlText w:val="•"/>
      <w:lvlJc w:val="left"/>
      <w:pPr>
        <w:tabs>
          <w:tab w:val="num" w:pos="3600"/>
        </w:tabs>
        <w:ind w:left="3600" w:hanging="360"/>
      </w:pPr>
      <w:rPr>
        <w:rFonts w:ascii="Arial" w:hAnsi="Arial" w:hint="default"/>
      </w:rPr>
    </w:lvl>
    <w:lvl w:ilvl="5" w:tplc="ECC87A96" w:tentative="1">
      <w:start w:val="1"/>
      <w:numFmt w:val="bullet"/>
      <w:lvlText w:val="•"/>
      <w:lvlJc w:val="left"/>
      <w:pPr>
        <w:tabs>
          <w:tab w:val="num" w:pos="4320"/>
        </w:tabs>
        <w:ind w:left="4320" w:hanging="360"/>
      </w:pPr>
      <w:rPr>
        <w:rFonts w:ascii="Arial" w:hAnsi="Arial" w:hint="default"/>
      </w:rPr>
    </w:lvl>
    <w:lvl w:ilvl="6" w:tplc="4C0CFF3E" w:tentative="1">
      <w:start w:val="1"/>
      <w:numFmt w:val="bullet"/>
      <w:lvlText w:val="•"/>
      <w:lvlJc w:val="left"/>
      <w:pPr>
        <w:tabs>
          <w:tab w:val="num" w:pos="5040"/>
        </w:tabs>
        <w:ind w:left="5040" w:hanging="360"/>
      </w:pPr>
      <w:rPr>
        <w:rFonts w:ascii="Arial" w:hAnsi="Arial" w:hint="default"/>
      </w:rPr>
    </w:lvl>
    <w:lvl w:ilvl="7" w:tplc="A07E7528" w:tentative="1">
      <w:start w:val="1"/>
      <w:numFmt w:val="bullet"/>
      <w:lvlText w:val="•"/>
      <w:lvlJc w:val="left"/>
      <w:pPr>
        <w:tabs>
          <w:tab w:val="num" w:pos="5760"/>
        </w:tabs>
        <w:ind w:left="5760" w:hanging="360"/>
      </w:pPr>
      <w:rPr>
        <w:rFonts w:ascii="Arial" w:hAnsi="Arial" w:hint="default"/>
      </w:rPr>
    </w:lvl>
    <w:lvl w:ilvl="8" w:tplc="2124D0B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D10FE1"/>
    <w:multiLevelType w:val="hybridMultilevel"/>
    <w:tmpl w:val="21923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0D2EFAC2"/>
    <w:lvl w:ilvl="0" w:tplc="7272E942">
      <w:start w:val="1"/>
      <w:numFmt w:val="decimal"/>
      <w:lvlText w:val="[%1]"/>
      <w:lvlJc w:val="left"/>
      <w:pPr>
        <w:tabs>
          <w:tab w:val="num" w:pos="360"/>
        </w:tabs>
        <w:ind w:left="357" w:hanging="357"/>
      </w:pPr>
      <w:rPr>
        <w:rFonts w:hint="default"/>
        <w:sz w:val="18"/>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1EE1C87"/>
    <w:multiLevelType w:val="hybridMultilevel"/>
    <w:tmpl w:val="03983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C9B2BB9"/>
    <w:multiLevelType w:val="hybridMultilevel"/>
    <w:tmpl w:val="F6FA7D3E"/>
    <w:lvl w:ilvl="0" w:tplc="6C5C722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1B0DE8"/>
    <w:multiLevelType w:val="hybridMultilevel"/>
    <w:tmpl w:val="89F634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7D7AE6"/>
    <w:multiLevelType w:val="hybridMultilevel"/>
    <w:tmpl w:val="45843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8C27475"/>
    <w:multiLevelType w:val="hybridMultilevel"/>
    <w:tmpl w:val="E236EED4"/>
    <w:lvl w:ilvl="0" w:tplc="CA38825E">
      <w:start w:val="1"/>
      <w:numFmt w:val="bullet"/>
      <w:lvlText w:val="•"/>
      <w:lvlJc w:val="left"/>
      <w:pPr>
        <w:tabs>
          <w:tab w:val="num" w:pos="720"/>
        </w:tabs>
        <w:ind w:left="720" w:hanging="360"/>
      </w:pPr>
      <w:rPr>
        <w:rFonts w:ascii="Arial" w:hAnsi="Arial" w:hint="default"/>
      </w:rPr>
    </w:lvl>
    <w:lvl w:ilvl="1" w:tplc="B61CD4DC">
      <w:numFmt w:val="bullet"/>
      <w:lvlText w:val="–"/>
      <w:lvlJc w:val="left"/>
      <w:pPr>
        <w:tabs>
          <w:tab w:val="num" w:pos="1440"/>
        </w:tabs>
        <w:ind w:left="1440" w:hanging="360"/>
      </w:pPr>
      <w:rPr>
        <w:rFonts w:ascii="Arial" w:hAnsi="Arial" w:hint="default"/>
      </w:rPr>
    </w:lvl>
    <w:lvl w:ilvl="2" w:tplc="A6D4B838" w:tentative="1">
      <w:start w:val="1"/>
      <w:numFmt w:val="bullet"/>
      <w:lvlText w:val="•"/>
      <w:lvlJc w:val="left"/>
      <w:pPr>
        <w:tabs>
          <w:tab w:val="num" w:pos="2160"/>
        </w:tabs>
        <w:ind w:left="2160" w:hanging="360"/>
      </w:pPr>
      <w:rPr>
        <w:rFonts w:ascii="Arial" w:hAnsi="Arial" w:hint="default"/>
      </w:rPr>
    </w:lvl>
    <w:lvl w:ilvl="3" w:tplc="EFAE88F4" w:tentative="1">
      <w:start w:val="1"/>
      <w:numFmt w:val="bullet"/>
      <w:lvlText w:val="•"/>
      <w:lvlJc w:val="left"/>
      <w:pPr>
        <w:tabs>
          <w:tab w:val="num" w:pos="2880"/>
        </w:tabs>
        <w:ind w:left="2880" w:hanging="360"/>
      </w:pPr>
      <w:rPr>
        <w:rFonts w:ascii="Arial" w:hAnsi="Arial" w:hint="default"/>
      </w:rPr>
    </w:lvl>
    <w:lvl w:ilvl="4" w:tplc="82487716" w:tentative="1">
      <w:start w:val="1"/>
      <w:numFmt w:val="bullet"/>
      <w:lvlText w:val="•"/>
      <w:lvlJc w:val="left"/>
      <w:pPr>
        <w:tabs>
          <w:tab w:val="num" w:pos="3600"/>
        </w:tabs>
        <w:ind w:left="3600" w:hanging="360"/>
      </w:pPr>
      <w:rPr>
        <w:rFonts w:ascii="Arial" w:hAnsi="Arial" w:hint="default"/>
      </w:rPr>
    </w:lvl>
    <w:lvl w:ilvl="5" w:tplc="2A88FA38" w:tentative="1">
      <w:start w:val="1"/>
      <w:numFmt w:val="bullet"/>
      <w:lvlText w:val="•"/>
      <w:lvlJc w:val="left"/>
      <w:pPr>
        <w:tabs>
          <w:tab w:val="num" w:pos="4320"/>
        </w:tabs>
        <w:ind w:left="4320" w:hanging="360"/>
      </w:pPr>
      <w:rPr>
        <w:rFonts w:ascii="Arial" w:hAnsi="Arial" w:hint="default"/>
      </w:rPr>
    </w:lvl>
    <w:lvl w:ilvl="6" w:tplc="C37ACB60" w:tentative="1">
      <w:start w:val="1"/>
      <w:numFmt w:val="bullet"/>
      <w:lvlText w:val="•"/>
      <w:lvlJc w:val="left"/>
      <w:pPr>
        <w:tabs>
          <w:tab w:val="num" w:pos="5040"/>
        </w:tabs>
        <w:ind w:left="5040" w:hanging="360"/>
      </w:pPr>
      <w:rPr>
        <w:rFonts w:ascii="Arial" w:hAnsi="Arial" w:hint="default"/>
      </w:rPr>
    </w:lvl>
    <w:lvl w:ilvl="7" w:tplc="AE0A2CE8" w:tentative="1">
      <w:start w:val="1"/>
      <w:numFmt w:val="bullet"/>
      <w:lvlText w:val="•"/>
      <w:lvlJc w:val="left"/>
      <w:pPr>
        <w:tabs>
          <w:tab w:val="num" w:pos="5760"/>
        </w:tabs>
        <w:ind w:left="5760" w:hanging="360"/>
      </w:pPr>
      <w:rPr>
        <w:rFonts w:ascii="Arial" w:hAnsi="Arial" w:hint="default"/>
      </w:rPr>
    </w:lvl>
    <w:lvl w:ilvl="8" w:tplc="19787278"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7"/>
  </w:num>
  <w:num w:numId="3">
    <w:abstractNumId w:val="0"/>
  </w:num>
  <w:num w:numId="4">
    <w:abstractNumId w:val="8"/>
  </w:num>
  <w:num w:numId="5">
    <w:abstractNumId w:val="11"/>
  </w:num>
  <w:num w:numId="6">
    <w:abstractNumId w:val="10"/>
  </w:num>
  <w:num w:numId="7">
    <w:abstractNumId w:val="5"/>
  </w:num>
  <w:num w:numId="8">
    <w:abstractNumId w:val="9"/>
  </w:num>
  <w:num w:numId="9">
    <w:abstractNumId w:val="4"/>
  </w:num>
  <w:num w:numId="10">
    <w:abstractNumId w:val="2"/>
  </w:num>
  <w:num w:numId="11">
    <w:abstractNumId w:val="12"/>
  </w:num>
  <w:num w:numId="12">
    <w:abstractNumId w:val="1"/>
  </w:num>
  <w:num w:numId="1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6F9F"/>
    <w:rsid w:val="00017B7F"/>
    <w:rsid w:val="00017EDA"/>
    <w:rsid w:val="00023742"/>
    <w:rsid w:val="00024AEF"/>
    <w:rsid w:val="000267FA"/>
    <w:rsid w:val="000268D5"/>
    <w:rsid w:val="00026C65"/>
    <w:rsid w:val="00027755"/>
    <w:rsid w:val="00030048"/>
    <w:rsid w:val="0003072D"/>
    <w:rsid w:val="000314CD"/>
    <w:rsid w:val="00033544"/>
    <w:rsid w:val="0003479E"/>
    <w:rsid w:val="00035691"/>
    <w:rsid w:val="0004132D"/>
    <w:rsid w:val="00044A54"/>
    <w:rsid w:val="00044CFA"/>
    <w:rsid w:val="000459C7"/>
    <w:rsid w:val="00046630"/>
    <w:rsid w:val="00046C80"/>
    <w:rsid w:val="00050112"/>
    <w:rsid w:val="00050466"/>
    <w:rsid w:val="000505CC"/>
    <w:rsid w:val="000511F9"/>
    <w:rsid w:val="0005230E"/>
    <w:rsid w:val="00052850"/>
    <w:rsid w:val="000528A2"/>
    <w:rsid w:val="00052BBA"/>
    <w:rsid w:val="00054D9D"/>
    <w:rsid w:val="000550B4"/>
    <w:rsid w:val="00055676"/>
    <w:rsid w:val="00056544"/>
    <w:rsid w:val="00060D8E"/>
    <w:rsid w:val="00063D9E"/>
    <w:rsid w:val="00064AD3"/>
    <w:rsid w:val="00065088"/>
    <w:rsid w:val="000652D3"/>
    <w:rsid w:val="000654A0"/>
    <w:rsid w:val="000707CA"/>
    <w:rsid w:val="0007208A"/>
    <w:rsid w:val="00072BBA"/>
    <w:rsid w:val="00072FF5"/>
    <w:rsid w:val="00075FDA"/>
    <w:rsid w:val="00076386"/>
    <w:rsid w:val="00076D82"/>
    <w:rsid w:val="00081EC2"/>
    <w:rsid w:val="00083800"/>
    <w:rsid w:val="00084A65"/>
    <w:rsid w:val="00085745"/>
    <w:rsid w:val="00091A92"/>
    <w:rsid w:val="00093C49"/>
    <w:rsid w:val="00095A80"/>
    <w:rsid w:val="000973E1"/>
    <w:rsid w:val="000A1402"/>
    <w:rsid w:val="000A20BA"/>
    <w:rsid w:val="000A262C"/>
    <w:rsid w:val="000A3C0D"/>
    <w:rsid w:val="000A3C8D"/>
    <w:rsid w:val="000A40EC"/>
    <w:rsid w:val="000A54EE"/>
    <w:rsid w:val="000A5875"/>
    <w:rsid w:val="000A6A23"/>
    <w:rsid w:val="000A6F21"/>
    <w:rsid w:val="000A7648"/>
    <w:rsid w:val="000A7BC5"/>
    <w:rsid w:val="000B0C9B"/>
    <w:rsid w:val="000B0F81"/>
    <w:rsid w:val="000B16DB"/>
    <w:rsid w:val="000B1C5E"/>
    <w:rsid w:val="000B2282"/>
    <w:rsid w:val="000B2A11"/>
    <w:rsid w:val="000B2A5B"/>
    <w:rsid w:val="000B3B91"/>
    <w:rsid w:val="000B5AC9"/>
    <w:rsid w:val="000B5F0A"/>
    <w:rsid w:val="000C3073"/>
    <w:rsid w:val="000C501D"/>
    <w:rsid w:val="000C74BA"/>
    <w:rsid w:val="000C7531"/>
    <w:rsid w:val="000C7C3F"/>
    <w:rsid w:val="000D0BD6"/>
    <w:rsid w:val="000D0C61"/>
    <w:rsid w:val="000D27AD"/>
    <w:rsid w:val="000D29D1"/>
    <w:rsid w:val="000D2B0A"/>
    <w:rsid w:val="000D3254"/>
    <w:rsid w:val="000D3286"/>
    <w:rsid w:val="000D344D"/>
    <w:rsid w:val="000D40E7"/>
    <w:rsid w:val="000D584F"/>
    <w:rsid w:val="000D7268"/>
    <w:rsid w:val="000E071E"/>
    <w:rsid w:val="000E27AA"/>
    <w:rsid w:val="000E337A"/>
    <w:rsid w:val="000E4350"/>
    <w:rsid w:val="000E4408"/>
    <w:rsid w:val="000E441A"/>
    <w:rsid w:val="000E537F"/>
    <w:rsid w:val="000E5716"/>
    <w:rsid w:val="000E7A79"/>
    <w:rsid w:val="000F15B2"/>
    <w:rsid w:val="000F19DE"/>
    <w:rsid w:val="000F2706"/>
    <w:rsid w:val="000F2E1F"/>
    <w:rsid w:val="000F33DA"/>
    <w:rsid w:val="000F37B0"/>
    <w:rsid w:val="000F4595"/>
    <w:rsid w:val="000F4CB2"/>
    <w:rsid w:val="000F568D"/>
    <w:rsid w:val="00101C4F"/>
    <w:rsid w:val="00102C9F"/>
    <w:rsid w:val="001068D2"/>
    <w:rsid w:val="001103BD"/>
    <w:rsid w:val="00111208"/>
    <w:rsid w:val="00111808"/>
    <w:rsid w:val="0011339F"/>
    <w:rsid w:val="0011437C"/>
    <w:rsid w:val="00114E96"/>
    <w:rsid w:val="00117051"/>
    <w:rsid w:val="00117332"/>
    <w:rsid w:val="001204DD"/>
    <w:rsid w:val="00122839"/>
    <w:rsid w:val="001237AC"/>
    <w:rsid w:val="00124E12"/>
    <w:rsid w:val="0012673D"/>
    <w:rsid w:val="001269B8"/>
    <w:rsid w:val="00127099"/>
    <w:rsid w:val="00132B71"/>
    <w:rsid w:val="0013427A"/>
    <w:rsid w:val="001362C2"/>
    <w:rsid w:val="00136955"/>
    <w:rsid w:val="00136E19"/>
    <w:rsid w:val="001371B2"/>
    <w:rsid w:val="0013798C"/>
    <w:rsid w:val="00137D78"/>
    <w:rsid w:val="001409A0"/>
    <w:rsid w:val="00141829"/>
    <w:rsid w:val="00141F08"/>
    <w:rsid w:val="00141FF2"/>
    <w:rsid w:val="0014287A"/>
    <w:rsid w:val="00142DE2"/>
    <w:rsid w:val="00144C87"/>
    <w:rsid w:val="001467B1"/>
    <w:rsid w:val="00150175"/>
    <w:rsid w:val="001502C8"/>
    <w:rsid w:val="0015130F"/>
    <w:rsid w:val="00154E22"/>
    <w:rsid w:val="00155BFD"/>
    <w:rsid w:val="0015726F"/>
    <w:rsid w:val="00157390"/>
    <w:rsid w:val="00157562"/>
    <w:rsid w:val="00160998"/>
    <w:rsid w:val="00160CD6"/>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A42"/>
    <w:rsid w:val="00186B0A"/>
    <w:rsid w:val="001905BD"/>
    <w:rsid w:val="00192FE6"/>
    <w:rsid w:val="00193986"/>
    <w:rsid w:val="00193B08"/>
    <w:rsid w:val="00194570"/>
    <w:rsid w:val="00196BF4"/>
    <w:rsid w:val="001972DA"/>
    <w:rsid w:val="001976AA"/>
    <w:rsid w:val="00197E78"/>
    <w:rsid w:val="001A02F6"/>
    <w:rsid w:val="001A15C6"/>
    <w:rsid w:val="001A5E19"/>
    <w:rsid w:val="001B01FA"/>
    <w:rsid w:val="001B0832"/>
    <w:rsid w:val="001B18A7"/>
    <w:rsid w:val="001B2762"/>
    <w:rsid w:val="001B36FC"/>
    <w:rsid w:val="001B41ED"/>
    <w:rsid w:val="001B4607"/>
    <w:rsid w:val="001B7E0C"/>
    <w:rsid w:val="001C0674"/>
    <w:rsid w:val="001C15B9"/>
    <w:rsid w:val="001C226F"/>
    <w:rsid w:val="001C3949"/>
    <w:rsid w:val="001C5B55"/>
    <w:rsid w:val="001C66AC"/>
    <w:rsid w:val="001C6754"/>
    <w:rsid w:val="001C77F0"/>
    <w:rsid w:val="001D41B6"/>
    <w:rsid w:val="001D46A0"/>
    <w:rsid w:val="001D7CA4"/>
    <w:rsid w:val="001D7E58"/>
    <w:rsid w:val="001E0417"/>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36FB"/>
    <w:rsid w:val="00204B3A"/>
    <w:rsid w:val="0020535A"/>
    <w:rsid w:val="00206955"/>
    <w:rsid w:val="00210309"/>
    <w:rsid w:val="00212FB8"/>
    <w:rsid w:val="00213709"/>
    <w:rsid w:val="002149AF"/>
    <w:rsid w:val="00214A86"/>
    <w:rsid w:val="00215AAA"/>
    <w:rsid w:val="0021683C"/>
    <w:rsid w:val="00217BBA"/>
    <w:rsid w:val="00221985"/>
    <w:rsid w:val="00221EC5"/>
    <w:rsid w:val="00222A7A"/>
    <w:rsid w:val="00224A2C"/>
    <w:rsid w:val="00225262"/>
    <w:rsid w:val="002256D9"/>
    <w:rsid w:val="0022687C"/>
    <w:rsid w:val="002306F8"/>
    <w:rsid w:val="002312F4"/>
    <w:rsid w:val="002313A2"/>
    <w:rsid w:val="002317FF"/>
    <w:rsid w:val="00231C55"/>
    <w:rsid w:val="00231FC7"/>
    <w:rsid w:val="00232930"/>
    <w:rsid w:val="00232A95"/>
    <w:rsid w:val="00232DD9"/>
    <w:rsid w:val="00233403"/>
    <w:rsid w:val="00233440"/>
    <w:rsid w:val="00233D0E"/>
    <w:rsid w:val="00234B9D"/>
    <w:rsid w:val="00236450"/>
    <w:rsid w:val="0023765A"/>
    <w:rsid w:val="00237921"/>
    <w:rsid w:val="00241311"/>
    <w:rsid w:val="00242D22"/>
    <w:rsid w:val="00242E22"/>
    <w:rsid w:val="0024336B"/>
    <w:rsid w:val="0024424F"/>
    <w:rsid w:val="00244BFC"/>
    <w:rsid w:val="00244D28"/>
    <w:rsid w:val="00245720"/>
    <w:rsid w:val="00245FD5"/>
    <w:rsid w:val="002477DF"/>
    <w:rsid w:val="0025059E"/>
    <w:rsid w:val="0025178B"/>
    <w:rsid w:val="00251AD6"/>
    <w:rsid w:val="00252C17"/>
    <w:rsid w:val="0025307F"/>
    <w:rsid w:val="002551BD"/>
    <w:rsid w:val="002554DD"/>
    <w:rsid w:val="002568D0"/>
    <w:rsid w:val="00262661"/>
    <w:rsid w:val="002632DF"/>
    <w:rsid w:val="002640BA"/>
    <w:rsid w:val="00264CF2"/>
    <w:rsid w:val="0026747A"/>
    <w:rsid w:val="00267587"/>
    <w:rsid w:val="00271589"/>
    <w:rsid w:val="00273177"/>
    <w:rsid w:val="00275074"/>
    <w:rsid w:val="002763E9"/>
    <w:rsid w:val="00276736"/>
    <w:rsid w:val="00284E32"/>
    <w:rsid w:val="002851EB"/>
    <w:rsid w:val="00285510"/>
    <w:rsid w:val="00285DE2"/>
    <w:rsid w:val="0028616D"/>
    <w:rsid w:val="00286965"/>
    <w:rsid w:val="0029136E"/>
    <w:rsid w:val="00292399"/>
    <w:rsid w:val="00293791"/>
    <w:rsid w:val="00294445"/>
    <w:rsid w:val="00294B4D"/>
    <w:rsid w:val="002960D5"/>
    <w:rsid w:val="002A1062"/>
    <w:rsid w:val="002A2012"/>
    <w:rsid w:val="002A2413"/>
    <w:rsid w:val="002A2F5E"/>
    <w:rsid w:val="002A352A"/>
    <w:rsid w:val="002A607D"/>
    <w:rsid w:val="002B132E"/>
    <w:rsid w:val="002B2813"/>
    <w:rsid w:val="002B2D29"/>
    <w:rsid w:val="002C0C4B"/>
    <w:rsid w:val="002C1471"/>
    <w:rsid w:val="002C1EEA"/>
    <w:rsid w:val="002C476E"/>
    <w:rsid w:val="002C6034"/>
    <w:rsid w:val="002C635B"/>
    <w:rsid w:val="002C7CFF"/>
    <w:rsid w:val="002D0BC6"/>
    <w:rsid w:val="002D17C5"/>
    <w:rsid w:val="002D217B"/>
    <w:rsid w:val="002D365F"/>
    <w:rsid w:val="002D4287"/>
    <w:rsid w:val="002D7C86"/>
    <w:rsid w:val="002E038C"/>
    <w:rsid w:val="002E0692"/>
    <w:rsid w:val="002E1D74"/>
    <w:rsid w:val="002E2943"/>
    <w:rsid w:val="002E2CF1"/>
    <w:rsid w:val="002E34AF"/>
    <w:rsid w:val="002E4AAC"/>
    <w:rsid w:val="002E4AAF"/>
    <w:rsid w:val="002E53DE"/>
    <w:rsid w:val="002E563B"/>
    <w:rsid w:val="002E62D2"/>
    <w:rsid w:val="002E74AF"/>
    <w:rsid w:val="002E758C"/>
    <w:rsid w:val="002F0D9A"/>
    <w:rsid w:val="002F1038"/>
    <w:rsid w:val="002F22FF"/>
    <w:rsid w:val="002F2D8F"/>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1D4A"/>
    <w:rsid w:val="003625CF"/>
    <w:rsid w:val="0036293F"/>
    <w:rsid w:val="003642A6"/>
    <w:rsid w:val="00364F33"/>
    <w:rsid w:val="0036642F"/>
    <w:rsid w:val="00367337"/>
    <w:rsid w:val="00367367"/>
    <w:rsid w:val="00367FD8"/>
    <w:rsid w:val="00370B63"/>
    <w:rsid w:val="00370FCC"/>
    <w:rsid w:val="003711AF"/>
    <w:rsid w:val="00374848"/>
    <w:rsid w:val="00375D09"/>
    <w:rsid w:val="00376B03"/>
    <w:rsid w:val="00377095"/>
    <w:rsid w:val="0037739D"/>
    <w:rsid w:val="0037751C"/>
    <w:rsid w:val="00380F3F"/>
    <w:rsid w:val="00382232"/>
    <w:rsid w:val="00382F1A"/>
    <w:rsid w:val="00383282"/>
    <w:rsid w:val="00383658"/>
    <w:rsid w:val="0038412E"/>
    <w:rsid w:val="00386053"/>
    <w:rsid w:val="0038771D"/>
    <w:rsid w:val="0039017F"/>
    <w:rsid w:val="00393E44"/>
    <w:rsid w:val="00397AB6"/>
    <w:rsid w:val="00397ACA"/>
    <w:rsid w:val="003A10C3"/>
    <w:rsid w:val="003A597F"/>
    <w:rsid w:val="003A71A8"/>
    <w:rsid w:val="003B00CA"/>
    <w:rsid w:val="003B030B"/>
    <w:rsid w:val="003B0432"/>
    <w:rsid w:val="003B0821"/>
    <w:rsid w:val="003B0BE9"/>
    <w:rsid w:val="003B2E9B"/>
    <w:rsid w:val="003B2F8D"/>
    <w:rsid w:val="003B3F9B"/>
    <w:rsid w:val="003B4FAA"/>
    <w:rsid w:val="003B547A"/>
    <w:rsid w:val="003B75B9"/>
    <w:rsid w:val="003B7ECF"/>
    <w:rsid w:val="003C0DA2"/>
    <w:rsid w:val="003C1A18"/>
    <w:rsid w:val="003C5C41"/>
    <w:rsid w:val="003C7461"/>
    <w:rsid w:val="003D0788"/>
    <w:rsid w:val="003D0A29"/>
    <w:rsid w:val="003D132A"/>
    <w:rsid w:val="003D1517"/>
    <w:rsid w:val="003D2938"/>
    <w:rsid w:val="003D3FBA"/>
    <w:rsid w:val="003D402B"/>
    <w:rsid w:val="003D40D0"/>
    <w:rsid w:val="003D41FE"/>
    <w:rsid w:val="003D764F"/>
    <w:rsid w:val="003E0552"/>
    <w:rsid w:val="003E0667"/>
    <w:rsid w:val="003E0BCE"/>
    <w:rsid w:val="003E13E0"/>
    <w:rsid w:val="003E1660"/>
    <w:rsid w:val="003E1CD1"/>
    <w:rsid w:val="003E2A2D"/>
    <w:rsid w:val="003E31CC"/>
    <w:rsid w:val="003E64A9"/>
    <w:rsid w:val="003E7905"/>
    <w:rsid w:val="003F0336"/>
    <w:rsid w:val="003F5547"/>
    <w:rsid w:val="003F5C40"/>
    <w:rsid w:val="003F6E12"/>
    <w:rsid w:val="003F75ED"/>
    <w:rsid w:val="004002B7"/>
    <w:rsid w:val="00400F31"/>
    <w:rsid w:val="00406B4D"/>
    <w:rsid w:val="00407584"/>
    <w:rsid w:val="004131A7"/>
    <w:rsid w:val="0041443C"/>
    <w:rsid w:val="004154F7"/>
    <w:rsid w:val="00416D44"/>
    <w:rsid w:val="004176FF"/>
    <w:rsid w:val="004214AF"/>
    <w:rsid w:val="00421A27"/>
    <w:rsid w:val="004241C5"/>
    <w:rsid w:val="00424FA7"/>
    <w:rsid w:val="00426A87"/>
    <w:rsid w:val="004309D8"/>
    <w:rsid w:val="004313D1"/>
    <w:rsid w:val="00432072"/>
    <w:rsid w:val="00432110"/>
    <w:rsid w:val="00433EBE"/>
    <w:rsid w:val="00434406"/>
    <w:rsid w:val="00440FED"/>
    <w:rsid w:val="00441B92"/>
    <w:rsid w:val="00442D90"/>
    <w:rsid w:val="0044474B"/>
    <w:rsid w:val="0044569E"/>
    <w:rsid w:val="00445FF7"/>
    <w:rsid w:val="00453341"/>
    <w:rsid w:val="0045423B"/>
    <w:rsid w:val="004545C6"/>
    <w:rsid w:val="00454DCA"/>
    <w:rsid w:val="00455403"/>
    <w:rsid w:val="00456544"/>
    <w:rsid w:val="00456649"/>
    <w:rsid w:val="004567B7"/>
    <w:rsid w:val="00456856"/>
    <w:rsid w:val="0046066C"/>
    <w:rsid w:val="00461210"/>
    <w:rsid w:val="00462490"/>
    <w:rsid w:val="00465299"/>
    <w:rsid w:val="00466A0F"/>
    <w:rsid w:val="0046795B"/>
    <w:rsid w:val="004708C0"/>
    <w:rsid w:val="00471863"/>
    <w:rsid w:val="00473A14"/>
    <w:rsid w:val="00474CA8"/>
    <w:rsid w:val="00474E43"/>
    <w:rsid w:val="00475780"/>
    <w:rsid w:val="00475CC2"/>
    <w:rsid w:val="00481D90"/>
    <w:rsid w:val="00482CD4"/>
    <w:rsid w:val="00483261"/>
    <w:rsid w:val="00485B23"/>
    <w:rsid w:val="004874E4"/>
    <w:rsid w:val="0049070D"/>
    <w:rsid w:val="004919F0"/>
    <w:rsid w:val="00491BE4"/>
    <w:rsid w:val="00491DB2"/>
    <w:rsid w:val="00492877"/>
    <w:rsid w:val="004948FF"/>
    <w:rsid w:val="00496DC2"/>
    <w:rsid w:val="00496E75"/>
    <w:rsid w:val="004A014C"/>
    <w:rsid w:val="004A0AA8"/>
    <w:rsid w:val="004A1FE4"/>
    <w:rsid w:val="004A22EB"/>
    <w:rsid w:val="004A2CA9"/>
    <w:rsid w:val="004A3CB5"/>
    <w:rsid w:val="004A3CEC"/>
    <w:rsid w:val="004A537D"/>
    <w:rsid w:val="004A67F0"/>
    <w:rsid w:val="004A71C3"/>
    <w:rsid w:val="004A7769"/>
    <w:rsid w:val="004B23AD"/>
    <w:rsid w:val="004B2965"/>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6C1D"/>
    <w:rsid w:val="004D7DA8"/>
    <w:rsid w:val="004E0EB7"/>
    <w:rsid w:val="004E2892"/>
    <w:rsid w:val="004E362B"/>
    <w:rsid w:val="004E3681"/>
    <w:rsid w:val="004E3D74"/>
    <w:rsid w:val="004E784B"/>
    <w:rsid w:val="004E7A62"/>
    <w:rsid w:val="004F0224"/>
    <w:rsid w:val="004F0DB4"/>
    <w:rsid w:val="004F0E04"/>
    <w:rsid w:val="004F1EBC"/>
    <w:rsid w:val="004F20E8"/>
    <w:rsid w:val="004F3B71"/>
    <w:rsid w:val="004F5154"/>
    <w:rsid w:val="004F5835"/>
    <w:rsid w:val="004F661C"/>
    <w:rsid w:val="004F6D99"/>
    <w:rsid w:val="004F7BCE"/>
    <w:rsid w:val="00500572"/>
    <w:rsid w:val="00501304"/>
    <w:rsid w:val="00501425"/>
    <w:rsid w:val="00504311"/>
    <w:rsid w:val="0050485C"/>
    <w:rsid w:val="00504AC6"/>
    <w:rsid w:val="00510B09"/>
    <w:rsid w:val="00511079"/>
    <w:rsid w:val="00512829"/>
    <w:rsid w:val="00513839"/>
    <w:rsid w:val="0051423C"/>
    <w:rsid w:val="00514C91"/>
    <w:rsid w:val="005153CE"/>
    <w:rsid w:val="00516241"/>
    <w:rsid w:val="00516FD9"/>
    <w:rsid w:val="0051791D"/>
    <w:rsid w:val="005239EA"/>
    <w:rsid w:val="00523E75"/>
    <w:rsid w:val="005243E0"/>
    <w:rsid w:val="00524E22"/>
    <w:rsid w:val="005256F3"/>
    <w:rsid w:val="005265A3"/>
    <w:rsid w:val="00526783"/>
    <w:rsid w:val="00527FB1"/>
    <w:rsid w:val="0053162F"/>
    <w:rsid w:val="00531777"/>
    <w:rsid w:val="0053281C"/>
    <w:rsid w:val="005340C9"/>
    <w:rsid w:val="005345F1"/>
    <w:rsid w:val="005375FE"/>
    <w:rsid w:val="0054011D"/>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363C"/>
    <w:rsid w:val="0056415C"/>
    <w:rsid w:val="005649BF"/>
    <w:rsid w:val="005650ED"/>
    <w:rsid w:val="00565869"/>
    <w:rsid w:val="00567415"/>
    <w:rsid w:val="00567610"/>
    <w:rsid w:val="00570D9F"/>
    <w:rsid w:val="00571CA8"/>
    <w:rsid w:val="005741DA"/>
    <w:rsid w:val="00574B1E"/>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A74EB"/>
    <w:rsid w:val="005B3C6D"/>
    <w:rsid w:val="005B4045"/>
    <w:rsid w:val="005B609E"/>
    <w:rsid w:val="005B6DF6"/>
    <w:rsid w:val="005B7B7D"/>
    <w:rsid w:val="005C0D72"/>
    <w:rsid w:val="005C1948"/>
    <w:rsid w:val="005C263C"/>
    <w:rsid w:val="005C2679"/>
    <w:rsid w:val="005D059A"/>
    <w:rsid w:val="005D07C5"/>
    <w:rsid w:val="005D4302"/>
    <w:rsid w:val="005D5A20"/>
    <w:rsid w:val="005D786C"/>
    <w:rsid w:val="005E00E5"/>
    <w:rsid w:val="005E049F"/>
    <w:rsid w:val="005E221B"/>
    <w:rsid w:val="005E3073"/>
    <w:rsid w:val="005E316A"/>
    <w:rsid w:val="005E68CF"/>
    <w:rsid w:val="005F0108"/>
    <w:rsid w:val="005F0ECC"/>
    <w:rsid w:val="005F21A5"/>
    <w:rsid w:val="005F2470"/>
    <w:rsid w:val="005F28C6"/>
    <w:rsid w:val="005F3F16"/>
    <w:rsid w:val="005F52CC"/>
    <w:rsid w:val="005F5E6F"/>
    <w:rsid w:val="005F6BD4"/>
    <w:rsid w:val="005F7985"/>
    <w:rsid w:val="00600CEB"/>
    <w:rsid w:val="00602AA1"/>
    <w:rsid w:val="00604367"/>
    <w:rsid w:val="006044BE"/>
    <w:rsid w:val="0060475F"/>
    <w:rsid w:val="00606A26"/>
    <w:rsid w:val="00607D81"/>
    <w:rsid w:val="00610747"/>
    <w:rsid w:val="0061176E"/>
    <w:rsid w:val="00614CD1"/>
    <w:rsid w:val="0061567B"/>
    <w:rsid w:val="00615A9B"/>
    <w:rsid w:val="00617D56"/>
    <w:rsid w:val="00620244"/>
    <w:rsid w:val="0062152A"/>
    <w:rsid w:val="00623583"/>
    <w:rsid w:val="0062462F"/>
    <w:rsid w:val="00624BA1"/>
    <w:rsid w:val="00625CA2"/>
    <w:rsid w:val="0062661B"/>
    <w:rsid w:val="0062734F"/>
    <w:rsid w:val="00630118"/>
    <w:rsid w:val="006310AE"/>
    <w:rsid w:val="00632196"/>
    <w:rsid w:val="00633BF2"/>
    <w:rsid w:val="00633F67"/>
    <w:rsid w:val="006345C3"/>
    <w:rsid w:val="0063582B"/>
    <w:rsid w:val="00635F4A"/>
    <w:rsid w:val="006362F9"/>
    <w:rsid w:val="006373CD"/>
    <w:rsid w:val="0064165D"/>
    <w:rsid w:val="006433BD"/>
    <w:rsid w:val="00643784"/>
    <w:rsid w:val="00644186"/>
    <w:rsid w:val="00644A21"/>
    <w:rsid w:val="00645C9F"/>
    <w:rsid w:val="00646A6C"/>
    <w:rsid w:val="00647681"/>
    <w:rsid w:val="006508B9"/>
    <w:rsid w:val="00650CA1"/>
    <w:rsid w:val="00651854"/>
    <w:rsid w:val="006539E8"/>
    <w:rsid w:val="006565D8"/>
    <w:rsid w:val="00656B96"/>
    <w:rsid w:val="0065736B"/>
    <w:rsid w:val="00657AE5"/>
    <w:rsid w:val="006619B0"/>
    <w:rsid w:val="00662012"/>
    <w:rsid w:val="00662543"/>
    <w:rsid w:val="006626D0"/>
    <w:rsid w:val="00664E8C"/>
    <w:rsid w:val="00665F7C"/>
    <w:rsid w:val="00666902"/>
    <w:rsid w:val="00666926"/>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83192"/>
    <w:rsid w:val="00683829"/>
    <w:rsid w:val="00683A73"/>
    <w:rsid w:val="006841C3"/>
    <w:rsid w:val="006909FE"/>
    <w:rsid w:val="00690E2E"/>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B7F4C"/>
    <w:rsid w:val="006C1445"/>
    <w:rsid w:val="006C20B0"/>
    <w:rsid w:val="006C37B6"/>
    <w:rsid w:val="006C4FC1"/>
    <w:rsid w:val="006C51A5"/>
    <w:rsid w:val="006C529D"/>
    <w:rsid w:val="006D0252"/>
    <w:rsid w:val="006D0E6B"/>
    <w:rsid w:val="006D2146"/>
    <w:rsid w:val="006D4493"/>
    <w:rsid w:val="006D632E"/>
    <w:rsid w:val="006E07B3"/>
    <w:rsid w:val="006E094A"/>
    <w:rsid w:val="006E12B1"/>
    <w:rsid w:val="006E13D1"/>
    <w:rsid w:val="006E1C26"/>
    <w:rsid w:val="006E4D0C"/>
    <w:rsid w:val="006E4D1B"/>
    <w:rsid w:val="006E5B78"/>
    <w:rsid w:val="006E6BA3"/>
    <w:rsid w:val="006F1116"/>
    <w:rsid w:val="006F1D85"/>
    <w:rsid w:val="006F3196"/>
    <w:rsid w:val="006F3C54"/>
    <w:rsid w:val="006F5E64"/>
    <w:rsid w:val="006F60DE"/>
    <w:rsid w:val="006F7914"/>
    <w:rsid w:val="006F7DB8"/>
    <w:rsid w:val="006F7E46"/>
    <w:rsid w:val="00700AB4"/>
    <w:rsid w:val="00700FCA"/>
    <w:rsid w:val="00701645"/>
    <w:rsid w:val="00702D5A"/>
    <w:rsid w:val="00702EF7"/>
    <w:rsid w:val="00703989"/>
    <w:rsid w:val="007042E9"/>
    <w:rsid w:val="007057C9"/>
    <w:rsid w:val="007077B0"/>
    <w:rsid w:val="0071118B"/>
    <w:rsid w:val="00711E13"/>
    <w:rsid w:val="00712EDA"/>
    <w:rsid w:val="007136D0"/>
    <w:rsid w:val="007155A9"/>
    <w:rsid w:val="007158E1"/>
    <w:rsid w:val="0071705B"/>
    <w:rsid w:val="00720505"/>
    <w:rsid w:val="00721937"/>
    <w:rsid w:val="007236A3"/>
    <w:rsid w:val="007239B6"/>
    <w:rsid w:val="0072490A"/>
    <w:rsid w:val="0072517D"/>
    <w:rsid w:val="00726878"/>
    <w:rsid w:val="0073124A"/>
    <w:rsid w:val="00731B79"/>
    <w:rsid w:val="00733893"/>
    <w:rsid w:val="00734A05"/>
    <w:rsid w:val="00735C6F"/>
    <w:rsid w:val="00742B44"/>
    <w:rsid w:val="00753BB5"/>
    <w:rsid w:val="007541E5"/>
    <w:rsid w:val="00756832"/>
    <w:rsid w:val="007626D0"/>
    <w:rsid w:val="007651CA"/>
    <w:rsid w:val="00767519"/>
    <w:rsid w:val="007704E1"/>
    <w:rsid w:val="00772569"/>
    <w:rsid w:val="00772E8C"/>
    <w:rsid w:val="007736D3"/>
    <w:rsid w:val="00774E42"/>
    <w:rsid w:val="0077500F"/>
    <w:rsid w:val="0077548E"/>
    <w:rsid w:val="00775A86"/>
    <w:rsid w:val="00777315"/>
    <w:rsid w:val="00780919"/>
    <w:rsid w:val="007815C8"/>
    <w:rsid w:val="007826C8"/>
    <w:rsid w:val="007829E1"/>
    <w:rsid w:val="00784190"/>
    <w:rsid w:val="0078457B"/>
    <w:rsid w:val="00784756"/>
    <w:rsid w:val="0078539D"/>
    <w:rsid w:val="007856C1"/>
    <w:rsid w:val="00787051"/>
    <w:rsid w:val="0079018D"/>
    <w:rsid w:val="0079101E"/>
    <w:rsid w:val="00791741"/>
    <w:rsid w:val="00791A00"/>
    <w:rsid w:val="00791D94"/>
    <w:rsid w:val="00792CEE"/>
    <w:rsid w:val="0079497B"/>
    <w:rsid w:val="007951DE"/>
    <w:rsid w:val="00796F15"/>
    <w:rsid w:val="007A138F"/>
    <w:rsid w:val="007A1640"/>
    <w:rsid w:val="007A39DF"/>
    <w:rsid w:val="007A43ED"/>
    <w:rsid w:val="007A4BDD"/>
    <w:rsid w:val="007A6FAF"/>
    <w:rsid w:val="007A72EE"/>
    <w:rsid w:val="007B0397"/>
    <w:rsid w:val="007B3502"/>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5F77"/>
    <w:rsid w:val="007D6F64"/>
    <w:rsid w:val="007E08BA"/>
    <w:rsid w:val="007E0AF3"/>
    <w:rsid w:val="007E25AB"/>
    <w:rsid w:val="007E5CDB"/>
    <w:rsid w:val="007E79C5"/>
    <w:rsid w:val="007F0674"/>
    <w:rsid w:val="007F2845"/>
    <w:rsid w:val="007F43BC"/>
    <w:rsid w:val="007F4740"/>
    <w:rsid w:val="007F75E4"/>
    <w:rsid w:val="008006C6"/>
    <w:rsid w:val="00800C52"/>
    <w:rsid w:val="0080153E"/>
    <w:rsid w:val="008038BB"/>
    <w:rsid w:val="00805FA0"/>
    <w:rsid w:val="008067A7"/>
    <w:rsid w:val="0080742D"/>
    <w:rsid w:val="0081151E"/>
    <w:rsid w:val="00812498"/>
    <w:rsid w:val="008127E6"/>
    <w:rsid w:val="0081336E"/>
    <w:rsid w:val="00813928"/>
    <w:rsid w:val="00820DC7"/>
    <w:rsid w:val="00821698"/>
    <w:rsid w:val="008221FE"/>
    <w:rsid w:val="00822BF5"/>
    <w:rsid w:val="00824894"/>
    <w:rsid w:val="00825366"/>
    <w:rsid w:val="00825692"/>
    <w:rsid w:val="00826192"/>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66E6"/>
    <w:rsid w:val="00867651"/>
    <w:rsid w:val="00867BDE"/>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1325"/>
    <w:rsid w:val="00892819"/>
    <w:rsid w:val="00894FDC"/>
    <w:rsid w:val="008A16F9"/>
    <w:rsid w:val="008A1D3E"/>
    <w:rsid w:val="008A4B16"/>
    <w:rsid w:val="008A4D63"/>
    <w:rsid w:val="008A6D62"/>
    <w:rsid w:val="008B13E9"/>
    <w:rsid w:val="008B3B51"/>
    <w:rsid w:val="008B4057"/>
    <w:rsid w:val="008B4145"/>
    <w:rsid w:val="008B5290"/>
    <w:rsid w:val="008C0FE7"/>
    <w:rsid w:val="008C2CFD"/>
    <w:rsid w:val="008C3452"/>
    <w:rsid w:val="008C5601"/>
    <w:rsid w:val="008C603A"/>
    <w:rsid w:val="008C6B54"/>
    <w:rsid w:val="008C71C8"/>
    <w:rsid w:val="008D167D"/>
    <w:rsid w:val="008D4B58"/>
    <w:rsid w:val="008D4B8A"/>
    <w:rsid w:val="008D6541"/>
    <w:rsid w:val="008D7D7B"/>
    <w:rsid w:val="008E0F52"/>
    <w:rsid w:val="008E2316"/>
    <w:rsid w:val="008E34BE"/>
    <w:rsid w:val="008E42F4"/>
    <w:rsid w:val="008E5657"/>
    <w:rsid w:val="008E5E51"/>
    <w:rsid w:val="008F00DB"/>
    <w:rsid w:val="008F1264"/>
    <w:rsid w:val="008F2CE8"/>
    <w:rsid w:val="008F47C6"/>
    <w:rsid w:val="009006A2"/>
    <w:rsid w:val="0090102B"/>
    <w:rsid w:val="00901270"/>
    <w:rsid w:val="00901448"/>
    <w:rsid w:val="009036BC"/>
    <w:rsid w:val="009040DC"/>
    <w:rsid w:val="00905C47"/>
    <w:rsid w:val="00906379"/>
    <w:rsid w:val="009070AE"/>
    <w:rsid w:val="009101EA"/>
    <w:rsid w:val="009106FC"/>
    <w:rsid w:val="0091070F"/>
    <w:rsid w:val="0091118F"/>
    <w:rsid w:val="009118BB"/>
    <w:rsid w:val="0091191F"/>
    <w:rsid w:val="00915B81"/>
    <w:rsid w:val="00915D6B"/>
    <w:rsid w:val="009160DF"/>
    <w:rsid w:val="009162C7"/>
    <w:rsid w:val="00916EC2"/>
    <w:rsid w:val="009213BD"/>
    <w:rsid w:val="0092238E"/>
    <w:rsid w:val="009228FD"/>
    <w:rsid w:val="00924627"/>
    <w:rsid w:val="009250A8"/>
    <w:rsid w:val="00925BE6"/>
    <w:rsid w:val="00926F61"/>
    <w:rsid w:val="009278D5"/>
    <w:rsid w:val="0093123D"/>
    <w:rsid w:val="00933040"/>
    <w:rsid w:val="009330E9"/>
    <w:rsid w:val="009340D0"/>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54F1"/>
    <w:rsid w:val="009656AE"/>
    <w:rsid w:val="009665A9"/>
    <w:rsid w:val="00967354"/>
    <w:rsid w:val="00967D02"/>
    <w:rsid w:val="00967DF6"/>
    <w:rsid w:val="00970490"/>
    <w:rsid w:val="00971592"/>
    <w:rsid w:val="00971DDF"/>
    <w:rsid w:val="009731D6"/>
    <w:rsid w:val="00974746"/>
    <w:rsid w:val="00975119"/>
    <w:rsid w:val="00976F04"/>
    <w:rsid w:val="009777F4"/>
    <w:rsid w:val="00977AD8"/>
    <w:rsid w:val="00980A10"/>
    <w:rsid w:val="00981130"/>
    <w:rsid w:val="00983D46"/>
    <w:rsid w:val="00983DCA"/>
    <w:rsid w:val="00984E19"/>
    <w:rsid w:val="00985EF7"/>
    <w:rsid w:val="00986CF9"/>
    <w:rsid w:val="00990C0E"/>
    <w:rsid w:val="00990D75"/>
    <w:rsid w:val="00991093"/>
    <w:rsid w:val="0099163B"/>
    <w:rsid w:val="00992182"/>
    <w:rsid w:val="00992343"/>
    <w:rsid w:val="009927AD"/>
    <w:rsid w:val="00994165"/>
    <w:rsid w:val="009953EB"/>
    <w:rsid w:val="00996306"/>
    <w:rsid w:val="00996744"/>
    <w:rsid w:val="00997CF4"/>
    <w:rsid w:val="009A1169"/>
    <w:rsid w:val="009A1460"/>
    <w:rsid w:val="009A1840"/>
    <w:rsid w:val="009A3789"/>
    <w:rsid w:val="009A6919"/>
    <w:rsid w:val="009A6AC7"/>
    <w:rsid w:val="009A6FF5"/>
    <w:rsid w:val="009B0408"/>
    <w:rsid w:val="009B0843"/>
    <w:rsid w:val="009B0FD9"/>
    <w:rsid w:val="009B1E47"/>
    <w:rsid w:val="009B2CED"/>
    <w:rsid w:val="009B429D"/>
    <w:rsid w:val="009B7A72"/>
    <w:rsid w:val="009B7BB8"/>
    <w:rsid w:val="009C126A"/>
    <w:rsid w:val="009C1D4C"/>
    <w:rsid w:val="009C2DD2"/>
    <w:rsid w:val="009C3845"/>
    <w:rsid w:val="009C441F"/>
    <w:rsid w:val="009C4A07"/>
    <w:rsid w:val="009C4B8E"/>
    <w:rsid w:val="009C51D5"/>
    <w:rsid w:val="009C543C"/>
    <w:rsid w:val="009C599A"/>
    <w:rsid w:val="009C5CDD"/>
    <w:rsid w:val="009C650E"/>
    <w:rsid w:val="009C70DB"/>
    <w:rsid w:val="009D19BC"/>
    <w:rsid w:val="009D2348"/>
    <w:rsid w:val="009D2372"/>
    <w:rsid w:val="009D2F0C"/>
    <w:rsid w:val="009D3578"/>
    <w:rsid w:val="009D3A5F"/>
    <w:rsid w:val="009D5193"/>
    <w:rsid w:val="009D5C32"/>
    <w:rsid w:val="009D6472"/>
    <w:rsid w:val="009D79F4"/>
    <w:rsid w:val="009E0324"/>
    <w:rsid w:val="009E3CD1"/>
    <w:rsid w:val="009E5AF5"/>
    <w:rsid w:val="009E5EB5"/>
    <w:rsid w:val="009E74F0"/>
    <w:rsid w:val="009F0768"/>
    <w:rsid w:val="009F47F2"/>
    <w:rsid w:val="009F7867"/>
    <w:rsid w:val="009F7D66"/>
    <w:rsid w:val="00A00BD2"/>
    <w:rsid w:val="00A00E56"/>
    <w:rsid w:val="00A027F3"/>
    <w:rsid w:val="00A03487"/>
    <w:rsid w:val="00A03978"/>
    <w:rsid w:val="00A073AC"/>
    <w:rsid w:val="00A07E08"/>
    <w:rsid w:val="00A12798"/>
    <w:rsid w:val="00A153BE"/>
    <w:rsid w:val="00A15DEE"/>
    <w:rsid w:val="00A167B5"/>
    <w:rsid w:val="00A16D0F"/>
    <w:rsid w:val="00A16DBE"/>
    <w:rsid w:val="00A17C4F"/>
    <w:rsid w:val="00A204CE"/>
    <w:rsid w:val="00A20653"/>
    <w:rsid w:val="00A20A39"/>
    <w:rsid w:val="00A20B55"/>
    <w:rsid w:val="00A238BD"/>
    <w:rsid w:val="00A243E4"/>
    <w:rsid w:val="00A2459D"/>
    <w:rsid w:val="00A24E23"/>
    <w:rsid w:val="00A25F05"/>
    <w:rsid w:val="00A306BE"/>
    <w:rsid w:val="00A311AE"/>
    <w:rsid w:val="00A312A6"/>
    <w:rsid w:val="00A3130E"/>
    <w:rsid w:val="00A324CF"/>
    <w:rsid w:val="00A32E8B"/>
    <w:rsid w:val="00A32ED6"/>
    <w:rsid w:val="00A344A5"/>
    <w:rsid w:val="00A346C3"/>
    <w:rsid w:val="00A41307"/>
    <w:rsid w:val="00A42974"/>
    <w:rsid w:val="00A42D07"/>
    <w:rsid w:val="00A436CB"/>
    <w:rsid w:val="00A450C0"/>
    <w:rsid w:val="00A45468"/>
    <w:rsid w:val="00A468C8"/>
    <w:rsid w:val="00A4791B"/>
    <w:rsid w:val="00A50A48"/>
    <w:rsid w:val="00A51242"/>
    <w:rsid w:val="00A51522"/>
    <w:rsid w:val="00A51573"/>
    <w:rsid w:val="00A51A5E"/>
    <w:rsid w:val="00A52895"/>
    <w:rsid w:val="00A53DA0"/>
    <w:rsid w:val="00A54E5E"/>
    <w:rsid w:val="00A5765D"/>
    <w:rsid w:val="00A607CB"/>
    <w:rsid w:val="00A6351F"/>
    <w:rsid w:val="00A63D62"/>
    <w:rsid w:val="00A64394"/>
    <w:rsid w:val="00A65A70"/>
    <w:rsid w:val="00A66F36"/>
    <w:rsid w:val="00A676D9"/>
    <w:rsid w:val="00A67EFC"/>
    <w:rsid w:val="00A7031E"/>
    <w:rsid w:val="00A71140"/>
    <w:rsid w:val="00A74692"/>
    <w:rsid w:val="00A7618B"/>
    <w:rsid w:val="00A7640B"/>
    <w:rsid w:val="00A7778B"/>
    <w:rsid w:val="00A803BC"/>
    <w:rsid w:val="00A80969"/>
    <w:rsid w:val="00A86EA7"/>
    <w:rsid w:val="00A8771A"/>
    <w:rsid w:val="00A91244"/>
    <w:rsid w:val="00A92776"/>
    <w:rsid w:val="00A93181"/>
    <w:rsid w:val="00A938E6"/>
    <w:rsid w:val="00A93CCF"/>
    <w:rsid w:val="00A95BD5"/>
    <w:rsid w:val="00A96F78"/>
    <w:rsid w:val="00AA1087"/>
    <w:rsid w:val="00AA25A9"/>
    <w:rsid w:val="00AA26D9"/>
    <w:rsid w:val="00AA51AD"/>
    <w:rsid w:val="00AA591E"/>
    <w:rsid w:val="00AA65C9"/>
    <w:rsid w:val="00AA73EA"/>
    <w:rsid w:val="00AA7C56"/>
    <w:rsid w:val="00AB0A32"/>
    <w:rsid w:val="00AB0E56"/>
    <w:rsid w:val="00AB3A15"/>
    <w:rsid w:val="00AB4ECC"/>
    <w:rsid w:val="00AB6601"/>
    <w:rsid w:val="00AB674E"/>
    <w:rsid w:val="00AC02C1"/>
    <w:rsid w:val="00AC0AB6"/>
    <w:rsid w:val="00AC10AD"/>
    <w:rsid w:val="00AC1E55"/>
    <w:rsid w:val="00AC3C0C"/>
    <w:rsid w:val="00AC429F"/>
    <w:rsid w:val="00AC60B4"/>
    <w:rsid w:val="00AD00C5"/>
    <w:rsid w:val="00AD165F"/>
    <w:rsid w:val="00AD2794"/>
    <w:rsid w:val="00AD2DC5"/>
    <w:rsid w:val="00AD3455"/>
    <w:rsid w:val="00AD3CAD"/>
    <w:rsid w:val="00AD69FF"/>
    <w:rsid w:val="00AD702B"/>
    <w:rsid w:val="00AD72E6"/>
    <w:rsid w:val="00AD7C95"/>
    <w:rsid w:val="00AE30FC"/>
    <w:rsid w:val="00AE3DE1"/>
    <w:rsid w:val="00AF2A37"/>
    <w:rsid w:val="00AF2D54"/>
    <w:rsid w:val="00AF3458"/>
    <w:rsid w:val="00AF3F7B"/>
    <w:rsid w:val="00AF42B4"/>
    <w:rsid w:val="00AF4B19"/>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628E"/>
    <w:rsid w:val="00B266B0"/>
    <w:rsid w:val="00B27921"/>
    <w:rsid w:val="00B3000E"/>
    <w:rsid w:val="00B326A8"/>
    <w:rsid w:val="00B329EB"/>
    <w:rsid w:val="00B33508"/>
    <w:rsid w:val="00B3377E"/>
    <w:rsid w:val="00B35DA4"/>
    <w:rsid w:val="00B40A96"/>
    <w:rsid w:val="00B422A7"/>
    <w:rsid w:val="00B42A32"/>
    <w:rsid w:val="00B42B38"/>
    <w:rsid w:val="00B42FA6"/>
    <w:rsid w:val="00B4399E"/>
    <w:rsid w:val="00B43A16"/>
    <w:rsid w:val="00B45BA8"/>
    <w:rsid w:val="00B45CE1"/>
    <w:rsid w:val="00B46A75"/>
    <w:rsid w:val="00B500CD"/>
    <w:rsid w:val="00B5239C"/>
    <w:rsid w:val="00B53039"/>
    <w:rsid w:val="00B53893"/>
    <w:rsid w:val="00B53A33"/>
    <w:rsid w:val="00B548C2"/>
    <w:rsid w:val="00B55428"/>
    <w:rsid w:val="00B570BF"/>
    <w:rsid w:val="00B63337"/>
    <w:rsid w:val="00B6369F"/>
    <w:rsid w:val="00B639D7"/>
    <w:rsid w:val="00B67805"/>
    <w:rsid w:val="00B721CD"/>
    <w:rsid w:val="00B7267A"/>
    <w:rsid w:val="00B726FF"/>
    <w:rsid w:val="00B72AA4"/>
    <w:rsid w:val="00B74C8F"/>
    <w:rsid w:val="00B75454"/>
    <w:rsid w:val="00B76BCD"/>
    <w:rsid w:val="00B76EE9"/>
    <w:rsid w:val="00B77880"/>
    <w:rsid w:val="00B80D90"/>
    <w:rsid w:val="00B82613"/>
    <w:rsid w:val="00B828B5"/>
    <w:rsid w:val="00B83E6A"/>
    <w:rsid w:val="00B84E9C"/>
    <w:rsid w:val="00B85522"/>
    <w:rsid w:val="00B856D3"/>
    <w:rsid w:val="00B90E2A"/>
    <w:rsid w:val="00B90F2A"/>
    <w:rsid w:val="00B9198D"/>
    <w:rsid w:val="00B93008"/>
    <w:rsid w:val="00B9406D"/>
    <w:rsid w:val="00B94BA7"/>
    <w:rsid w:val="00B94E0E"/>
    <w:rsid w:val="00B9601F"/>
    <w:rsid w:val="00B97CA3"/>
    <w:rsid w:val="00BA107D"/>
    <w:rsid w:val="00BA76A9"/>
    <w:rsid w:val="00BB3E2B"/>
    <w:rsid w:val="00BB5D1C"/>
    <w:rsid w:val="00BB6552"/>
    <w:rsid w:val="00BB6B9B"/>
    <w:rsid w:val="00BB73AE"/>
    <w:rsid w:val="00BB754F"/>
    <w:rsid w:val="00BC07D4"/>
    <w:rsid w:val="00BC0A5D"/>
    <w:rsid w:val="00BC0BE3"/>
    <w:rsid w:val="00BC1AD9"/>
    <w:rsid w:val="00BC32E7"/>
    <w:rsid w:val="00BC58B9"/>
    <w:rsid w:val="00BD3E68"/>
    <w:rsid w:val="00BD598A"/>
    <w:rsid w:val="00BD75B4"/>
    <w:rsid w:val="00BD7D14"/>
    <w:rsid w:val="00BE02B4"/>
    <w:rsid w:val="00BE4EC9"/>
    <w:rsid w:val="00BE631E"/>
    <w:rsid w:val="00BF0CCF"/>
    <w:rsid w:val="00BF0FC5"/>
    <w:rsid w:val="00BF10BC"/>
    <w:rsid w:val="00BF21AC"/>
    <w:rsid w:val="00BF2E53"/>
    <w:rsid w:val="00BF3669"/>
    <w:rsid w:val="00BF3C0D"/>
    <w:rsid w:val="00C03309"/>
    <w:rsid w:val="00C072FE"/>
    <w:rsid w:val="00C12E39"/>
    <w:rsid w:val="00C14164"/>
    <w:rsid w:val="00C15639"/>
    <w:rsid w:val="00C15D8E"/>
    <w:rsid w:val="00C17012"/>
    <w:rsid w:val="00C178FB"/>
    <w:rsid w:val="00C257B7"/>
    <w:rsid w:val="00C272E8"/>
    <w:rsid w:val="00C27DFC"/>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11A5"/>
    <w:rsid w:val="00C520B1"/>
    <w:rsid w:val="00C522D6"/>
    <w:rsid w:val="00C54020"/>
    <w:rsid w:val="00C5406F"/>
    <w:rsid w:val="00C545C5"/>
    <w:rsid w:val="00C61D4B"/>
    <w:rsid w:val="00C62B0A"/>
    <w:rsid w:val="00C62B5F"/>
    <w:rsid w:val="00C63F08"/>
    <w:rsid w:val="00C6528C"/>
    <w:rsid w:val="00C661E8"/>
    <w:rsid w:val="00C70084"/>
    <w:rsid w:val="00C71E75"/>
    <w:rsid w:val="00C7235B"/>
    <w:rsid w:val="00C727BF"/>
    <w:rsid w:val="00C72E18"/>
    <w:rsid w:val="00C731AD"/>
    <w:rsid w:val="00C7380B"/>
    <w:rsid w:val="00C74421"/>
    <w:rsid w:val="00C754F4"/>
    <w:rsid w:val="00C75F2F"/>
    <w:rsid w:val="00C75FEE"/>
    <w:rsid w:val="00C7642F"/>
    <w:rsid w:val="00C76F1D"/>
    <w:rsid w:val="00C7706D"/>
    <w:rsid w:val="00C77D26"/>
    <w:rsid w:val="00C84D39"/>
    <w:rsid w:val="00C85277"/>
    <w:rsid w:val="00C85D76"/>
    <w:rsid w:val="00C873AC"/>
    <w:rsid w:val="00C90D0F"/>
    <w:rsid w:val="00C90F79"/>
    <w:rsid w:val="00C93462"/>
    <w:rsid w:val="00C9393F"/>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0DF3"/>
    <w:rsid w:val="00CC26DB"/>
    <w:rsid w:val="00CC300C"/>
    <w:rsid w:val="00CC3DAA"/>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4ABD"/>
    <w:rsid w:val="00CF5A53"/>
    <w:rsid w:val="00CF5D28"/>
    <w:rsid w:val="00CF6F1E"/>
    <w:rsid w:val="00D001F9"/>
    <w:rsid w:val="00D0036E"/>
    <w:rsid w:val="00D00BB7"/>
    <w:rsid w:val="00D017D6"/>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4E8D"/>
    <w:rsid w:val="00D26448"/>
    <w:rsid w:val="00D264CE"/>
    <w:rsid w:val="00D26670"/>
    <w:rsid w:val="00D27B8B"/>
    <w:rsid w:val="00D31B6E"/>
    <w:rsid w:val="00D3232B"/>
    <w:rsid w:val="00D3239F"/>
    <w:rsid w:val="00D324A4"/>
    <w:rsid w:val="00D3250C"/>
    <w:rsid w:val="00D328F6"/>
    <w:rsid w:val="00D3462C"/>
    <w:rsid w:val="00D34956"/>
    <w:rsid w:val="00D35198"/>
    <w:rsid w:val="00D3584B"/>
    <w:rsid w:val="00D35EF4"/>
    <w:rsid w:val="00D41B94"/>
    <w:rsid w:val="00D42240"/>
    <w:rsid w:val="00D427C3"/>
    <w:rsid w:val="00D42EB8"/>
    <w:rsid w:val="00D44932"/>
    <w:rsid w:val="00D46111"/>
    <w:rsid w:val="00D47C16"/>
    <w:rsid w:val="00D502AF"/>
    <w:rsid w:val="00D50764"/>
    <w:rsid w:val="00D50C12"/>
    <w:rsid w:val="00D51A77"/>
    <w:rsid w:val="00D528D9"/>
    <w:rsid w:val="00D53830"/>
    <w:rsid w:val="00D55889"/>
    <w:rsid w:val="00D56B5F"/>
    <w:rsid w:val="00D57AF0"/>
    <w:rsid w:val="00D62C1F"/>
    <w:rsid w:val="00D62ECD"/>
    <w:rsid w:val="00D64426"/>
    <w:rsid w:val="00D65A94"/>
    <w:rsid w:val="00D67BC5"/>
    <w:rsid w:val="00D7021B"/>
    <w:rsid w:val="00D70D33"/>
    <w:rsid w:val="00D7218B"/>
    <w:rsid w:val="00D73077"/>
    <w:rsid w:val="00D73C57"/>
    <w:rsid w:val="00D742FF"/>
    <w:rsid w:val="00D758B3"/>
    <w:rsid w:val="00D76202"/>
    <w:rsid w:val="00D76ADC"/>
    <w:rsid w:val="00D77413"/>
    <w:rsid w:val="00D81F10"/>
    <w:rsid w:val="00D84A57"/>
    <w:rsid w:val="00D874DF"/>
    <w:rsid w:val="00D87A12"/>
    <w:rsid w:val="00D87E43"/>
    <w:rsid w:val="00D90ECD"/>
    <w:rsid w:val="00D930E1"/>
    <w:rsid w:val="00D9415C"/>
    <w:rsid w:val="00D942CC"/>
    <w:rsid w:val="00D94D87"/>
    <w:rsid w:val="00D962DC"/>
    <w:rsid w:val="00DA0232"/>
    <w:rsid w:val="00DA180C"/>
    <w:rsid w:val="00DA451D"/>
    <w:rsid w:val="00DA56DB"/>
    <w:rsid w:val="00DA5766"/>
    <w:rsid w:val="00DA6452"/>
    <w:rsid w:val="00DA6FE9"/>
    <w:rsid w:val="00DA7925"/>
    <w:rsid w:val="00DB055E"/>
    <w:rsid w:val="00DB0AB8"/>
    <w:rsid w:val="00DB0D2A"/>
    <w:rsid w:val="00DB11CD"/>
    <w:rsid w:val="00DB1DAB"/>
    <w:rsid w:val="00DB39D4"/>
    <w:rsid w:val="00DB3A47"/>
    <w:rsid w:val="00DB4E06"/>
    <w:rsid w:val="00DB4E1B"/>
    <w:rsid w:val="00DB6A80"/>
    <w:rsid w:val="00DB6C06"/>
    <w:rsid w:val="00DB7533"/>
    <w:rsid w:val="00DB7B06"/>
    <w:rsid w:val="00DC3A9D"/>
    <w:rsid w:val="00DC6C1E"/>
    <w:rsid w:val="00DC7951"/>
    <w:rsid w:val="00DD1C4B"/>
    <w:rsid w:val="00DD1F7B"/>
    <w:rsid w:val="00DD229E"/>
    <w:rsid w:val="00DD3029"/>
    <w:rsid w:val="00DD55E0"/>
    <w:rsid w:val="00DE1904"/>
    <w:rsid w:val="00DE2057"/>
    <w:rsid w:val="00DE3DBB"/>
    <w:rsid w:val="00DE43A2"/>
    <w:rsid w:val="00DE4A74"/>
    <w:rsid w:val="00DE541C"/>
    <w:rsid w:val="00DE737B"/>
    <w:rsid w:val="00DF075C"/>
    <w:rsid w:val="00DF100B"/>
    <w:rsid w:val="00DF4359"/>
    <w:rsid w:val="00E0576C"/>
    <w:rsid w:val="00E068BC"/>
    <w:rsid w:val="00E073F0"/>
    <w:rsid w:val="00E10761"/>
    <w:rsid w:val="00E11D7A"/>
    <w:rsid w:val="00E11EEB"/>
    <w:rsid w:val="00E128F2"/>
    <w:rsid w:val="00E13EE4"/>
    <w:rsid w:val="00E16463"/>
    <w:rsid w:val="00E2397A"/>
    <w:rsid w:val="00E239D1"/>
    <w:rsid w:val="00E26727"/>
    <w:rsid w:val="00E26970"/>
    <w:rsid w:val="00E27791"/>
    <w:rsid w:val="00E277D8"/>
    <w:rsid w:val="00E3117D"/>
    <w:rsid w:val="00E319DB"/>
    <w:rsid w:val="00E31AFC"/>
    <w:rsid w:val="00E3409E"/>
    <w:rsid w:val="00E34F76"/>
    <w:rsid w:val="00E37BE5"/>
    <w:rsid w:val="00E41A27"/>
    <w:rsid w:val="00E4608B"/>
    <w:rsid w:val="00E474B8"/>
    <w:rsid w:val="00E47E74"/>
    <w:rsid w:val="00E501D3"/>
    <w:rsid w:val="00E53A01"/>
    <w:rsid w:val="00E562C4"/>
    <w:rsid w:val="00E564C4"/>
    <w:rsid w:val="00E567C9"/>
    <w:rsid w:val="00E604C4"/>
    <w:rsid w:val="00E60809"/>
    <w:rsid w:val="00E61300"/>
    <w:rsid w:val="00E635B9"/>
    <w:rsid w:val="00E64DC0"/>
    <w:rsid w:val="00E65D15"/>
    <w:rsid w:val="00E67EE5"/>
    <w:rsid w:val="00E7013A"/>
    <w:rsid w:val="00E74F5D"/>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1D43"/>
    <w:rsid w:val="00EA4EC9"/>
    <w:rsid w:val="00EA5E0F"/>
    <w:rsid w:val="00EA6FE4"/>
    <w:rsid w:val="00EA7F4C"/>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3663"/>
    <w:rsid w:val="00EE41C4"/>
    <w:rsid w:val="00EE76A9"/>
    <w:rsid w:val="00EE799E"/>
    <w:rsid w:val="00EE7A94"/>
    <w:rsid w:val="00EE7CA8"/>
    <w:rsid w:val="00EE7FA7"/>
    <w:rsid w:val="00EF1093"/>
    <w:rsid w:val="00EF1537"/>
    <w:rsid w:val="00EF1DEF"/>
    <w:rsid w:val="00EF1FCB"/>
    <w:rsid w:val="00EF21C3"/>
    <w:rsid w:val="00EF2E6B"/>
    <w:rsid w:val="00EF5BAB"/>
    <w:rsid w:val="00F0030E"/>
    <w:rsid w:val="00F00CD1"/>
    <w:rsid w:val="00F01D26"/>
    <w:rsid w:val="00F01E6B"/>
    <w:rsid w:val="00F0241C"/>
    <w:rsid w:val="00F02D22"/>
    <w:rsid w:val="00F05759"/>
    <w:rsid w:val="00F10CB9"/>
    <w:rsid w:val="00F110D5"/>
    <w:rsid w:val="00F12351"/>
    <w:rsid w:val="00F12F77"/>
    <w:rsid w:val="00F142BB"/>
    <w:rsid w:val="00F16739"/>
    <w:rsid w:val="00F16DE2"/>
    <w:rsid w:val="00F2052B"/>
    <w:rsid w:val="00F2260F"/>
    <w:rsid w:val="00F242AD"/>
    <w:rsid w:val="00F247F2"/>
    <w:rsid w:val="00F252A8"/>
    <w:rsid w:val="00F265F7"/>
    <w:rsid w:val="00F27FA6"/>
    <w:rsid w:val="00F318CF"/>
    <w:rsid w:val="00F32691"/>
    <w:rsid w:val="00F33DC8"/>
    <w:rsid w:val="00F34444"/>
    <w:rsid w:val="00F37232"/>
    <w:rsid w:val="00F4065A"/>
    <w:rsid w:val="00F4126F"/>
    <w:rsid w:val="00F4275C"/>
    <w:rsid w:val="00F45693"/>
    <w:rsid w:val="00F52339"/>
    <w:rsid w:val="00F5277A"/>
    <w:rsid w:val="00F532E8"/>
    <w:rsid w:val="00F537FF"/>
    <w:rsid w:val="00F55998"/>
    <w:rsid w:val="00F560FE"/>
    <w:rsid w:val="00F6111C"/>
    <w:rsid w:val="00F614C0"/>
    <w:rsid w:val="00F61647"/>
    <w:rsid w:val="00F64B3E"/>
    <w:rsid w:val="00F657CF"/>
    <w:rsid w:val="00F66A00"/>
    <w:rsid w:val="00F713A3"/>
    <w:rsid w:val="00F71A8F"/>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13DC"/>
    <w:rsid w:val="00F91DDA"/>
    <w:rsid w:val="00F92921"/>
    <w:rsid w:val="00F9397A"/>
    <w:rsid w:val="00F93A37"/>
    <w:rsid w:val="00F94182"/>
    <w:rsid w:val="00F944D9"/>
    <w:rsid w:val="00F94DB3"/>
    <w:rsid w:val="00F96500"/>
    <w:rsid w:val="00FA413A"/>
    <w:rsid w:val="00FA4144"/>
    <w:rsid w:val="00FA4DDF"/>
    <w:rsid w:val="00FA6E7F"/>
    <w:rsid w:val="00FA7114"/>
    <w:rsid w:val="00FA7FA9"/>
    <w:rsid w:val="00FB2379"/>
    <w:rsid w:val="00FB4B8A"/>
    <w:rsid w:val="00FB5152"/>
    <w:rsid w:val="00FB680E"/>
    <w:rsid w:val="00FC0065"/>
    <w:rsid w:val="00FC3AEE"/>
    <w:rsid w:val="00FC5902"/>
    <w:rsid w:val="00FC6238"/>
    <w:rsid w:val="00FD2599"/>
    <w:rsid w:val="00FD33FC"/>
    <w:rsid w:val="00FD3730"/>
    <w:rsid w:val="00FD3ADE"/>
    <w:rsid w:val="00FD3B08"/>
    <w:rsid w:val="00FD3F3C"/>
    <w:rsid w:val="00FD4806"/>
    <w:rsid w:val="00FD534E"/>
    <w:rsid w:val="00FD56C7"/>
    <w:rsid w:val="00FD5CBB"/>
    <w:rsid w:val="00FD6B74"/>
    <w:rsid w:val="00FE002E"/>
    <w:rsid w:val="00FE2398"/>
    <w:rsid w:val="00FE515A"/>
    <w:rsid w:val="00FE5624"/>
    <w:rsid w:val="00FE5D2C"/>
    <w:rsid w:val="00FE5FBF"/>
    <w:rsid w:val="00FE6C25"/>
    <w:rsid w:val="00FE769B"/>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25183"/>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7829E1"/>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628945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9589619">
      <w:bodyDiv w:val="1"/>
      <w:marLeft w:val="0"/>
      <w:marRight w:val="0"/>
      <w:marTop w:val="0"/>
      <w:marBottom w:val="0"/>
      <w:divBdr>
        <w:top w:val="none" w:sz="0" w:space="0" w:color="auto"/>
        <w:left w:val="none" w:sz="0" w:space="0" w:color="auto"/>
        <w:bottom w:val="none" w:sz="0" w:space="0" w:color="auto"/>
        <w:right w:val="none" w:sz="0" w:space="0" w:color="auto"/>
      </w:divBdr>
      <w:divsChild>
        <w:div w:id="1437096776">
          <w:marLeft w:val="547"/>
          <w:marRight w:val="0"/>
          <w:marTop w:val="154"/>
          <w:marBottom w:val="0"/>
          <w:divBdr>
            <w:top w:val="none" w:sz="0" w:space="0" w:color="auto"/>
            <w:left w:val="none" w:sz="0" w:space="0" w:color="auto"/>
            <w:bottom w:val="none" w:sz="0" w:space="0" w:color="auto"/>
            <w:right w:val="none" w:sz="0" w:space="0" w:color="auto"/>
          </w:divBdr>
        </w:div>
        <w:div w:id="396441909">
          <w:marLeft w:val="1166"/>
          <w:marRight w:val="0"/>
          <w:marTop w:val="134"/>
          <w:marBottom w:val="0"/>
          <w:divBdr>
            <w:top w:val="none" w:sz="0" w:space="0" w:color="auto"/>
            <w:left w:val="none" w:sz="0" w:space="0" w:color="auto"/>
            <w:bottom w:val="none" w:sz="0" w:space="0" w:color="auto"/>
            <w:right w:val="none" w:sz="0" w:space="0" w:color="auto"/>
          </w:divBdr>
        </w:div>
        <w:div w:id="1459371358">
          <w:marLeft w:val="1166"/>
          <w:marRight w:val="0"/>
          <w:marTop w:val="134"/>
          <w:marBottom w:val="0"/>
          <w:divBdr>
            <w:top w:val="none" w:sz="0" w:space="0" w:color="auto"/>
            <w:left w:val="none" w:sz="0" w:space="0" w:color="auto"/>
            <w:bottom w:val="none" w:sz="0" w:space="0" w:color="auto"/>
            <w:right w:val="none" w:sz="0" w:space="0" w:color="auto"/>
          </w:divBdr>
        </w:div>
        <w:div w:id="1303461658">
          <w:marLeft w:val="1166"/>
          <w:marRight w:val="0"/>
          <w:marTop w:val="134"/>
          <w:marBottom w:val="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SP-5AIRPNAIUNRU-1830940522-406</_dlc_DocId>
    <_dlc_DocIdUrl xmlns="71c5aaf6-e6ce-465b-b873-5148d2a4c105">
      <Url>https://nokia.sharepoint.com/sites/c5g/5gradio/_layouts/15/DocIdRedir.aspx?ID=SP-5AIRPNAIUNRU-1830940522-406</Url>
      <Description>SP-5AIRPNAIUNRU-1830940522-406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C5FA2-F56F-4730-8ED3-B3885FC2B5BE}">
  <ds:schemaRefs>
    <ds:schemaRef ds:uri="http://schemas.microsoft.com/sharepoint/events"/>
  </ds:schemaRefs>
</ds:datastoreItem>
</file>

<file path=customXml/itemProps2.xml><?xml version="1.0" encoding="utf-8"?>
<ds:datastoreItem xmlns:ds="http://schemas.openxmlformats.org/officeDocument/2006/customXml" ds:itemID="{8AF058BD-C4A7-482E-A141-F051416622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F60014D-7DE3-4445-87C7-1A465B30A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272</TotalTime>
  <Pages>3</Pages>
  <Words>1162</Words>
  <Characters>6625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Mihai Enescu</cp:lastModifiedBy>
  <cp:revision>16</cp:revision>
  <cp:lastPrinted>2016-06-20T11:35:00Z</cp:lastPrinted>
  <dcterms:created xsi:type="dcterms:W3CDTF">2017-04-25T20:28:00Z</dcterms:created>
  <dcterms:modified xsi:type="dcterms:W3CDTF">2017-05-05T11:48:00Z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9d7bc7ec-7f11-4fd3-9a4d-7caf8935c0ce</vt:lpwstr>
  </property>
</Properties>
</file>