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81B31" w14:textId="115662F3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E13206">
        <w:rPr>
          <w:rFonts w:ascii="Arial" w:hAnsi="Arial" w:cs="Arial"/>
          <w:b/>
          <w:sz w:val="24"/>
          <w:szCs w:val="24"/>
        </w:rPr>
        <w:t>8</w:t>
      </w:r>
      <w:r w:rsidR="004C78B0">
        <w:rPr>
          <w:rFonts w:ascii="Arial" w:hAnsi="Arial" w:cs="Arial"/>
          <w:b/>
          <w:sz w:val="24"/>
          <w:szCs w:val="24"/>
        </w:rPr>
        <w:t>9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17</w:t>
      </w:r>
      <w:r w:rsidR="005F1730">
        <w:rPr>
          <w:rFonts w:ascii="Arial" w:hAnsi="Arial" w:cs="Arial"/>
          <w:b/>
          <w:sz w:val="24"/>
          <w:szCs w:val="24"/>
        </w:rPr>
        <w:t>08799</w:t>
      </w:r>
    </w:p>
    <w:p w14:paraId="1866D85A" w14:textId="56472BC2" w:rsidR="009611DA" w:rsidRPr="00FD021C" w:rsidRDefault="004C78B0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611DA">
        <w:rPr>
          <w:rFonts w:ascii="Arial" w:hAnsi="Arial" w:cs="Arial"/>
          <w:b/>
          <w:sz w:val="24"/>
          <w:szCs w:val="24"/>
        </w:rPr>
        <w:t>–</w:t>
      </w:r>
      <w:r w:rsidR="009611DA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19</w:t>
      </w:r>
      <w:r w:rsidR="009611DA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611D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9611DA">
        <w:rPr>
          <w:rFonts w:ascii="Arial" w:hAnsi="Arial" w:cs="Arial"/>
          <w:b/>
          <w:sz w:val="24"/>
          <w:szCs w:val="24"/>
        </w:rPr>
        <w:t xml:space="preserve"> 2017</w:t>
      </w:r>
      <w:r w:rsidR="005648A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Hangzhou</w:t>
      </w:r>
      <w:r w:rsidR="009611DA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P.R. China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5088F68B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4C78B0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.2.6.</w:t>
      </w:r>
      <w:r w:rsidR="004C78B0">
        <w:rPr>
          <w:rFonts w:ascii="Arial" w:hAnsi="Arial"/>
          <w:sz w:val="24"/>
        </w:rPr>
        <w:t>5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6F06AE51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A1DC8" w:rsidRPr="009A1DC8">
        <w:rPr>
          <w:rFonts w:ascii="Arial" w:hAnsi="Arial"/>
          <w:sz w:val="24"/>
        </w:rPr>
        <w:t>Increased PUSCH spectral efficiency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092EDDCD" w:rsidR="00536814" w:rsidRDefault="004E3AF8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</w:t>
      </w:r>
      <w:proofErr w:type="spellStart"/>
      <w:r>
        <w:rPr>
          <w:rFonts w:ascii="Times New Roman" w:hAnsi="Times New Roman"/>
          <w:sz w:val="20"/>
          <w:szCs w:val="20"/>
        </w:rPr>
        <w:t>eMTC</w:t>
      </w:r>
      <w:proofErr w:type="spellEnd"/>
      <w:r>
        <w:rPr>
          <w:rFonts w:ascii="Times New Roman" w:hAnsi="Times New Roman"/>
          <w:sz w:val="20"/>
          <w:szCs w:val="20"/>
        </w:rPr>
        <w:t xml:space="preserve">, current minimum allocation </w:t>
      </w:r>
      <w:r w:rsidR="00BD071D">
        <w:rPr>
          <w:rFonts w:ascii="Times New Roman" w:hAnsi="Times New Roman"/>
          <w:sz w:val="20"/>
          <w:szCs w:val="20"/>
        </w:rPr>
        <w:t>granularity</w:t>
      </w:r>
      <w:r>
        <w:rPr>
          <w:rFonts w:ascii="Times New Roman" w:hAnsi="Times New Roman"/>
          <w:sz w:val="20"/>
          <w:szCs w:val="20"/>
        </w:rPr>
        <w:t xml:space="preserve"> for PUSCH</w:t>
      </w:r>
      <w:r w:rsidR="00BA2B01">
        <w:rPr>
          <w:rFonts w:ascii="Times New Roman" w:hAnsi="Times New Roman"/>
          <w:sz w:val="20"/>
          <w:szCs w:val="20"/>
        </w:rPr>
        <w:t xml:space="preserve"> is</w:t>
      </w:r>
      <w:r>
        <w:rPr>
          <w:rFonts w:ascii="Times New Roman" w:hAnsi="Times New Roman"/>
          <w:sz w:val="20"/>
          <w:szCs w:val="20"/>
        </w:rPr>
        <w:t xml:space="preserve"> </w:t>
      </w:r>
      <w:r w:rsidR="00BD071D">
        <w:rPr>
          <w:rFonts w:ascii="Times New Roman" w:hAnsi="Times New Roman"/>
          <w:sz w:val="20"/>
          <w:szCs w:val="20"/>
        </w:rPr>
        <w:t xml:space="preserve">one </w:t>
      </w:r>
      <w:r w:rsidR="009C5BF4"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 xml:space="preserve">RB. This is not every efficient in deep coverage scenario or in high SNR scenario with small data rate. </w:t>
      </w:r>
      <w:r w:rsidR="00777CEC">
        <w:rPr>
          <w:rFonts w:ascii="Times New Roman" w:hAnsi="Times New Roman"/>
          <w:sz w:val="20"/>
          <w:szCs w:val="20"/>
        </w:rPr>
        <w:t>In RAN1#88bis meeting, the techniques to increase PUSCH spectral efficiency were discussed with the following agreements</w:t>
      </w:r>
      <w:r w:rsidR="00B823C6">
        <w:rPr>
          <w:rFonts w:ascii="Times New Roman" w:hAnsi="Times New Roman"/>
          <w:sz w:val="20"/>
          <w:szCs w:val="20"/>
        </w:rPr>
        <w:t xml:space="preserve"> [1]</w:t>
      </w:r>
      <w:r w:rsidR="00777CEC">
        <w:rPr>
          <w:rFonts w:ascii="Times New Roman" w:hAnsi="Times New Roman"/>
          <w:sz w:val="20"/>
          <w:szCs w:val="20"/>
        </w:rPr>
        <w:t xml:space="preserve">. </w:t>
      </w:r>
    </w:p>
    <w:p w14:paraId="441CC5F7" w14:textId="77777777" w:rsidR="00777CEC" w:rsidRPr="00833AA6" w:rsidRDefault="00777CEC" w:rsidP="00777CEC">
      <w:pPr>
        <w:rPr>
          <w:rFonts w:eastAsia="MS Mincho"/>
          <w:b/>
          <w:u w:val="single"/>
          <w:lang w:eastAsia="ja-JP"/>
        </w:rPr>
      </w:pPr>
      <w:r w:rsidRPr="00833AA6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1EE35F49" w14:textId="77777777" w:rsidR="00777CEC" w:rsidRPr="00C2397F" w:rsidRDefault="00777CEC" w:rsidP="00D77E16">
      <w:pPr>
        <w:numPr>
          <w:ilvl w:val="0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397F">
        <w:rPr>
          <w:rFonts w:eastAsia="MS Mincho"/>
          <w:lang w:eastAsia="ja-JP"/>
        </w:rPr>
        <w:t>Techniques to</w:t>
      </w:r>
      <w:r>
        <w:rPr>
          <w:rFonts w:eastAsia="MS Mincho"/>
          <w:lang w:eastAsia="ja-JP"/>
        </w:rPr>
        <w:t xml:space="preserve"> improve UL spectral efficiency</w:t>
      </w:r>
      <w:r w:rsidRPr="00C2397F">
        <w:rPr>
          <w:rFonts w:eastAsia="MS Mincho"/>
          <w:lang w:eastAsia="ja-JP"/>
        </w:rPr>
        <w:t xml:space="preserve"> for consideration:</w:t>
      </w:r>
    </w:p>
    <w:p w14:paraId="13CB4319" w14:textId="77777777" w:rsidR="00777CEC" w:rsidRDefault="00777CEC" w:rsidP="00D77E16">
      <w:pPr>
        <w:numPr>
          <w:ilvl w:val="1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397F">
        <w:rPr>
          <w:rFonts w:eastAsia="MS Mincho"/>
          <w:lang w:eastAsia="ja-JP"/>
        </w:rPr>
        <w:t>Sub-PRB</w:t>
      </w:r>
      <w:r>
        <w:rPr>
          <w:rFonts w:eastAsia="MS Mincho"/>
          <w:lang w:eastAsia="ja-JP"/>
        </w:rPr>
        <w:t xml:space="preserve"> allocation</w:t>
      </w:r>
    </w:p>
    <w:p w14:paraId="77D9C5CF" w14:textId="77777777" w:rsidR="00777CEC" w:rsidRDefault="00777CEC" w:rsidP="00D77E16">
      <w:pPr>
        <w:numPr>
          <w:ilvl w:val="2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PUSCH-based and NPUSCH-based designs can be considered.</w:t>
      </w:r>
    </w:p>
    <w:p w14:paraId="78868B16" w14:textId="77777777" w:rsidR="00777CEC" w:rsidRPr="00C2397F" w:rsidRDefault="00777CEC" w:rsidP="00D77E16">
      <w:pPr>
        <w:numPr>
          <w:ilvl w:val="1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397F">
        <w:rPr>
          <w:rFonts w:eastAsia="MS Mincho"/>
          <w:lang w:eastAsia="ja-JP"/>
        </w:rPr>
        <w:t>CDMA</w:t>
      </w:r>
    </w:p>
    <w:p w14:paraId="5C92B29E" w14:textId="77777777" w:rsidR="00777CEC" w:rsidRDefault="00777CEC" w:rsidP="00D77E16">
      <w:pPr>
        <w:numPr>
          <w:ilvl w:val="1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MU-MIMO</w:t>
      </w:r>
    </w:p>
    <w:p w14:paraId="02DB3955" w14:textId="77777777" w:rsidR="00777CEC" w:rsidRPr="00C2397F" w:rsidRDefault="00777CEC" w:rsidP="00D77E16">
      <w:pPr>
        <w:numPr>
          <w:ilvl w:val="1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397F">
        <w:rPr>
          <w:rFonts w:eastAsia="MS Mincho"/>
          <w:lang w:eastAsia="ja-JP"/>
        </w:rPr>
        <w:t>Increased DMRS density</w:t>
      </w:r>
    </w:p>
    <w:p w14:paraId="2F3334DE" w14:textId="77777777" w:rsidR="00777CEC" w:rsidRDefault="00777CEC" w:rsidP="00D77E16">
      <w:pPr>
        <w:numPr>
          <w:ilvl w:val="0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397F">
        <w:rPr>
          <w:rFonts w:eastAsia="MS Mincho"/>
          <w:lang w:eastAsia="ja-JP"/>
        </w:rPr>
        <w:t>Note:</w:t>
      </w:r>
      <w:r>
        <w:rPr>
          <w:rFonts w:eastAsia="MS Mincho"/>
          <w:lang w:eastAsia="ja-JP"/>
        </w:rPr>
        <w:t xml:space="preserve"> combinations of techniques </w:t>
      </w:r>
      <w:r w:rsidRPr="00C2397F">
        <w:rPr>
          <w:rFonts w:eastAsia="MS Mincho"/>
          <w:lang w:eastAsia="ja-JP"/>
        </w:rPr>
        <w:t>are not precluded.</w:t>
      </w:r>
    </w:p>
    <w:p w14:paraId="5A7FEAF6" w14:textId="77777777" w:rsidR="00777CEC" w:rsidRPr="00DF6879" w:rsidRDefault="00777CEC" w:rsidP="00D77E16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Additionally, support for switching between LTE and NB-</w:t>
      </w:r>
      <w:proofErr w:type="spellStart"/>
      <w:r>
        <w:rPr>
          <w:rFonts w:eastAsia="MS Mincho"/>
          <w:lang w:eastAsia="ja-JP"/>
        </w:rPr>
        <w:t>IoT</w:t>
      </w:r>
      <w:proofErr w:type="spellEnd"/>
      <w:r>
        <w:rPr>
          <w:rFonts w:eastAsia="MS Mincho"/>
          <w:lang w:eastAsia="ja-JP"/>
        </w:rPr>
        <w:t xml:space="preserve"> air interfaces can be considered.</w:t>
      </w:r>
    </w:p>
    <w:p w14:paraId="66A431F1" w14:textId="77777777" w:rsidR="00777CEC" w:rsidRPr="00536814" w:rsidRDefault="00777CEC" w:rsidP="005648A0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1AC4EF3D" w14:textId="710B02A8" w:rsidR="00536814" w:rsidRDefault="002C1E49" w:rsidP="003570F9">
      <w:pPr>
        <w:jc w:val="both"/>
      </w:pPr>
      <w:r>
        <w:t>In this contribution, we discuss sub-</w:t>
      </w:r>
      <w:r w:rsidR="009C5BF4">
        <w:t>P</w:t>
      </w:r>
      <w:r>
        <w:t>RB allocation for PUSCH by adopting NPUSCH design in NB-IOT to increase PUSCH spectral efficiency.</w:t>
      </w:r>
    </w:p>
    <w:p w14:paraId="6A808625" w14:textId="65D99727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6C83F99A" w14:textId="645248C8" w:rsidR="00856281" w:rsidRDefault="00F50CB3" w:rsidP="003059CF">
      <w:pPr>
        <w:rPr>
          <w:lang w:val="en-GB"/>
        </w:rPr>
      </w:pPr>
      <w:r>
        <w:rPr>
          <w:lang w:val="en-GB"/>
        </w:rPr>
        <w:t xml:space="preserve">In </w:t>
      </w:r>
      <w:r w:rsidR="003059CF">
        <w:rPr>
          <w:lang w:val="en-GB"/>
        </w:rPr>
        <w:t>NB-IOT</w:t>
      </w:r>
      <w:r>
        <w:rPr>
          <w:lang w:val="en-GB"/>
        </w:rPr>
        <w:t xml:space="preserve">, </w:t>
      </w:r>
      <w:r w:rsidR="003059CF">
        <w:rPr>
          <w:lang w:val="en-GB"/>
        </w:rPr>
        <w:t>sub-</w:t>
      </w:r>
      <w:r w:rsidR="009C5BF4">
        <w:rPr>
          <w:lang w:val="en-GB"/>
        </w:rPr>
        <w:t>P</w:t>
      </w:r>
      <w:r w:rsidR="003059CF">
        <w:rPr>
          <w:lang w:val="en-GB"/>
        </w:rPr>
        <w:t xml:space="preserve">RB allocation for </w:t>
      </w:r>
      <w:r w:rsidR="00BD071D">
        <w:rPr>
          <w:lang w:val="en-GB"/>
        </w:rPr>
        <w:t>N</w:t>
      </w:r>
      <w:r w:rsidR="003059CF">
        <w:rPr>
          <w:lang w:val="en-GB"/>
        </w:rPr>
        <w:t xml:space="preserve">PUSCH is allowed. </w:t>
      </w:r>
      <w:r w:rsidR="00856281">
        <w:rPr>
          <w:lang w:val="en-GB"/>
        </w:rPr>
        <w:t xml:space="preserve">A resource unit of 1, 3, 6, 12 tones are supported. </w:t>
      </w:r>
      <w:r w:rsidR="00684C41">
        <w:rPr>
          <w:lang w:val="en-GB"/>
        </w:rPr>
        <w:t>In deep coverage scenario</w:t>
      </w:r>
      <w:r w:rsidR="00B603D9">
        <w:rPr>
          <w:lang w:val="en-GB"/>
        </w:rPr>
        <w:t>,</w:t>
      </w:r>
      <w:r w:rsidR="00684C41">
        <w:rPr>
          <w:lang w:val="en-GB"/>
        </w:rPr>
        <w:t xml:space="preserve"> s</w:t>
      </w:r>
      <w:r w:rsidR="00856281">
        <w:rPr>
          <w:lang w:val="en-GB"/>
        </w:rPr>
        <w:t>ub-</w:t>
      </w:r>
      <w:r w:rsidR="009C5BF4">
        <w:rPr>
          <w:lang w:val="en-GB"/>
        </w:rPr>
        <w:t>P</w:t>
      </w:r>
      <w:r w:rsidR="00856281">
        <w:rPr>
          <w:lang w:val="en-GB"/>
        </w:rPr>
        <w:t xml:space="preserve">RB allocation of PUSCH allows more UEs to be multiplexed in the same </w:t>
      </w:r>
      <w:r w:rsidR="009C5BF4">
        <w:rPr>
          <w:lang w:val="en-GB"/>
        </w:rPr>
        <w:t>P</w:t>
      </w:r>
      <w:r w:rsidR="00856281">
        <w:rPr>
          <w:lang w:val="en-GB"/>
        </w:rPr>
        <w:t>RBs and hence increas</w:t>
      </w:r>
      <w:r w:rsidR="005648A0">
        <w:rPr>
          <w:lang w:val="en-GB"/>
        </w:rPr>
        <w:t>es</w:t>
      </w:r>
      <w:r w:rsidR="00856281">
        <w:rPr>
          <w:lang w:val="en-GB"/>
        </w:rPr>
        <w:t xml:space="preserve"> the user capacity. The details of the spec </w:t>
      </w:r>
      <w:r w:rsidR="00B603D9">
        <w:rPr>
          <w:lang w:val="en-GB"/>
        </w:rPr>
        <w:t>are</w:t>
      </w:r>
      <w:r w:rsidR="00856281">
        <w:rPr>
          <w:lang w:val="en-GB"/>
        </w:rPr>
        <w:t xml:space="preserve"> copied here for </w:t>
      </w:r>
      <w:r w:rsidR="00816C92">
        <w:rPr>
          <w:lang w:val="en-GB"/>
        </w:rPr>
        <w:t>convenience [</w:t>
      </w:r>
      <w:r w:rsidR="00B823C6">
        <w:rPr>
          <w:lang w:val="en-GB"/>
        </w:rPr>
        <w:t>2</w:t>
      </w:r>
      <w:r w:rsidR="00302191">
        <w:rPr>
          <w:lang w:val="en-GB"/>
        </w:rPr>
        <w:t>]</w:t>
      </w:r>
      <w:r w:rsidR="00856281">
        <w:rPr>
          <w:lang w:val="en-GB"/>
        </w:rPr>
        <w:t xml:space="preserve">: </w:t>
      </w:r>
    </w:p>
    <w:p w14:paraId="4D0EA453" w14:textId="4306F82A" w:rsidR="005648A0" w:rsidRDefault="005648A0" w:rsidP="005648A0">
      <w:pPr>
        <w:jc w:val="center"/>
        <w:rPr>
          <w:lang w:val="en-GB"/>
        </w:rPr>
      </w:pPr>
      <w:r>
        <w:rPr>
          <w:lang w:val="en-GB"/>
        </w:rPr>
        <w:t>&lt;36.213&gt;</w:t>
      </w:r>
    </w:p>
    <w:p w14:paraId="785D9774" w14:textId="77777777" w:rsidR="00856281" w:rsidRDefault="00856281" w:rsidP="00856281">
      <w:r w:rsidRPr="00E9040D">
        <w:rPr>
          <w:rFonts w:hint="eastAsia"/>
        </w:rPr>
        <w:t>The resource allocation information</w:t>
      </w:r>
      <w:r w:rsidRPr="00E9040D">
        <w:t xml:space="preserve"> </w:t>
      </w:r>
      <w:r>
        <w:t xml:space="preserve">in uplink DCI format N0 for NPUSCH transmission </w:t>
      </w:r>
      <w:r w:rsidRPr="00E9040D">
        <w:rPr>
          <w:rFonts w:hint="eastAsia"/>
        </w:rPr>
        <w:t>indicates to a sch</w:t>
      </w:r>
      <w:r>
        <w:rPr>
          <w:rFonts w:hint="eastAsia"/>
        </w:rPr>
        <w:t>eduled UE</w:t>
      </w:r>
    </w:p>
    <w:p w14:paraId="39882DE9" w14:textId="77777777" w:rsidR="00856281" w:rsidRDefault="00856281" w:rsidP="00D77E16">
      <w:pPr>
        <w:numPr>
          <w:ilvl w:val="0"/>
          <w:numId w:val="4"/>
        </w:numPr>
        <w:spacing w:after="120"/>
      </w:pPr>
      <w:r>
        <w:rPr>
          <w:rFonts w:hint="eastAsia"/>
        </w:rPr>
        <w:t>a</w:t>
      </w:r>
      <w:r>
        <w:t xml:space="preserve"> </w:t>
      </w:r>
      <w:r w:rsidRPr="00E9040D">
        <w:rPr>
          <w:rFonts w:hint="eastAsia"/>
        </w:rPr>
        <w:t>set of contiguously allocated</w:t>
      </w:r>
      <w:r>
        <w:t xml:space="preserve"> subcarriers (</w:t>
      </w:r>
      <w:r w:rsidRPr="00E9040D">
        <w:rPr>
          <w:position w:val="-10"/>
        </w:rPr>
        <w:object w:dxaOrig="300" w:dyaOrig="340" w14:anchorId="38628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6.8pt" o:ole="">
            <v:imagedata r:id="rId12" o:title=""/>
          </v:shape>
          <o:OLEObject Type="Embed" ProgID="Equation.3" ShapeID="_x0000_i1025" DrawAspect="Content" ObjectID="_1555514904" r:id="rId13"/>
        </w:object>
      </w:r>
      <w:r>
        <w:t xml:space="preserve">) of a resource unit determined by the Subcarrier indication field in the </w:t>
      </w:r>
      <w:r w:rsidRPr="000E2D54">
        <w:rPr>
          <w:rFonts w:hint="eastAsia"/>
          <w:lang w:eastAsia="zh-CN"/>
        </w:rPr>
        <w:t xml:space="preserve">corresponding </w:t>
      </w:r>
      <w:r>
        <w:t xml:space="preserve">DCI, </w:t>
      </w:r>
    </w:p>
    <w:p w14:paraId="3856055C" w14:textId="77777777" w:rsidR="00856281" w:rsidRPr="007947F5" w:rsidRDefault="00856281" w:rsidP="00D77E16">
      <w:pPr>
        <w:numPr>
          <w:ilvl w:val="0"/>
          <w:numId w:val="4"/>
        </w:numPr>
        <w:spacing w:after="120"/>
      </w:pPr>
      <w:r>
        <w:rPr>
          <w:lang w:eastAsia="zh-CN"/>
        </w:rPr>
        <w:t xml:space="preserve">a number of resource units </w:t>
      </w:r>
      <w:r w:rsidRPr="00E9040D">
        <w:t>(</w:t>
      </w:r>
      <w:r w:rsidRPr="00E9040D">
        <w:rPr>
          <w:position w:val="-10"/>
        </w:rPr>
        <w:object w:dxaOrig="440" w:dyaOrig="340" w14:anchorId="367798D6">
          <v:shape id="_x0000_i1026" type="#_x0000_t75" style="width:22.1pt;height:16.8pt" o:ole="">
            <v:imagedata r:id="rId14" o:title=""/>
          </v:shape>
          <o:OLEObject Type="Embed" ProgID="Equation.3" ShapeID="_x0000_i1026" DrawAspect="Content" ObjectID="_1555514905" r:id="rId15"/>
        </w:object>
      </w:r>
      <w:r w:rsidRPr="00E9040D">
        <w:t xml:space="preserve">) </w:t>
      </w:r>
      <w:r w:rsidRPr="000E2D54">
        <w:rPr>
          <w:rFonts w:hint="eastAsia"/>
          <w:lang w:eastAsia="zh-CN"/>
        </w:rPr>
        <w:t xml:space="preserve">determined by the </w:t>
      </w:r>
      <w:r>
        <w:rPr>
          <w:lang w:eastAsia="zh-CN"/>
        </w:rPr>
        <w:t>resource assignment</w:t>
      </w:r>
      <w:r w:rsidRPr="000E2D54">
        <w:rPr>
          <w:rFonts w:hint="eastAsia"/>
          <w:lang w:eastAsia="zh-CN"/>
        </w:rPr>
        <w:t xml:space="preserve"> </w:t>
      </w:r>
      <w:r w:rsidRPr="000E2D54">
        <w:rPr>
          <w:lang w:eastAsia="zh-CN"/>
        </w:rPr>
        <w:t xml:space="preserve">field </w:t>
      </w:r>
      <w:r w:rsidRPr="000E2D54"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according to Table 16.5.1.1-2,</w:t>
      </w:r>
    </w:p>
    <w:p w14:paraId="5C290E70" w14:textId="77777777" w:rsidR="00856281" w:rsidRDefault="00856281" w:rsidP="00856281">
      <w:r w:rsidRPr="005260A4">
        <w:t xml:space="preserve">The subcarrier spacing </w:t>
      </w:r>
      <w:r w:rsidRPr="009D44B9">
        <w:rPr>
          <w:position w:val="-10"/>
        </w:rPr>
        <w:object w:dxaOrig="340" w:dyaOrig="320" w14:anchorId="1A5B54FD">
          <v:shape id="_x0000_i1027" type="#_x0000_t75" style="width:16.8pt;height:15.45pt" o:ole="">
            <v:imagedata r:id="rId16" o:title=""/>
          </v:shape>
          <o:OLEObject Type="Embed" ProgID="Equation.DSMT4" ShapeID="_x0000_i1027" DrawAspect="Content" ObjectID="_1555514906" r:id="rId17"/>
        </w:object>
      </w:r>
      <w:r w:rsidRPr="005260A4">
        <w:t xml:space="preserve"> of NPUSCH transmission is determined by the uplink subcarrier spacing field in the Narrowband Random Access Response Grant according to </w:t>
      </w:r>
      <w:proofErr w:type="spellStart"/>
      <w:r w:rsidRPr="005260A4">
        <w:t>subclause</w:t>
      </w:r>
      <w:proofErr w:type="spellEnd"/>
      <w:r w:rsidRPr="005260A4">
        <w:t xml:space="preserve"> 16.3.3.</w:t>
      </w:r>
    </w:p>
    <w:p w14:paraId="2E1BCDBC" w14:textId="77777777" w:rsidR="00856281" w:rsidRDefault="00856281" w:rsidP="00856281">
      <w:pPr>
        <w:rPr>
          <w:lang w:eastAsia="zh-CN"/>
        </w:rPr>
      </w:pPr>
      <w:r>
        <w:t>For NPUSCH transmission with subcarrier spacing</w:t>
      </w:r>
      <w:r w:rsidRPr="00904B7F">
        <w:rPr>
          <w:position w:val="-10"/>
        </w:rPr>
        <w:object w:dxaOrig="1219" w:dyaOrig="300" w14:anchorId="3CD8244F">
          <v:shape id="_x0000_i1028" type="#_x0000_t75" style="width:56.55pt;height:14.6pt" o:ole="">
            <v:imagedata r:id="rId18" o:title=""/>
          </v:shape>
          <o:OLEObject Type="Embed" ProgID="Equation.3" ShapeID="_x0000_i1028" DrawAspect="Content" ObjectID="_1555514907" r:id="rId19"/>
        </w:object>
      </w:r>
      <w:r>
        <w:t xml:space="preserve">, </w:t>
      </w:r>
      <w:r w:rsidRPr="00E9040D">
        <w:rPr>
          <w:position w:val="-10"/>
        </w:rPr>
        <w:object w:dxaOrig="740" w:dyaOrig="340" w14:anchorId="4AF5BF98">
          <v:shape id="_x0000_i1029" type="#_x0000_t75" style="width:37.1pt;height:16.8pt" o:ole="">
            <v:imagedata r:id="rId20" o:title=""/>
          </v:shape>
          <o:OLEObject Type="Embed" ProgID="Equation.3" ShapeID="_x0000_i1029" DrawAspect="Content" ObjectID="_1555514908" r:id="rId21"/>
        </w:object>
      </w:r>
      <w:r>
        <w:t>where</w:t>
      </w:r>
      <w:r>
        <w:rPr>
          <w:lang w:eastAsia="zh-CN"/>
        </w:rPr>
        <w:t xml:space="preserve"> </w:t>
      </w:r>
      <w:r w:rsidRPr="00E9040D">
        <w:rPr>
          <w:position w:val="-10"/>
        </w:rPr>
        <w:object w:dxaOrig="279" w:dyaOrig="300" w14:anchorId="50C3FC57">
          <v:shape id="_x0000_i1030" type="#_x0000_t75" style="width:14.6pt;height:15pt" o:ole="">
            <v:imagedata r:id="rId22" o:title=""/>
          </v:shape>
          <o:OLEObject Type="Embed" ProgID="Equation.3" ShapeID="_x0000_i1030" DrawAspect="Content" ObjectID="_1555514909" r:id="rId23"/>
        </w:object>
      </w:r>
      <w:r>
        <w:t xml:space="preserve"> is </w:t>
      </w:r>
      <w:r w:rsidRPr="000E2D54">
        <w:rPr>
          <w:rFonts w:hint="eastAsia"/>
          <w:lang w:eastAsia="zh-CN"/>
        </w:rPr>
        <w:t xml:space="preserve">the </w:t>
      </w:r>
      <w:r>
        <w:rPr>
          <w:lang w:eastAsia="zh-CN"/>
        </w:rPr>
        <w:t>subcarrier indication field</w:t>
      </w:r>
      <w:r w:rsidRPr="000E2D5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Pr="000E2D54">
        <w:rPr>
          <w:rFonts w:hint="eastAsia"/>
          <w:lang w:eastAsia="zh-CN"/>
        </w:rPr>
        <w:t>DCI</w:t>
      </w:r>
      <w:r>
        <w:rPr>
          <w:lang w:eastAsia="zh-CN"/>
        </w:rPr>
        <w:t xml:space="preserve">. </w:t>
      </w:r>
      <w:r w:rsidRPr="00E9040D">
        <w:rPr>
          <w:position w:val="-10"/>
        </w:rPr>
        <w:object w:dxaOrig="1400" w:dyaOrig="300" w14:anchorId="09B47272">
          <v:shape id="_x0000_i1031" type="#_x0000_t75" style="width:70.25pt;height:15pt" o:ole="">
            <v:imagedata r:id="rId24" o:title=""/>
          </v:shape>
          <o:OLEObject Type="Embed" ProgID="Equation.3" ShapeID="_x0000_i1031" DrawAspect="Content" ObjectID="_1555514910" r:id="rId25"/>
        </w:object>
      </w:r>
      <w:r>
        <w:t>is reserved.</w:t>
      </w:r>
    </w:p>
    <w:p w14:paraId="7BB0601D" w14:textId="77777777" w:rsidR="00856281" w:rsidRDefault="00856281" w:rsidP="00856281">
      <w:r>
        <w:t>For NPUSCH transmission with subcarrier spacing</w:t>
      </w:r>
      <w:r w:rsidRPr="00904B7F">
        <w:rPr>
          <w:position w:val="-10"/>
        </w:rPr>
        <w:object w:dxaOrig="1060" w:dyaOrig="279" w14:anchorId="6A9734E9">
          <v:shape id="_x0000_i1032" type="#_x0000_t75" style="width:49.45pt;height:12.35pt" o:ole="">
            <v:imagedata r:id="rId26" o:title=""/>
          </v:shape>
          <o:OLEObject Type="Embed" ProgID="Equation.3" ShapeID="_x0000_i1032" DrawAspect="Content" ObjectID="_1555514911" r:id="rId27"/>
        </w:object>
      </w:r>
      <w:r>
        <w:t xml:space="preserve">, </w:t>
      </w:r>
      <w:r w:rsidRPr="000E2D54">
        <w:rPr>
          <w:rFonts w:hint="eastAsia"/>
          <w:lang w:eastAsia="zh-CN"/>
        </w:rPr>
        <w:t xml:space="preserve">the </w:t>
      </w:r>
      <w:r>
        <w:rPr>
          <w:lang w:eastAsia="zh-CN"/>
        </w:rPr>
        <w:t>subcarrier indication field</w:t>
      </w:r>
      <w:r w:rsidRPr="000E2D54">
        <w:rPr>
          <w:lang w:eastAsia="zh-CN"/>
        </w:rPr>
        <w:t xml:space="preserve"> </w:t>
      </w:r>
      <w:r>
        <w:rPr>
          <w:lang w:eastAsia="zh-CN"/>
        </w:rPr>
        <w:t>(</w:t>
      </w:r>
      <w:r w:rsidRPr="00E9040D">
        <w:rPr>
          <w:position w:val="-10"/>
        </w:rPr>
        <w:object w:dxaOrig="279" w:dyaOrig="300" w14:anchorId="45D5C302">
          <v:shape id="_x0000_i1033" type="#_x0000_t75" style="width:14.6pt;height:15pt" o:ole="">
            <v:imagedata r:id="rId22" o:title=""/>
          </v:shape>
          <o:OLEObject Type="Embed" ProgID="Equation.3" ShapeID="_x0000_i1033" DrawAspect="Content" ObjectID="_1555514912" r:id="rId28"/>
        </w:object>
      </w:r>
      <w:r>
        <w:t xml:space="preserve">) </w:t>
      </w:r>
      <w:r>
        <w:rPr>
          <w:rFonts w:hint="eastAsia"/>
          <w:lang w:eastAsia="zh-CN"/>
        </w:rPr>
        <w:t xml:space="preserve">in the </w:t>
      </w:r>
      <w:r w:rsidRPr="000E2D54">
        <w:rPr>
          <w:rFonts w:hint="eastAsia"/>
          <w:lang w:eastAsia="zh-CN"/>
        </w:rPr>
        <w:t>DCI</w:t>
      </w:r>
      <w:r>
        <w:rPr>
          <w:lang w:eastAsia="zh-CN"/>
        </w:rPr>
        <w:t xml:space="preserve"> determines the </w:t>
      </w:r>
      <w:r w:rsidRPr="00E9040D">
        <w:rPr>
          <w:rFonts w:hint="eastAsia"/>
        </w:rPr>
        <w:t>set of contiguously allocated</w:t>
      </w:r>
      <w:r>
        <w:t xml:space="preserve"> subcarriers (</w:t>
      </w:r>
      <w:r w:rsidRPr="00E9040D">
        <w:rPr>
          <w:position w:val="-10"/>
        </w:rPr>
        <w:object w:dxaOrig="300" w:dyaOrig="340" w14:anchorId="34A700F0">
          <v:shape id="_x0000_i1034" type="#_x0000_t75" style="width:15pt;height:16.8pt" o:ole="">
            <v:imagedata r:id="rId12" o:title=""/>
          </v:shape>
          <o:OLEObject Type="Embed" ProgID="Equation.3" ShapeID="_x0000_i1034" DrawAspect="Content" ObjectID="_1555514913" r:id="rId29"/>
        </w:object>
      </w:r>
      <w:r>
        <w:t>) according to Table 16.5.1.1-1.</w:t>
      </w:r>
    </w:p>
    <w:p w14:paraId="386428EE" w14:textId="77777777" w:rsidR="00856281" w:rsidRPr="00E9040D" w:rsidRDefault="00856281" w:rsidP="00856281">
      <w:pPr>
        <w:pStyle w:val="TH"/>
      </w:pPr>
      <w:r>
        <w:lastRenderedPageBreak/>
        <w:t>Table 16.5.1.1-1</w:t>
      </w:r>
      <w:r w:rsidRPr="00E9040D">
        <w:t xml:space="preserve">: </w:t>
      </w:r>
      <w:r>
        <w:t xml:space="preserve">Allocated subcarriers for NPUSCH with </w:t>
      </w:r>
      <w:r w:rsidRPr="00904B7F">
        <w:rPr>
          <w:position w:val="-10"/>
        </w:rPr>
        <w:object w:dxaOrig="1060" w:dyaOrig="279" w14:anchorId="05DBCF88">
          <v:shape id="_x0000_i1035" type="#_x0000_t75" style="width:49.45pt;height:12.35pt" o:ole="">
            <v:imagedata r:id="rId26" o:title=""/>
          </v:shape>
          <o:OLEObject Type="Embed" ProgID="Equation.3" ShapeID="_x0000_i1035" DrawAspect="Content" ObjectID="_1555514914" r:id="rId30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3078"/>
      </w:tblGrid>
      <w:tr w:rsidR="00856281" w:rsidRPr="00E9040D" w14:paraId="2456E4A9" w14:textId="77777777" w:rsidTr="003E034A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7582F79E" w14:textId="77777777" w:rsidR="00856281" w:rsidRPr="00E9040D" w:rsidRDefault="00856281" w:rsidP="003E034A">
            <w:pPr>
              <w:pStyle w:val="TAH"/>
            </w:pPr>
            <w:r>
              <w:rPr>
                <w:lang w:eastAsia="zh-CN"/>
              </w:rPr>
              <w:t>Subcarrier indication field</w:t>
            </w:r>
            <w:r w:rsidRPr="000E2D5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E9040D">
              <w:rPr>
                <w:position w:val="-10"/>
              </w:rPr>
              <w:object w:dxaOrig="279" w:dyaOrig="300" w14:anchorId="5CB54DCD">
                <v:shape id="_x0000_i1036" type="#_x0000_t75" style="width:14.6pt;height:15pt" o:ole="">
                  <v:imagedata r:id="rId22" o:title=""/>
                </v:shape>
                <o:OLEObject Type="Embed" ProgID="Equation.3" ShapeID="_x0000_i1036" DrawAspect="Content" ObjectID="_1555514915" r:id="rId31"/>
              </w:object>
            </w:r>
            <w:r>
              <w:t>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C625B57" w14:textId="77777777" w:rsidR="00856281" w:rsidRPr="00E9040D" w:rsidRDefault="00856281" w:rsidP="003E034A">
            <w:pPr>
              <w:pStyle w:val="TAH"/>
            </w:pPr>
            <w:r>
              <w:t>Set of A</w:t>
            </w:r>
            <w:r w:rsidRPr="00E9040D">
              <w:rPr>
                <w:rFonts w:hint="eastAsia"/>
              </w:rPr>
              <w:t>llocated</w:t>
            </w:r>
            <w:r>
              <w:t xml:space="preserve"> subcarriers (</w:t>
            </w:r>
            <w:r w:rsidRPr="00E9040D">
              <w:rPr>
                <w:position w:val="-10"/>
              </w:rPr>
              <w:object w:dxaOrig="300" w:dyaOrig="340" w14:anchorId="3276908F">
                <v:shape id="_x0000_i1037" type="#_x0000_t75" style="width:15pt;height:16.8pt" o:ole="">
                  <v:imagedata r:id="rId12" o:title=""/>
                </v:shape>
                <o:OLEObject Type="Embed" ProgID="Equation.3" ShapeID="_x0000_i1037" DrawAspect="Content" ObjectID="_1555514916" r:id="rId32"/>
              </w:object>
            </w:r>
            <w:r>
              <w:t xml:space="preserve">) </w:t>
            </w:r>
          </w:p>
        </w:tc>
      </w:tr>
      <w:tr w:rsidR="00856281" w:rsidRPr="00E9040D" w14:paraId="46656285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348EE8E2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rPr>
                <w:lang w:val="de-DE"/>
              </w:rPr>
              <w:t>0 – 1</w:t>
            </w:r>
            <w:r>
              <w:rPr>
                <w:lang w:val="de-DE"/>
              </w:rPr>
              <w:t>1</w:t>
            </w:r>
          </w:p>
        </w:tc>
        <w:tc>
          <w:tcPr>
            <w:tcW w:w="0" w:type="auto"/>
            <w:vAlign w:val="center"/>
          </w:tcPr>
          <w:p w14:paraId="6988F67F" w14:textId="77777777" w:rsidR="00856281" w:rsidRPr="0013150B" w:rsidRDefault="00856281" w:rsidP="003E034A">
            <w:pPr>
              <w:pStyle w:val="TAC"/>
              <w:rPr>
                <w:i/>
                <w:lang w:val="de-DE"/>
              </w:rPr>
            </w:pPr>
            <w:r w:rsidRPr="00E9040D">
              <w:rPr>
                <w:position w:val="-10"/>
              </w:rPr>
              <w:object w:dxaOrig="279" w:dyaOrig="300" w14:anchorId="099484AF">
                <v:shape id="_x0000_i1038" type="#_x0000_t75" style="width:14.6pt;height:15pt" o:ole="">
                  <v:imagedata r:id="rId22" o:title=""/>
                </v:shape>
                <o:OLEObject Type="Embed" ProgID="Equation.3" ShapeID="_x0000_i1038" DrawAspect="Content" ObjectID="_1555514917" r:id="rId33"/>
              </w:object>
            </w:r>
          </w:p>
        </w:tc>
      </w:tr>
      <w:tr w:rsidR="00856281" w:rsidRPr="00E9040D" w14:paraId="339D38F6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3A814FE0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12-15</w:t>
            </w:r>
          </w:p>
        </w:tc>
        <w:tc>
          <w:tcPr>
            <w:tcW w:w="0" w:type="auto"/>
            <w:vAlign w:val="center"/>
          </w:tcPr>
          <w:p w14:paraId="0DE209C3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rPr>
                <w:position w:val="-10"/>
              </w:rPr>
              <w:object w:dxaOrig="1520" w:dyaOrig="300" w14:anchorId="21B2F309">
                <v:shape id="_x0000_i1039" type="#_x0000_t75" style="width:76.85pt;height:15pt" o:ole="">
                  <v:imagedata r:id="rId34" o:title=""/>
                </v:shape>
                <o:OLEObject Type="Embed" ProgID="Equation.3" ShapeID="_x0000_i1039" DrawAspect="Content" ObjectID="_1555514918" r:id="rId35"/>
              </w:object>
            </w:r>
          </w:p>
        </w:tc>
      </w:tr>
      <w:tr w:rsidR="00856281" w:rsidRPr="00E9040D" w14:paraId="68F16EDD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319EF4E8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16-17</w:t>
            </w:r>
          </w:p>
        </w:tc>
        <w:tc>
          <w:tcPr>
            <w:tcW w:w="0" w:type="auto"/>
            <w:vAlign w:val="center"/>
          </w:tcPr>
          <w:p w14:paraId="3A264352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rPr>
                <w:position w:val="-10"/>
              </w:rPr>
              <w:object w:dxaOrig="1939" w:dyaOrig="300" w14:anchorId="6922625B">
                <v:shape id="_x0000_i1040" type="#_x0000_t75" style="width:97.2pt;height:15pt" o:ole="">
                  <v:imagedata r:id="rId36" o:title=""/>
                </v:shape>
                <o:OLEObject Type="Embed" ProgID="Equation.3" ShapeID="_x0000_i1040" DrawAspect="Content" ObjectID="_1555514919" r:id="rId37"/>
              </w:object>
            </w:r>
          </w:p>
        </w:tc>
      </w:tr>
      <w:tr w:rsidR="00856281" w:rsidRPr="00E9040D" w14:paraId="239838EA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1136F878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18</w:t>
            </w:r>
          </w:p>
        </w:tc>
        <w:tc>
          <w:tcPr>
            <w:tcW w:w="0" w:type="auto"/>
            <w:vAlign w:val="center"/>
          </w:tcPr>
          <w:p w14:paraId="04E6C174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rPr>
                <w:position w:val="-10"/>
              </w:rPr>
              <w:object w:dxaOrig="1980" w:dyaOrig="300" w14:anchorId="67241ED7">
                <v:shape id="_x0000_i1041" type="#_x0000_t75" style="width:99.4pt;height:15pt" o:ole="">
                  <v:imagedata r:id="rId38" o:title=""/>
                </v:shape>
                <o:OLEObject Type="Embed" ProgID="Equation.3" ShapeID="_x0000_i1041" DrawAspect="Content" ObjectID="_1555514920" r:id="rId39"/>
              </w:object>
            </w:r>
          </w:p>
        </w:tc>
      </w:tr>
      <w:tr w:rsidR="00856281" w:rsidRPr="00E9040D" w14:paraId="24F5F9B8" w14:textId="77777777" w:rsidTr="003E034A">
        <w:trPr>
          <w:cantSplit/>
          <w:jc w:val="center"/>
        </w:trPr>
        <w:tc>
          <w:tcPr>
            <w:tcW w:w="0" w:type="auto"/>
            <w:vAlign w:val="center"/>
          </w:tcPr>
          <w:p w14:paraId="21CC1E36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19-63</w:t>
            </w:r>
          </w:p>
        </w:tc>
        <w:tc>
          <w:tcPr>
            <w:tcW w:w="0" w:type="auto"/>
            <w:vAlign w:val="center"/>
          </w:tcPr>
          <w:p w14:paraId="2EAFAFBF" w14:textId="77777777" w:rsidR="00856281" w:rsidRPr="00E9040D" w:rsidRDefault="00856281" w:rsidP="003E034A">
            <w:pPr>
              <w:pStyle w:val="TAC"/>
              <w:rPr>
                <w:lang w:val="de-DE"/>
              </w:rPr>
            </w:pPr>
            <w:r w:rsidRPr="00E9040D">
              <w:t>Reserved</w:t>
            </w:r>
          </w:p>
        </w:tc>
      </w:tr>
    </w:tbl>
    <w:p w14:paraId="0B79DEB0" w14:textId="77777777" w:rsidR="00856281" w:rsidRDefault="00856281" w:rsidP="00856281"/>
    <w:p w14:paraId="5D60CD6B" w14:textId="77777777" w:rsidR="00856281" w:rsidRPr="00C25260" w:rsidRDefault="00856281" w:rsidP="00856281">
      <w:pPr>
        <w:pStyle w:val="TH"/>
      </w:pPr>
      <w:r w:rsidRPr="00C25260">
        <w:rPr>
          <w:lang w:val="fr-FR"/>
        </w:rPr>
        <w:t xml:space="preserve">Table </w:t>
      </w:r>
      <w:r>
        <w:t>16.5.1.1-</w:t>
      </w:r>
      <w:proofErr w:type="gramStart"/>
      <w:r>
        <w:t>2</w:t>
      </w:r>
      <w:r w:rsidRPr="00C25260">
        <w:rPr>
          <w:lang w:val="fr-FR"/>
        </w:rPr>
        <w:t>:</w:t>
      </w:r>
      <w:proofErr w:type="gramEnd"/>
      <w:r w:rsidRPr="00C25260">
        <w:rPr>
          <w:lang w:val="fr-FR"/>
        </w:rPr>
        <w:t xml:space="preserve"> </w:t>
      </w:r>
      <w:r>
        <w:rPr>
          <w:lang w:eastAsia="zh-CN"/>
        </w:rPr>
        <w:t xml:space="preserve">Number of resource units </w:t>
      </w:r>
      <w:r w:rsidRPr="00E9040D">
        <w:t>(</w:t>
      </w:r>
      <w:r w:rsidRPr="00E9040D">
        <w:rPr>
          <w:position w:val="-10"/>
        </w:rPr>
        <w:object w:dxaOrig="440" w:dyaOrig="340" w14:anchorId="6FBFF984">
          <v:shape id="_x0000_i1042" type="#_x0000_t75" style="width:22.1pt;height:16.8pt" o:ole="">
            <v:imagedata r:id="rId14" o:title=""/>
          </v:shape>
          <o:OLEObject Type="Embed" ProgID="Equation.3" ShapeID="_x0000_i1042" DrawAspect="Content" ObjectID="_1555514921" r:id="rId40"/>
        </w:object>
      </w:r>
      <w:r w:rsidRPr="00E9040D">
        <w:t xml:space="preserve">) </w:t>
      </w:r>
      <w:r w:rsidRPr="00C25260">
        <w:t xml:space="preserve">for </w:t>
      </w:r>
      <w:r>
        <w:t>NPU</w:t>
      </w:r>
      <w:r w:rsidRPr="00C25260">
        <w:t>SCH.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856281" w:rsidRPr="00C25260" w14:paraId="74E150CE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5B566A6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b/>
              </w:rPr>
            </w:pPr>
            <w:r w:rsidRPr="00E9040D">
              <w:rPr>
                <w:position w:val="-10"/>
              </w:rPr>
              <w:object w:dxaOrig="360" w:dyaOrig="340" w14:anchorId="32D42DDF">
                <v:shape id="_x0000_i1043" type="#_x0000_t75" style="width:18.1pt;height:16.8pt" o:ole="">
                  <v:imagedata r:id="rId41" o:title=""/>
                </v:shape>
                <o:OLEObject Type="Embed" ProgID="Equation.3" ShapeID="_x0000_i1043" DrawAspect="Content" ObjectID="_1555514922" r:id="rId42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B2FD3E7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E9040D">
              <w:rPr>
                <w:position w:val="-10"/>
              </w:rPr>
              <w:object w:dxaOrig="440" w:dyaOrig="340" w14:anchorId="10F093AA">
                <v:shape id="_x0000_i1044" type="#_x0000_t75" style="width:22.1pt;height:16.8pt" o:ole="">
                  <v:imagedata r:id="rId14" o:title=""/>
                </v:shape>
                <o:OLEObject Type="Embed" ProgID="Equation.3" ShapeID="_x0000_i1044" DrawAspect="Content" ObjectID="_1555514923" r:id="rId43"/>
              </w:object>
            </w:r>
          </w:p>
        </w:tc>
      </w:tr>
      <w:tr w:rsidR="00856281" w:rsidRPr="00C25260" w14:paraId="79EAF699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E5F3D6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C81C1A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1</w:t>
            </w:r>
          </w:p>
        </w:tc>
      </w:tr>
      <w:tr w:rsidR="00856281" w:rsidRPr="00C25260" w14:paraId="49342714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0344AB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6E1BFB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2</w:t>
            </w:r>
          </w:p>
        </w:tc>
      </w:tr>
      <w:tr w:rsidR="00856281" w:rsidRPr="00C25260" w14:paraId="47BBE5FA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BFB43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7320BD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3</w:t>
            </w:r>
          </w:p>
        </w:tc>
      </w:tr>
      <w:tr w:rsidR="00856281" w:rsidRPr="00C25260" w14:paraId="6376BF0A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727034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474033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260">
              <w:rPr>
                <w:rFonts w:ascii="Arial" w:eastAsia="MS Mincho" w:hAnsi="Arial"/>
                <w:iCs/>
                <w:sz w:val="18"/>
                <w:lang w:eastAsia="ja-JP"/>
              </w:rPr>
              <w:t>4</w:t>
            </w:r>
          </w:p>
        </w:tc>
      </w:tr>
      <w:tr w:rsidR="00856281" w:rsidRPr="00C25260" w14:paraId="79613542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8BCCA8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3723B2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5</w:t>
            </w:r>
          </w:p>
        </w:tc>
      </w:tr>
      <w:tr w:rsidR="00856281" w:rsidRPr="00C25260" w14:paraId="7FA8C0D0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451DC3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93942F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260">
              <w:rPr>
                <w:rFonts w:ascii="Arial" w:eastAsia="MS Mincho" w:hAnsi="Arial"/>
                <w:iCs/>
                <w:sz w:val="18"/>
                <w:lang w:eastAsia="ja-JP"/>
              </w:rPr>
              <w:t>6</w:t>
            </w:r>
          </w:p>
        </w:tc>
      </w:tr>
      <w:tr w:rsidR="00856281" w:rsidRPr="00C25260" w14:paraId="41F4FC81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F9E194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4FA18A" w14:textId="77777777" w:rsidR="00856281" w:rsidRPr="00C25260" w:rsidRDefault="00856281" w:rsidP="003E0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8</w:t>
            </w:r>
          </w:p>
        </w:tc>
      </w:tr>
      <w:tr w:rsidR="00856281" w:rsidRPr="00C25260" w14:paraId="5C64758D" w14:textId="77777777" w:rsidTr="003E034A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7C4BD" w14:textId="77777777" w:rsidR="00856281" w:rsidRPr="00BC400F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938BBB" w14:textId="77777777" w:rsidR="00856281" w:rsidRDefault="00856281" w:rsidP="003E034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ja-JP"/>
              </w:rPr>
            </w:pPr>
            <w:r>
              <w:rPr>
                <w:rFonts w:ascii="Arial" w:eastAsia="MS Mincho" w:hAnsi="Arial"/>
                <w:iCs/>
                <w:sz w:val="18"/>
                <w:lang w:eastAsia="ja-JP"/>
              </w:rPr>
              <w:t>10</w:t>
            </w:r>
          </w:p>
        </w:tc>
      </w:tr>
    </w:tbl>
    <w:p w14:paraId="0F088AD0" w14:textId="77777777" w:rsidR="005648A0" w:rsidRDefault="005648A0" w:rsidP="005648A0">
      <w:pPr>
        <w:jc w:val="center"/>
        <w:rPr>
          <w:lang w:val="en-GB"/>
        </w:rPr>
      </w:pPr>
    </w:p>
    <w:p w14:paraId="07622DC3" w14:textId="5C825520" w:rsidR="005648A0" w:rsidRDefault="005648A0" w:rsidP="005648A0">
      <w:pPr>
        <w:jc w:val="center"/>
        <w:rPr>
          <w:lang w:val="en-GB"/>
        </w:rPr>
      </w:pPr>
      <w:r>
        <w:rPr>
          <w:lang w:val="en-GB"/>
        </w:rPr>
        <w:t>&lt;/36.213&gt;</w:t>
      </w:r>
    </w:p>
    <w:p w14:paraId="69984420" w14:textId="6A5AD2F9" w:rsidR="00B0165C" w:rsidRDefault="00856281" w:rsidP="0059751D">
      <w:pPr>
        <w:rPr>
          <w:rFonts w:eastAsia="MS Mincho"/>
          <w:lang w:eastAsia="ja-JP"/>
        </w:rPr>
      </w:pPr>
      <w:r>
        <w:rPr>
          <w:lang w:val="en-GB"/>
        </w:rPr>
        <w:t xml:space="preserve">In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>, we have similar deep coverage scenario</w:t>
      </w:r>
      <w:r w:rsidR="002C1E49">
        <w:rPr>
          <w:lang w:val="en-GB"/>
        </w:rPr>
        <w:t>s</w:t>
      </w:r>
      <w:r>
        <w:rPr>
          <w:lang w:val="en-GB"/>
        </w:rPr>
        <w:t xml:space="preserve"> but current minimum resource allocation </w:t>
      </w:r>
      <w:r w:rsidR="00A21BF5">
        <w:rPr>
          <w:lang w:val="en-GB"/>
        </w:rPr>
        <w:t xml:space="preserve">granularity </w:t>
      </w:r>
      <w:r>
        <w:rPr>
          <w:lang w:val="en-GB"/>
        </w:rPr>
        <w:t xml:space="preserve">is still </w:t>
      </w:r>
      <w:r w:rsidR="00302191">
        <w:rPr>
          <w:lang w:val="en-GB"/>
        </w:rPr>
        <w:t xml:space="preserve">limited to </w:t>
      </w:r>
      <w:r w:rsidR="00A21BF5">
        <w:rPr>
          <w:lang w:val="en-GB"/>
        </w:rPr>
        <w:t>one</w:t>
      </w:r>
      <w:r>
        <w:rPr>
          <w:lang w:val="en-GB"/>
        </w:rPr>
        <w:t xml:space="preserve"> </w:t>
      </w:r>
      <w:r w:rsidR="009C5BF4">
        <w:rPr>
          <w:lang w:val="en-GB"/>
        </w:rPr>
        <w:t>P</w:t>
      </w:r>
      <w:r>
        <w:rPr>
          <w:lang w:val="en-GB"/>
        </w:rPr>
        <w:t>RB.</w:t>
      </w:r>
      <w:r w:rsidR="00B0165C">
        <w:rPr>
          <w:lang w:val="en-GB"/>
        </w:rPr>
        <w:t xml:space="preserve"> </w:t>
      </w:r>
      <w:r w:rsidR="002C1E49">
        <w:rPr>
          <w:lang w:val="en-GB"/>
        </w:rPr>
        <w:t xml:space="preserve">When the UE </w:t>
      </w:r>
      <w:proofErr w:type="gramStart"/>
      <w:r w:rsidR="002C1E49">
        <w:rPr>
          <w:lang w:val="en-GB"/>
        </w:rPr>
        <w:t>is</w:t>
      </w:r>
      <w:proofErr w:type="gramEnd"/>
      <w:r w:rsidR="002C1E49">
        <w:rPr>
          <w:lang w:val="en-GB"/>
        </w:rPr>
        <w:t xml:space="preserve"> power limited</w:t>
      </w:r>
      <w:r w:rsidR="00EA215F">
        <w:rPr>
          <w:lang w:val="en-GB"/>
        </w:rPr>
        <w:t xml:space="preserve"> even with 1 </w:t>
      </w:r>
      <w:r w:rsidR="009C5BF4">
        <w:rPr>
          <w:lang w:val="en-GB"/>
        </w:rPr>
        <w:t>P</w:t>
      </w:r>
      <w:r w:rsidR="00EA215F">
        <w:rPr>
          <w:lang w:val="en-GB"/>
        </w:rPr>
        <w:t>RB allocation</w:t>
      </w:r>
      <w:r>
        <w:rPr>
          <w:lang w:val="en-GB"/>
        </w:rPr>
        <w:t xml:space="preserve">, </w:t>
      </w:r>
      <w:r w:rsidR="00302191">
        <w:rPr>
          <w:lang w:val="en-GB"/>
        </w:rPr>
        <w:t>allocating more bandwidth will not increase data rate</w:t>
      </w:r>
      <w:r w:rsidR="00A21BF5">
        <w:rPr>
          <w:lang w:val="en-GB"/>
        </w:rPr>
        <w:t xml:space="preserve"> in deep coverage scenario</w:t>
      </w:r>
      <w:r w:rsidR="00302191">
        <w:rPr>
          <w:lang w:val="en-GB"/>
        </w:rPr>
        <w:t xml:space="preserve">. Correspondingly </w:t>
      </w:r>
      <w:r w:rsidR="00A21BF5">
        <w:rPr>
          <w:lang w:val="en-GB"/>
        </w:rPr>
        <w:t>reducing resource allocation to</w:t>
      </w:r>
      <w:r w:rsidR="00302191">
        <w:rPr>
          <w:lang w:val="en-GB"/>
        </w:rPr>
        <w:t xml:space="preserve"> sub-</w:t>
      </w:r>
      <w:r w:rsidR="009C5BF4">
        <w:rPr>
          <w:lang w:val="en-GB"/>
        </w:rPr>
        <w:t>P</w:t>
      </w:r>
      <w:r w:rsidR="00302191">
        <w:rPr>
          <w:lang w:val="en-GB"/>
        </w:rPr>
        <w:t xml:space="preserve">RB allocation </w:t>
      </w:r>
      <w:r>
        <w:rPr>
          <w:lang w:val="en-GB"/>
        </w:rPr>
        <w:t xml:space="preserve">will not degrade </w:t>
      </w:r>
      <w:r w:rsidR="00302191">
        <w:rPr>
          <w:lang w:val="en-GB"/>
        </w:rPr>
        <w:t>a UE’s data</w:t>
      </w:r>
      <w:r>
        <w:rPr>
          <w:lang w:val="en-GB"/>
        </w:rPr>
        <w:t xml:space="preserve"> rate but may allow more UEs to be multiplexed in the</w:t>
      </w:r>
      <w:r w:rsidR="009C5BF4">
        <w:rPr>
          <w:lang w:val="en-GB"/>
        </w:rPr>
        <w:t xml:space="preserve"> P</w:t>
      </w:r>
      <w:r>
        <w:rPr>
          <w:lang w:val="en-GB"/>
        </w:rPr>
        <w:t xml:space="preserve"> RBs with FDM. It is therefore desirable to </w:t>
      </w:r>
      <w:r w:rsidR="00A21BF5">
        <w:rPr>
          <w:lang w:val="en-GB"/>
        </w:rPr>
        <w:t>add</w:t>
      </w:r>
      <w:r>
        <w:rPr>
          <w:lang w:val="en-GB"/>
        </w:rPr>
        <w:t xml:space="preserve"> sub-</w:t>
      </w:r>
      <w:r w:rsidR="009C5BF4">
        <w:rPr>
          <w:lang w:val="en-GB"/>
        </w:rPr>
        <w:t>P</w:t>
      </w:r>
      <w:r>
        <w:rPr>
          <w:lang w:val="en-GB"/>
        </w:rPr>
        <w:t xml:space="preserve">RB allocation </w:t>
      </w:r>
      <w:r w:rsidR="00A21BF5">
        <w:rPr>
          <w:lang w:val="en-GB"/>
        </w:rPr>
        <w:t xml:space="preserve">support </w:t>
      </w:r>
      <w:r>
        <w:rPr>
          <w:lang w:val="en-GB"/>
        </w:rPr>
        <w:t xml:space="preserve">to </w:t>
      </w:r>
      <w:r w:rsidR="00A21BF5">
        <w:rPr>
          <w:lang w:val="en-GB"/>
        </w:rPr>
        <w:t xml:space="preserve">PUSCH in </w:t>
      </w:r>
      <w:proofErr w:type="spellStart"/>
      <w:r>
        <w:rPr>
          <w:lang w:val="en-GB"/>
        </w:rPr>
        <w:t>eMTC</w:t>
      </w:r>
      <w:proofErr w:type="spellEnd"/>
      <w:r w:rsidR="0059751D">
        <w:rPr>
          <w:lang w:val="en-GB"/>
        </w:rPr>
        <w:t>.</w:t>
      </w:r>
      <w:r w:rsidR="0059751D" w:rsidRPr="0059751D">
        <w:rPr>
          <w:lang w:val="en-GB"/>
        </w:rPr>
        <w:t xml:space="preserve"> </w:t>
      </w:r>
      <w:r w:rsidR="000D494F">
        <w:rPr>
          <w:lang w:val="en-GB"/>
        </w:rPr>
        <w:t xml:space="preserve">The </w:t>
      </w:r>
      <w:r w:rsidR="000D494F">
        <w:rPr>
          <w:rFonts w:eastAsia="MS Mincho"/>
          <w:lang w:eastAsia="ja-JP"/>
        </w:rPr>
        <w:t>NPUSCH design in NB-</w:t>
      </w:r>
      <w:proofErr w:type="spellStart"/>
      <w:r w:rsidR="000D494F">
        <w:rPr>
          <w:rFonts w:eastAsia="MS Mincho"/>
          <w:lang w:eastAsia="ja-JP"/>
        </w:rPr>
        <w:t>IoT</w:t>
      </w:r>
      <w:proofErr w:type="spellEnd"/>
      <w:r w:rsidR="000D494F">
        <w:rPr>
          <w:rFonts w:eastAsia="MS Mincho"/>
          <w:lang w:eastAsia="ja-JP"/>
        </w:rPr>
        <w:t xml:space="preserve"> can be reused if the sub-</w:t>
      </w:r>
      <w:r w:rsidR="009C5BF4">
        <w:rPr>
          <w:rFonts w:eastAsia="MS Mincho"/>
          <w:lang w:eastAsia="ja-JP"/>
        </w:rPr>
        <w:t>P</w:t>
      </w:r>
      <w:r w:rsidR="000D494F">
        <w:rPr>
          <w:rFonts w:eastAsia="MS Mincho"/>
          <w:lang w:eastAsia="ja-JP"/>
        </w:rPr>
        <w:t xml:space="preserve">RB allocation is supported in </w:t>
      </w:r>
      <w:proofErr w:type="spellStart"/>
      <w:r w:rsidR="000D494F">
        <w:rPr>
          <w:rFonts w:eastAsia="MS Mincho"/>
          <w:lang w:eastAsia="ja-JP"/>
        </w:rPr>
        <w:t>eMTC</w:t>
      </w:r>
      <w:proofErr w:type="spellEnd"/>
      <w:r w:rsidR="000D494F">
        <w:rPr>
          <w:rFonts w:eastAsia="MS Mincho"/>
          <w:lang w:eastAsia="ja-JP"/>
        </w:rPr>
        <w:t>. The</w:t>
      </w:r>
      <w:r w:rsidR="00BD0410">
        <w:rPr>
          <w:rFonts w:eastAsia="MS Mincho"/>
          <w:lang w:eastAsia="ja-JP"/>
        </w:rPr>
        <w:t xml:space="preserve"> allowable number of subcarriers for the</w:t>
      </w:r>
      <w:r w:rsidR="000D494F">
        <w:rPr>
          <w:rFonts w:eastAsia="MS Mincho"/>
          <w:lang w:eastAsia="ja-JP"/>
        </w:rPr>
        <w:t xml:space="preserve"> sub-</w:t>
      </w:r>
      <w:r w:rsidR="009C5BF4">
        <w:rPr>
          <w:rFonts w:eastAsia="MS Mincho"/>
          <w:lang w:eastAsia="ja-JP"/>
        </w:rPr>
        <w:t>P</w:t>
      </w:r>
      <w:r w:rsidR="000D494F">
        <w:rPr>
          <w:rFonts w:eastAsia="MS Mincho"/>
          <w:lang w:eastAsia="ja-JP"/>
        </w:rPr>
        <w:t xml:space="preserve">RB allocation can be </w:t>
      </w:r>
      <w:r w:rsidR="00BD0410">
        <w:rPr>
          <w:rFonts w:eastAsia="MS Mincho"/>
          <w:lang w:eastAsia="ja-JP"/>
        </w:rPr>
        <w:t xml:space="preserve">1, 3 and 6. Further study on other </w:t>
      </w:r>
      <w:r w:rsidR="00273AD1">
        <w:rPr>
          <w:rFonts w:eastAsia="MS Mincho"/>
          <w:lang w:eastAsia="ja-JP"/>
        </w:rPr>
        <w:t xml:space="preserve">allowable </w:t>
      </w:r>
      <w:r w:rsidR="00BD0410">
        <w:rPr>
          <w:rFonts w:eastAsia="MS Mincho"/>
          <w:lang w:eastAsia="ja-JP"/>
        </w:rPr>
        <w:t xml:space="preserve">values such as 4 subcarriers for TDD </w:t>
      </w:r>
      <w:r w:rsidR="002C1E49">
        <w:rPr>
          <w:rFonts w:eastAsia="MS Mincho"/>
          <w:lang w:eastAsia="ja-JP"/>
        </w:rPr>
        <w:t xml:space="preserve">can also be considered </w:t>
      </w:r>
      <w:r w:rsidR="00BD0410">
        <w:rPr>
          <w:rFonts w:eastAsia="MS Mincho"/>
          <w:lang w:eastAsia="ja-JP"/>
        </w:rPr>
        <w:t xml:space="preserve">considering the limited number of consecutive UL </w:t>
      </w:r>
      <w:proofErr w:type="spellStart"/>
      <w:r w:rsidR="00BD0410">
        <w:rPr>
          <w:rFonts w:eastAsia="MS Mincho"/>
          <w:lang w:eastAsia="ja-JP"/>
        </w:rPr>
        <w:t>subframes</w:t>
      </w:r>
      <w:proofErr w:type="spellEnd"/>
      <w:r w:rsidR="00BD0410">
        <w:rPr>
          <w:rFonts w:eastAsia="MS Mincho"/>
          <w:lang w:eastAsia="ja-JP"/>
        </w:rPr>
        <w:t xml:space="preserve">. </w:t>
      </w:r>
    </w:p>
    <w:p w14:paraId="3809BD5C" w14:textId="3DE39007" w:rsidR="00B0165C" w:rsidRDefault="00BD0410" w:rsidP="0059751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</w:t>
      </w:r>
      <w:r w:rsidR="000D494F">
        <w:rPr>
          <w:rFonts w:eastAsia="MS Mincho"/>
          <w:lang w:eastAsia="ja-JP"/>
        </w:rPr>
        <w:t xml:space="preserve">he resource unit </w:t>
      </w:r>
      <w:r w:rsidR="005575DE">
        <w:rPr>
          <w:rFonts w:eastAsia="MS Mincho"/>
          <w:lang w:eastAsia="ja-JP"/>
        </w:rPr>
        <w:t xml:space="preserve">(RU) </w:t>
      </w:r>
      <w:r>
        <w:rPr>
          <w:rFonts w:eastAsia="MS Mincho"/>
          <w:lang w:eastAsia="ja-JP"/>
        </w:rPr>
        <w:t>concept in NB-</w:t>
      </w:r>
      <w:proofErr w:type="spellStart"/>
      <w:r>
        <w:rPr>
          <w:rFonts w:eastAsia="MS Mincho"/>
          <w:lang w:eastAsia="ja-JP"/>
        </w:rPr>
        <w:t>IoT</w:t>
      </w:r>
      <w:proofErr w:type="spellEnd"/>
      <w:r>
        <w:rPr>
          <w:rFonts w:eastAsia="MS Mincho"/>
          <w:lang w:eastAsia="ja-JP"/>
        </w:rPr>
        <w:t xml:space="preserve"> can also be adopted for the sub-</w:t>
      </w:r>
      <w:r w:rsidR="009C5BF4">
        <w:rPr>
          <w:rFonts w:eastAsia="MS Mincho"/>
          <w:lang w:eastAsia="ja-JP"/>
        </w:rPr>
        <w:t>P</w:t>
      </w:r>
      <w:r>
        <w:rPr>
          <w:rFonts w:eastAsia="MS Mincho"/>
          <w:lang w:eastAsia="ja-JP"/>
        </w:rPr>
        <w:t xml:space="preserve">RB allocation in </w:t>
      </w:r>
      <w:proofErr w:type="spellStart"/>
      <w:r>
        <w:rPr>
          <w:rFonts w:eastAsia="MS Mincho"/>
          <w:lang w:eastAsia="ja-JP"/>
        </w:rPr>
        <w:t>eMTC</w:t>
      </w:r>
      <w:proofErr w:type="spellEnd"/>
      <w:r>
        <w:rPr>
          <w:rFonts w:eastAsia="MS Mincho"/>
          <w:lang w:eastAsia="ja-JP"/>
        </w:rPr>
        <w:t xml:space="preserve"> where a resource unit </w:t>
      </w:r>
      <w:r w:rsidR="000D494F">
        <w:rPr>
          <w:rFonts w:eastAsia="MS Mincho"/>
          <w:lang w:eastAsia="ja-JP"/>
        </w:rPr>
        <w:t>is defined by x subca</w:t>
      </w:r>
      <w:r w:rsidR="003725A6">
        <w:rPr>
          <w:rFonts w:eastAsia="MS Mincho"/>
          <w:lang w:eastAsia="ja-JP"/>
        </w:rPr>
        <w:t>rriers</w:t>
      </w:r>
      <w:r w:rsidR="000D494F">
        <w:rPr>
          <w:rFonts w:eastAsia="MS Mincho"/>
          <w:lang w:eastAsia="ja-JP"/>
        </w:rPr>
        <w:t xml:space="preserve"> × y </w:t>
      </w:r>
      <w:proofErr w:type="spellStart"/>
      <w:r w:rsidR="000D494F">
        <w:rPr>
          <w:rFonts w:eastAsia="MS Mincho"/>
          <w:lang w:eastAsia="ja-JP"/>
        </w:rPr>
        <w:t>subframes</w:t>
      </w:r>
      <w:proofErr w:type="spellEnd"/>
      <w:r>
        <w:rPr>
          <w:rFonts w:eastAsia="MS Mincho"/>
          <w:lang w:eastAsia="ja-JP"/>
        </w:rPr>
        <w:t xml:space="preserve"> with </w:t>
      </w:r>
      <w:r w:rsidR="00D0025B" w:rsidRPr="00BD0410">
        <w:rPr>
          <w:rFonts w:eastAsia="MS Mincho"/>
          <w:lang w:eastAsia="ja-JP"/>
        </w:rPr>
        <w:t xml:space="preserve">the constraint that x*y </w:t>
      </w:r>
      <w:r w:rsidR="00B0165C">
        <w:rPr>
          <w:rFonts w:eastAsia="MS Mincho"/>
          <w:lang w:eastAsia="ja-JP"/>
        </w:rPr>
        <w:t>close to 12 subcarriers</w:t>
      </w:r>
      <w:r>
        <w:rPr>
          <w:rFonts w:eastAsia="MS Mincho"/>
          <w:lang w:eastAsia="ja-JP"/>
        </w:rPr>
        <w:t>. It is desirable not to support 3.75KH</w:t>
      </w:r>
      <w:r w:rsidR="00B0165C">
        <w:rPr>
          <w:rFonts w:eastAsia="MS Mincho"/>
          <w:lang w:eastAsia="ja-JP"/>
        </w:rPr>
        <w:t>z</w:t>
      </w:r>
      <w:r>
        <w:rPr>
          <w:rFonts w:eastAsia="MS Mincho"/>
          <w:lang w:eastAsia="ja-JP"/>
        </w:rPr>
        <w:t xml:space="preserve"> subcarrier spacing when the NPUSH based design in NB-</w:t>
      </w:r>
      <w:proofErr w:type="spellStart"/>
      <w:r>
        <w:rPr>
          <w:rFonts w:eastAsia="MS Mincho"/>
          <w:lang w:eastAsia="ja-JP"/>
        </w:rPr>
        <w:t>IoT</w:t>
      </w:r>
      <w:proofErr w:type="spellEnd"/>
      <w:r>
        <w:rPr>
          <w:rFonts w:eastAsia="MS Mincho"/>
          <w:lang w:eastAsia="ja-JP"/>
        </w:rPr>
        <w:t xml:space="preserve"> is used for the sub-</w:t>
      </w:r>
      <w:r w:rsidR="009C5BF4">
        <w:rPr>
          <w:rFonts w:eastAsia="MS Mincho"/>
          <w:lang w:eastAsia="ja-JP"/>
        </w:rPr>
        <w:t>P</w:t>
      </w:r>
      <w:r>
        <w:rPr>
          <w:rFonts w:eastAsia="MS Mincho"/>
          <w:lang w:eastAsia="ja-JP"/>
        </w:rPr>
        <w:t xml:space="preserve">RB allocation in </w:t>
      </w:r>
      <w:proofErr w:type="spellStart"/>
      <w:r>
        <w:rPr>
          <w:rFonts w:eastAsia="MS Mincho"/>
          <w:lang w:eastAsia="ja-JP"/>
        </w:rPr>
        <w:t>eMTC</w:t>
      </w:r>
      <w:proofErr w:type="spellEnd"/>
      <w:r>
        <w:rPr>
          <w:rFonts w:eastAsia="MS Mincho"/>
          <w:lang w:eastAsia="ja-JP"/>
        </w:rPr>
        <w:t xml:space="preserve"> since it will </w:t>
      </w:r>
      <w:r w:rsidR="005575DE">
        <w:rPr>
          <w:rFonts w:eastAsia="MS Mincho"/>
          <w:lang w:eastAsia="ja-JP"/>
        </w:rPr>
        <w:t xml:space="preserve">complicate the </w:t>
      </w:r>
      <w:r>
        <w:rPr>
          <w:rFonts w:eastAsia="MS Mincho"/>
          <w:lang w:eastAsia="ja-JP"/>
        </w:rPr>
        <w:t>co-schedul</w:t>
      </w:r>
      <w:r w:rsidR="005575DE">
        <w:rPr>
          <w:rFonts w:eastAsia="MS Mincho"/>
          <w:lang w:eastAsia="ja-JP"/>
        </w:rPr>
        <w:t xml:space="preserve">ing of </w:t>
      </w:r>
      <w:r>
        <w:rPr>
          <w:rFonts w:eastAsia="MS Mincho"/>
          <w:lang w:eastAsia="ja-JP"/>
        </w:rPr>
        <w:t>the sub-</w:t>
      </w:r>
      <w:r w:rsidR="009C5BF4">
        <w:rPr>
          <w:rFonts w:eastAsia="MS Mincho"/>
          <w:lang w:eastAsia="ja-JP"/>
        </w:rPr>
        <w:t>P</w:t>
      </w:r>
      <w:r>
        <w:rPr>
          <w:rFonts w:eastAsia="MS Mincho"/>
          <w:lang w:eastAsia="ja-JP"/>
        </w:rPr>
        <w:t xml:space="preserve">RB </w:t>
      </w:r>
      <w:r w:rsidR="005575DE">
        <w:rPr>
          <w:rFonts w:eastAsia="MS Mincho"/>
          <w:lang w:eastAsia="ja-JP"/>
        </w:rPr>
        <w:t xml:space="preserve">capable UE and the legacy </w:t>
      </w:r>
      <w:proofErr w:type="spellStart"/>
      <w:r w:rsidR="005575DE">
        <w:rPr>
          <w:rFonts w:eastAsia="MS Mincho"/>
          <w:lang w:eastAsia="ja-JP"/>
        </w:rPr>
        <w:t>eMTC</w:t>
      </w:r>
      <w:proofErr w:type="spellEnd"/>
      <w:r w:rsidR="005575DE">
        <w:rPr>
          <w:rFonts w:eastAsia="MS Mincho"/>
          <w:lang w:eastAsia="ja-JP"/>
        </w:rPr>
        <w:t xml:space="preserve"> UE. </w:t>
      </w:r>
      <w:r w:rsidR="000D494F">
        <w:rPr>
          <w:rFonts w:eastAsia="MS Mincho"/>
          <w:lang w:eastAsia="ja-JP"/>
        </w:rPr>
        <w:t xml:space="preserve"> </w:t>
      </w:r>
    </w:p>
    <w:p w14:paraId="5CF474DE" w14:textId="15F33E47" w:rsidR="005575DE" w:rsidRDefault="000D494F" w:rsidP="005575DE">
      <w:pPr>
        <w:rPr>
          <w:lang w:val="en-GB"/>
        </w:rPr>
      </w:pPr>
      <w:r>
        <w:rPr>
          <w:lang w:val="en-GB"/>
        </w:rPr>
        <w:t xml:space="preserve">To </w:t>
      </w:r>
      <w:r w:rsidR="005575DE">
        <w:rPr>
          <w:lang w:val="en-GB"/>
        </w:rPr>
        <w:t xml:space="preserve">further </w:t>
      </w:r>
      <w:r>
        <w:rPr>
          <w:lang w:val="en-GB"/>
        </w:rPr>
        <w:t>improve PUSCH</w:t>
      </w:r>
      <w:r w:rsidR="005575DE">
        <w:rPr>
          <w:lang w:val="en-GB"/>
        </w:rPr>
        <w:t xml:space="preserve"> spectrum efficiency</w:t>
      </w:r>
      <w:r>
        <w:rPr>
          <w:lang w:val="en-GB"/>
        </w:rPr>
        <w:t>, higher modulation order</w:t>
      </w:r>
      <w:r w:rsidR="003725A6">
        <w:rPr>
          <w:lang w:val="en-GB"/>
        </w:rPr>
        <w:t xml:space="preserve"> (16 QAM)</w:t>
      </w:r>
      <w:r>
        <w:rPr>
          <w:lang w:val="en-GB"/>
        </w:rPr>
        <w:t xml:space="preserve"> </w:t>
      </w:r>
      <w:r w:rsidR="002C1E49">
        <w:rPr>
          <w:lang w:val="en-GB"/>
        </w:rPr>
        <w:t>with sub-</w:t>
      </w:r>
      <w:r w:rsidR="009C5BF4">
        <w:rPr>
          <w:lang w:val="en-GB"/>
        </w:rPr>
        <w:t>P</w:t>
      </w:r>
      <w:r w:rsidR="002C1E49">
        <w:rPr>
          <w:lang w:val="en-GB"/>
        </w:rPr>
        <w:t xml:space="preserve">RB allocation </w:t>
      </w:r>
      <w:r>
        <w:rPr>
          <w:lang w:val="en-GB"/>
        </w:rPr>
        <w:t>can</w:t>
      </w:r>
      <w:r w:rsidR="00EA215F">
        <w:rPr>
          <w:lang w:val="en-GB"/>
        </w:rPr>
        <w:t xml:space="preserve"> also</w:t>
      </w:r>
      <w:r>
        <w:rPr>
          <w:lang w:val="en-GB"/>
        </w:rPr>
        <w:t xml:space="preserve"> be considered. </w:t>
      </w:r>
      <w:r w:rsidR="005575DE">
        <w:rPr>
          <w:lang w:val="en-GB"/>
        </w:rPr>
        <w:t xml:space="preserve">In </w:t>
      </w:r>
      <w:r w:rsidR="00EA215F">
        <w:rPr>
          <w:lang w:val="en-GB"/>
        </w:rPr>
        <w:t>many applications</w:t>
      </w:r>
      <w:r w:rsidR="0059751D">
        <w:rPr>
          <w:lang w:val="en-GB"/>
        </w:rPr>
        <w:t xml:space="preserve">, a low </w:t>
      </w:r>
      <w:r w:rsidR="00302191">
        <w:rPr>
          <w:lang w:val="en-GB"/>
        </w:rPr>
        <w:t xml:space="preserve">data </w:t>
      </w:r>
      <w:r w:rsidR="0059751D">
        <w:rPr>
          <w:lang w:val="en-GB"/>
        </w:rPr>
        <w:t xml:space="preserve">rate UE may have </w:t>
      </w:r>
      <w:r w:rsidR="003725A6">
        <w:rPr>
          <w:lang w:val="en-GB"/>
        </w:rPr>
        <w:t xml:space="preserve">a very </w:t>
      </w:r>
      <w:r w:rsidR="0059751D">
        <w:rPr>
          <w:lang w:val="en-GB"/>
        </w:rPr>
        <w:t>small payload to transmit</w:t>
      </w:r>
      <w:r w:rsidR="003725A6">
        <w:rPr>
          <w:lang w:val="en-GB"/>
        </w:rPr>
        <w:t xml:space="preserve">. </w:t>
      </w:r>
      <w:r w:rsidR="00EA215F">
        <w:rPr>
          <w:lang w:val="en-GB"/>
        </w:rPr>
        <w:t>In high SNR scenarios, u</w:t>
      </w:r>
      <w:r w:rsidR="003725A6">
        <w:rPr>
          <w:lang w:val="en-GB"/>
        </w:rPr>
        <w:t xml:space="preserve">sing the current minimum allocation of a full </w:t>
      </w:r>
      <w:r w:rsidR="009C5BF4">
        <w:rPr>
          <w:lang w:val="en-GB"/>
        </w:rPr>
        <w:t>P</w:t>
      </w:r>
      <w:r w:rsidR="003725A6">
        <w:rPr>
          <w:lang w:val="en-GB"/>
        </w:rPr>
        <w:t>RB may be wasteful of UL resources.</w:t>
      </w:r>
      <w:r w:rsidR="00B0165C">
        <w:rPr>
          <w:lang w:val="en-GB"/>
        </w:rPr>
        <w:t xml:space="preserve"> </w:t>
      </w:r>
      <w:r w:rsidR="003725A6">
        <w:rPr>
          <w:lang w:val="en-GB"/>
        </w:rPr>
        <w:t xml:space="preserve">The </w:t>
      </w:r>
      <w:r w:rsidR="0059751D">
        <w:rPr>
          <w:lang w:val="en-GB"/>
        </w:rPr>
        <w:t xml:space="preserve">UE may </w:t>
      </w:r>
      <w:r w:rsidR="003725A6">
        <w:rPr>
          <w:lang w:val="en-GB"/>
        </w:rPr>
        <w:t xml:space="preserve">be able to </w:t>
      </w:r>
      <w:r w:rsidR="0059751D">
        <w:rPr>
          <w:lang w:val="en-GB"/>
        </w:rPr>
        <w:t xml:space="preserve">transmit its data with a 16QAM modulation and 3 </w:t>
      </w:r>
      <w:r w:rsidR="00CB586B">
        <w:rPr>
          <w:lang w:val="en-GB"/>
        </w:rPr>
        <w:t xml:space="preserve">tones </w:t>
      </w:r>
      <w:r w:rsidR="0059751D">
        <w:rPr>
          <w:lang w:val="en-GB"/>
        </w:rPr>
        <w:t>only</w:t>
      </w:r>
      <w:r w:rsidR="00302191">
        <w:rPr>
          <w:lang w:val="en-GB"/>
        </w:rPr>
        <w:t xml:space="preserve"> and still meet its performance requirement</w:t>
      </w:r>
      <w:r w:rsidR="0059751D">
        <w:rPr>
          <w:lang w:val="en-GB"/>
        </w:rPr>
        <w:t xml:space="preserve">. </w:t>
      </w:r>
      <w:r w:rsidR="00302191">
        <w:rPr>
          <w:lang w:val="en-GB"/>
        </w:rPr>
        <w:t xml:space="preserve">The remaining fractional </w:t>
      </w:r>
      <w:r w:rsidR="009C5BF4">
        <w:rPr>
          <w:lang w:val="en-GB"/>
        </w:rPr>
        <w:t>P</w:t>
      </w:r>
      <w:r w:rsidR="00302191">
        <w:rPr>
          <w:lang w:val="en-GB"/>
        </w:rPr>
        <w:t xml:space="preserve">RBs may then be used for other UEs. </w:t>
      </w:r>
      <w:r w:rsidR="0059751D">
        <w:rPr>
          <w:lang w:val="en-GB"/>
        </w:rPr>
        <w:t xml:space="preserve">This can significantly boost the system </w:t>
      </w:r>
      <w:r w:rsidR="00DD5889">
        <w:rPr>
          <w:lang w:val="en-GB"/>
        </w:rPr>
        <w:t>capacity</w:t>
      </w:r>
      <w:r w:rsidR="005575DE">
        <w:rPr>
          <w:lang w:val="en-GB"/>
        </w:rPr>
        <w:t xml:space="preserve">. </w:t>
      </w:r>
    </w:p>
    <w:p w14:paraId="36AB20A4" w14:textId="7DB53EFD" w:rsidR="006959E0" w:rsidRPr="006959E0" w:rsidRDefault="006959E0" w:rsidP="006959E0">
      <w:pPr>
        <w:rPr>
          <w:lang w:val="en-GB"/>
        </w:rPr>
      </w:pPr>
      <w:r>
        <w:rPr>
          <w:lang w:val="en-GB"/>
        </w:rPr>
        <w:t>Figure</w:t>
      </w:r>
      <w:r w:rsidR="00273AD1">
        <w:rPr>
          <w:lang w:val="en-GB"/>
        </w:rPr>
        <w:t xml:space="preserve"> 1 below shows the </w:t>
      </w:r>
      <w:r>
        <w:rPr>
          <w:lang w:val="en-GB"/>
        </w:rPr>
        <w:t xml:space="preserve">UL </w:t>
      </w:r>
      <w:r w:rsidR="00273AD1">
        <w:rPr>
          <w:lang w:val="en-GB"/>
        </w:rPr>
        <w:t xml:space="preserve">spectrum </w:t>
      </w:r>
      <w:r w:rsidR="00B0165C">
        <w:rPr>
          <w:lang w:val="en-GB"/>
        </w:rPr>
        <w:t>efficiency</w:t>
      </w:r>
      <w:r w:rsidR="00273AD1">
        <w:rPr>
          <w:lang w:val="en-GB"/>
        </w:rPr>
        <w:t xml:space="preserve"> </w:t>
      </w:r>
      <w:r>
        <w:rPr>
          <w:lang w:val="en-GB"/>
        </w:rPr>
        <w:t xml:space="preserve">as a function of the coupling loss for 1 RB and 1 tone resource allocation. </w:t>
      </w:r>
      <w:r w:rsidR="00273AD1">
        <w:rPr>
          <w:lang w:val="en-GB"/>
        </w:rPr>
        <w:t xml:space="preserve"> </w:t>
      </w:r>
      <w:r>
        <w:rPr>
          <w:lang w:val="en-GB"/>
        </w:rPr>
        <w:t>E</w:t>
      </w:r>
      <w:r w:rsidRPr="006959E0">
        <w:rPr>
          <w:lang w:val="en-GB"/>
        </w:rPr>
        <w:t xml:space="preserve">ach of the points </w:t>
      </w:r>
      <w:r>
        <w:rPr>
          <w:lang w:val="en-GB"/>
        </w:rPr>
        <w:t xml:space="preserve">in the figure </w:t>
      </w:r>
      <w:r w:rsidRPr="006959E0">
        <w:rPr>
          <w:lang w:val="en-GB"/>
        </w:rPr>
        <w:t>is one realization of "MCS/#repetitions", and the lines are the outer region by selecting the best combin</w:t>
      </w:r>
      <w:r>
        <w:rPr>
          <w:lang w:val="en-GB"/>
        </w:rPr>
        <w:t xml:space="preserve">ation. From the figure, it can be seen that the </w:t>
      </w:r>
      <w:r w:rsidRPr="006959E0">
        <w:rPr>
          <w:lang w:val="en-GB"/>
        </w:rPr>
        <w:t xml:space="preserve">single tone </w:t>
      </w:r>
      <w:r>
        <w:rPr>
          <w:lang w:val="en-GB"/>
        </w:rPr>
        <w:t xml:space="preserve">allocation </w:t>
      </w:r>
      <w:r w:rsidRPr="006959E0">
        <w:rPr>
          <w:lang w:val="en-GB"/>
        </w:rPr>
        <w:t>has much higher spectral efficiency (</w:t>
      </w:r>
      <w:r>
        <w:rPr>
          <w:lang w:val="en-GB"/>
        </w:rPr>
        <w:t xml:space="preserve">can be </w:t>
      </w:r>
      <w:r w:rsidRPr="006959E0">
        <w:rPr>
          <w:lang w:val="en-GB"/>
        </w:rPr>
        <w:t>12 times more</w:t>
      </w:r>
      <w:r>
        <w:rPr>
          <w:lang w:val="en-GB"/>
        </w:rPr>
        <w:t xml:space="preserve"> in some cases</w:t>
      </w:r>
      <w:r w:rsidRPr="006959E0">
        <w:rPr>
          <w:lang w:val="en-GB"/>
        </w:rPr>
        <w:t xml:space="preserve">) than </w:t>
      </w:r>
      <w:r>
        <w:rPr>
          <w:lang w:val="en-GB"/>
        </w:rPr>
        <w:t xml:space="preserve">the 1 </w:t>
      </w:r>
      <w:r w:rsidRPr="006959E0">
        <w:rPr>
          <w:lang w:val="en-GB"/>
        </w:rPr>
        <w:t>RB</w:t>
      </w:r>
      <w:r>
        <w:rPr>
          <w:lang w:val="en-GB"/>
        </w:rPr>
        <w:t xml:space="preserve">. Even at relatively high SNR (e.g., 140dB MCL), the </w:t>
      </w:r>
      <w:r w:rsidRPr="006959E0">
        <w:rPr>
          <w:lang w:val="en-GB"/>
        </w:rPr>
        <w:t xml:space="preserve">sub-PRB allocation </w:t>
      </w:r>
      <w:r>
        <w:rPr>
          <w:lang w:val="en-GB"/>
        </w:rPr>
        <w:t xml:space="preserve">can </w:t>
      </w:r>
      <w:r w:rsidR="00A43014">
        <w:rPr>
          <w:lang w:val="en-GB"/>
        </w:rPr>
        <w:t>substantially increase</w:t>
      </w:r>
      <w:r>
        <w:rPr>
          <w:lang w:val="en-GB"/>
        </w:rPr>
        <w:t xml:space="preserve"> the SE.</w:t>
      </w:r>
      <w:r w:rsidR="00A43014">
        <w:rPr>
          <w:lang w:val="en-GB"/>
        </w:rPr>
        <w:t xml:space="preserve"> This increase would be further improved if higher order modulation (</w:t>
      </w:r>
      <w:proofErr w:type="spellStart"/>
      <w:r w:rsidR="00A43014">
        <w:rPr>
          <w:lang w:val="en-GB"/>
        </w:rPr>
        <w:t>e.g</w:t>
      </w:r>
      <w:proofErr w:type="spellEnd"/>
      <w:r w:rsidR="00A43014">
        <w:rPr>
          <w:lang w:val="en-GB"/>
        </w:rPr>
        <w:t xml:space="preserve"> 16QAM) could be adopted for single-tone or sub-PRB transmissions.</w:t>
      </w:r>
      <w:bookmarkStart w:id="2" w:name="_GoBack"/>
      <w:bookmarkEnd w:id="2"/>
    </w:p>
    <w:p w14:paraId="3171987E" w14:textId="682CF295" w:rsidR="006959E0" w:rsidRDefault="006959E0" w:rsidP="006959E0">
      <w:pPr>
        <w:jc w:val="center"/>
        <w:rPr>
          <w:lang w:val="en-GB"/>
        </w:rPr>
      </w:pPr>
      <w:r w:rsidRPr="006959E0">
        <w:rPr>
          <w:noProof/>
        </w:rPr>
        <w:lastRenderedPageBreak/>
        <w:drawing>
          <wp:inline distT="0" distB="0" distL="0" distR="0" wp14:anchorId="6C3F8148" wp14:editId="6C8FE0D8">
            <wp:extent cx="4540858" cy="3407465"/>
            <wp:effectExtent l="0" t="0" r="0" b="254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548969" cy="341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32E86" w14:textId="0A7D5243" w:rsidR="006959E0" w:rsidRPr="006959E0" w:rsidRDefault="006959E0" w:rsidP="006959E0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1: UL spectrum efficiency </w:t>
      </w:r>
      <w:r>
        <w:rPr>
          <w:b/>
          <w:lang w:val="en-GB" w:eastAsia="zh-CN"/>
        </w:rPr>
        <w:t>vs.</w:t>
      </w:r>
      <w:r w:rsidRPr="006959E0">
        <w:rPr>
          <w:rFonts w:hint="eastAsia"/>
          <w:b/>
          <w:lang w:val="en-GB" w:eastAsia="zh-CN"/>
        </w:rPr>
        <w:t xml:space="preserve"> CL</w:t>
      </w:r>
    </w:p>
    <w:p w14:paraId="48AAA646" w14:textId="77777777" w:rsidR="00B603D9" w:rsidRDefault="00B603D9" w:rsidP="00B603D9">
      <w:pPr>
        <w:rPr>
          <w:lang w:val="en-GB"/>
        </w:rPr>
      </w:pPr>
    </w:p>
    <w:p w14:paraId="3EDED8D8" w14:textId="348E0D8D" w:rsidR="00B603D9" w:rsidRDefault="00B603D9" w:rsidP="00B603D9">
      <w:pPr>
        <w:rPr>
          <w:lang w:val="en-GB"/>
        </w:rPr>
      </w:pPr>
      <w:r>
        <w:rPr>
          <w:lang w:val="en-GB"/>
        </w:rPr>
        <w:t xml:space="preserve">We therefore make the follow proposal: </w:t>
      </w:r>
    </w:p>
    <w:p w14:paraId="0631A692" w14:textId="77777777" w:rsidR="00B603D9" w:rsidRPr="005648A0" w:rsidRDefault="00B603D9" w:rsidP="00B603D9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>: Support sub-</w:t>
      </w:r>
      <w:r>
        <w:rPr>
          <w:b/>
          <w:lang w:val="en-GB"/>
        </w:rPr>
        <w:t>P</w:t>
      </w:r>
      <w:r w:rsidRPr="005648A0">
        <w:rPr>
          <w:b/>
          <w:lang w:val="en-GB"/>
        </w:rPr>
        <w:t xml:space="preserve">RB allocation in </w:t>
      </w:r>
      <w:proofErr w:type="spellStart"/>
      <w:r w:rsidRPr="005648A0">
        <w:rPr>
          <w:b/>
          <w:lang w:val="en-GB"/>
        </w:rPr>
        <w:t>eMTC</w:t>
      </w:r>
      <w:proofErr w:type="spellEnd"/>
      <w:r w:rsidRPr="005648A0">
        <w:rPr>
          <w:b/>
          <w:lang w:val="en-GB"/>
        </w:rPr>
        <w:t xml:space="preserve"> by adopting NPUSCH design in NB-IOT as baseline</w:t>
      </w:r>
    </w:p>
    <w:p w14:paraId="39CFE92F" w14:textId="77777777" w:rsidR="00B603D9" w:rsidRPr="005648A0" w:rsidRDefault="00B603D9" w:rsidP="00B603D9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 xml:space="preserve">Allowable number of tones per resource unit: 1, 3, </w:t>
      </w:r>
      <w:r>
        <w:rPr>
          <w:rFonts w:ascii="Times New Roman" w:hAnsi="Times New Roman"/>
          <w:b/>
          <w:sz w:val="20"/>
          <w:lang w:val="en-GB"/>
        </w:rPr>
        <w:t xml:space="preserve">and </w:t>
      </w:r>
      <w:r w:rsidRPr="005648A0">
        <w:rPr>
          <w:rFonts w:ascii="Times New Roman" w:hAnsi="Times New Roman"/>
          <w:b/>
          <w:sz w:val="20"/>
          <w:lang w:val="en-GB"/>
        </w:rPr>
        <w:t>6</w:t>
      </w:r>
      <w:r>
        <w:rPr>
          <w:rFonts w:ascii="Times New Roman" w:hAnsi="Times New Roman"/>
          <w:b/>
          <w:sz w:val="20"/>
          <w:lang w:val="en-GB"/>
        </w:rPr>
        <w:t>. FFS on other values.</w:t>
      </w:r>
    </w:p>
    <w:p w14:paraId="7831881D" w14:textId="77777777" w:rsidR="00B603D9" w:rsidRPr="005648A0" w:rsidRDefault="00B603D9" w:rsidP="00B603D9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>No support of 3.75KHz subcarrier spacing</w:t>
      </w:r>
    </w:p>
    <w:p w14:paraId="1F3FAAC9" w14:textId="77777777" w:rsidR="00B603D9" w:rsidRPr="005648A0" w:rsidRDefault="00B603D9" w:rsidP="00B603D9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>Consider further modulation enhancements e.g., 16QAM.</w:t>
      </w:r>
    </w:p>
    <w:p w14:paraId="68863A80" w14:textId="77777777" w:rsidR="00B603D9" w:rsidRDefault="00B603D9" w:rsidP="00A55AF1">
      <w:pPr>
        <w:rPr>
          <w:lang w:val="en-GB"/>
        </w:rPr>
      </w:pP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762D426D" w:rsidR="00975ABF" w:rsidRDefault="00975ABF" w:rsidP="00975ABF">
      <w:pPr>
        <w:rPr>
          <w:lang w:val="en-GB"/>
        </w:rPr>
      </w:pPr>
      <w:r>
        <w:rPr>
          <w:lang w:val="en-GB"/>
        </w:rPr>
        <w:t>In this document, we consider</w:t>
      </w:r>
      <w:r w:rsidR="00077400">
        <w:rPr>
          <w:lang w:val="en-GB"/>
        </w:rPr>
        <w:t xml:space="preserve"> a</w:t>
      </w:r>
      <w:r>
        <w:rPr>
          <w:lang w:val="en-GB"/>
        </w:rPr>
        <w:t xml:space="preserve"> </w:t>
      </w:r>
      <w:r w:rsidR="00077400">
        <w:rPr>
          <w:lang w:val="en-GB"/>
        </w:rPr>
        <w:t xml:space="preserve">possible way to increase PUSCH spectral efficiency by </w:t>
      </w:r>
      <w:r w:rsidR="00BA2B01">
        <w:rPr>
          <w:lang w:val="en-GB"/>
        </w:rPr>
        <w:t>allowing</w:t>
      </w:r>
      <w:r w:rsidR="00077400">
        <w:rPr>
          <w:lang w:val="en-GB"/>
        </w:rPr>
        <w:t xml:space="preserve"> the sub-RB allocation for PUSCH in </w:t>
      </w:r>
      <w:proofErr w:type="spellStart"/>
      <w:r w:rsidR="00BA2B01">
        <w:rPr>
          <w:lang w:val="en-GB"/>
        </w:rPr>
        <w:t>eMTC</w:t>
      </w:r>
      <w:proofErr w:type="spellEnd"/>
      <w:r w:rsidR="00BA2B01">
        <w:rPr>
          <w:lang w:val="en-GB"/>
        </w:rPr>
        <w:t xml:space="preserve"> similar to </w:t>
      </w:r>
      <w:r w:rsidR="00077400">
        <w:rPr>
          <w:lang w:val="en-GB"/>
        </w:rPr>
        <w:t>NB-IOT. In deep coverage scenario or in a high SNR scenario with low data rate, sub-</w:t>
      </w:r>
      <w:r w:rsidR="009C5BF4">
        <w:rPr>
          <w:lang w:val="en-GB"/>
        </w:rPr>
        <w:t>P</w:t>
      </w:r>
      <w:r w:rsidR="00077400">
        <w:rPr>
          <w:lang w:val="en-GB"/>
        </w:rPr>
        <w:t xml:space="preserve">RB allocation </w:t>
      </w:r>
      <w:r w:rsidR="00BA2B01">
        <w:rPr>
          <w:lang w:val="en-GB"/>
        </w:rPr>
        <w:t xml:space="preserve">may </w:t>
      </w:r>
      <w:r w:rsidR="00077400">
        <w:rPr>
          <w:lang w:val="en-GB"/>
        </w:rPr>
        <w:t xml:space="preserve">allow more UEs to be multiplexed in the same </w:t>
      </w:r>
      <w:r w:rsidR="009C5BF4">
        <w:rPr>
          <w:lang w:val="en-GB"/>
        </w:rPr>
        <w:t>P</w:t>
      </w:r>
      <w:r w:rsidR="00077400">
        <w:rPr>
          <w:lang w:val="en-GB"/>
        </w:rPr>
        <w:t>RBs and hence increase system user capacity. We therefore make the following proposal</w:t>
      </w:r>
      <w:r w:rsidR="003B10DA">
        <w:rPr>
          <w:lang w:val="en-GB"/>
        </w:rPr>
        <w:t>:</w:t>
      </w:r>
    </w:p>
    <w:p w14:paraId="527F8F47" w14:textId="61BF2291" w:rsidR="005648A0" w:rsidRPr="005648A0" w:rsidRDefault="005648A0" w:rsidP="005648A0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>: Support sub-</w:t>
      </w:r>
      <w:r w:rsidR="009C5BF4">
        <w:rPr>
          <w:b/>
          <w:lang w:val="en-GB"/>
        </w:rPr>
        <w:t>P</w:t>
      </w:r>
      <w:r w:rsidRPr="005648A0">
        <w:rPr>
          <w:b/>
          <w:lang w:val="en-GB"/>
        </w:rPr>
        <w:t xml:space="preserve">RB allocation in </w:t>
      </w:r>
      <w:proofErr w:type="spellStart"/>
      <w:r w:rsidRPr="005648A0">
        <w:rPr>
          <w:b/>
          <w:lang w:val="en-GB"/>
        </w:rPr>
        <w:t>eMTC</w:t>
      </w:r>
      <w:proofErr w:type="spellEnd"/>
      <w:r w:rsidRPr="005648A0">
        <w:rPr>
          <w:b/>
          <w:lang w:val="en-GB"/>
        </w:rPr>
        <w:t xml:space="preserve"> by adopting NPUSCH design in NB-IOT as baseline</w:t>
      </w:r>
    </w:p>
    <w:p w14:paraId="02A884CB" w14:textId="6ABD9397" w:rsidR="005648A0" w:rsidRPr="005648A0" w:rsidRDefault="005648A0" w:rsidP="00D77E16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 xml:space="preserve">Allowable number of tones per resource unit: 1, 3, </w:t>
      </w:r>
      <w:r w:rsidR="00273AD1">
        <w:rPr>
          <w:rFonts w:ascii="Times New Roman" w:hAnsi="Times New Roman"/>
          <w:b/>
          <w:sz w:val="20"/>
          <w:lang w:val="en-GB"/>
        </w:rPr>
        <w:t xml:space="preserve">and </w:t>
      </w:r>
      <w:r w:rsidRPr="005648A0">
        <w:rPr>
          <w:rFonts w:ascii="Times New Roman" w:hAnsi="Times New Roman"/>
          <w:b/>
          <w:sz w:val="20"/>
          <w:lang w:val="en-GB"/>
        </w:rPr>
        <w:t>6</w:t>
      </w:r>
      <w:r w:rsidR="00273AD1">
        <w:rPr>
          <w:rFonts w:ascii="Times New Roman" w:hAnsi="Times New Roman"/>
          <w:b/>
          <w:sz w:val="20"/>
          <w:lang w:val="en-GB"/>
        </w:rPr>
        <w:t>. FFS on other values.</w:t>
      </w:r>
    </w:p>
    <w:p w14:paraId="15FB05BD" w14:textId="77777777" w:rsidR="005648A0" w:rsidRPr="005648A0" w:rsidRDefault="005648A0" w:rsidP="00D77E16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>No support of 3.75KHz subcarrier spacing</w:t>
      </w:r>
    </w:p>
    <w:p w14:paraId="5A17DAA9" w14:textId="77777777" w:rsidR="005648A0" w:rsidRPr="005648A0" w:rsidRDefault="005648A0" w:rsidP="00D77E16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lang w:val="en-GB"/>
        </w:rPr>
      </w:pPr>
      <w:r w:rsidRPr="005648A0">
        <w:rPr>
          <w:rFonts w:ascii="Times New Roman" w:hAnsi="Times New Roman"/>
          <w:b/>
          <w:sz w:val="20"/>
          <w:lang w:val="en-GB"/>
        </w:rPr>
        <w:t>Consider further modulation enhancements e.g., 16QAM.</w:t>
      </w:r>
    </w:p>
    <w:p w14:paraId="7B451C47" w14:textId="77777777" w:rsidR="003B10DA" w:rsidRPr="002F4998" w:rsidRDefault="003B10DA" w:rsidP="00F41AFE">
      <w:pPr>
        <w:rPr>
          <w:lang w:val="en-GB"/>
        </w:rPr>
      </w:pP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8DFF2ED" w14:textId="3ACFBD64" w:rsidR="00B823C6" w:rsidRPr="00EE1C09" w:rsidRDefault="00B823C6" w:rsidP="00B823C6">
      <w:r>
        <w:t>[1] 3GPP RAN1#88bis, Chairman’s notes</w:t>
      </w:r>
    </w:p>
    <w:p w14:paraId="43724F34" w14:textId="05D3E7D8" w:rsidR="00EE1C09" w:rsidRPr="00EE1C09" w:rsidRDefault="00EE1C09" w:rsidP="00EE1C09">
      <w:r>
        <w:t>[</w:t>
      </w:r>
      <w:r w:rsidR="00B823C6">
        <w:t>2</w:t>
      </w:r>
      <w:r>
        <w:t xml:space="preserve">] 3GPP </w:t>
      </w:r>
      <w:proofErr w:type="spellStart"/>
      <w:r w:rsidRPr="00EE1C09">
        <w:t>3GPP</w:t>
      </w:r>
      <w:proofErr w:type="spellEnd"/>
      <w:r w:rsidRPr="00EE1C09">
        <w:t xml:space="preserve"> TS 36.213 V14.1.0 (2016-12)</w:t>
      </w:r>
    </w:p>
    <w:sectPr w:rsidR="00EE1C09" w:rsidRPr="00EE1C09" w:rsidSect="00671B4F">
      <w:headerReference w:type="even" r:id="rId45"/>
      <w:footerReference w:type="even" r:id="rId46"/>
      <w:footerReference w:type="default" r:id="rId4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E2A63" w14:textId="77777777" w:rsidR="00417A01" w:rsidRDefault="00417A01">
      <w:r>
        <w:separator/>
      </w:r>
    </w:p>
  </w:endnote>
  <w:endnote w:type="continuationSeparator" w:id="0">
    <w:p w14:paraId="7AE98C70" w14:textId="77777777" w:rsidR="00417A01" w:rsidRDefault="00417A01">
      <w:r>
        <w:continuationSeparator/>
      </w:r>
    </w:p>
  </w:endnote>
  <w:endnote w:type="continuationNotice" w:id="1">
    <w:p w14:paraId="3EAE5BB7" w14:textId="77777777" w:rsidR="00417A01" w:rsidRDefault="00417A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211391BB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301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301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C96AF" w14:textId="77777777" w:rsidR="00417A01" w:rsidRDefault="00417A01">
      <w:r>
        <w:separator/>
      </w:r>
    </w:p>
  </w:footnote>
  <w:footnote w:type="continuationSeparator" w:id="0">
    <w:p w14:paraId="7D066762" w14:textId="77777777" w:rsidR="00417A01" w:rsidRDefault="00417A01">
      <w:r>
        <w:continuationSeparator/>
      </w:r>
    </w:p>
  </w:footnote>
  <w:footnote w:type="continuationNotice" w:id="1">
    <w:p w14:paraId="4E1AD903" w14:textId="77777777" w:rsidR="00417A01" w:rsidRDefault="00417A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7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1.wmf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0.wmf"/><Relationship Id="rId49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E8189F-213D-4A49-8FCA-CDE86BCE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989</Words>
  <Characters>5531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Rico Alvarino</cp:lastModifiedBy>
  <cp:revision>4</cp:revision>
  <cp:lastPrinted>2014-11-07T05:38:00Z</cp:lastPrinted>
  <dcterms:created xsi:type="dcterms:W3CDTF">2017-05-05T22:40:00Z</dcterms:created>
  <dcterms:modified xsi:type="dcterms:W3CDTF">2017-05-06T01:42:00Z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-2058970810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-738167667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