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CD9C2" w14:textId="49C6EC2C"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w:t>
      </w:r>
      <w:r w:rsidR="000E5277">
        <w:t>9</w:t>
      </w:r>
      <w:r w:rsidRPr="00327997">
        <w:tab/>
      </w:r>
      <w:r w:rsidR="00790B99" w:rsidRPr="00327997">
        <w:t>R1</w:t>
      </w:r>
      <w:r w:rsidR="00091557" w:rsidRPr="00327997">
        <w:t>-</w:t>
      </w:r>
      <w:r w:rsidR="005E100D" w:rsidRPr="005E100D">
        <w:t xml:space="preserve"> 1708672</w:t>
      </w:r>
    </w:p>
    <w:p w14:paraId="586F4A22" w14:textId="4E27BC42" w:rsidR="00E90E49" w:rsidRDefault="000E5277" w:rsidP="00357380">
      <w:pPr>
        <w:pStyle w:val="3GPPHeader"/>
      </w:pPr>
      <w:r>
        <w:t>Hangzhou, China</w:t>
      </w:r>
      <w:r w:rsidRPr="009C6832">
        <w:t xml:space="preserve">, </w:t>
      </w:r>
      <w:r>
        <w:t>15</w:t>
      </w:r>
      <w:r w:rsidRPr="00356A14">
        <w:rPr>
          <w:vertAlign w:val="superscript"/>
        </w:rPr>
        <w:t>th</w:t>
      </w:r>
      <w:r>
        <w:t xml:space="preserve"> </w:t>
      </w:r>
      <w:r w:rsidRPr="009C6832">
        <w:t xml:space="preserve">– </w:t>
      </w:r>
      <w:r>
        <w:t>19</w:t>
      </w:r>
      <w:r w:rsidRPr="00356A14">
        <w:rPr>
          <w:vertAlign w:val="superscript"/>
        </w:rPr>
        <w:t>th</w:t>
      </w:r>
      <w:r>
        <w:t xml:space="preserve"> May</w:t>
      </w:r>
      <w:r w:rsidRPr="009C6832">
        <w:t>, 20</w:t>
      </w:r>
      <w:r>
        <w:t>17</w:t>
      </w:r>
    </w:p>
    <w:p w14:paraId="656E0AA3" w14:textId="77777777" w:rsidR="000E5277" w:rsidRPr="00CE0424" w:rsidRDefault="000E5277" w:rsidP="00357380">
      <w:pPr>
        <w:pStyle w:val="3GPPHeader"/>
      </w:pPr>
    </w:p>
    <w:p w14:paraId="407BF2B0" w14:textId="77777777" w:rsidR="00E90E49" w:rsidRPr="00327997" w:rsidRDefault="003D3C45" w:rsidP="00327997">
      <w:pPr>
        <w:pStyle w:val="3GPPHeader"/>
      </w:pPr>
      <w:r w:rsidRPr="00327997">
        <w:t>Source:</w:t>
      </w:r>
      <w:r w:rsidR="00E90E49" w:rsidRPr="00327997">
        <w:tab/>
      </w:r>
      <w:r w:rsidR="00F64C2B" w:rsidRPr="00327997">
        <w:t>Ericsson</w:t>
      </w:r>
    </w:p>
    <w:p w14:paraId="6E1A18D6" w14:textId="094A3BCF" w:rsidR="00E90E49" w:rsidRPr="00327997" w:rsidRDefault="003D3C45" w:rsidP="00327997">
      <w:pPr>
        <w:pStyle w:val="3GPPHeader"/>
      </w:pPr>
      <w:r w:rsidRPr="00327997">
        <w:t>Title:</w:t>
      </w:r>
      <w:r w:rsidR="00E90E49" w:rsidRPr="00327997">
        <w:tab/>
      </w:r>
      <w:r w:rsidR="005E100D" w:rsidRPr="005E100D">
        <w:t>On DL PRB bundling</w:t>
      </w:r>
    </w:p>
    <w:p w14:paraId="7A37ADD8" w14:textId="0F986A30" w:rsidR="00952A24" w:rsidRPr="008837F0" w:rsidRDefault="00952A24" w:rsidP="00327997">
      <w:pPr>
        <w:pStyle w:val="3GPPHeader"/>
        <w:rPr>
          <w:lang w:val="en-US"/>
        </w:rPr>
      </w:pPr>
      <w:r w:rsidRPr="00066D9B">
        <w:rPr>
          <w:lang w:val="en-US"/>
        </w:rPr>
        <w:t>Agenda Item:</w:t>
      </w:r>
      <w:r w:rsidRPr="00066D9B">
        <w:rPr>
          <w:lang w:val="en-US"/>
        </w:rPr>
        <w:tab/>
      </w:r>
      <w:r w:rsidR="007E73B0">
        <w:rPr>
          <w:lang w:val="en-US"/>
        </w:rPr>
        <w:t>7.1</w:t>
      </w:r>
      <w:r w:rsidR="008837F0" w:rsidRPr="00066D9B">
        <w:rPr>
          <w:lang w:val="en-US"/>
        </w:rPr>
        <w:t>.</w:t>
      </w:r>
      <w:r w:rsidR="007E73B0">
        <w:rPr>
          <w:lang w:val="en-US"/>
        </w:rPr>
        <w:t>2.1.6</w:t>
      </w:r>
    </w:p>
    <w:p w14:paraId="45152B15"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5822A8F5" w14:textId="77777777" w:rsidR="00E90E49" w:rsidRPr="00CE0424" w:rsidRDefault="007F75D5" w:rsidP="00CE0424">
      <w:pPr>
        <w:pStyle w:val="Heading1"/>
      </w:pPr>
      <w:r>
        <w:t>Introduction</w:t>
      </w:r>
    </w:p>
    <w:p w14:paraId="44B8A129" w14:textId="0150AEE9" w:rsidR="00BF7642" w:rsidRPr="00E9149C" w:rsidRDefault="00FC2439" w:rsidP="00BF7642">
      <w:pPr>
        <w:pStyle w:val="BodyText"/>
      </w:pPr>
      <w:r>
        <w:t>Up until</w:t>
      </w:r>
      <w:r w:rsidR="00E64B80">
        <w:t xml:space="preserve"> RAN1#88</w:t>
      </w:r>
      <w:r w:rsidR="00BF7642">
        <w:t>, the following agreement was made:</w:t>
      </w:r>
    </w:p>
    <w:p w14:paraId="7A0B79C8" w14:textId="77777777"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08572" w14:textId="77777777" w:rsidR="000E5277" w:rsidRPr="001E4CE1" w:rsidRDefault="000E5277" w:rsidP="000E5277">
                            <w:pPr>
                              <w:rPr>
                                <w:rFonts w:eastAsia="MS Mincho"/>
                                <w:b/>
                                <w:u w:val="single"/>
                                <w:lang w:val="en-US"/>
                              </w:rPr>
                            </w:pPr>
                            <w:r w:rsidRPr="00E22206">
                              <w:rPr>
                                <w:rFonts w:eastAsia="MS Mincho" w:hint="eastAsia"/>
                                <w:b/>
                                <w:highlight w:val="green"/>
                                <w:u w:val="single"/>
                                <w:lang w:val="en-US" w:eastAsia="ja-JP"/>
                              </w:rPr>
                              <w:t>Agreements</w:t>
                            </w:r>
                            <w:r w:rsidRPr="00E22206">
                              <w:rPr>
                                <w:rFonts w:eastAsia="MS Mincho" w:hint="eastAsia"/>
                                <w:b/>
                                <w:highlight w:val="green"/>
                                <w:u w:val="single"/>
                                <w:lang w:val="en-US"/>
                              </w:rPr>
                              <w:t>:</w:t>
                            </w:r>
                          </w:p>
                          <w:p w14:paraId="024C632C" w14:textId="77777777" w:rsidR="000E5277" w:rsidRPr="001E4CE1" w:rsidRDefault="000E5277" w:rsidP="000E5277">
                            <w:pPr>
                              <w:numPr>
                                <w:ilvl w:val="0"/>
                                <w:numId w:val="24"/>
                              </w:numPr>
                              <w:overflowPunct/>
                              <w:autoSpaceDE/>
                              <w:autoSpaceDN/>
                              <w:adjustRightInd/>
                              <w:spacing w:after="0"/>
                              <w:jc w:val="left"/>
                              <w:textAlignment w:val="auto"/>
                              <w:rPr>
                                <w:rFonts w:eastAsia="MS Mincho"/>
                                <w:lang w:val="en-US"/>
                              </w:rPr>
                            </w:pPr>
                            <w:r w:rsidRPr="001E4CE1">
                              <w:rPr>
                                <w:rFonts w:eastAsia="MS Mincho"/>
                                <w:lang w:val="en-US"/>
                              </w:rPr>
                              <w:t>For the DL, NR supports configurable PRG size for data DMRS</w:t>
                            </w:r>
                          </w:p>
                          <w:p w14:paraId="47855318"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FFS: Signaling for the configuration of PRG size (semi-static or dynamic)</w:t>
                            </w:r>
                          </w:p>
                          <w:p w14:paraId="60D19DD4"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FFS: available options/schemes.</w:t>
                            </w:r>
                          </w:p>
                          <w:p w14:paraId="64A0C440" w14:textId="77777777" w:rsidR="000E5277" w:rsidRPr="001E4CE1" w:rsidRDefault="000E5277" w:rsidP="000E5277">
                            <w:pPr>
                              <w:numPr>
                                <w:ilvl w:val="0"/>
                                <w:numId w:val="24"/>
                              </w:numPr>
                              <w:overflowPunct/>
                              <w:autoSpaceDE/>
                              <w:autoSpaceDN/>
                              <w:adjustRightInd/>
                              <w:spacing w:after="0"/>
                              <w:jc w:val="left"/>
                              <w:textAlignment w:val="auto"/>
                              <w:rPr>
                                <w:rFonts w:eastAsia="MS Mincho"/>
                                <w:lang w:val="en-US"/>
                              </w:rPr>
                            </w:pPr>
                            <w:r>
                              <w:rPr>
                                <w:rFonts w:eastAsia="MS Mincho" w:hint="eastAsia"/>
                                <w:lang w:val="en-US"/>
                              </w:rPr>
                              <w:t xml:space="preserve">FFS: </w:t>
                            </w:r>
                            <w:r w:rsidRPr="001E4CE1">
                              <w:rPr>
                                <w:rFonts w:eastAsia="MS Mincho"/>
                                <w:lang w:val="en-US"/>
                              </w:rPr>
                              <w:t xml:space="preserve">continuous precoding in time domain </w:t>
                            </w:r>
                            <w:r>
                              <w:rPr>
                                <w:rFonts w:eastAsia="MS Mincho" w:hint="eastAsia"/>
                                <w:lang w:val="en-US"/>
                              </w:rPr>
                              <w:t>f</w:t>
                            </w:r>
                            <w:r w:rsidRPr="001E4CE1">
                              <w:rPr>
                                <w:rFonts w:eastAsia="MS Mincho"/>
                                <w:lang w:val="en-US"/>
                              </w:rPr>
                              <w:t>or DMRS channel estimation</w:t>
                            </w:r>
                            <w:r>
                              <w:rPr>
                                <w:rFonts w:eastAsia="MS Mincho" w:hint="eastAsia"/>
                                <w:lang w:val="en-US"/>
                              </w:rPr>
                              <w:t xml:space="preserve"> </w:t>
                            </w:r>
                            <w:r w:rsidRPr="001E4CE1">
                              <w:rPr>
                                <w:rFonts w:eastAsia="MS Mincho"/>
                                <w:lang w:val="en-US"/>
                              </w:rPr>
                              <w:t>with the following</w:t>
                            </w:r>
                            <w:r>
                              <w:rPr>
                                <w:rFonts w:eastAsia="MS Mincho" w:hint="eastAsia"/>
                                <w:lang w:val="en-US"/>
                              </w:rPr>
                              <w:t xml:space="preserve"> examples</w:t>
                            </w:r>
                            <w:r w:rsidRPr="001E4CE1">
                              <w:rPr>
                                <w:rFonts w:eastAsia="MS Mincho"/>
                                <w:lang w:val="en-US"/>
                              </w:rPr>
                              <w:t>:</w:t>
                            </w:r>
                          </w:p>
                          <w:p w14:paraId="0695BD38"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Semi-static measurement window</w:t>
                            </w:r>
                          </w:p>
                          <w:p w14:paraId="3988CB63"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Dynamic indication of precoding sets</w:t>
                            </w:r>
                          </w:p>
                          <w:p w14:paraId="4FEF57BA"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 xml:space="preserve">Support of continuous precoding when </w:t>
                            </w:r>
                            <w:proofErr w:type="spellStart"/>
                            <w:r>
                              <w:rPr>
                                <w:rFonts w:eastAsia="MS Mincho" w:hint="eastAsia"/>
                                <w:lang w:val="en-US"/>
                              </w:rPr>
                              <w:t>g</w:t>
                            </w:r>
                            <w:r w:rsidRPr="001E4CE1">
                              <w:rPr>
                                <w:rFonts w:eastAsia="MS Mincho"/>
                                <w:lang w:val="en-US"/>
                              </w:rPr>
                              <w:t>NB</w:t>
                            </w:r>
                            <w:proofErr w:type="spellEnd"/>
                            <w:r w:rsidRPr="001E4CE1">
                              <w:rPr>
                                <w:rFonts w:eastAsia="MS Mincho"/>
                                <w:lang w:val="en-US"/>
                              </w:rPr>
                              <w:t xml:space="preserve"> supports slot aggregation</w:t>
                            </w:r>
                          </w:p>
                          <w:p w14:paraId="2C054E57"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 xml:space="preserve">Contiguous time allocations </w:t>
                            </w:r>
                          </w:p>
                          <w:p w14:paraId="1AEBF2D9" w14:textId="27E65EDE" w:rsidR="000E5277" w:rsidRPr="00B410A7" w:rsidRDefault="000E5277" w:rsidP="000E5277">
                            <w:pPr>
                              <w:rPr>
                                <w:rFonts w:eastAsia="MS Mincho"/>
                                <w:b/>
                                <w:u w:val="single"/>
                                <w:lang w:val="en-US" w:eastAsia="ja-JP"/>
                              </w:rPr>
                            </w:pPr>
                            <w:r w:rsidRPr="00B410A7">
                              <w:rPr>
                                <w:rFonts w:eastAsia="MS Mincho" w:hint="eastAsia"/>
                                <w:b/>
                                <w:highlight w:val="green"/>
                                <w:u w:val="single"/>
                                <w:lang w:val="en-US" w:eastAsia="ja-JP"/>
                              </w:rPr>
                              <w:t>Agreements:</w:t>
                            </w:r>
                          </w:p>
                          <w:p w14:paraId="68D03CAE" w14:textId="77777777" w:rsidR="000E5277" w:rsidRPr="00415EF2" w:rsidRDefault="000E5277" w:rsidP="000E5277">
                            <w:pPr>
                              <w:numPr>
                                <w:ilvl w:val="0"/>
                                <w:numId w:val="24"/>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f</w:t>
                            </w:r>
                            <w:r>
                              <w:rPr>
                                <w:rFonts w:eastAsia="MS Mincho"/>
                                <w:lang w:val="en-US" w:eastAsia="ja-JP"/>
                              </w:rPr>
                              <w:t xml:space="preserve">or </w:t>
                            </w:r>
                            <w:r>
                              <w:rPr>
                                <w:rFonts w:eastAsia="MS Mincho" w:hint="eastAsia"/>
                                <w:lang w:val="en-US" w:eastAsia="ja-JP"/>
                              </w:rPr>
                              <w:t>DL</w:t>
                            </w:r>
                            <w:r w:rsidRPr="00415EF2">
                              <w:rPr>
                                <w:rFonts w:eastAsia="MS Mincho"/>
                                <w:lang w:val="en-US" w:eastAsia="ja-JP"/>
                              </w:rPr>
                              <w:t>, study PRB bundling with configurable PRG sizes, at least including following aspects</w:t>
                            </w:r>
                          </w:p>
                          <w:p w14:paraId="17B4D4DA" w14:textId="77777777" w:rsidR="000E5277" w:rsidRPr="00415EF2" w:rsidRDefault="000E5277" w:rsidP="000E5277">
                            <w:pPr>
                              <w:numPr>
                                <w:ilvl w:val="1"/>
                                <w:numId w:val="24"/>
                              </w:numPr>
                              <w:overflowPunct/>
                              <w:autoSpaceDE/>
                              <w:autoSpaceDN/>
                              <w:adjustRightInd/>
                              <w:spacing w:after="0"/>
                              <w:jc w:val="left"/>
                              <w:textAlignment w:val="auto"/>
                              <w:rPr>
                                <w:rFonts w:eastAsia="MS Mincho"/>
                                <w:lang w:val="en-US" w:eastAsia="ja-JP"/>
                              </w:rPr>
                            </w:pPr>
                            <w:r w:rsidRPr="00415EF2">
                              <w:rPr>
                                <w:rFonts w:eastAsia="MS Mincho"/>
                                <w:lang w:val="en-US" w:eastAsia="ja-JP"/>
                              </w:rPr>
                              <w:t>The size of PRG may or may not be fixed</w:t>
                            </w:r>
                          </w:p>
                          <w:p w14:paraId="0F56696B" w14:textId="77777777" w:rsidR="000E5277" w:rsidRPr="00415EF2" w:rsidRDefault="000E5277" w:rsidP="000E5277">
                            <w:pPr>
                              <w:numPr>
                                <w:ilvl w:val="1"/>
                                <w:numId w:val="24"/>
                              </w:numPr>
                              <w:overflowPunct/>
                              <w:autoSpaceDE/>
                              <w:autoSpaceDN/>
                              <w:adjustRightInd/>
                              <w:spacing w:after="0"/>
                              <w:jc w:val="left"/>
                              <w:textAlignment w:val="auto"/>
                              <w:rPr>
                                <w:rFonts w:eastAsia="MS Mincho"/>
                                <w:lang w:val="en-US" w:eastAsia="ja-JP"/>
                              </w:rPr>
                            </w:pPr>
                            <w:r w:rsidRPr="00415EF2">
                              <w:rPr>
                                <w:rFonts w:eastAsia="MS Mincho"/>
                                <w:lang w:val="en-US" w:eastAsia="ja-JP"/>
                              </w:rPr>
                              <w:t xml:space="preserve">The size of PRG may or may not be system bandwidth dependent </w:t>
                            </w:r>
                          </w:p>
                          <w:p w14:paraId="0116E685" w14:textId="0CFC7068" w:rsidR="000E5277" w:rsidRDefault="000E5277" w:rsidP="000E5277">
                            <w:pPr>
                              <w:numPr>
                                <w:ilvl w:val="1"/>
                                <w:numId w:val="24"/>
                              </w:numPr>
                              <w:overflowPunct/>
                              <w:autoSpaceDE/>
                              <w:autoSpaceDN/>
                              <w:adjustRightInd/>
                              <w:spacing w:after="0"/>
                              <w:jc w:val="left"/>
                              <w:textAlignment w:val="auto"/>
                              <w:rPr>
                                <w:rFonts w:eastAsia="MS Mincho"/>
                                <w:lang w:val="en-US" w:eastAsia="ja-JP"/>
                              </w:rPr>
                            </w:pPr>
                            <w:r w:rsidRPr="00415EF2">
                              <w:rPr>
                                <w:rFonts w:eastAsia="MS Mincho"/>
                                <w:lang w:val="en-US" w:eastAsia="ja-JP"/>
                              </w:rPr>
                              <w:t>PRG may consist of all scheduled PRBs</w:t>
                            </w:r>
                          </w:p>
                          <w:p w14:paraId="4B70F7C2" w14:textId="64AE106A" w:rsidR="000E5277" w:rsidRPr="000E5277" w:rsidRDefault="000E5277" w:rsidP="000E5277">
                            <w:pPr>
                              <w:rPr>
                                <w:rFonts w:eastAsia="MS Mincho"/>
                                <w:b/>
                                <w:u w:val="single"/>
                                <w:lang w:val="en-US"/>
                              </w:rPr>
                            </w:pPr>
                            <w:r w:rsidRPr="000E5277">
                              <w:rPr>
                                <w:rFonts w:eastAsia="MS Mincho" w:hint="eastAsia"/>
                                <w:b/>
                                <w:highlight w:val="green"/>
                                <w:u w:val="single"/>
                                <w:lang w:val="en-US"/>
                              </w:rPr>
                              <w:t>Agreements</w:t>
                            </w:r>
                            <w:r>
                              <w:rPr>
                                <w:rFonts w:eastAsia="MS Mincho"/>
                                <w:b/>
                                <w:highlight w:val="green"/>
                                <w:u w:val="single"/>
                                <w:lang w:val="en-US"/>
                              </w:rPr>
                              <w:t xml:space="preserve"> (UL)</w:t>
                            </w:r>
                            <w:r w:rsidRPr="000E5277">
                              <w:rPr>
                                <w:rFonts w:eastAsia="MS Mincho" w:hint="eastAsia"/>
                                <w:b/>
                                <w:highlight w:val="green"/>
                                <w:u w:val="single"/>
                                <w:lang w:val="en-US"/>
                              </w:rPr>
                              <w:t>:</w:t>
                            </w:r>
                          </w:p>
                          <w:p w14:paraId="0619730F" w14:textId="77777777" w:rsidR="000E5277" w:rsidRPr="009E6A37" w:rsidRDefault="000E5277" w:rsidP="000E5277">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Support PRB bundling for CP-OFDM</w:t>
                            </w:r>
                          </w:p>
                          <w:p w14:paraId="195FAA0B" w14:textId="77777777" w:rsidR="000E5277" w:rsidRPr="009E6A37" w:rsidRDefault="000E5277" w:rsidP="000E5277">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configurability of PRG size for CP-OFDM</w:t>
                            </w:r>
                          </w:p>
                          <w:p w14:paraId="060B2631" w14:textId="77777777" w:rsidR="000E5277" w:rsidRPr="009E6A37" w:rsidRDefault="000E5277" w:rsidP="000E5277">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PRG size</w:t>
                            </w:r>
                          </w:p>
                          <w:p w14:paraId="47452D44" w14:textId="074D1288" w:rsidR="0007511B" w:rsidRPr="008D30A5" w:rsidRDefault="0007511B" w:rsidP="005E100D">
                            <w:pPr>
                              <w:overflowPunct/>
                              <w:autoSpaceDE/>
                              <w:autoSpaceDN/>
                              <w:adjustRightInd/>
                              <w:spacing w:after="0"/>
                              <w:ind w:left="3600"/>
                              <w:jc w:val="left"/>
                              <w:textAlignment w:val="auto"/>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C408572" w14:textId="77777777" w:rsidR="000E5277" w:rsidRPr="001E4CE1" w:rsidRDefault="000E5277" w:rsidP="000E5277">
                      <w:pPr>
                        <w:rPr>
                          <w:rFonts w:eastAsia="MS Mincho"/>
                          <w:b/>
                          <w:u w:val="single"/>
                          <w:lang w:val="en-US"/>
                        </w:rPr>
                      </w:pPr>
                      <w:r w:rsidRPr="00E22206">
                        <w:rPr>
                          <w:rFonts w:eastAsia="MS Mincho" w:hint="eastAsia"/>
                          <w:b/>
                          <w:highlight w:val="green"/>
                          <w:u w:val="single"/>
                          <w:lang w:val="en-US" w:eastAsia="ja-JP"/>
                        </w:rPr>
                        <w:t>Agreements</w:t>
                      </w:r>
                      <w:r w:rsidRPr="00E22206">
                        <w:rPr>
                          <w:rFonts w:eastAsia="MS Mincho" w:hint="eastAsia"/>
                          <w:b/>
                          <w:highlight w:val="green"/>
                          <w:u w:val="single"/>
                          <w:lang w:val="en-US"/>
                        </w:rPr>
                        <w:t>:</w:t>
                      </w:r>
                    </w:p>
                    <w:p w14:paraId="024C632C" w14:textId="77777777" w:rsidR="000E5277" w:rsidRPr="001E4CE1" w:rsidRDefault="000E5277" w:rsidP="000E5277">
                      <w:pPr>
                        <w:numPr>
                          <w:ilvl w:val="0"/>
                          <w:numId w:val="24"/>
                        </w:numPr>
                        <w:overflowPunct/>
                        <w:autoSpaceDE/>
                        <w:autoSpaceDN/>
                        <w:adjustRightInd/>
                        <w:spacing w:after="0"/>
                        <w:jc w:val="left"/>
                        <w:textAlignment w:val="auto"/>
                        <w:rPr>
                          <w:rFonts w:eastAsia="MS Mincho"/>
                          <w:lang w:val="en-US"/>
                        </w:rPr>
                      </w:pPr>
                      <w:r w:rsidRPr="001E4CE1">
                        <w:rPr>
                          <w:rFonts w:eastAsia="MS Mincho"/>
                          <w:lang w:val="en-US"/>
                        </w:rPr>
                        <w:t>For the DL, NR supports configurable PRG size for data DMRS</w:t>
                      </w:r>
                    </w:p>
                    <w:p w14:paraId="47855318"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FFS: Signaling for the configuration of PRG size (semi-static or dynamic)</w:t>
                      </w:r>
                    </w:p>
                    <w:p w14:paraId="60D19DD4"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FFS: available options/schemes.</w:t>
                      </w:r>
                    </w:p>
                    <w:p w14:paraId="64A0C440" w14:textId="77777777" w:rsidR="000E5277" w:rsidRPr="001E4CE1" w:rsidRDefault="000E5277" w:rsidP="000E5277">
                      <w:pPr>
                        <w:numPr>
                          <w:ilvl w:val="0"/>
                          <w:numId w:val="24"/>
                        </w:numPr>
                        <w:overflowPunct/>
                        <w:autoSpaceDE/>
                        <w:autoSpaceDN/>
                        <w:adjustRightInd/>
                        <w:spacing w:after="0"/>
                        <w:jc w:val="left"/>
                        <w:textAlignment w:val="auto"/>
                        <w:rPr>
                          <w:rFonts w:eastAsia="MS Mincho"/>
                          <w:lang w:val="en-US"/>
                        </w:rPr>
                      </w:pPr>
                      <w:r>
                        <w:rPr>
                          <w:rFonts w:eastAsia="MS Mincho" w:hint="eastAsia"/>
                          <w:lang w:val="en-US"/>
                        </w:rPr>
                        <w:t xml:space="preserve">FFS: </w:t>
                      </w:r>
                      <w:r w:rsidRPr="001E4CE1">
                        <w:rPr>
                          <w:rFonts w:eastAsia="MS Mincho"/>
                          <w:lang w:val="en-US"/>
                        </w:rPr>
                        <w:t xml:space="preserve">continuous precoding in time domain </w:t>
                      </w:r>
                      <w:r>
                        <w:rPr>
                          <w:rFonts w:eastAsia="MS Mincho" w:hint="eastAsia"/>
                          <w:lang w:val="en-US"/>
                        </w:rPr>
                        <w:t>f</w:t>
                      </w:r>
                      <w:r w:rsidRPr="001E4CE1">
                        <w:rPr>
                          <w:rFonts w:eastAsia="MS Mincho"/>
                          <w:lang w:val="en-US"/>
                        </w:rPr>
                        <w:t>or DMRS channel estimation</w:t>
                      </w:r>
                      <w:r>
                        <w:rPr>
                          <w:rFonts w:eastAsia="MS Mincho" w:hint="eastAsia"/>
                          <w:lang w:val="en-US"/>
                        </w:rPr>
                        <w:t xml:space="preserve"> </w:t>
                      </w:r>
                      <w:r w:rsidRPr="001E4CE1">
                        <w:rPr>
                          <w:rFonts w:eastAsia="MS Mincho"/>
                          <w:lang w:val="en-US"/>
                        </w:rPr>
                        <w:t>with the following</w:t>
                      </w:r>
                      <w:r>
                        <w:rPr>
                          <w:rFonts w:eastAsia="MS Mincho" w:hint="eastAsia"/>
                          <w:lang w:val="en-US"/>
                        </w:rPr>
                        <w:t xml:space="preserve"> examples</w:t>
                      </w:r>
                      <w:r w:rsidRPr="001E4CE1">
                        <w:rPr>
                          <w:rFonts w:eastAsia="MS Mincho"/>
                          <w:lang w:val="en-US"/>
                        </w:rPr>
                        <w:t>:</w:t>
                      </w:r>
                    </w:p>
                    <w:p w14:paraId="0695BD38"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Semi-static measurement window</w:t>
                      </w:r>
                    </w:p>
                    <w:p w14:paraId="3988CB63"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Dynamic indication of precoding sets</w:t>
                      </w:r>
                    </w:p>
                    <w:p w14:paraId="4FEF57BA"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 xml:space="preserve">Support of continuous precoding when </w:t>
                      </w:r>
                      <w:proofErr w:type="spellStart"/>
                      <w:r>
                        <w:rPr>
                          <w:rFonts w:eastAsia="MS Mincho" w:hint="eastAsia"/>
                          <w:lang w:val="en-US"/>
                        </w:rPr>
                        <w:t>g</w:t>
                      </w:r>
                      <w:r w:rsidRPr="001E4CE1">
                        <w:rPr>
                          <w:rFonts w:eastAsia="MS Mincho"/>
                          <w:lang w:val="en-US"/>
                        </w:rPr>
                        <w:t>NB</w:t>
                      </w:r>
                      <w:proofErr w:type="spellEnd"/>
                      <w:r w:rsidRPr="001E4CE1">
                        <w:rPr>
                          <w:rFonts w:eastAsia="MS Mincho"/>
                          <w:lang w:val="en-US"/>
                        </w:rPr>
                        <w:t xml:space="preserve"> supports slot aggregation</w:t>
                      </w:r>
                    </w:p>
                    <w:p w14:paraId="2C054E57" w14:textId="77777777" w:rsidR="000E5277" w:rsidRPr="001E4CE1" w:rsidRDefault="000E5277" w:rsidP="000E5277">
                      <w:pPr>
                        <w:numPr>
                          <w:ilvl w:val="1"/>
                          <w:numId w:val="24"/>
                        </w:numPr>
                        <w:overflowPunct/>
                        <w:autoSpaceDE/>
                        <w:autoSpaceDN/>
                        <w:adjustRightInd/>
                        <w:spacing w:after="0"/>
                        <w:jc w:val="left"/>
                        <w:textAlignment w:val="auto"/>
                        <w:rPr>
                          <w:rFonts w:eastAsia="MS Mincho"/>
                          <w:lang w:val="en-US"/>
                        </w:rPr>
                      </w:pPr>
                      <w:r w:rsidRPr="001E4CE1">
                        <w:rPr>
                          <w:rFonts w:eastAsia="MS Mincho"/>
                          <w:lang w:val="en-US"/>
                        </w:rPr>
                        <w:t xml:space="preserve">Contiguous time allocations </w:t>
                      </w:r>
                    </w:p>
                    <w:p w14:paraId="1AEBF2D9" w14:textId="27E65EDE" w:rsidR="000E5277" w:rsidRPr="00B410A7" w:rsidRDefault="000E5277" w:rsidP="000E5277">
                      <w:pPr>
                        <w:rPr>
                          <w:rFonts w:eastAsia="MS Mincho"/>
                          <w:b/>
                          <w:u w:val="single"/>
                          <w:lang w:val="en-US" w:eastAsia="ja-JP"/>
                        </w:rPr>
                      </w:pPr>
                      <w:r w:rsidRPr="00B410A7">
                        <w:rPr>
                          <w:rFonts w:eastAsia="MS Mincho" w:hint="eastAsia"/>
                          <w:b/>
                          <w:highlight w:val="green"/>
                          <w:u w:val="single"/>
                          <w:lang w:val="en-US" w:eastAsia="ja-JP"/>
                        </w:rPr>
                        <w:t>Agreements:</w:t>
                      </w:r>
                    </w:p>
                    <w:p w14:paraId="68D03CAE" w14:textId="77777777" w:rsidR="000E5277" w:rsidRPr="00415EF2" w:rsidRDefault="000E5277" w:rsidP="000E5277">
                      <w:pPr>
                        <w:numPr>
                          <w:ilvl w:val="0"/>
                          <w:numId w:val="24"/>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f</w:t>
                      </w:r>
                      <w:r>
                        <w:rPr>
                          <w:rFonts w:eastAsia="MS Mincho"/>
                          <w:lang w:val="en-US" w:eastAsia="ja-JP"/>
                        </w:rPr>
                        <w:t xml:space="preserve">or </w:t>
                      </w:r>
                      <w:r>
                        <w:rPr>
                          <w:rFonts w:eastAsia="MS Mincho" w:hint="eastAsia"/>
                          <w:lang w:val="en-US" w:eastAsia="ja-JP"/>
                        </w:rPr>
                        <w:t>DL</w:t>
                      </w:r>
                      <w:r w:rsidRPr="00415EF2">
                        <w:rPr>
                          <w:rFonts w:eastAsia="MS Mincho"/>
                          <w:lang w:val="en-US" w:eastAsia="ja-JP"/>
                        </w:rPr>
                        <w:t>, study PRB bundling with configurable PRG sizes, at least including following aspects</w:t>
                      </w:r>
                    </w:p>
                    <w:p w14:paraId="17B4D4DA" w14:textId="77777777" w:rsidR="000E5277" w:rsidRPr="00415EF2" w:rsidRDefault="000E5277" w:rsidP="000E5277">
                      <w:pPr>
                        <w:numPr>
                          <w:ilvl w:val="1"/>
                          <w:numId w:val="24"/>
                        </w:numPr>
                        <w:overflowPunct/>
                        <w:autoSpaceDE/>
                        <w:autoSpaceDN/>
                        <w:adjustRightInd/>
                        <w:spacing w:after="0"/>
                        <w:jc w:val="left"/>
                        <w:textAlignment w:val="auto"/>
                        <w:rPr>
                          <w:rFonts w:eastAsia="MS Mincho"/>
                          <w:lang w:val="en-US" w:eastAsia="ja-JP"/>
                        </w:rPr>
                      </w:pPr>
                      <w:r w:rsidRPr="00415EF2">
                        <w:rPr>
                          <w:rFonts w:eastAsia="MS Mincho"/>
                          <w:lang w:val="en-US" w:eastAsia="ja-JP"/>
                        </w:rPr>
                        <w:t>The size of PRG may or may not be fixed</w:t>
                      </w:r>
                    </w:p>
                    <w:p w14:paraId="0F56696B" w14:textId="77777777" w:rsidR="000E5277" w:rsidRPr="00415EF2" w:rsidRDefault="000E5277" w:rsidP="000E5277">
                      <w:pPr>
                        <w:numPr>
                          <w:ilvl w:val="1"/>
                          <w:numId w:val="24"/>
                        </w:numPr>
                        <w:overflowPunct/>
                        <w:autoSpaceDE/>
                        <w:autoSpaceDN/>
                        <w:adjustRightInd/>
                        <w:spacing w:after="0"/>
                        <w:jc w:val="left"/>
                        <w:textAlignment w:val="auto"/>
                        <w:rPr>
                          <w:rFonts w:eastAsia="MS Mincho"/>
                          <w:lang w:val="en-US" w:eastAsia="ja-JP"/>
                        </w:rPr>
                      </w:pPr>
                      <w:r w:rsidRPr="00415EF2">
                        <w:rPr>
                          <w:rFonts w:eastAsia="MS Mincho"/>
                          <w:lang w:val="en-US" w:eastAsia="ja-JP"/>
                        </w:rPr>
                        <w:t xml:space="preserve">The size of PRG may or may not be system bandwidth dependent </w:t>
                      </w:r>
                    </w:p>
                    <w:p w14:paraId="0116E685" w14:textId="0CFC7068" w:rsidR="000E5277" w:rsidRDefault="000E5277" w:rsidP="000E5277">
                      <w:pPr>
                        <w:numPr>
                          <w:ilvl w:val="1"/>
                          <w:numId w:val="24"/>
                        </w:numPr>
                        <w:overflowPunct/>
                        <w:autoSpaceDE/>
                        <w:autoSpaceDN/>
                        <w:adjustRightInd/>
                        <w:spacing w:after="0"/>
                        <w:jc w:val="left"/>
                        <w:textAlignment w:val="auto"/>
                        <w:rPr>
                          <w:rFonts w:eastAsia="MS Mincho"/>
                          <w:lang w:val="en-US" w:eastAsia="ja-JP"/>
                        </w:rPr>
                      </w:pPr>
                      <w:r w:rsidRPr="00415EF2">
                        <w:rPr>
                          <w:rFonts w:eastAsia="MS Mincho"/>
                          <w:lang w:val="en-US" w:eastAsia="ja-JP"/>
                        </w:rPr>
                        <w:t>PRG may consist of all scheduled PRBs</w:t>
                      </w:r>
                    </w:p>
                    <w:p w14:paraId="4B70F7C2" w14:textId="64AE106A" w:rsidR="000E5277" w:rsidRPr="000E5277" w:rsidRDefault="000E5277" w:rsidP="000E5277">
                      <w:pPr>
                        <w:rPr>
                          <w:rFonts w:eastAsia="MS Mincho"/>
                          <w:b/>
                          <w:u w:val="single"/>
                          <w:lang w:val="en-US"/>
                        </w:rPr>
                      </w:pPr>
                      <w:r w:rsidRPr="000E5277">
                        <w:rPr>
                          <w:rFonts w:eastAsia="MS Mincho" w:hint="eastAsia"/>
                          <w:b/>
                          <w:highlight w:val="green"/>
                          <w:u w:val="single"/>
                          <w:lang w:val="en-US"/>
                        </w:rPr>
                        <w:t>Agreements</w:t>
                      </w:r>
                      <w:r>
                        <w:rPr>
                          <w:rFonts w:eastAsia="MS Mincho"/>
                          <w:b/>
                          <w:highlight w:val="green"/>
                          <w:u w:val="single"/>
                          <w:lang w:val="en-US"/>
                        </w:rPr>
                        <w:t xml:space="preserve"> (UL)</w:t>
                      </w:r>
                      <w:r w:rsidRPr="000E5277">
                        <w:rPr>
                          <w:rFonts w:eastAsia="MS Mincho" w:hint="eastAsia"/>
                          <w:b/>
                          <w:highlight w:val="green"/>
                          <w:u w:val="single"/>
                          <w:lang w:val="en-US"/>
                        </w:rPr>
                        <w:t>:</w:t>
                      </w:r>
                    </w:p>
                    <w:p w14:paraId="0619730F" w14:textId="77777777" w:rsidR="000E5277" w:rsidRPr="009E6A37" w:rsidRDefault="000E5277" w:rsidP="000E5277">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Support PRB bundling for CP-OFDM</w:t>
                      </w:r>
                    </w:p>
                    <w:p w14:paraId="195FAA0B" w14:textId="77777777" w:rsidR="000E5277" w:rsidRPr="009E6A37" w:rsidRDefault="000E5277" w:rsidP="000E5277">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configurability of PRG size for CP-OFDM</w:t>
                      </w:r>
                    </w:p>
                    <w:p w14:paraId="060B2631" w14:textId="77777777" w:rsidR="000E5277" w:rsidRPr="009E6A37" w:rsidRDefault="000E5277" w:rsidP="000E5277">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PRG size</w:t>
                      </w:r>
                    </w:p>
                    <w:p w14:paraId="47452D44" w14:textId="074D1288" w:rsidR="0007511B" w:rsidRPr="008D30A5" w:rsidRDefault="0007511B" w:rsidP="005E100D">
                      <w:pPr>
                        <w:overflowPunct/>
                        <w:autoSpaceDE/>
                        <w:autoSpaceDN/>
                        <w:adjustRightInd/>
                        <w:spacing w:after="0"/>
                        <w:ind w:left="3600"/>
                        <w:jc w:val="left"/>
                        <w:textAlignment w:val="auto"/>
                        <w:rPr>
                          <w:rFonts w:eastAsia="MS Mincho"/>
                          <w:lang w:val="en-US" w:eastAsia="ja-JP"/>
                        </w:rPr>
                      </w:pPr>
                      <w:bookmarkStart w:id="1" w:name="_GoBack"/>
                      <w:bookmarkEnd w:id="1"/>
                    </w:p>
                  </w:txbxContent>
                </v:textbox>
                <w10:anchorlock/>
              </v:shape>
            </w:pict>
          </mc:Fallback>
        </mc:AlternateContent>
      </w:r>
    </w:p>
    <w:p w14:paraId="43E66471" w14:textId="260F3C33" w:rsidR="00E07117" w:rsidRPr="00CE0424" w:rsidRDefault="00E07117" w:rsidP="00E07117">
      <w:pPr>
        <w:pStyle w:val="BodyText"/>
      </w:pPr>
      <w:bookmarkStart w:id="0" w:name="_Ref178064866"/>
      <w:r>
        <w:t xml:space="preserve">In this contribution we discuss the </w:t>
      </w:r>
      <w:r w:rsidR="008D30A5">
        <w:t>performance benefits with phase alignment and PRB bundling size of the whole allocation bandwidth</w:t>
      </w:r>
      <w:r w:rsidR="00996FA8">
        <w:t>.</w:t>
      </w:r>
      <w:r w:rsidR="0072277B">
        <w:t xml:space="preserve"> We further discuss why this should not </w:t>
      </w:r>
      <w:r w:rsidR="00704683">
        <w:t>exclude</w:t>
      </w:r>
      <w:r w:rsidR="0072277B">
        <w:t xml:space="preserve"> high frequency domain resolution in the pre-coding</w:t>
      </w:r>
      <w:r w:rsidR="00704683">
        <w:t xml:space="preserve"> when using CSI reporting</w:t>
      </w:r>
      <w:r w:rsidR="0072277B">
        <w:t>.</w:t>
      </w:r>
      <w:r w:rsidR="008D30A5">
        <w:t xml:space="preserve"> </w:t>
      </w:r>
      <w:r w:rsidR="0086477D">
        <w:t>Further,</w:t>
      </w:r>
      <w:r w:rsidR="008D30A5">
        <w:t xml:space="preserve"> </w:t>
      </w:r>
      <w:r w:rsidR="00704683">
        <w:t xml:space="preserve">we </w:t>
      </w:r>
      <w:r w:rsidR="008D30A5">
        <w:t>describe the implications</w:t>
      </w:r>
      <w:r w:rsidR="0072277B">
        <w:t xml:space="preserve"> of phase alignment</w:t>
      </w:r>
      <w:r w:rsidR="008D30A5">
        <w:t xml:space="preserve"> and that t</w:t>
      </w:r>
      <w:r w:rsidR="00704683">
        <w:t>hese implications also imply performance benefits with C</w:t>
      </w:r>
      <w:r w:rsidR="008D30A5">
        <w:t xml:space="preserve">omb type DMRS and </w:t>
      </w:r>
      <w:r w:rsidR="002E4209">
        <w:t xml:space="preserve">time domain (e.g. </w:t>
      </w:r>
      <w:r w:rsidR="008D30A5">
        <w:t>FFT-based</w:t>
      </w:r>
      <w:r w:rsidR="002E4209">
        <w:t>)</w:t>
      </w:r>
      <w:r w:rsidR="008D30A5">
        <w:t xml:space="preserve"> channel estimation. Observe that the </w:t>
      </w:r>
      <w:r w:rsidR="002E4209">
        <w:t>benefit</w:t>
      </w:r>
      <w:r w:rsidR="008D30A5">
        <w:t xml:space="preserve"> with </w:t>
      </w:r>
      <w:r w:rsidR="002E4209">
        <w:t>time domain</w:t>
      </w:r>
      <w:r w:rsidR="008D30A5">
        <w:t xml:space="preserve"> channel estimation is due to the limits in practical filters for frequency domain estimation rather than any fundamental advantage with </w:t>
      </w:r>
      <w:r w:rsidR="002E4209">
        <w:t>time domain</w:t>
      </w:r>
      <w:r w:rsidR="008D30A5">
        <w:t xml:space="preserve"> channel estimation.</w:t>
      </w:r>
    </w:p>
    <w:p w14:paraId="78A81B9D" w14:textId="77777777" w:rsidR="004000E8" w:rsidRDefault="004000E8" w:rsidP="00CE0424">
      <w:pPr>
        <w:pStyle w:val="Heading1"/>
      </w:pPr>
      <w:r w:rsidRPr="00CE0424">
        <w:t>Discussion</w:t>
      </w:r>
      <w:bookmarkEnd w:id="0"/>
    </w:p>
    <w:p w14:paraId="64384AB2" w14:textId="77777777" w:rsidR="00E07117" w:rsidRDefault="00E07117" w:rsidP="00E07117">
      <w:pPr>
        <w:pStyle w:val="Heading2"/>
      </w:pPr>
      <w:r>
        <w:t xml:space="preserve">General observations on the </w:t>
      </w:r>
      <w:r w:rsidR="002E4209">
        <w:t>pre-coding granularity</w:t>
      </w:r>
    </w:p>
    <w:p w14:paraId="5E9687D2" w14:textId="1D1C1753" w:rsidR="00E07117" w:rsidRDefault="00E07117" w:rsidP="00E07117">
      <w:r>
        <w:t xml:space="preserve">In general, the </w:t>
      </w:r>
      <w:r w:rsidR="002E4209">
        <w:t xml:space="preserve">pre-coding granularity and configuration </w:t>
      </w:r>
      <w:r>
        <w:t xml:space="preserve">should adopt to different scenarios and use cases. </w:t>
      </w:r>
      <w:r w:rsidR="002E4209">
        <w:t xml:space="preserve">It is important in these discussions to differentiate between </w:t>
      </w:r>
      <w:r w:rsidR="001975D7">
        <w:t xml:space="preserve">the </w:t>
      </w:r>
      <w:r w:rsidR="002E4209">
        <w:t>purposes of pre-coding. Some of these are well covered</w:t>
      </w:r>
      <w:r w:rsidR="001975D7">
        <w:t>,</w:t>
      </w:r>
      <w:r w:rsidR="002E4209">
        <w:t xml:space="preserve"> and easily understood. </w:t>
      </w:r>
      <w:r w:rsidR="00AD11B6">
        <w:t>One</w:t>
      </w:r>
      <w:r w:rsidR="002E4209">
        <w:t xml:space="preserve"> </w:t>
      </w:r>
      <w:r w:rsidR="0072277B">
        <w:t xml:space="preserve">such </w:t>
      </w:r>
      <w:r w:rsidR="002E4209">
        <w:t xml:space="preserve">purpose of pre-coding is to align the set of </w:t>
      </w:r>
      <w:r w:rsidR="0072277B">
        <w:t xml:space="preserve">TX </w:t>
      </w:r>
      <w:r w:rsidR="002E4209">
        <w:t>antenna</w:t>
      </w:r>
      <w:r w:rsidR="0072277B">
        <w:t>s</w:t>
      </w:r>
      <w:r w:rsidR="002E4209">
        <w:t xml:space="preserve"> </w:t>
      </w:r>
      <w:r w:rsidR="0072277B">
        <w:t xml:space="preserve">to </w:t>
      </w:r>
      <w:r w:rsidR="00704683">
        <w:t>achieve</w:t>
      </w:r>
      <w:r w:rsidR="0072277B">
        <w:t xml:space="preserve"> coherent accumulation at the receiver</w:t>
      </w:r>
      <w:r w:rsidR="00095EED">
        <w:t xml:space="preserve"> and another purpose is to suppress or null interference</w:t>
      </w:r>
      <w:r w:rsidR="002E4209">
        <w:t>. Traditionally this has been done using a fixed pre-coder per PRB-bundle. Hence to get good alignment over the allocation bandwidth</w:t>
      </w:r>
      <w:r w:rsidR="001975D7">
        <w:t>,</w:t>
      </w:r>
      <w:r w:rsidR="002E4209">
        <w:t xml:space="preserve"> a higher frequency resolution and hence smaller </w:t>
      </w:r>
      <w:r w:rsidR="0068734B">
        <w:t xml:space="preserve">PRB-bundle </w:t>
      </w:r>
      <w:r w:rsidR="002E4209">
        <w:t>size will be important.</w:t>
      </w:r>
    </w:p>
    <w:p w14:paraId="4FE5787A" w14:textId="0EC6C92F" w:rsidR="00996FA8" w:rsidRDefault="002E4209" w:rsidP="00996FA8">
      <w:pPr>
        <w:pStyle w:val="Observation"/>
      </w:pPr>
      <w:bookmarkStart w:id="1" w:name="_Toc477871018"/>
      <w:r>
        <w:t>High frequency domain resolution of pre-coder configuration is beneficial for pre</w:t>
      </w:r>
      <w:r w:rsidR="00276C96">
        <w:t xml:space="preserve">-coding gain in terms of TX </w:t>
      </w:r>
      <w:r w:rsidR="006755DF">
        <w:t>beam-forming gain and interference suppression</w:t>
      </w:r>
      <w:r w:rsidR="00276C96">
        <w:t>.</w:t>
      </w:r>
      <w:bookmarkEnd w:id="1"/>
    </w:p>
    <w:p w14:paraId="314BBD75" w14:textId="4FBB24FF" w:rsidR="00276C96" w:rsidRDefault="00276C96" w:rsidP="00E07117">
      <w:r>
        <w:lastRenderedPageBreak/>
        <w:t xml:space="preserve">Changes in pre-coding </w:t>
      </w:r>
      <w:r w:rsidR="0072277B">
        <w:t xml:space="preserve">at PRB-bundle borders </w:t>
      </w:r>
      <w:r>
        <w:t xml:space="preserve">can lead to discontinuity in the effective channel. One way of handling the discontinuity is to force the RX chain to treat each PRB-bundle separately </w:t>
      </w:r>
      <w:r w:rsidR="0068734B">
        <w:t>when it comes to channel estimation</w:t>
      </w:r>
      <w:r w:rsidR="001975D7">
        <w:t>,</w:t>
      </w:r>
      <w:r>
        <w:t xml:space="preserve"> which then limit the maximum processing gain and introduce edge effects.</w:t>
      </w:r>
    </w:p>
    <w:p w14:paraId="41B002E0" w14:textId="652C6909" w:rsidR="00276C96" w:rsidRDefault="00276C96" w:rsidP="00276C96">
      <w:pPr>
        <w:pStyle w:val="Observation"/>
      </w:pPr>
      <w:bookmarkStart w:id="2" w:name="_Toc477871019"/>
      <w:r>
        <w:t xml:space="preserve">Forcing channel estimation to work on small blocks limit processing gain </w:t>
      </w:r>
      <w:r w:rsidR="0068734B">
        <w:t xml:space="preserve">in estimation </w:t>
      </w:r>
      <w:r>
        <w:t>and introduce edge effects.</w:t>
      </w:r>
      <w:bookmarkEnd w:id="2"/>
      <w:r>
        <w:t xml:space="preserve"> </w:t>
      </w:r>
    </w:p>
    <w:p w14:paraId="186B2F42" w14:textId="46424D86" w:rsidR="00E07117" w:rsidRDefault="00276C96" w:rsidP="00E07117">
      <w:r>
        <w:t xml:space="preserve">These two initial observations are general and </w:t>
      </w:r>
      <w:r w:rsidR="001975D7">
        <w:t>valid</w:t>
      </w:r>
      <w:r>
        <w:t xml:space="preserve"> for LTE</w:t>
      </w:r>
      <w:r w:rsidR="00BD2A9D">
        <w:t>, where code-book based precoding is used</w:t>
      </w:r>
      <w:r w:rsidR="0068734B">
        <w:t>.</w:t>
      </w:r>
      <w:r>
        <w:t xml:space="preserve"> </w:t>
      </w:r>
      <w:r w:rsidR="0068734B">
        <w:t>W</w:t>
      </w:r>
      <w:r>
        <w:t xml:space="preserve">e will now </w:t>
      </w:r>
      <w:r w:rsidR="00704683">
        <w:t>consider</w:t>
      </w:r>
      <w:r>
        <w:t xml:space="preserve"> why there </w:t>
      </w:r>
      <w:r w:rsidR="0068734B">
        <w:t xml:space="preserve">may be </w:t>
      </w:r>
      <w:r>
        <w:t xml:space="preserve">a change when we consider NR and </w:t>
      </w:r>
      <w:r w:rsidR="000E5277">
        <w:t>the</w:t>
      </w:r>
      <w:r w:rsidR="0068734B">
        <w:t xml:space="preserve"> use</w:t>
      </w:r>
      <w:r w:rsidR="000E5277">
        <w:t xml:space="preserve"> of</w:t>
      </w:r>
      <w:r w:rsidR="0068734B">
        <w:t xml:space="preserve"> </w:t>
      </w:r>
      <w:r>
        <w:t xml:space="preserve">large scale </w:t>
      </w:r>
      <w:r w:rsidR="00BD2A9D">
        <w:t xml:space="preserve">DL </w:t>
      </w:r>
      <w:r>
        <w:t>MU-MIMO</w:t>
      </w:r>
      <w:r w:rsidR="00E07117">
        <w:t>.</w:t>
      </w:r>
      <w:r>
        <w:t xml:space="preserve"> </w:t>
      </w:r>
      <w:proofErr w:type="gramStart"/>
      <w:r>
        <w:t>In particular</w:t>
      </w:r>
      <w:r w:rsidR="001975D7">
        <w:t>,</w:t>
      </w:r>
      <w:r>
        <w:t xml:space="preserve"> for</w:t>
      </w:r>
      <w:proofErr w:type="gramEnd"/>
      <w:r>
        <w:t xml:space="preserve"> reciprocity operation </w:t>
      </w:r>
      <w:r w:rsidR="0068734B">
        <w:t xml:space="preserve">we have a </w:t>
      </w:r>
      <w:r>
        <w:t xml:space="preserve">very good DL channel knowledge available </w:t>
      </w:r>
      <w:r w:rsidR="0068734B">
        <w:t xml:space="preserve">at the transmitter </w:t>
      </w:r>
      <w:r>
        <w:t xml:space="preserve">for </w:t>
      </w:r>
      <w:r w:rsidR="00BD2A9D">
        <w:t xml:space="preserve">advanced </w:t>
      </w:r>
      <w:r>
        <w:t>pre-coding calculation</w:t>
      </w:r>
      <w:r w:rsidR="00BD2A9D">
        <w:t xml:space="preserve">, e.g., continuous phase pre-coders. </w:t>
      </w:r>
      <w:r w:rsidR="0068734B">
        <w:t>From</w:t>
      </w:r>
      <w:r>
        <w:t xml:space="preserve"> the </w:t>
      </w:r>
      <w:r w:rsidR="001975D7">
        <w:t>perspective of</w:t>
      </w:r>
      <w:r>
        <w:t xml:space="preserve"> reciprocity </w:t>
      </w:r>
      <w:r w:rsidR="001975D7">
        <w:t xml:space="preserve">based </w:t>
      </w:r>
      <w:r>
        <w:t>operation</w:t>
      </w:r>
      <w:r w:rsidR="001975D7">
        <w:t>,</w:t>
      </w:r>
      <w:r>
        <w:t xml:space="preserve"> </w:t>
      </w:r>
      <w:r w:rsidR="0068734B">
        <w:t>it is important not to</w:t>
      </w:r>
      <w:r>
        <w:t xml:space="preserve"> </w:t>
      </w:r>
      <w:r w:rsidR="001975D7">
        <w:t>limit</w:t>
      </w:r>
      <w:r w:rsidR="0068734B">
        <w:t xml:space="preserve"> the </w:t>
      </w:r>
      <w:r w:rsidR="001975D7">
        <w:t xml:space="preserve">achievable </w:t>
      </w:r>
      <w:r w:rsidR="0068734B">
        <w:t xml:space="preserve">performance </w:t>
      </w:r>
      <w:r w:rsidR="001975D7">
        <w:t>by invoking</w:t>
      </w:r>
      <w:r>
        <w:t xml:space="preserve"> </w:t>
      </w:r>
      <w:r w:rsidR="0068734B">
        <w:t xml:space="preserve">a </w:t>
      </w:r>
      <w:r>
        <w:t>PRB-bundling limitation in the channel estimation</w:t>
      </w:r>
      <w:r w:rsidR="0068734B">
        <w:t xml:space="preserve">. </w:t>
      </w:r>
      <w:r>
        <w:t xml:space="preserve"> </w:t>
      </w:r>
      <w:r w:rsidR="0068734B">
        <w:t>Instead,</w:t>
      </w:r>
      <w:r>
        <w:t xml:space="preserve"> we should strive for </w:t>
      </w:r>
      <w:r w:rsidR="00BD2A9D">
        <w:t xml:space="preserve">enabling </w:t>
      </w:r>
      <w:r>
        <w:t xml:space="preserve">the performance advantages </w:t>
      </w:r>
      <w:r w:rsidR="00BD2A9D">
        <w:t>of reciprocity based precoding,</w:t>
      </w:r>
      <w:r>
        <w:t xml:space="preserve"> </w:t>
      </w:r>
      <w:r w:rsidR="00BD2A9D">
        <w:t xml:space="preserve">as </w:t>
      </w:r>
      <w:r w:rsidR="0068734B">
        <w:t xml:space="preserve">compared </w:t>
      </w:r>
      <w:r>
        <w:t xml:space="preserve">to code-book </w:t>
      </w:r>
      <w:r w:rsidR="0068734B">
        <w:t xml:space="preserve">CSI feedback </w:t>
      </w:r>
      <w:r>
        <w:t>operation</w:t>
      </w:r>
      <w:r w:rsidR="00BD2A9D">
        <w:t>,</w:t>
      </w:r>
      <w:r>
        <w:t xml:space="preserve"> in NR.</w:t>
      </w:r>
    </w:p>
    <w:p w14:paraId="6300AF52" w14:textId="09874346" w:rsidR="00E87400" w:rsidRDefault="00276C96" w:rsidP="00655BC2">
      <w:pPr>
        <w:pStyle w:val="Observation"/>
      </w:pPr>
      <w:bookmarkStart w:id="3" w:name="_Toc477871020"/>
      <w:r>
        <w:t xml:space="preserve">Reciprocity operation enable continuous </w:t>
      </w:r>
      <w:r w:rsidR="00AD11B6">
        <w:t xml:space="preserve">phase </w:t>
      </w:r>
      <w:r>
        <w:t>pre-coder selection without any discontinuity in the effective channel.</w:t>
      </w:r>
      <w:bookmarkEnd w:id="3"/>
    </w:p>
    <w:p w14:paraId="252C8835" w14:textId="3C509004" w:rsidR="000E5277" w:rsidRDefault="000E5277" w:rsidP="000E5277">
      <w:pPr>
        <w:pStyle w:val="BodyText"/>
      </w:pPr>
      <w:r>
        <w:t>We can further observe that for some use cases the transmitter could switch from a closed loop pre-coding scheme to open-loop beam-forming, for example, when performing intra- or inter-node mobility. In these type mobility cases the SNR operating point is also typically low and channel estimation can be quite limiting. Hence for these transmissions having the option to use large frequency domain filtering is important for performance.</w:t>
      </w:r>
    </w:p>
    <w:p w14:paraId="79B1B102" w14:textId="23821354" w:rsidR="000E5277" w:rsidRDefault="000E5277" w:rsidP="000E5277">
      <w:pPr>
        <w:pStyle w:val="Proposal"/>
      </w:pPr>
      <w:bookmarkStart w:id="4" w:name="_Toc481496733"/>
      <w:bookmarkStart w:id="5" w:name="_Toc481496801"/>
      <w:bookmarkStart w:id="6" w:name="_Toc481496960"/>
      <w:bookmarkStart w:id="7" w:name="_Toc481586699"/>
      <w:bookmarkStart w:id="8" w:name="_Toc481588239"/>
      <w:r>
        <w:t xml:space="preserve">Support dynamically indicating in DCI that the UE can perform full-bandwidth interpolation in the </w:t>
      </w:r>
      <w:r w:rsidR="00F66923">
        <w:t xml:space="preserve">DL </w:t>
      </w:r>
      <w:r>
        <w:t>channel estimation</w:t>
      </w:r>
      <w:bookmarkEnd w:id="4"/>
      <w:bookmarkEnd w:id="5"/>
      <w:r w:rsidR="0040440F">
        <w:t>.</w:t>
      </w:r>
      <w:bookmarkEnd w:id="6"/>
      <w:bookmarkEnd w:id="7"/>
      <w:bookmarkEnd w:id="8"/>
    </w:p>
    <w:p w14:paraId="37D57ECA" w14:textId="0754028E" w:rsidR="000E5277" w:rsidRDefault="000E5277" w:rsidP="000E5277">
      <w:pPr>
        <w:pStyle w:val="BodyText"/>
      </w:pPr>
      <w:r>
        <w:t>We can also deduce that when the base-station is using a closed-loop pre-coding scheme this has been configured and hence is known by the UE. Hence when PRG size is invoked it can be implicitly derived from the closed-loop CSI procedure.</w:t>
      </w:r>
    </w:p>
    <w:p w14:paraId="2C52CD68" w14:textId="77777777" w:rsidR="00E87400" w:rsidRDefault="00276C96" w:rsidP="002B7C52">
      <w:pPr>
        <w:pStyle w:val="Heading2"/>
      </w:pPr>
      <w:r>
        <w:t>Reciprocity and phase continuity in pre-coder selection</w:t>
      </w:r>
    </w:p>
    <w:p w14:paraId="7F9EE8D7" w14:textId="429E4C42" w:rsidR="00E07117" w:rsidRDefault="00C629BA" w:rsidP="00E87400">
      <w:pPr>
        <w:pStyle w:val="BodyText"/>
      </w:pPr>
      <w:r>
        <w:t xml:space="preserve">In the case of reciprocity </w:t>
      </w:r>
      <w:r w:rsidR="007F5853">
        <w:t>operation,</w:t>
      </w:r>
      <w:r>
        <w:t xml:space="preserve"> a multitude of advanced pre-coding procedures are </w:t>
      </w:r>
      <w:r w:rsidR="004825E4">
        <w:t>possible</w:t>
      </w:r>
      <w:r>
        <w:t xml:space="preserve">. These gives performance advantages in terms of increasing signal strength and/or </w:t>
      </w:r>
      <w:r w:rsidR="00BD2A9D">
        <w:t xml:space="preserve">in </w:t>
      </w:r>
      <w:r>
        <w:t>suppressing interference. Another big advantage that is less discussed is the advantage in channel estimation performance. As an example</w:t>
      </w:r>
      <w:r w:rsidR="00BD2A9D">
        <w:t>,</w:t>
      </w:r>
      <w:r>
        <w:t xml:space="preserve"> we consider a simple </w:t>
      </w:r>
      <w:r w:rsidR="00B55949">
        <w:t>case with</w:t>
      </w:r>
      <w:r w:rsidR="00704683">
        <w:t xml:space="preserve"> phase only pre-coding</w:t>
      </w:r>
      <w:r>
        <w:t xml:space="preserve"> </w:t>
      </w:r>
      <w:r w:rsidR="00BD2A9D">
        <w:t xml:space="preserve">and </w:t>
      </w:r>
      <w:r>
        <w:t>transmi</w:t>
      </w:r>
      <w:r w:rsidR="00BD2A9D">
        <w:t>ssion</w:t>
      </w:r>
      <w:r>
        <w:t xml:space="preserve"> over a TDL_A channel. In this case we will consider the actual channel and the effective channel after precoding, as depicted in </w:t>
      </w:r>
      <w:r w:rsidR="008A473F">
        <w:fldChar w:fldCharType="begin"/>
      </w:r>
      <w:r w:rsidR="008A473F">
        <w:instrText xml:space="preserve"> REF _Ref477433798 \h </w:instrText>
      </w:r>
      <w:r w:rsidR="008A473F">
        <w:fldChar w:fldCharType="separate"/>
      </w:r>
      <w:r w:rsidR="008A473F">
        <w:t xml:space="preserve">Figure </w:t>
      </w:r>
      <w:r w:rsidR="008A473F">
        <w:rPr>
          <w:noProof/>
        </w:rPr>
        <w:t>1</w:t>
      </w:r>
      <w:r w:rsidR="008A473F">
        <w:fldChar w:fldCharType="end"/>
      </w:r>
      <w:r>
        <w:t>.</w:t>
      </w:r>
    </w:p>
    <w:p w14:paraId="0E578D0D" w14:textId="77777777" w:rsidR="001C5E06" w:rsidRDefault="004825E4" w:rsidP="001C5E06">
      <w:pPr>
        <w:pStyle w:val="BodyText"/>
        <w:jc w:val="center"/>
      </w:pPr>
      <w:r w:rsidRPr="004825E4">
        <w:rPr>
          <w:noProof/>
          <w:lang w:val="sv-SE" w:eastAsia="sv-SE"/>
        </w:rPr>
        <w:drawing>
          <wp:inline distT="0" distB="0" distL="0" distR="0" wp14:anchorId="48B84DF5" wp14:editId="3021E1A0">
            <wp:extent cx="4181649" cy="3137648"/>
            <wp:effectExtent l="0" t="0" r="952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95574" cy="3148096"/>
                    </a:xfrm>
                    <a:prstGeom prst="rect">
                      <a:avLst/>
                    </a:prstGeom>
                  </pic:spPr>
                </pic:pic>
              </a:graphicData>
            </a:graphic>
          </wp:inline>
        </w:drawing>
      </w:r>
    </w:p>
    <w:p w14:paraId="4FCAD276" w14:textId="0C586F31" w:rsidR="001C5E06" w:rsidRDefault="001C5E06" w:rsidP="001C5E06">
      <w:pPr>
        <w:pStyle w:val="Caption"/>
      </w:pPr>
      <w:bookmarkStart w:id="9" w:name="_Ref477433798"/>
      <w:r>
        <w:lastRenderedPageBreak/>
        <w:t xml:space="preserve">Figure </w:t>
      </w:r>
      <w:r>
        <w:fldChar w:fldCharType="begin"/>
      </w:r>
      <w:r>
        <w:instrText xml:space="preserve"> SEQ Figure \* ARABIC </w:instrText>
      </w:r>
      <w:r>
        <w:fldChar w:fldCharType="separate"/>
      </w:r>
      <w:r w:rsidR="00C90878">
        <w:rPr>
          <w:noProof/>
        </w:rPr>
        <w:t>1</w:t>
      </w:r>
      <w:r>
        <w:fldChar w:fldCharType="end"/>
      </w:r>
      <w:bookmarkEnd w:id="9"/>
      <w:r>
        <w:t xml:space="preserve">: </w:t>
      </w:r>
      <w:r w:rsidR="008A473F">
        <w:t>Delay spread impact from phase continuous</w:t>
      </w:r>
      <w:r w:rsidR="004825E4">
        <w:t xml:space="preserve"> -</w:t>
      </w:r>
      <w:r w:rsidR="008A473F">
        <w:t xml:space="preserve"> phase only pre-coding</w:t>
      </w:r>
    </w:p>
    <w:p w14:paraId="32F8CF30" w14:textId="738EF0F4" w:rsidR="00504B89" w:rsidRDefault="00D209D9" w:rsidP="001C5E06">
      <w:r>
        <w:t xml:space="preserve">The difference between the </w:t>
      </w:r>
      <w:r w:rsidR="004825E4">
        <w:t xml:space="preserve">two cases is then roughly that the pre-coded channel has half the </w:t>
      </w:r>
      <w:r w:rsidR="00E66A3B">
        <w:t xml:space="preserve">RMS </w:t>
      </w:r>
      <w:r w:rsidR="004825E4">
        <w:t>delay-spread compared to the non-</w:t>
      </w:r>
      <w:proofErr w:type="spellStart"/>
      <w:r w:rsidR="004825E4">
        <w:t>precoded</w:t>
      </w:r>
      <w:proofErr w:type="spellEnd"/>
      <w:r w:rsidR="004825E4">
        <w:t xml:space="preserve"> channel. Hence there is a potential for</w:t>
      </w:r>
      <w:r w:rsidR="007F5853">
        <w:t xml:space="preserve"> around</w:t>
      </w:r>
      <w:r w:rsidR="004825E4">
        <w:t xml:space="preserve"> 3 dB increase in processing gain for the pre-coded channel in the channel estimation. Observe that a 3 dB gain is equivalent to that the frequency domain filter is twice as l</w:t>
      </w:r>
      <w:r w:rsidR="007F5853">
        <w:t>ong</w:t>
      </w:r>
      <w:r w:rsidR="004825E4">
        <w:t>.</w:t>
      </w:r>
      <w:r w:rsidR="00504B89">
        <w:t xml:space="preserve"> </w:t>
      </w:r>
      <w:r w:rsidR="00774E25">
        <w:t xml:space="preserve">This is then a conservative example of the pre-coding effect, in academic literature effect in the order of 20 dB has been described, see for example [3]. It should be noted that this is under </w:t>
      </w:r>
      <w:r w:rsidR="00167828">
        <w:t xml:space="preserve">quite </w:t>
      </w:r>
      <w:r w:rsidR="00774E25">
        <w:t xml:space="preserve">other assumptions than the 3 dB described here. </w:t>
      </w:r>
      <w:r w:rsidR="00E85ED6">
        <w:t>In practice, for a somewhat large antenna array, the effect will probably be somewhere in-between</w:t>
      </w:r>
      <w:bookmarkStart w:id="10" w:name="_GoBack"/>
      <w:bookmarkEnd w:id="10"/>
      <w:r w:rsidR="00E85ED6">
        <w:t xml:space="preserve"> these two values. </w:t>
      </w:r>
      <w:r w:rsidR="00504B89">
        <w:t xml:space="preserve">Hence the channel estimator can be hindered to harvest the additional processing gain due to </w:t>
      </w:r>
      <w:r w:rsidR="00B55949">
        <w:t xml:space="preserve">a too </w:t>
      </w:r>
      <w:r w:rsidR="00B55949" w:rsidRPr="0007511B">
        <w:t>restrictive</w:t>
      </w:r>
      <w:r w:rsidR="00504B89" w:rsidRPr="0007511B">
        <w:t xml:space="preserve"> PRB bundling</w:t>
      </w:r>
      <w:r w:rsidR="00656E76" w:rsidRPr="0007511B">
        <w:t>, i.e., not being able to exploit the increased frequency correlation</w:t>
      </w:r>
      <w:r w:rsidR="00504B89" w:rsidRPr="0007511B">
        <w:t>.</w:t>
      </w:r>
    </w:p>
    <w:p w14:paraId="0E312182" w14:textId="77777777" w:rsidR="00504B89" w:rsidRDefault="00504B89" w:rsidP="00504B89">
      <w:pPr>
        <w:pStyle w:val="Observation"/>
      </w:pPr>
      <w:bookmarkStart w:id="11" w:name="_Toc477871021"/>
      <w:r>
        <w:t>Proper phase continuity in pre-coding can significantly reduce the delay spread of the effective channel.</w:t>
      </w:r>
      <w:bookmarkEnd w:id="11"/>
    </w:p>
    <w:p w14:paraId="0DDF2D21" w14:textId="4308644B" w:rsidR="00504B89" w:rsidRDefault="00504B89" w:rsidP="00504B89">
      <w:pPr>
        <w:pStyle w:val="Observation"/>
      </w:pPr>
      <w:bookmarkStart w:id="12" w:name="_Toc477871022"/>
      <w:r>
        <w:t xml:space="preserve">Small PRB bundling size can hinder the performance gains </w:t>
      </w:r>
      <w:r w:rsidR="00EC6843">
        <w:t>in channel estimation</w:t>
      </w:r>
      <w:r w:rsidR="00EC6843" w:rsidDel="00EC6843">
        <w:t xml:space="preserve"> </w:t>
      </w:r>
      <w:r w:rsidR="00EC6843">
        <w:t>enabled by the</w:t>
      </w:r>
      <w:r w:rsidR="007F5853">
        <w:t xml:space="preserve"> smaller delay spread</w:t>
      </w:r>
      <w:r>
        <w:t>.</w:t>
      </w:r>
      <w:bookmarkEnd w:id="12"/>
    </w:p>
    <w:p w14:paraId="45D3079B" w14:textId="51462B23" w:rsidR="00504B89" w:rsidRDefault="00504B89" w:rsidP="00504B89">
      <w:pPr>
        <w:pStyle w:val="BodyText"/>
      </w:pPr>
      <w:r>
        <w:t>The larger filter size in frequency domain can also be significantly costly in terms of computations. The FFT transform has a smaller complexity increase for large bandwidths</w:t>
      </w:r>
      <w:r w:rsidR="00656E76">
        <w:t>, since</w:t>
      </w:r>
      <w:r>
        <w:t xml:space="preserve"> the complexity scales as </w:t>
      </w:r>
      <m:oMath>
        <m:r>
          <w:rPr>
            <w:rFonts w:ascii="Cambria Math" w:hAnsi="Cambria Math"/>
          </w:rPr>
          <m:t>n∙log(n)</m:t>
        </m:r>
      </m:oMath>
      <w:r>
        <w:t xml:space="preserve">. </w:t>
      </w:r>
    </w:p>
    <w:p w14:paraId="4BD79D20" w14:textId="77777777" w:rsidR="00504B89" w:rsidRDefault="00504B89" w:rsidP="00504B89">
      <w:pPr>
        <w:pStyle w:val="Observation"/>
      </w:pPr>
      <w:bookmarkStart w:id="13" w:name="_Toc477871023"/>
      <w:r>
        <w:t>FFT based channel estimation is computationally efficient for large PRB-bundling and large frequency domain filters.</w:t>
      </w:r>
      <w:bookmarkEnd w:id="13"/>
    </w:p>
    <w:p w14:paraId="29B3A9F8" w14:textId="77777777" w:rsidR="00504B89" w:rsidRDefault="00504B89" w:rsidP="00504B89">
      <w:pPr>
        <w:pStyle w:val="BodyText"/>
      </w:pPr>
      <w:r>
        <w:t>Hence for reciprocity operation a DMRS patterns using time domain cyclic shift resolution is a good candidate, i.e. a frequency domain comb rather than an LTE DL-DMRS type structure with OCC</w:t>
      </w:r>
      <w:r w:rsidR="00312BEB">
        <w:t xml:space="preserve">, as depicted in </w:t>
      </w:r>
      <w:r w:rsidR="00312BEB">
        <w:fldChar w:fldCharType="begin"/>
      </w:r>
      <w:r w:rsidR="00312BEB">
        <w:instrText xml:space="preserve"> REF _Ref477866863 \h </w:instrText>
      </w:r>
      <w:r w:rsidR="00312BEB">
        <w:fldChar w:fldCharType="separate"/>
      </w:r>
      <w:r w:rsidR="00312BEB">
        <w:t xml:space="preserve">Figure </w:t>
      </w:r>
      <w:r w:rsidR="00312BEB">
        <w:rPr>
          <w:noProof/>
        </w:rPr>
        <w:t>2</w:t>
      </w:r>
      <w:r w:rsidR="00312BEB">
        <w:fldChar w:fldCharType="end"/>
      </w:r>
      <w:r>
        <w:t>.</w:t>
      </w:r>
    </w:p>
    <w:p w14:paraId="6C8C64A9" w14:textId="77777777" w:rsidR="00312BEB" w:rsidRDefault="00312BEB" w:rsidP="00312BEB">
      <w:pPr>
        <w:pStyle w:val="BodyText"/>
        <w:jc w:val="center"/>
      </w:pPr>
      <w:r>
        <w:rPr>
          <w:noProof/>
          <w:lang w:val="sv-SE" w:eastAsia="sv-SE"/>
        </w:rPr>
        <w:drawing>
          <wp:inline distT="0" distB="0" distL="0" distR="0" wp14:anchorId="7FCC7B91" wp14:editId="62AD568B">
            <wp:extent cx="2480400" cy="155880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0400" cy="1558800"/>
                    </a:xfrm>
                    <a:prstGeom prst="rect">
                      <a:avLst/>
                    </a:prstGeom>
                    <a:noFill/>
                  </pic:spPr>
                </pic:pic>
              </a:graphicData>
            </a:graphic>
          </wp:inline>
        </w:drawing>
      </w:r>
    </w:p>
    <w:p w14:paraId="60FE91DE" w14:textId="3BD41EB5" w:rsidR="00312BEB" w:rsidRDefault="00312BEB" w:rsidP="00312BEB">
      <w:pPr>
        <w:pStyle w:val="Caption"/>
      </w:pPr>
      <w:bookmarkStart w:id="14" w:name="_Ref477866863"/>
      <w:r>
        <w:t xml:space="preserve">Figure </w:t>
      </w:r>
      <w:r>
        <w:fldChar w:fldCharType="begin"/>
      </w:r>
      <w:r>
        <w:instrText xml:space="preserve"> SEQ Figure \* ARABIC </w:instrText>
      </w:r>
      <w:r>
        <w:fldChar w:fldCharType="separate"/>
      </w:r>
      <w:r w:rsidR="00C90878">
        <w:rPr>
          <w:noProof/>
        </w:rPr>
        <w:t>2</w:t>
      </w:r>
      <w:r>
        <w:fldChar w:fldCharType="end"/>
      </w:r>
      <w:bookmarkEnd w:id="14"/>
      <w:r>
        <w:t>: Time or frequency domain resolution of orthogonality DMRS example</w:t>
      </w:r>
    </w:p>
    <w:p w14:paraId="53AAE80F" w14:textId="1DACCEE9" w:rsidR="002E2C23" w:rsidRPr="002E2C23" w:rsidRDefault="002E2C23" w:rsidP="002E2C23">
      <w:r>
        <w:t xml:space="preserve">It can further be </w:t>
      </w:r>
      <w:proofErr w:type="gramStart"/>
      <w:r>
        <w:t>observe</w:t>
      </w:r>
      <w:proofErr w:type="gramEnd"/>
      <w:r>
        <w:t xml:space="preserve"> that proper pre-coding with a resulting lower delay spread will also increase the orthogonality between users on the DM-RS. Hence potentially enabling large number of multiplexed users by, e.g. using more cyclic shifts.</w:t>
      </w:r>
    </w:p>
    <w:p w14:paraId="212ECFD6" w14:textId="20A767F4" w:rsidR="002B7C52" w:rsidRDefault="002B7C52" w:rsidP="002B7C52">
      <w:pPr>
        <w:pStyle w:val="Observation"/>
      </w:pPr>
      <w:bookmarkStart w:id="15" w:name="_Toc477871024"/>
      <w:r>
        <w:t xml:space="preserve">Reciprocity operation is more suited </w:t>
      </w:r>
      <w:r w:rsidR="008D21B2">
        <w:t>for</w:t>
      </w:r>
      <w:r>
        <w:t xml:space="preserve"> time domain channel estimation due to the decrease in delay spread of the effective channel.</w:t>
      </w:r>
      <w:bookmarkEnd w:id="15"/>
    </w:p>
    <w:p w14:paraId="514BB868" w14:textId="10B6ED45" w:rsidR="002E2C23" w:rsidRDefault="00F052FC" w:rsidP="002B7C52">
      <w:pPr>
        <w:pStyle w:val="Observation"/>
      </w:pPr>
      <w:r>
        <w:t xml:space="preserve">Lower effective delay spread from pre-coding can enable larger </w:t>
      </w:r>
      <w:r w:rsidR="00F66923">
        <w:t xml:space="preserve">DL MU-MIMO </w:t>
      </w:r>
      <w:r>
        <w:t>multiplexing on DM-RS.</w:t>
      </w:r>
    </w:p>
    <w:p w14:paraId="1BE80495" w14:textId="77777777" w:rsidR="00DB06DA" w:rsidRDefault="00504B89" w:rsidP="00504B89">
      <w:pPr>
        <w:pStyle w:val="Heading2"/>
      </w:pPr>
      <w:r>
        <w:t xml:space="preserve"> </w:t>
      </w:r>
      <w:r w:rsidR="002B7C52">
        <w:t>Performance impact from PRB bundling limitations</w:t>
      </w:r>
    </w:p>
    <w:p w14:paraId="2F0498AE" w14:textId="1474AA82" w:rsidR="002B7C52" w:rsidRPr="002B7C52" w:rsidRDefault="002B7C52" w:rsidP="002B7C52">
      <w:r>
        <w:t>In large scale MU-MIMO capacity scenarios (i.e. high load)</w:t>
      </w:r>
      <w:r w:rsidR="008D21B2">
        <w:t>,</w:t>
      </w:r>
      <w:r>
        <w:t xml:space="preserve"> we will typically not only see a smaller delay spread as described in the previous section, but also that the number of multiplexed users is </w:t>
      </w:r>
      <w:r w:rsidR="00D04E25">
        <w:t>determined</w:t>
      </w:r>
      <w:r w:rsidR="001B199A">
        <w:t xml:space="preserve"> </w:t>
      </w:r>
      <w:r>
        <w:t xml:space="preserve">so that the SINR is </w:t>
      </w:r>
      <w:r w:rsidR="001B199A">
        <w:t xml:space="preserve">maintained in a good but </w:t>
      </w:r>
      <w:r>
        <w:t>quite low</w:t>
      </w:r>
      <w:r w:rsidR="007F5853">
        <w:t xml:space="preserve"> </w:t>
      </w:r>
      <w:r w:rsidR="001B199A">
        <w:t>range</w:t>
      </w:r>
      <w:r w:rsidR="008D21B2">
        <w:t>,</w:t>
      </w:r>
      <w:r w:rsidR="001B199A">
        <w:t xml:space="preserve"> </w:t>
      </w:r>
      <w:r w:rsidR="007F5853">
        <w:t xml:space="preserve">e.g. 0-15 </w:t>
      </w:r>
      <w:proofErr w:type="spellStart"/>
      <w:r w:rsidR="007F5853">
        <w:t>dB</w:t>
      </w:r>
      <w:r>
        <w:t>.</w:t>
      </w:r>
      <w:proofErr w:type="spellEnd"/>
      <w:r>
        <w:t xml:space="preserve"> Hence in this scenario the </w:t>
      </w:r>
      <w:r w:rsidR="00774E25">
        <w:t xml:space="preserve">channel estimation </w:t>
      </w:r>
      <w:r>
        <w:t>performance</w:t>
      </w:r>
      <w:r w:rsidR="00A907E4">
        <w:t xml:space="preserve"> is important for reciprocity operation</w:t>
      </w:r>
      <w:r w:rsidR="00774E25">
        <w:t>.</w:t>
      </w:r>
      <w:r>
        <w:t xml:space="preserve"> </w:t>
      </w:r>
      <w:r w:rsidR="00774E25">
        <w:t>We now</w:t>
      </w:r>
      <w:r w:rsidR="00704683">
        <w:t xml:space="preserve"> consider </w:t>
      </w:r>
      <w:r w:rsidR="00A907E4">
        <w:t xml:space="preserve">both </w:t>
      </w:r>
      <w:r w:rsidR="00704683">
        <w:t xml:space="preserve">the </w:t>
      </w:r>
      <w:r>
        <w:t>impact of time domain channel estimation and the effect of PRB-bundling</w:t>
      </w:r>
      <w:r w:rsidR="00774E25">
        <w:t xml:space="preserve"> in the following examples</w:t>
      </w:r>
      <w:r w:rsidR="00CF2E1E">
        <w:t xml:space="preserve">. First we consider the </w:t>
      </w:r>
      <w:r w:rsidR="008D21B2">
        <w:t xml:space="preserve">impact of </w:t>
      </w:r>
      <w:r w:rsidR="00CF2E1E">
        <w:t xml:space="preserve">PRB-bundling </w:t>
      </w:r>
      <w:r w:rsidR="008D21B2">
        <w:t xml:space="preserve">when communicating over channels of </w:t>
      </w:r>
      <w:r w:rsidR="00CF2E1E">
        <w:t>300 ns and 30 ns</w:t>
      </w:r>
      <w:r>
        <w:t xml:space="preserve"> </w:t>
      </w:r>
      <w:r w:rsidR="008D21B2">
        <w:t xml:space="preserve">RMS delay spread, </w:t>
      </w:r>
      <w:r>
        <w:t xml:space="preserve">as depicted in </w:t>
      </w:r>
      <w:r w:rsidR="007F5853">
        <w:fldChar w:fldCharType="begin"/>
      </w:r>
      <w:r w:rsidR="007F5853">
        <w:instrText xml:space="preserve"> REF _Ref477769535 \h </w:instrText>
      </w:r>
      <w:r w:rsidR="007F5853">
        <w:fldChar w:fldCharType="separate"/>
      </w:r>
      <w:r w:rsidR="0021695D">
        <w:t xml:space="preserve">Figure </w:t>
      </w:r>
      <w:r w:rsidR="0021695D">
        <w:rPr>
          <w:noProof/>
        </w:rPr>
        <w:t>3</w:t>
      </w:r>
      <w:r w:rsidR="007F5853">
        <w:fldChar w:fldCharType="end"/>
      </w:r>
      <w:r w:rsidR="00CF2E1E">
        <w:t>,</w:t>
      </w:r>
      <w:r w:rsidR="00E66A3B">
        <w:t xml:space="preserve"> </w:t>
      </w:r>
      <w:r w:rsidR="00471FA2">
        <w:t>where the relative channel estimation error is shown</w:t>
      </w:r>
      <w:r w:rsidR="008D21B2">
        <w:t>.</w:t>
      </w:r>
      <w:r w:rsidR="00E66A3B">
        <w:t xml:space="preserve"> </w:t>
      </w:r>
      <w:r w:rsidR="00471FA2">
        <w:t>T</w:t>
      </w:r>
      <w:r w:rsidR="00E66A3B">
        <w:t>he simulation assumptions for the plot</w:t>
      </w:r>
      <w:r w:rsidR="00814708">
        <w:t>s</w:t>
      </w:r>
      <w:r w:rsidR="00E66A3B">
        <w:t xml:space="preserve"> </w:t>
      </w:r>
      <w:r w:rsidR="00471FA2">
        <w:t>i</w:t>
      </w:r>
      <w:r w:rsidR="00E66A3B">
        <w:t xml:space="preserve">s </w:t>
      </w:r>
      <w:r w:rsidR="00471FA2">
        <w:t>found</w:t>
      </w:r>
      <w:r w:rsidR="00E66A3B">
        <w:t xml:space="preserve"> in </w:t>
      </w:r>
      <w:r w:rsidR="00471FA2">
        <w:t xml:space="preserve">the </w:t>
      </w:r>
      <w:r w:rsidR="00E66A3B">
        <w:t>Appendix</w:t>
      </w:r>
      <w:r w:rsidR="00471FA2">
        <w:t>.</w:t>
      </w:r>
      <w:r w:rsidR="00CF2E1E" w:rsidDel="00E66A3B">
        <w:t xml:space="preserve"> </w:t>
      </w:r>
    </w:p>
    <w:p w14:paraId="5E6208CD" w14:textId="3EB10B7D" w:rsidR="00EB4CB3" w:rsidRDefault="00741ACE" w:rsidP="00814708">
      <w:pPr>
        <w:jc w:val="center"/>
      </w:pPr>
      <w:r>
        <w:rPr>
          <w:noProof/>
          <w:lang w:val="sv-SE" w:eastAsia="sv-SE"/>
        </w:rPr>
        <w:lastRenderedPageBreak/>
        <w:drawing>
          <wp:inline distT="0" distB="0" distL="0" distR="0" wp14:anchorId="20DBAAFA" wp14:editId="6AB998C9">
            <wp:extent cx="2854800" cy="222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4800" cy="2224800"/>
                    </a:xfrm>
                    <a:prstGeom prst="rect">
                      <a:avLst/>
                    </a:prstGeom>
                    <a:noFill/>
                  </pic:spPr>
                </pic:pic>
              </a:graphicData>
            </a:graphic>
          </wp:inline>
        </w:drawing>
      </w:r>
      <w:r w:rsidR="00CF2E1E">
        <w:rPr>
          <w:noProof/>
          <w:lang w:val="sv-SE" w:eastAsia="sv-SE"/>
        </w:rPr>
        <w:drawing>
          <wp:inline distT="0" distB="0" distL="0" distR="0" wp14:anchorId="202E78C9" wp14:editId="0DD3A3F1">
            <wp:extent cx="2980800" cy="223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0800" cy="2232000"/>
                    </a:xfrm>
                    <a:prstGeom prst="rect">
                      <a:avLst/>
                    </a:prstGeom>
                    <a:noFill/>
                  </pic:spPr>
                </pic:pic>
              </a:graphicData>
            </a:graphic>
          </wp:inline>
        </w:drawing>
      </w:r>
    </w:p>
    <w:p w14:paraId="71F88626" w14:textId="16226F5B" w:rsidR="00EB4CB3" w:rsidRDefault="00EB4CB3" w:rsidP="00EB4CB3">
      <w:pPr>
        <w:pStyle w:val="Caption"/>
      </w:pPr>
      <w:bookmarkStart w:id="16" w:name="_Ref477769535"/>
      <w:r>
        <w:t xml:space="preserve">Figure </w:t>
      </w:r>
      <w:r>
        <w:fldChar w:fldCharType="begin"/>
      </w:r>
      <w:r>
        <w:instrText xml:space="preserve"> SEQ Figure \* ARABIC </w:instrText>
      </w:r>
      <w:r>
        <w:fldChar w:fldCharType="separate"/>
      </w:r>
      <w:r w:rsidR="00C90878">
        <w:rPr>
          <w:noProof/>
        </w:rPr>
        <w:t>3</w:t>
      </w:r>
      <w:r>
        <w:fldChar w:fldCharType="end"/>
      </w:r>
      <w:bookmarkEnd w:id="16"/>
      <w:r>
        <w:t xml:space="preserve">: </w:t>
      </w:r>
      <w:r w:rsidR="002B7C52">
        <w:t xml:space="preserve">4 PRB bundling impact </w:t>
      </w:r>
      <w:r w:rsidR="00CF2E1E">
        <w:t xml:space="preserve">300 ns </w:t>
      </w:r>
      <w:r w:rsidR="00E66A3B">
        <w:t>(left)</w:t>
      </w:r>
      <w:r w:rsidR="00CF2E1E">
        <w:t xml:space="preserve"> and 30 ns RMS delay spread</w:t>
      </w:r>
      <w:r w:rsidR="00E66A3B">
        <w:t xml:space="preserve"> (right)</w:t>
      </w:r>
      <w:r w:rsidR="002B7C52">
        <w:t>.</w:t>
      </w:r>
    </w:p>
    <w:p w14:paraId="203960D1" w14:textId="003283CF" w:rsidR="00CF2E1E" w:rsidRDefault="00741ACE" w:rsidP="004222C3">
      <w:pPr>
        <w:pStyle w:val="BodyText"/>
      </w:pPr>
      <w:r>
        <w:t xml:space="preserve">In the figure </w:t>
      </w:r>
      <w:r w:rsidR="00FB525B">
        <w:t>to the left</w:t>
      </w:r>
      <w:r w:rsidR="00471FA2">
        <w:t>,</w:t>
      </w:r>
      <w:r w:rsidR="00FB525B">
        <w:t xml:space="preserve"> </w:t>
      </w:r>
      <w:r w:rsidR="00471FA2">
        <w:t xml:space="preserve">we see </w:t>
      </w:r>
      <w:r>
        <w:t xml:space="preserve">that at 300 ns </w:t>
      </w:r>
      <w:r w:rsidR="00471FA2">
        <w:t xml:space="preserve">RMS </w:t>
      </w:r>
      <w:r>
        <w:t xml:space="preserve">delay spread the advantage of going from </w:t>
      </w:r>
      <w:r w:rsidR="00471FA2">
        <w:t xml:space="preserve">a PRB bundling size of </w:t>
      </w:r>
      <w:r>
        <w:t xml:space="preserve">4 to 32 </w:t>
      </w:r>
      <w:r w:rsidR="001B199A">
        <w:t>is around 1.5 dB with a frequency domain LMMSE</w:t>
      </w:r>
      <w:r w:rsidR="00CF2E1E">
        <w:t xml:space="preserve"> </w:t>
      </w:r>
      <w:r w:rsidR="00471FA2">
        <w:t>estimator.</w:t>
      </w:r>
      <w:r w:rsidR="00CF2E1E">
        <w:t xml:space="preserve"> </w:t>
      </w:r>
      <w:r w:rsidR="00471FA2">
        <w:t>In the right hand figure, we see that the gain in the case with 30 ns delay spread is</w:t>
      </w:r>
      <w:r w:rsidR="00CF2E1E">
        <w:t xml:space="preserve"> around 3.8 </w:t>
      </w:r>
      <w:proofErr w:type="spellStart"/>
      <w:r w:rsidR="00CF2E1E">
        <w:t>dB</w:t>
      </w:r>
      <w:r w:rsidR="002B7C52">
        <w:t>.</w:t>
      </w:r>
      <w:proofErr w:type="spellEnd"/>
      <w:r w:rsidR="001B199A">
        <w:t xml:space="preserve"> </w:t>
      </w:r>
      <w:r w:rsidR="00CF2E1E">
        <w:t>We see clearly that g</w:t>
      </w:r>
      <w:r w:rsidR="001B199A">
        <w:t>oing to smaller delay spreads scale</w:t>
      </w:r>
      <w:r w:rsidR="00CF2E1E">
        <w:t>s</w:t>
      </w:r>
      <w:r w:rsidR="001B199A">
        <w:t xml:space="preserve"> the behaviour, meaning that </w:t>
      </w:r>
      <w:r w:rsidR="00C90878">
        <w:t xml:space="preserve">the gain going from 4 to 8 </w:t>
      </w:r>
      <w:r w:rsidR="00471FA2">
        <w:t xml:space="preserve">PRBs in </w:t>
      </w:r>
      <w:r w:rsidR="00C90878">
        <w:t>bundling size for 300 ns</w:t>
      </w:r>
      <w:r w:rsidR="00471FA2">
        <w:t>,</w:t>
      </w:r>
      <w:r w:rsidR="00C90878">
        <w:t xml:space="preserve"> is smaller than going from 16 to 32 </w:t>
      </w:r>
      <w:r w:rsidR="00471FA2">
        <w:t xml:space="preserve">PRBs in </w:t>
      </w:r>
      <w:r w:rsidR="00C90878">
        <w:t xml:space="preserve">bundling size in the case of 30 </w:t>
      </w:r>
      <w:r w:rsidR="00C96B76">
        <w:t>ns</w:t>
      </w:r>
      <w:r w:rsidR="00471FA2">
        <w:t>.</w:t>
      </w:r>
      <w:r w:rsidR="00C96B76">
        <w:t xml:space="preserve"> </w:t>
      </w:r>
      <w:r w:rsidR="00471FA2">
        <w:t>B</w:t>
      </w:r>
      <w:r w:rsidR="00C96B76">
        <w:t xml:space="preserve">oth </w:t>
      </w:r>
      <w:r w:rsidR="00814708">
        <w:t xml:space="preserve">slightly less than </w:t>
      </w:r>
      <w:r w:rsidR="00C96B76">
        <w:t xml:space="preserve">1 </w:t>
      </w:r>
      <w:proofErr w:type="spellStart"/>
      <w:r w:rsidR="00C96B76">
        <w:t>dB.</w:t>
      </w:r>
      <w:proofErr w:type="spellEnd"/>
      <w:r w:rsidR="001B199A">
        <w:t xml:space="preserve"> </w:t>
      </w:r>
      <w:r w:rsidR="00C90878">
        <w:t xml:space="preserve">But as we have </w:t>
      </w:r>
      <w:r w:rsidR="00145823">
        <w:t>previously</w:t>
      </w:r>
      <w:r w:rsidR="00C90878">
        <w:t xml:space="preserve"> argued</w:t>
      </w:r>
      <w:r w:rsidR="00471FA2">
        <w:t>,</w:t>
      </w:r>
      <w:r w:rsidR="00C90878">
        <w:t xml:space="preserve"> </w:t>
      </w:r>
      <w:r w:rsidR="00471FA2">
        <w:t>for</w:t>
      </w:r>
      <w:r w:rsidR="00C90878">
        <w:t xml:space="preserve"> small</w:t>
      </w:r>
      <w:r w:rsidR="001B199A">
        <w:t xml:space="preserve"> delay spread</w:t>
      </w:r>
      <w:r w:rsidR="00C90878">
        <w:t>s</w:t>
      </w:r>
      <w:r w:rsidR="00471FA2">
        <w:t>,</w:t>
      </w:r>
      <w:r w:rsidR="001B199A">
        <w:t xml:space="preserve"> the </w:t>
      </w:r>
      <w:r w:rsidR="00C96B76">
        <w:t xml:space="preserve">increased </w:t>
      </w:r>
      <w:r w:rsidR="00C90878">
        <w:t>filter</w:t>
      </w:r>
      <w:r w:rsidR="00C96B76">
        <w:t xml:space="preserve"> length</w:t>
      </w:r>
      <w:r w:rsidR="00E66A3B">
        <w:t xml:space="preserve"> </w:t>
      </w:r>
      <w:r w:rsidR="00471FA2">
        <w:t>adds to</w:t>
      </w:r>
      <w:r w:rsidR="00E66A3B">
        <w:t xml:space="preserve"> the frequency domain implementation challenges</w:t>
      </w:r>
      <w:r w:rsidR="00471FA2">
        <w:t>,</w:t>
      </w:r>
      <w:r w:rsidR="00C90878">
        <w:t xml:space="preserve"> </w:t>
      </w:r>
      <w:proofErr w:type="gramStart"/>
      <w:r w:rsidR="00814708">
        <w:t>and</w:t>
      </w:r>
      <w:r w:rsidR="00C96B76">
        <w:t xml:space="preserve"> </w:t>
      </w:r>
      <w:r w:rsidR="005D6C45">
        <w:t>also</w:t>
      </w:r>
      <w:proofErr w:type="gramEnd"/>
      <w:r w:rsidR="005D6C45">
        <w:t xml:space="preserve"> </w:t>
      </w:r>
      <w:r w:rsidR="00C90878">
        <w:t>changes the optimal DMRS pattern</w:t>
      </w:r>
      <w:r w:rsidR="001B199A">
        <w:t>.</w:t>
      </w:r>
      <w:r w:rsidR="0072277B">
        <w:t xml:space="preserve"> </w:t>
      </w:r>
    </w:p>
    <w:p w14:paraId="1FAFE994" w14:textId="1EF14A34" w:rsidR="00CF2E1E" w:rsidRDefault="00CF2E1E" w:rsidP="00814708">
      <w:pPr>
        <w:pStyle w:val="BodyText"/>
        <w:jc w:val="center"/>
      </w:pPr>
      <w:r w:rsidRPr="005060CB">
        <w:rPr>
          <w:noProof/>
          <w:lang w:val="sv-SE" w:eastAsia="sv-SE"/>
        </w:rPr>
        <w:drawing>
          <wp:inline distT="0" distB="0" distL="0" distR="0" wp14:anchorId="23E0062D" wp14:editId="6459A5D1">
            <wp:extent cx="3723436" cy="28080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4349" cy="2823821"/>
                    </a:xfrm>
                    <a:prstGeom prst="rect">
                      <a:avLst/>
                    </a:prstGeom>
                    <a:noFill/>
                    <a:ln>
                      <a:noFill/>
                    </a:ln>
                  </pic:spPr>
                </pic:pic>
              </a:graphicData>
            </a:graphic>
          </wp:inline>
        </w:drawing>
      </w:r>
    </w:p>
    <w:p w14:paraId="3664182C" w14:textId="56E07231" w:rsidR="00CF2E1E" w:rsidRDefault="00C90878" w:rsidP="00814708">
      <w:pPr>
        <w:pStyle w:val="Caption"/>
      </w:pPr>
      <w:bookmarkStart w:id="17" w:name="_Ref478042252"/>
      <w:r>
        <w:t xml:space="preserve">Figure </w:t>
      </w:r>
      <w:r>
        <w:fldChar w:fldCharType="begin"/>
      </w:r>
      <w:r>
        <w:instrText xml:space="preserve"> SEQ Figure \* ARABIC </w:instrText>
      </w:r>
      <w:r>
        <w:fldChar w:fldCharType="separate"/>
      </w:r>
      <w:r>
        <w:rPr>
          <w:noProof/>
        </w:rPr>
        <w:t>4</w:t>
      </w:r>
      <w:r>
        <w:fldChar w:fldCharType="end"/>
      </w:r>
      <w:bookmarkEnd w:id="17"/>
      <w:r>
        <w:t>: Small delay spread impact on time vs frequency domain estimation</w:t>
      </w:r>
    </w:p>
    <w:p w14:paraId="663F4C4D" w14:textId="317BC1DE" w:rsidR="003C7EE0" w:rsidRDefault="00C90878" w:rsidP="004222C3">
      <w:pPr>
        <w:pStyle w:val="BodyText"/>
      </w:pPr>
      <w:r>
        <w:t xml:space="preserve">For the </w:t>
      </w:r>
      <w:r w:rsidR="00145823">
        <w:t xml:space="preserve">case of 30 ns </w:t>
      </w:r>
      <w:r>
        <w:t>delay spread</w:t>
      </w:r>
      <w:r w:rsidR="00145823">
        <w:t>,</w:t>
      </w:r>
      <w:r>
        <w:t xml:space="preserve"> </w:t>
      </w:r>
      <w:r w:rsidR="00145823">
        <w:t>throughput</w:t>
      </w:r>
      <w:r>
        <w:t xml:space="preserve"> result</w:t>
      </w:r>
      <w:r w:rsidR="00145823">
        <w:t>s</w:t>
      </w:r>
      <w:r>
        <w:t xml:space="preserve"> </w:t>
      </w:r>
      <w:r w:rsidR="00145823">
        <w:t>obtained using frequency and time domain channel estimation</w:t>
      </w:r>
      <w:r>
        <w:t xml:space="preserve"> can be seen in </w:t>
      </w:r>
      <w:r>
        <w:fldChar w:fldCharType="begin"/>
      </w:r>
      <w:r>
        <w:instrText xml:space="preserve"> REF _Ref478042252 \h </w:instrText>
      </w:r>
      <w:r>
        <w:fldChar w:fldCharType="separate"/>
      </w:r>
      <w:r>
        <w:t xml:space="preserve">Figure </w:t>
      </w:r>
      <w:r>
        <w:rPr>
          <w:noProof/>
        </w:rPr>
        <w:t>4</w:t>
      </w:r>
      <w:r>
        <w:fldChar w:fldCharType="end"/>
      </w:r>
      <w:r w:rsidR="00145823">
        <w:t>.</w:t>
      </w:r>
      <w:r>
        <w:t xml:space="preserve"> </w:t>
      </w:r>
      <w:r w:rsidR="00145823">
        <w:t>T</w:t>
      </w:r>
      <w:r>
        <w:t>h</w:t>
      </w:r>
      <w:r w:rsidR="00145823">
        <w:t>e</w:t>
      </w:r>
      <w:r>
        <w:t>s</w:t>
      </w:r>
      <w:r w:rsidR="00145823">
        <w:t>e</w:t>
      </w:r>
      <w:r>
        <w:t xml:space="preserve"> results</w:t>
      </w:r>
      <w:r w:rsidR="00145823">
        <w:t>,</w:t>
      </w:r>
      <w:r>
        <w:t xml:space="preserve"> </w:t>
      </w:r>
      <w:r w:rsidR="00145823">
        <w:t>along with</w:t>
      </w:r>
      <w:r>
        <w:t xml:space="preserve"> </w:t>
      </w:r>
      <w:r w:rsidR="00CF2E1E">
        <w:t>more results and simulation assumptions are available in [1].</w:t>
      </w:r>
      <w:r>
        <w:t xml:space="preserve"> </w:t>
      </w:r>
      <w:r w:rsidR="00145823">
        <w:t>A seen from the figure,</w:t>
      </w:r>
      <w:r>
        <w:t xml:space="preserve"> there is</w:t>
      </w:r>
      <w:r w:rsidR="00FB525B">
        <w:t xml:space="preserve"> a clear advantage </w:t>
      </w:r>
      <w:r>
        <w:t>for</w:t>
      </w:r>
      <w:r w:rsidR="00FB525B">
        <w:t xml:space="preserve"> the time-domain </w:t>
      </w:r>
      <w:r w:rsidR="00145823">
        <w:t xml:space="preserve">estimation </w:t>
      </w:r>
      <w:r w:rsidR="00FB525B">
        <w:t>solution</w:t>
      </w:r>
      <w:r w:rsidR="00A907E4">
        <w:t xml:space="preserve"> using an DMRS pattern suited for this purpose</w:t>
      </w:r>
      <w:r>
        <w:t>, which</w:t>
      </w:r>
      <w:r w:rsidR="00FB525B">
        <w:t xml:space="preserve"> offers around 1 dB advantage</w:t>
      </w:r>
      <w:r>
        <w:t xml:space="preserve"> at low to medium SNR</w:t>
      </w:r>
      <w:r w:rsidR="00FB525B">
        <w:t xml:space="preserve">. </w:t>
      </w:r>
      <w:r w:rsidR="0072277B">
        <w:t>The goal should thus be to enable both high resolution in the precoding while maintaining this advantage in channel estimation.</w:t>
      </w:r>
    </w:p>
    <w:p w14:paraId="255F006A" w14:textId="6BEF4519" w:rsidR="000925E8" w:rsidRDefault="002B7C52" w:rsidP="000925E8">
      <w:pPr>
        <w:pStyle w:val="Observation"/>
      </w:pPr>
      <w:bookmarkStart w:id="18" w:name="_Toc477871025"/>
      <w:r>
        <w:t xml:space="preserve">Large performance gains </w:t>
      </w:r>
      <w:r w:rsidR="007F5853">
        <w:t>are</w:t>
      </w:r>
      <w:r>
        <w:t xml:space="preserve"> expected for reciprocity operation if DM</w:t>
      </w:r>
      <w:r w:rsidR="00F66923">
        <w:t>-</w:t>
      </w:r>
      <w:r>
        <w:t>RS allows time domain channel estimation without restrictions from PRB-bundling</w:t>
      </w:r>
      <w:r w:rsidR="000925E8">
        <w:t>.</w:t>
      </w:r>
      <w:bookmarkEnd w:id="18"/>
    </w:p>
    <w:p w14:paraId="489F9F33" w14:textId="5BC2483A" w:rsidR="002B7C52" w:rsidRDefault="002B7C52" w:rsidP="002B7C52">
      <w:pPr>
        <w:pStyle w:val="Proposal"/>
      </w:pPr>
      <w:bookmarkStart w:id="19" w:name="_Toc477865187"/>
      <w:bookmarkStart w:id="20" w:name="_Toc477865616"/>
      <w:bookmarkStart w:id="21" w:name="_Toc477869200"/>
      <w:bookmarkStart w:id="22" w:name="_Toc477870235"/>
      <w:bookmarkStart w:id="23" w:name="_Toc477871028"/>
      <w:bookmarkStart w:id="24" w:name="_Toc478038715"/>
      <w:bookmarkStart w:id="25" w:name="_Toc478039224"/>
      <w:bookmarkStart w:id="26" w:name="_Toc478039242"/>
      <w:bookmarkStart w:id="27" w:name="_Toc478133711"/>
      <w:bookmarkStart w:id="28" w:name="_Toc481496735"/>
      <w:bookmarkStart w:id="29" w:name="_Toc481496803"/>
      <w:bookmarkStart w:id="30" w:name="_Toc481496962"/>
      <w:bookmarkStart w:id="31" w:name="_Toc481586700"/>
      <w:bookmarkStart w:id="32" w:name="_Toc481588240"/>
      <w:r>
        <w:lastRenderedPageBreak/>
        <w:t xml:space="preserve">NR </w:t>
      </w:r>
      <w:r w:rsidR="00EC6843">
        <w:t xml:space="preserve">DMRS design </w:t>
      </w:r>
      <w:r>
        <w:t xml:space="preserve">should support </w:t>
      </w:r>
      <w:r w:rsidR="00EC6843">
        <w:t xml:space="preserve">the use of </w:t>
      </w:r>
      <w:r>
        <w:t>time domain channel estimat</w:t>
      </w:r>
      <w:r w:rsidR="00EC6843">
        <w:t>ors</w:t>
      </w:r>
      <w:r>
        <w:t xml:space="preserve"> without any restriction in frequency domain filtering from PRB-bundling.</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EAB4650" w14:textId="77777777" w:rsidR="007F5853" w:rsidRDefault="007F5853" w:rsidP="007F5853">
      <w:pPr>
        <w:pStyle w:val="Heading2"/>
      </w:pPr>
      <w:r>
        <w:t>Performance gains in non-reciprocity operation</w:t>
      </w:r>
    </w:p>
    <w:p w14:paraId="7BB53C48" w14:textId="51D9A2BE" w:rsidR="00525AFB" w:rsidRDefault="00525AFB" w:rsidP="007F5853">
      <w:r>
        <w:t xml:space="preserve">When the performance gains achievable from the phase continuity </w:t>
      </w:r>
      <w:r w:rsidR="00145823">
        <w:t>obtainable from</w:t>
      </w:r>
      <w:r w:rsidR="00EC6843">
        <w:t xml:space="preserve"> reciprocity operatio</w:t>
      </w:r>
      <w:r w:rsidR="00393B88">
        <w:t>n</w:t>
      </w:r>
      <w:r w:rsidR="00EC6843">
        <w:t xml:space="preserve"> has been established</w:t>
      </w:r>
      <w:r w:rsidR="00145823">
        <w:t>,</w:t>
      </w:r>
      <w:r w:rsidR="00EC6843">
        <w:t xml:space="preserve"> </w:t>
      </w:r>
      <w:r>
        <w:t xml:space="preserve">the natural question is how to achieve these gains using CSI reporting. The first observation is that the phase continuity is separable from </w:t>
      </w:r>
      <w:r w:rsidR="00664D64">
        <w:t xml:space="preserve">phase alignment of </w:t>
      </w:r>
      <w:r>
        <w:t xml:space="preserve">the </w:t>
      </w:r>
      <w:r w:rsidR="00664D64">
        <w:t xml:space="preserve">TX </w:t>
      </w:r>
      <w:r>
        <w:t>antenna</w:t>
      </w:r>
      <w:r w:rsidR="00664D64">
        <w:t>s</w:t>
      </w:r>
      <w:r>
        <w:t xml:space="preserve"> </w:t>
      </w:r>
      <w:r w:rsidR="00664D64">
        <w:t>needed to achieve beam-forming gains and interference suppression</w:t>
      </w:r>
      <w:r>
        <w:t xml:space="preserve">. </w:t>
      </w:r>
      <w:r w:rsidR="004C5C4C">
        <w:t>This due to that</w:t>
      </w:r>
      <w:r>
        <w:t xml:space="preserve"> the </w:t>
      </w:r>
      <w:r w:rsidR="00E41A60">
        <w:t>property of two vectors being orthogonal</w:t>
      </w:r>
      <w:r>
        <w:t xml:space="preserve"> </w:t>
      </w:r>
      <w:r w:rsidR="00F41FE2">
        <w:t xml:space="preserve">is </w:t>
      </w:r>
      <w:r>
        <w:t xml:space="preserve">not </w:t>
      </w:r>
      <w:r w:rsidR="004C5C4C">
        <w:t>destroyed</w:t>
      </w:r>
      <w:r>
        <w:t xml:space="preserve"> by a phase rotation of one of the vectors</w:t>
      </w:r>
      <w:r w:rsidR="00F067A2">
        <w:t xml:space="preserve">, nor is the </w:t>
      </w:r>
      <w:r w:rsidR="00F1449C">
        <w:t xml:space="preserve">property of </w:t>
      </w:r>
      <w:r w:rsidR="00E41A60">
        <w:t xml:space="preserve">the </w:t>
      </w:r>
      <w:r w:rsidR="00F1449C">
        <w:t>two vectors being parallel destroyed</w:t>
      </w:r>
      <w:r w:rsidR="004C5C4C">
        <w:t>.</w:t>
      </w:r>
    </w:p>
    <w:p w14:paraId="72D69276" w14:textId="77777777" w:rsidR="00525AFB" w:rsidRDefault="00BC5E0D" w:rsidP="007F5853">
      <w:pPr>
        <w:pStyle w:val="Observation"/>
      </w:pPr>
      <w:bookmarkStart w:id="33" w:name="_Toc477871026"/>
      <w:r>
        <w:t>If</w:t>
      </w:r>
      <w:r w:rsidR="00525AFB">
        <w:t xml:space="preserve"> we know that  </w:t>
      </w:r>
      <m:oMath>
        <m:d>
          <m:dPr>
            <m:begChr m:val="〈"/>
            <m:endChr m:val="〉"/>
            <m:ctrlPr>
              <w:rPr>
                <w:rFonts w:ascii="Cambria Math" w:hAnsi="Cambria Math"/>
                <w:i/>
              </w:rPr>
            </m:ctrlPr>
          </m:dPr>
          <m:e>
            <m:acc>
              <m:accPr>
                <m:chr m:val="̅"/>
                <m:ctrlPr>
                  <w:rPr>
                    <w:rFonts w:ascii="Cambria Math" w:hAnsi="Cambria Math"/>
                    <w:i/>
                  </w:rPr>
                </m:ctrlPr>
              </m:accPr>
              <m:e>
                <m:r>
                  <m:rPr>
                    <m:sty m:val="bi"/>
                  </m:rPr>
                  <w:rPr>
                    <w:rFonts w:ascii="Cambria Math" w:hAnsi="Cambria Math"/>
                  </w:rPr>
                  <m:t>u</m:t>
                </m:r>
              </m:e>
            </m:acc>
            <m:r>
              <m:rPr>
                <m:sty m:val="bi"/>
              </m:rPr>
              <w:rPr>
                <w:rFonts w:ascii="Cambria Math" w:hAnsi="Cambria Math"/>
              </w:rPr>
              <m:t>,</m:t>
            </m:r>
            <m:acc>
              <m:accPr>
                <m:chr m:val="̅"/>
                <m:ctrlPr>
                  <w:rPr>
                    <w:rFonts w:ascii="Cambria Math" w:hAnsi="Cambria Math"/>
                    <w:i/>
                  </w:rPr>
                </m:ctrlPr>
              </m:accPr>
              <m:e>
                <m:r>
                  <m:rPr>
                    <m:sty m:val="bi"/>
                  </m:rPr>
                  <w:rPr>
                    <w:rFonts w:ascii="Cambria Math" w:hAnsi="Cambria Math"/>
                  </w:rPr>
                  <m:t>v</m:t>
                </m:r>
              </m:e>
            </m:acc>
          </m:e>
        </m:d>
        <m:r>
          <m:rPr>
            <m:sty m:val="bi"/>
          </m:rPr>
          <w:rPr>
            <w:rFonts w:ascii="Cambria Math" w:hAnsi="Cambria Math"/>
          </w:rPr>
          <m:t>=0</m:t>
        </m:r>
      </m:oMath>
      <w:r w:rsidR="00525AFB">
        <w:t xml:space="preserve">, then this implies that </w:t>
      </w:r>
      <m:oMath>
        <m:d>
          <m:dPr>
            <m:begChr m:val="〈"/>
            <m:endChr m:val="〉"/>
            <m:ctrlPr>
              <w:rPr>
                <w:rFonts w:ascii="Cambria Math" w:hAnsi="Cambria Math"/>
                <w:i/>
              </w:rPr>
            </m:ctrlPr>
          </m:dPr>
          <m:e>
            <m:acc>
              <m:accPr>
                <m:chr m:val="̅"/>
                <m:ctrlPr>
                  <w:rPr>
                    <w:rFonts w:ascii="Cambria Math" w:hAnsi="Cambria Math"/>
                    <w:i/>
                  </w:rPr>
                </m:ctrlPr>
              </m:accPr>
              <m:e>
                <m:r>
                  <m:rPr>
                    <m:sty m:val="bi"/>
                  </m:rPr>
                  <w:rPr>
                    <w:rFonts w:ascii="Cambria Math" w:hAnsi="Cambria Math"/>
                  </w:rPr>
                  <m:t>u</m:t>
                </m:r>
              </m:e>
            </m:acc>
            <m:r>
              <m:rPr>
                <m:sty m:val="bi"/>
              </m:rPr>
              <w:rPr>
                <w:rFonts w:ascii="Cambria Math" w:hAnsi="Cambria Math"/>
              </w:rPr>
              <m:t>,exp(iπα)∙</m:t>
            </m:r>
            <m:acc>
              <m:accPr>
                <m:chr m:val="̅"/>
                <m:ctrlPr>
                  <w:rPr>
                    <w:rFonts w:ascii="Cambria Math" w:hAnsi="Cambria Math"/>
                    <w:i/>
                  </w:rPr>
                </m:ctrlPr>
              </m:accPr>
              <m:e>
                <m:r>
                  <m:rPr>
                    <m:sty m:val="bi"/>
                  </m:rPr>
                  <w:rPr>
                    <w:rFonts w:ascii="Cambria Math" w:hAnsi="Cambria Math"/>
                  </w:rPr>
                  <m:t>v</m:t>
                </m:r>
              </m:e>
            </m:acc>
          </m:e>
        </m:d>
        <m:r>
          <m:rPr>
            <m:sty m:val="bi"/>
          </m:rPr>
          <w:rPr>
            <w:rFonts w:ascii="Cambria Math" w:hAnsi="Cambria Math"/>
          </w:rPr>
          <m:t>=exp(iπα)∙</m:t>
        </m:r>
        <m:d>
          <m:dPr>
            <m:begChr m:val="〈"/>
            <m:endChr m:val="〉"/>
            <m:ctrlPr>
              <w:rPr>
                <w:rFonts w:ascii="Cambria Math" w:hAnsi="Cambria Math"/>
                <w:i/>
              </w:rPr>
            </m:ctrlPr>
          </m:dPr>
          <m:e>
            <m:acc>
              <m:accPr>
                <m:chr m:val="̅"/>
                <m:ctrlPr>
                  <w:rPr>
                    <w:rFonts w:ascii="Cambria Math" w:hAnsi="Cambria Math"/>
                    <w:i/>
                  </w:rPr>
                </m:ctrlPr>
              </m:accPr>
              <m:e>
                <m:r>
                  <m:rPr>
                    <m:sty m:val="bi"/>
                  </m:rPr>
                  <w:rPr>
                    <w:rFonts w:ascii="Cambria Math" w:hAnsi="Cambria Math"/>
                  </w:rPr>
                  <m:t>u</m:t>
                </m:r>
              </m:e>
            </m:acc>
            <m:r>
              <m:rPr>
                <m:sty m:val="bi"/>
              </m:rPr>
              <w:rPr>
                <w:rFonts w:ascii="Cambria Math" w:hAnsi="Cambria Math"/>
              </w:rPr>
              <m:t>,</m:t>
            </m:r>
            <m:acc>
              <m:accPr>
                <m:chr m:val="̅"/>
                <m:ctrlPr>
                  <w:rPr>
                    <w:rFonts w:ascii="Cambria Math" w:hAnsi="Cambria Math"/>
                    <w:i/>
                  </w:rPr>
                </m:ctrlPr>
              </m:accPr>
              <m:e>
                <m:r>
                  <m:rPr>
                    <m:sty m:val="bi"/>
                  </m:rPr>
                  <w:rPr>
                    <w:rFonts w:ascii="Cambria Math" w:hAnsi="Cambria Math"/>
                  </w:rPr>
                  <m:t>v</m:t>
                </m:r>
              </m:e>
            </m:acc>
          </m:e>
        </m:d>
        <m:r>
          <m:rPr>
            <m:sty m:val="bi"/>
          </m:rPr>
          <w:rPr>
            <w:rFonts w:ascii="Cambria Math" w:hAnsi="Cambria Math"/>
          </w:rPr>
          <m:t>=0</m:t>
        </m:r>
      </m:oMath>
      <w:r w:rsidR="00525AFB">
        <w:t xml:space="preserve"> </w:t>
      </w:r>
      <w:r w:rsidR="0024324B">
        <w:t xml:space="preserve">, </w:t>
      </w:r>
      <w:r w:rsidR="004C5C4C">
        <w:t>i.e. phase does not a</w:t>
      </w:r>
      <w:r w:rsidR="00525AFB">
        <w:t>ffect orthogonality.</w:t>
      </w:r>
      <w:bookmarkEnd w:id="33"/>
    </w:p>
    <w:p w14:paraId="62ED669E" w14:textId="7517C394" w:rsidR="007F5853" w:rsidRDefault="00EC6843" w:rsidP="007F5853">
      <w:r>
        <w:t>It is t</w:t>
      </w:r>
      <w:r w:rsidR="004C5C4C">
        <w:t>hen observe</w:t>
      </w:r>
      <w:r>
        <w:t>d</w:t>
      </w:r>
      <w:r w:rsidR="00525AFB">
        <w:t xml:space="preserve"> </w:t>
      </w:r>
      <w:r>
        <w:t>that</w:t>
      </w:r>
      <w:r w:rsidR="00525AFB">
        <w:t xml:space="preserve"> after achieving coherent accumulation from all TX antennas</w:t>
      </w:r>
      <w:r>
        <w:t>,</w:t>
      </w:r>
      <w:r w:rsidR="00525AFB">
        <w:t xml:space="preserve"> there is a remaining effective channel with an effective phase.</w:t>
      </w:r>
      <w:r w:rsidR="004C5C4C">
        <w:t xml:space="preserve"> This effective phase can thus be manipulated freely using an extra phase-component.</w:t>
      </w:r>
      <w:r w:rsidR="00DA6186">
        <w:t xml:space="preserve"> </w:t>
      </w:r>
      <w:r w:rsidR="00150014">
        <w:t>T</w:t>
      </w:r>
      <w:r w:rsidR="00DA6186">
        <w:t xml:space="preserve">his separation </w:t>
      </w:r>
      <w:r w:rsidR="00075225">
        <w:t xml:space="preserve">and resulting </w:t>
      </w:r>
      <w:r w:rsidR="00E04063">
        <w:t xml:space="preserve">lower </w:t>
      </w:r>
      <w:r w:rsidR="00075225">
        <w:t xml:space="preserve">phase </w:t>
      </w:r>
      <w:r w:rsidR="00E04063">
        <w:t>variance</w:t>
      </w:r>
      <w:r w:rsidR="00075225">
        <w:t xml:space="preserve"> </w:t>
      </w:r>
      <w:r w:rsidR="00DA6186">
        <w:t xml:space="preserve">can also </w:t>
      </w:r>
      <w:r w:rsidR="00150014">
        <w:t>be exploited</w:t>
      </w:r>
      <w:r w:rsidR="00DA6186">
        <w:t xml:space="preserve"> </w:t>
      </w:r>
      <w:r w:rsidR="00E04063">
        <w:t xml:space="preserve">to make </w:t>
      </w:r>
      <w:r w:rsidR="00DA6186">
        <w:t>the pre-coder reporting</w:t>
      </w:r>
      <w:r w:rsidR="00E04063">
        <w:t xml:space="preserve"> more efficient</w:t>
      </w:r>
      <w:r w:rsidR="00DA6186">
        <w:t xml:space="preserve"> [2].</w:t>
      </w:r>
    </w:p>
    <w:p w14:paraId="79EAE480" w14:textId="7350E2E1" w:rsidR="002E2C23" w:rsidRDefault="004C5C4C" w:rsidP="002E2C23">
      <w:r>
        <w:t>If the gains from phase continuity in channel estimation is large</w:t>
      </w:r>
      <w:r w:rsidR="00F705B9">
        <w:t>,</w:t>
      </w:r>
      <w:r>
        <w:t xml:space="preserve"> as we have shown </w:t>
      </w:r>
      <w:r w:rsidR="00B8616B">
        <w:t>above,</w:t>
      </w:r>
      <w:r>
        <w:t xml:space="preserve"> there is basically two components needed. The first is the mentioned phase alignment between pre</w:t>
      </w:r>
      <w:r w:rsidR="00B8616B">
        <w:t>-</w:t>
      </w:r>
      <w:r>
        <w:t xml:space="preserve">coders for different frequency positions and the other is to remove any remaining discontinuity in the frequency resources between two phase aligned pre-coders. </w:t>
      </w:r>
    </w:p>
    <w:p w14:paraId="434D05B3" w14:textId="3971B981" w:rsidR="004C5C4C" w:rsidRDefault="002E2C23" w:rsidP="002E2C23">
      <w:pPr>
        <w:pStyle w:val="BodyText"/>
      </w:pPr>
      <w:r>
        <w:t xml:space="preserve">Clearly there is a trade-off in the gains from frequency selective pre-coding, the reporting overhead from additional phase-information. But to properly evaluate different options the impact on the channel estimation must also be captured e.g. wide-band pre-coding and reciprocity operation has </w:t>
      </w:r>
      <w:proofErr w:type="gramStart"/>
      <w:r>
        <w:t>an</w:t>
      </w:r>
      <w:proofErr w:type="gramEnd"/>
      <w:r>
        <w:t xml:space="preserve"> channel estimation advantage due to the potential increase in processing gain.</w:t>
      </w:r>
    </w:p>
    <w:p w14:paraId="5EB9EFD2" w14:textId="5856A3E1" w:rsidR="002E2C23" w:rsidRDefault="002E2C23" w:rsidP="002E2C23">
      <w:pPr>
        <w:pStyle w:val="Proposal"/>
      </w:pPr>
      <w:bookmarkStart w:id="34" w:name="_Toc481496736"/>
      <w:bookmarkStart w:id="35" w:name="_Toc481496804"/>
      <w:bookmarkStart w:id="36" w:name="_Toc481496963"/>
      <w:bookmarkStart w:id="37" w:name="_Toc481586701"/>
      <w:bookmarkStart w:id="38" w:name="_Toc481588241"/>
      <w:r>
        <w:t xml:space="preserve">In evaluations of different pre-coding schemes </w:t>
      </w:r>
      <w:r w:rsidR="00C9694D">
        <w:t xml:space="preserve">PRB bundling implications and </w:t>
      </w:r>
      <w:r>
        <w:t>the impact on channel estimation performance must be captured</w:t>
      </w:r>
      <w:r w:rsidR="00E93848">
        <w:t xml:space="preserve"> in</w:t>
      </w:r>
      <w:r w:rsidR="005E4F0E">
        <w:t>-</w:t>
      </w:r>
      <w:r w:rsidR="00E93848">
        <w:t xml:space="preserve">order </w:t>
      </w:r>
      <w:r w:rsidR="005E4F0E">
        <w:t>to reach</w:t>
      </w:r>
      <w:r w:rsidR="00E93848">
        <w:t xml:space="preserve"> correct conclusions</w:t>
      </w:r>
      <w:r>
        <w:t>.</w:t>
      </w:r>
      <w:bookmarkEnd w:id="34"/>
      <w:bookmarkEnd w:id="35"/>
      <w:bookmarkEnd w:id="36"/>
      <w:bookmarkEnd w:id="37"/>
      <w:bookmarkEnd w:id="38"/>
    </w:p>
    <w:p w14:paraId="01CE2931" w14:textId="307C89FC" w:rsidR="002E2C23" w:rsidRDefault="002E2C23" w:rsidP="002E2C23">
      <w:pPr>
        <w:pStyle w:val="Heading2"/>
      </w:pPr>
      <w:r>
        <w:t>UL considerations on pre-coding and channel estimation</w:t>
      </w:r>
    </w:p>
    <w:p w14:paraId="34C667A2" w14:textId="7FE0E3E5" w:rsidR="002E2C23" w:rsidRDefault="002E2C23" w:rsidP="002E2C23">
      <w:r>
        <w:t xml:space="preserve">When the UE becomes more capable with respect to beam-forming and pre-coding the observations above translates also to the UL. But due to time-miss alignment between UEs the decrease in delay-spread </w:t>
      </w:r>
      <w:r w:rsidR="00DB3912">
        <w:t>will primarily</w:t>
      </w:r>
      <w:r>
        <w:t xml:space="preserve"> significantly decrease the leakage between users in the channel </w:t>
      </w:r>
      <w:r w:rsidR="00F052FC">
        <w:t>estimation, although the effective number of multiplexed users cannot be increased if the time miss-alignment is the limiting factor</w:t>
      </w:r>
      <w:r>
        <w:t>.</w:t>
      </w:r>
    </w:p>
    <w:p w14:paraId="44EC23BA" w14:textId="5BBFDB14" w:rsidR="00F052FC" w:rsidRDefault="00F052FC" w:rsidP="002E2C23">
      <w:r>
        <w:t>But the base-station must be able to rely on that the UEs use proper continuous pre-coding, as a single UE can potentially create leakage to all other co-scheduled users</w:t>
      </w:r>
      <w:r w:rsidR="00DB3912">
        <w:t xml:space="preserve"> using poor pre-coding</w:t>
      </w:r>
      <w:r>
        <w:t xml:space="preserve">. This is </w:t>
      </w:r>
      <w:r w:rsidR="00DB3912">
        <w:t xml:space="preserve">true both if you view </w:t>
      </w:r>
      <w:r>
        <w:t xml:space="preserve">the total UE frequency allocation or </w:t>
      </w:r>
      <w:r w:rsidR="00DB3912">
        <w:t xml:space="preserve">view each </w:t>
      </w:r>
      <w:r>
        <w:t>PRB bundle</w:t>
      </w:r>
      <w:r w:rsidR="00DB3912">
        <w:t xml:space="preserve"> separately</w:t>
      </w:r>
      <w:r>
        <w:t>.</w:t>
      </w:r>
    </w:p>
    <w:p w14:paraId="40767900" w14:textId="111DC54D" w:rsidR="00F052FC" w:rsidRDefault="00F052FC" w:rsidP="00F052FC">
      <w:pPr>
        <w:pStyle w:val="Observation"/>
      </w:pPr>
      <w:r>
        <w:t>Proper pre-coding behaviour is UL from all UEs is needed in UL to not impair other users channel estimation in UL MU-MIMO operation.</w:t>
      </w:r>
    </w:p>
    <w:p w14:paraId="3E26DCFC" w14:textId="47C26DE1" w:rsidR="005B458C" w:rsidRPr="002E2C23" w:rsidRDefault="005B458C" w:rsidP="005B458C">
      <w:pPr>
        <w:pStyle w:val="Proposal"/>
      </w:pPr>
      <w:bookmarkStart w:id="39" w:name="_Toc481496805"/>
      <w:bookmarkStart w:id="40" w:name="_Toc481496964"/>
      <w:bookmarkStart w:id="41" w:name="_Toc481586702"/>
      <w:bookmarkStart w:id="42" w:name="_Toc481588242"/>
      <w:r>
        <w:t>Investigate the UL MU-MIMO performance impact from UE pre-coding phase impairments</w:t>
      </w:r>
      <w:bookmarkEnd w:id="39"/>
      <w:r w:rsidR="0040440F">
        <w:t>.</w:t>
      </w:r>
      <w:bookmarkEnd w:id="40"/>
      <w:bookmarkEnd w:id="41"/>
      <w:bookmarkEnd w:id="42"/>
    </w:p>
    <w:p w14:paraId="7CE07FF6" w14:textId="77777777" w:rsidR="004C5C4C" w:rsidRPr="007F5853" w:rsidRDefault="004C5C4C" w:rsidP="007F5853"/>
    <w:p w14:paraId="371E2282" w14:textId="2B69EC99" w:rsidR="008E065E" w:rsidRPr="00066D9B" w:rsidRDefault="00066D9B" w:rsidP="008E065E">
      <w:pPr>
        <w:pStyle w:val="Heading1"/>
      </w:pPr>
      <w:r>
        <w:t>Proposals</w:t>
      </w:r>
    </w:p>
    <w:p w14:paraId="6E43AB99" w14:textId="77777777" w:rsidR="00393B88" w:rsidRDefault="00E5689D" w:rsidP="008A62E4">
      <w:pPr>
        <w:pStyle w:val="BodyText"/>
      </w:pPr>
      <w:r>
        <w:t xml:space="preserve">Based on the discussion </w:t>
      </w:r>
      <w:r w:rsidR="009C6832">
        <w:t>in this contri</w:t>
      </w:r>
      <w:r w:rsidR="003A0E41">
        <w:t>bution</w:t>
      </w:r>
      <w:r w:rsidR="008E065E" w:rsidRPr="00CE0424">
        <w:t xml:space="preserve"> we propose the following:</w:t>
      </w:r>
    </w:p>
    <w:p w14:paraId="20157AFA" w14:textId="77777777" w:rsidR="00767B16" w:rsidRDefault="008A62E4">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\f \n \p " " \t "Proposal;1" </w:instrText>
      </w:r>
      <w:r>
        <w:rPr>
          <w:b w:val="0"/>
          <w:bCs/>
        </w:rPr>
        <w:fldChar w:fldCharType="separate"/>
      </w:r>
      <w:r w:rsidR="00767B16">
        <w:t>Proposal 1</w:t>
      </w:r>
      <w:r w:rsidR="00767B16">
        <w:rPr>
          <w:rFonts w:asciiTheme="minorHAnsi" w:eastAsiaTheme="minorEastAsia" w:hAnsiTheme="minorHAnsi" w:cstheme="minorBidi"/>
          <w:b w:val="0"/>
          <w:sz w:val="22"/>
          <w:lang w:val="sv-SE" w:eastAsia="sv-SE"/>
        </w:rPr>
        <w:tab/>
      </w:r>
      <w:r w:rsidR="00767B16">
        <w:t>Support dynamically indicating in DCI that the UE can perform full-bandwidth interpolation in the DL channel estimation.</w:t>
      </w:r>
    </w:p>
    <w:p w14:paraId="731B9120" w14:textId="77777777" w:rsidR="00767B16" w:rsidRDefault="00767B16">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NR DMRS design should support the use of time domain channel estimators without any restriction in frequency domain filtering from PRB-bundling.</w:t>
      </w:r>
    </w:p>
    <w:p w14:paraId="039B5D55" w14:textId="77777777" w:rsidR="00767B16" w:rsidRDefault="00767B16">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In evaluations of different pre-coding schemes the impact on channel estimation performance must be captured in-order to reach correct conclusions.</w:t>
      </w:r>
    </w:p>
    <w:p w14:paraId="7A583E26" w14:textId="77777777" w:rsidR="00767B16" w:rsidRDefault="00767B16">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Investigate the UL MU-MIMO performance impact from UE pre-coding phase impairments.</w:t>
      </w:r>
    </w:p>
    <w:p w14:paraId="38EF53E2" w14:textId="11A5C8CF" w:rsidR="00C01F33" w:rsidRPr="00790B99" w:rsidRDefault="008A62E4" w:rsidP="008A62E4">
      <w:pPr>
        <w:pStyle w:val="BodyText"/>
        <w:rPr>
          <w:b/>
          <w:bCs/>
        </w:rPr>
      </w:pPr>
      <w:r>
        <w:rPr>
          <w:b/>
          <w:bCs/>
        </w:rPr>
        <w:fldChar w:fldCharType="end"/>
      </w:r>
    </w:p>
    <w:p w14:paraId="5071DAD2" w14:textId="77777777" w:rsidR="00F507D1" w:rsidRPr="00CE0424" w:rsidRDefault="00F507D1" w:rsidP="00CE0424">
      <w:pPr>
        <w:pStyle w:val="Heading1"/>
      </w:pPr>
      <w:bookmarkStart w:id="43" w:name="_In-sequence_SDU_delivery"/>
      <w:bookmarkEnd w:id="43"/>
      <w:r w:rsidRPr="00CE0424">
        <w:t>References</w:t>
      </w:r>
    </w:p>
    <w:p w14:paraId="3AE47C56" w14:textId="6019566D" w:rsidR="003A7EF3" w:rsidRDefault="00F2136D" w:rsidP="00F2136D">
      <w:pPr>
        <w:pStyle w:val="Reference"/>
      </w:pPr>
      <w:r w:rsidRPr="00F2136D">
        <w:t>R1-1705903</w:t>
      </w:r>
      <w:r w:rsidR="0021695D">
        <w:t>, “</w:t>
      </w:r>
      <w:r w:rsidR="0021695D" w:rsidRPr="0021695D">
        <w:t>Evaluation results for DL DMRS</w:t>
      </w:r>
      <w:r w:rsidR="0021695D">
        <w:t>”</w:t>
      </w:r>
      <w:r w:rsidR="007E5126">
        <w:t>, Ericsson</w:t>
      </w:r>
    </w:p>
    <w:p w14:paraId="6A82C51C" w14:textId="78B18DFB" w:rsidR="00DA6186" w:rsidRDefault="00F2136D" w:rsidP="00F2136D">
      <w:pPr>
        <w:pStyle w:val="Reference"/>
      </w:pPr>
      <w:r w:rsidRPr="00F2136D">
        <w:t>R1-1705927</w:t>
      </w:r>
      <w:r w:rsidR="00DA6186">
        <w:t>, “Frequency parametrization for Type II CSI feedback”, Ericsson</w:t>
      </w:r>
    </w:p>
    <w:p w14:paraId="38A1AD5C" w14:textId="6D296611" w:rsidR="000E5277" w:rsidRPr="00261BAC" w:rsidRDefault="00261BAC" w:rsidP="00261BAC">
      <w:pPr>
        <w:pStyle w:val="Reference"/>
      </w:pPr>
      <w:r w:rsidRPr="00261BAC">
        <w:t xml:space="preserve">S. </w:t>
      </w:r>
      <w:proofErr w:type="spellStart"/>
      <w:r w:rsidRPr="00261BAC">
        <w:t>Wyne</w:t>
      </w:r>
      <w:proofErr w:type="spellEnd"/>
      <w:r w:rsidR="0022609F">
        <w:t xml:space="preserve"> et al</w:t>
      </w:r>
      <w:proofErr w:type="gramStart"/>
      <w:r w:rsidR="000E5277" w:rsidRPr="00261BAC">
        <w:t xml:space="preserve">, </w:t>
      </w:r>
      <w:r w:rsidRPr="00261BAC">
        <w:t>”Beamforming</w:t>
      </w:r>
      <w:proofErr w:type="gramEnd"/>
      <w:r w:rsidRPr="00261BAC">
        <w:t xml:space="preserve"> Effects on Measured mm-Wave Channel Characteristics”</w:t>
      </w:r>
      <w:r>
        <w:t xml:space="preserve">, </w:t>
      </w:r>
      <w:r>
        <w:rPr>
          <w:rFonts w:ascii="Times-Roman" w:hAnsi="Times-Roman" w:cs="Times-Roman"/>
          <w:sz w:val="14"/>
          <w:szCs w:val="14"/>
          <w:lang w:val="sv-SE" w:eastAsia="en-US"/>
        </w:rPr>
        <w:t>IEEE TRANSACTIONS ON WIRELESS COMMUNICATIONS, VOL. 10, NO. 11, NOVEMBER 2011</w:t>
      </w:r>
    </w:p>
    <w:p w14:paraId="0552F343" w14:textId="7E40D1F1" w:rsidR="00741ACE" w:rsidRDefault="00741ACE" w:rsidP="00814708">
      <w:pPr>
        <w:pStyle w:val="Reference"/>
        <w:numPr>
          <w:ilvl w:val="0"/>
          <w:numId w:val="0"/>
        </w:numPr>
        <w:ind w:left="567" w:hanging="567"/>
      </w:pPr>
    </w:p>
    <w:p w14:paraId="4785F2C3" w14:textId="77777777" w:rsidR="00741ACE" w:rsidRDefault="00741ACE" w:rsidP="00741ACE">
      <w:pPr>
        <w:pStyle w:val="Heading1"/>
      </w:pPr>
      <w:r>
        <w:t>Appendix</w:t>
      </w:r>
    </w:p>
    <w:p w14:paraId="78BF031F" w14:textId="77777777" w:rsidR="00741ACE" w:rsidRPr="007D0CB2" w:rsidRDefault="00741ACE" w:rsidP="00741ACE">
      <w:pPr>
        <w:pStyle w:val="Heading2"/>
        <w:tabs>
          <w:tab w:val="clear" w:pos="2419"/>
          <w:tab w:val="num" w:pos="576"/>
        </w:tabs>
        <w:ind w:left="576" w:hanging="576"/>
      </w:pPr>
      <w:r>
        <w:t xml:space="preserve">Simulation Parameters: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6913"/>
      </w:tblGrid>
      <w:tr w:rsidR="00741ACE" w14:paraId="6E5D0C6F" w14:textId="77777777" w:rsidTr="00741ACE">
        <w:tc>
          <w:tcPr>
            <w:tcW w:w="2474" w:type="dxa"/>
            <w:shd w:val="clear" w:color="auto" w:fill="D9D9D9"/>
          </w:tcPr>
          <w:p w14:paraId="52E7A5C3" w14:textId="148730D4" w:rsidR="00741ACE" w:rsidRPr="0004758B" w:rsidRDefault="00741ACE" w:rsidP="00741ACE">
            <w:pPr>
              <w:rPr>
                <w:rFonts w:eastAsia="SimSun"/>
              </w:rPr>
            </w:pPr>
            <w:r>
              <w:rPr>
                <w:lang w:eastAsia="en-US"/>
              </w:rPr>
              <w:t>Parameter</w:t>
            </w:r>
          </w:p>
        </w:tc>
        <w:tc>
          <w:tcPr>
            <w:tcW w:w="7102" w:type="dxa"/>
            <w:shd w:val="clear" w:color="auto" w:fill="D9D9D9"/>
          </w:tcPr>
          <w:p w14:paraId="1BCEFA17" w14:textId="513BB4FA" w:rsidR="00741ACE" w:rsidRPr="0004758B" w:rsidRDefault="00741ACE" w:rsidP="00741ACE">
            <w:pPr>
              <w:rPr>
                <w:rFonts w:eastAsia="SimSun"/>
              </w:rPr>
            </w:pPr>
            <w:r>
              <w:rPr>
                <w:lang w:eastAsia="en-US"/>
              </w:rPr>
              <w:t>Value</w:t>
            </w:r>
          </w:p>
        </w:tc>
      </w:tr>
      <w:tr w:rsidR="00741ACE" w14:paraId="6B288264" w14:textId="77777777" w:rsidTr="00741ACE">
        <w:tc>
          <w:tcPr>
            <w:tcW w:w="2474" w:type="dxa"/>
            <w:shd w:val="clear" w:color="auto" w:fill="auto"/>
          </w:tcPr>
          <w:p w14:paraId="02B2F47D" w14:textId="1F9DE034" w:rsidR="00741ACE" w:rsidRPr="0004758B" w:rsidRDefault="00741ACE" w:rsidP="00741ACE">
            <w:pPr>
              <w:rPr>
                <w:rFonts w:eastAsia="SimSun"/>
              </w:rPr>
            </w:pPr>
            <w:r>
              <w:rPr>
                <w:lang w:eastAsia="en-US"/>
              </w:rPr>
              <w:t>Channel Model</w:t>
            </w:r>
          </w:p>
        </w:tc>
        <w:tc>
          <w:tcPr>
            <w:tcW w:w="7102" w:type="dxa"/>
            <w:shd w:val="clear" w:color="auto" w:fill="auto"/>
          </w:tcPr>
          <w:p w14:paraId="265A241F" w14:textId="4408780E" w:rsidR="00741ACE" w:rsidRPr="0004758B" w:rsidRDefault="00741ACE" w:rsidP="00741ACE">
            <w:pPr>
              <w:rPr>
                <w:rFonts w:eastAsia="SimSun"/>
              </w:rPr>
            </w:pPr>
            <w:r>
              <w:rPr>
                <w:lang w:eastAsia="en-US"/>
              </w:rPr>
              <w:t>CDL-A</w:t>
            </w:r>
          </w:p>
        </w:tc>
      </w:tr>
      <w:tr w:rsidR="00741ACE" w14:paraId="764F4A10" w14:textId="77777777" w:rsidTr="00741ACE">
        <w:tc>
          <w:tcPr>
            <w:tcW w:w="2474" w:type="dxa"/>
            <w:shd w:val="clear" w:color="auto" w:fill="auto"/>
          </w:tcPr>
          <w:p w14:paraId="0C1F31F7" w14:textId="5A66BC2A" w:rsidR="00741ACE" w:rsidRPr="0004758B" w:rsidRDefault="00741ACE" w:rsidP="00741ACE">
            <w:pPr>
              <w:rPr>
                <w:rFonts w:eastAsia="SimSun"/>
              </w:rPr>
            </w:pPr>
            <w:r>
              <w:rPr>
                <w:lang w:eastAsia="en-US"/>
              </w:rPr>
              <w:t>Numerology</w:t>
            </w:r>
          </w:p>
        </w:tc>
        <w:tc>
          <w:tcPr>
            <w:tcW w:w="7102" w:type="dxa"/>
            <w:shd w:val="clear" w:color="auto" w:fill="auto"/>
          </w:tcPr>
          <w:p w14:paraId="23CC791E" w14:textId="2A007AA4" w:rsidR="00741ACE" w:rsidRPr="0004758B" w:rsidRDefault="00741ACE" w:rsidP="00741ACE">
            <w:pPr>
              <w:rPr>
                <w:rFonts w:eastAsia="SimSun"/>
              </w:rPr>
            </w:pPr>
            <w:r>
              <w:rPr>
                <w:lang w:eastAsia="en-US"/>
              </w:rPr>
              <w:t>15KHz</w:t>
            </w:r>
          </w:p>
        </w:tc>
      </w:tr>
      <w:tr w:rsidR="00741ACE" w14:paraId="67A3EE39" w14:textId="77777777" w:rsidTr="00741ACE">
        <w:tc>
          <w:tcPr>
            <w:tcW w:w="2474" w:type="dxa"/>
            <w:shd w:val="clear" w:color="auto" w:fill="auto"/>
          </w:tcPr>
          <w:p w14:paraId="5AD943AB" w14:textId="5FC2A423" w:rsidR="00741ACE" w:rsidRPr="0004758B" w:rsidRDefault="00741ACE" w:rsidP="00741ACE">
            <w:pPr>
              <w:rPr>
                <w:rFonts w:eastAsia="SimSun"/>
              </w:rPr>
            </w:pPr>
            <w:r>
              <w:rPr>
                <w:lang w:eastAsia="en-US"/>
              </w:rPr>
              <w:t>Carrier frequency</w:t>
            </w:r>
          </w:p>
        </w:tc>
        <w:tc>
          <w:tcPr>
            <w:tcW w:w="7102" w:type="dxa"/>
            <w:shd w:val="clear" w:color="auto" w:fill="auto"/>
          </w:tcPr>
          <w:p w14:paraId="5C05DAB3" w14:textId="080D2421" w:rsidR="00741ACE" w:rsidRPr="0004758B" w:rsidRDefault="00741ACE" w:rsidP="00741ACE">
            <w:pPr>
              <w:rPr>
                <w:rFonts w:eastAsia="SimSun"/>
              </w:rPr>
            </w:pPr>
            <w:r>
              <w:rPr>
                <w:lang w:eastAsia="en-US"/>
              </w:rPr>
              <w:t>4GHz</w:t>
            </w:r>
          </w:p>
        </w:tc>
      </w:tr>
      <w:tr w:rsidR="00741ACE" w14:paraId="1F943F81" w14:textId="77777777" w:rsidTr="00741ACE">
        <w:trPr>
          <w:trHeight w:val="379"/>
        </w:trPr>
        <w:tc>
          <w:tcPr>
            <w:tcW w:w="2474" w:type="dxa"/>
            <w:shd w:val="clear" w:color="auto" w:fill="auto"/>
          </w:tcPr>
          <w:p w14:paraId="16F701D0" w14:textId="08C9B617" w:rsidR="00741ACE" w:rsidRPr="0004758B" w:rsidRDefault="00741ACE" w:rsidP="00741ACE">
            <w:pPr>
              <w:jc w:val="center"/>
              <w:rPr>
                <w:rFonts w:eastAsia="SimSun"/>
              </w:rPr>
            </w:pPr>
            <w:r>
              <w:rPr>
                <w:spacing w:val="1"/>
                <w:lang w:eastAsia="en-US"/>
              </w:rPr>
              <w:t>Transmission Slot Length</w:t>
            </w:r>
          </w:p>
        </w:tc>
        <w:tc>
          <w:tcPr>
            <w:tcW w:w="7102" w:type="dxa"/>
            <w:shd w:val="clear" w:color="auto" w:fill="auto"/>
          </w:tcPr>
          <w:p w14:paraId="1D0D3AC4" w14:textId="4BA0BFC2" w:rsidR="00741ACE" w:rsidRPr="0004758B" w:rsidRDefault="00741ACE" w:rsidP="00741ACE">
            <w:pPr>
              <w:rPr>
                <w:rFonts w:eastAsia="SimSun"/>
              </w:rPr>
            </w:pPr>
            <w:r>
              <w:rPr>
                <w:lang w:val="en-US" w:eastAsia="en-US"/>
              </w:rPr>
              <w:t>14 symbols, with first 2 symbols reserved for PDCCH</w:t>
            </w:r>
          </w:p>
        </w:tc>
      </w:tr>
      <w:tr w:rsidR="00741ACE" w14:paraId="30DC0B97" w14:textId="77777777" w:rsidTr="00741ACE">
        <w:trPr>
          <w:trHeight w:val="379"/>
        </w:trPr>
        <w:tc>
          <w:tcPr>
            <w:tcW w:w="2474" w:type="dxa"/>
            <w:shd w:val="clear" w:color="auto" w:fill="auto"/>
          </w:tcPr>
          <w:p w14:paraId="15550A96" w14:textId="404A16F8" w:rsidR="00741ACE" w:rsidRPr="00DE0868" w:rsidRDefault="00741ACE" w:rsidP="00741ACE">
            <w:pPr>
              <w:jc w:val="left"/>
              <w:rPr>
                <w:rFonts w:eastAsia="SimSun"/>
              </w:rPr>
            </w:pPr>
            <w:r>
              <w:rPr>
                <w:lang w:eastAsia="en-US"/>
              </w:rPr>
              <w:t>Transmission mode</w:t>
            </w:r>
          </w:p>
        </w:tc>
        <w:tc>
          <w:tcPr>
            <w:tcW w:w="7102" w:type="dxa"/>
            <w:shd w:val="clear" w:color="auto" w:fill="auto"/>
          </w:tcPr>
          <w:p w14:paraId="7A83E458" w14:textId="0130E8BD" w:rsidR="00741ACE" w:rsidRPr="0004758B" w:rsidRDefault="00741ACE" w:rsidP="00741ACE">
            <w:pPr>
              <w:rPr>
                <w:rFonts w:eastAsia="SimSun"/>
              </w:rPr>
            </w:pPr>
            <w:r>
              <w:rPr>
                <w:lang w:eastAsia="en-US"/>
              </w:rPr>
              <w:t>FDD</w:t>
            </w:r>
          </w:p>
        </w:tc>
      </w:tr>
      <w:tr w:rsidR="00741ACE" w14:paraId="510F8850" w14:textId="77777777" w:rsidTr="00741ACE">
        <w:trPr>
          <w:trHeight w:val="379"/>
        </w:trPr>
        <w:tc>
          <w:tcPr>
            <w:tcW w:w="2474" w:type="dxa"/>
            <w:shd w:val="clear" w:color="auto" w:fill="auto"/>
          </w:tcPr>
          <w:p w14:paraId="04B57102" w14:textId="3309E0B3" w:rsidR="00741ACE" w:rsidRDefault="00741ACE" w:rsidP="00741ACE">
            <w:pPr>
              <w:jc w:val="left"/>
              <w:rPr>
                <w:rFonts w:eastAsia="SimSun"/>
              </w:rPr>
            </w:pPr>
            <w:r>
              <w:rPr>
                <w:lang w:eastAsia="en-US"/>
              </w:rPr>
              <w:t>Number of UE</w:t>
            </w:r>
          </w:p>
        </w:tc>
        <w:tc>
          <w:tcPr>
            <w:tcW w:w="7102" w:type="dxa"/>
            <w:shd w:val="clear" w:color="auto" w:fill="auto"/>
          </w:tcPr>
          <w:p w14:paraId="3FBD0257" w14:textId="56B9AF6B" w:rsidR="00741ACE" w:rsidRDefault="00741ACE" w:rsidP="00741ACE">
            <w:pPr>
              <w:rPr>
                <w:rFonts w:eastAsia="SimSun"/>
              </w:rPr>
            </w:pPr>
            <w:r>
              <w:rPr>
                <w:lang w:eastAsia="en-US"/>
              </w:rPr>
              <w:t>1</w:t>
            </w:r>
          </w:p>
        </w:tc>
      </w:tr>
      <w:tr w:rsidR="00741ACE" w14:paraId="196205A6" w14:textId="77777777" w:rsidTr="00741ACE">
        <w:trPr>
          <w:trHeight w:val="379"/>
        </w:trPr>
        <w:tc>
          <w:tcPr>
            <w:tcW w:w="2474" w:type="dxa"/>
            <w:shd w:val="clear" w:color="auto" w:fill="auto"/>
          </w:tcPr>
          <w:p w14:paraId="5BED548E" w14:textId="7E186E4F" w:rsidR="00741ACE" w:rsidRPr="0004758B" w:rsidRDefault="00741ACE" w:rsidP="00741ACE">
            <w:pPr>
              <w:rPr>
                <w:rFonts w:eastAsia="SimSun"/>
              </w:rPr>
            </w:pPr>
            <w:r>
              <w:rPr>
                <w:lang w:eastAsia="en-US"/>
              </w:rPr>
              <w:t>UE speed</w:t>
            </w:r>
          </w:p>
        </w:tc>
        <w:tc>
          <w:tcPr>
            <w:tcW w:w="7102" w:type="dxa"/>
            <w:shd w:val="clear" w:color="auto" w:fill="auto"/>
          </w:tcPr>
          <w:p w14:paraId="3AD1B037" w14:textId="553586EA" w:rsidR="00741ACE" w:rsidRPr="0004758B" w:rsidRDefault="00741ACE" w:rsidP="00741ACE">
            <w:pPr>
              <w:rPr>
                <w:rFonts w:eastAsia="SimSun"/>
              </w:rPr>
            </w:pPr>
            <w:r>
              <w:rPr>
                <w:lang w:eastAsia="en-US"/>
              </w:rPr>
              <w:t>3km/h</w:t>
            </w:r>
          </w:p>
        </w:tc>
      </w:tr>
      <w:tr w:rsidR="00741ACE" w14:paraId="55A45CD2" w14:textId="77777777" w:rsidTr="00741ACE">
        <w:trPr>
          <w:trHeight w:val="379"/>
        </w:trPr>
        <w:tc>
          <w:tcPr>
            <w:tcW w:w="2474" w:type="dxa"/>
            <w:shd w:val="clear" w:color="auto" w:fill="auto"/>
          </w:tcPr>
          <w:p w14:paraId="607F78B6" w14:textId="7CCCD3EF" w:rsidR="00741ACE" w:rsidRPr="0004758B" w:rsidRDefault="00741ACE" w:rsidP="00741ACE">
            <w:pPr>
              <w:rPr>
                <w:rFonts w:eastAsia="SimSun"/>
              </w:rPr>
            </w:pPr>
            <w:r>
              <w:rPr>
                <w:lang w:eastAsia="en-US"/>
              </w:rPr>
              <w:t>Delay spread</w:t>
            </w:r>
          </w:p>
        </w:tc>
        <w:tc>
          <w:tcPr>
            <w:tcW w:w="7102" w:type="dxa"/>
            <w:shd w:val="clear" w:color="auto" w:fill="auto"/>
          </w:tcPr>
          <w:p w14:paraId="1546BBEE" w14:textId="5988A2EF" w:rsidR="00741ACE" w:rsidRPr="0004758B" w:rsidRDefault="00741ACE" w:rsidP="00741ACE">
            <w:pPr>
              <w:rPr>
                <w:rFonts w:eastAsia="SimSun"/>
              </w:rPr>
            </w:pPr>
            <w:r>
              <w:rPr>
                <w:lang w:eastAsia="en-US"/>
              </w:rPr>
              <w:t xml:space="preserve">300ns </w:t>
            </w:r>
          </w:p>
        </w:tc>
      </w:tr>
      <w:tr w:rsidR="00741ACE" w14:paraId="4380A746" w14:textId="77777777" w:rsidTr="00741ACE">
        <w:tc>
          <w:tcPr>
            <w:tcW w:w="2474" w:type="dxa"/>
            <w:shd w:val="clear" w:color="auto" w:fill="auto"/>
          </w:tcPr>
          <w:p w14:paraId="1D89C972" w14:textId="42A2F4E2" w:rsidR="00741ACE" w:rsidRPr="0004758B" w:rsidRDefault="00741ACE" w:rsidP="00741ACE">
            <w:pPr>
              <w:rPr>
                <w:rFonts w:eastAsia="SimSun"/>
              </w:rPr>
            </w:pPr>
            <w:r>
              <w:rPr>
                <w:lang w:eastAsia="en-US"/>
              </w:rPr>
              <w:t>Allocated bandwidth</w:t>
            </w:r>
          </w:p>
        </w:tc>
        <w:tc>
          <w:tcPr>
            <w:tcW w:w="7102" w:type="dxa"/>
            <w:shd w:val="clear" w:color="auto" w:fill="auto"/>
          </w:tcPr>
          <w:p w14:paraId="4A01D622" w14:textId="5D24CBE3" w:rsidR="00741ACE" w:rsidRPr="0004758B" w:rsidRDefault="00741ACE" w:rsidP="00741ACE">
            <w:pPr>
              <w:rPr>
                <w:rFonts w:eastAsia="SimSun"/>
              </w:rPr>
            </w:pPr>
            <w:r>
              <w:rPr>
                <w:lang w:eastAsia="en-US"/>
              </w:rPr>
              <w:t>32 PRBs</w:t>
            </w:r>
          </w:p>
        </w:tc>
      </w:tr>
      <w:tr w:rsidR="00741ACE" w14:paraId="2D40AC6E" w14:textId="77777777" w:rsidTr="00741ACE">
        <w:tc>
          <w:tcPr>
            <w:tcW w:w="2474" w:type="dxa"/>
            <w:shd w:val="clear" w:color="auto" w:fill="auto"/>
          </w:tcPr>
          <w:p w14:paraId="399E08DD" w14:textId="32274BDA" w:rsidR="00741ACE" w:rsidRPr="0004758B" w:rsidRDefault="00741ACE" w:rsidP="00741ACE">
            <w:pPr>
              <w:rPr>
                <w:rFonts w:eastAsia="SimSun"/>
              </w:rPr>
            </w:pPr>
            <w:r>
              <w:rPr>
                <w:lang w:eastAsia="en-US"/>
              </w:rPr>
              <w:t>Link Adaptation</w:t>
            </w:r>
          </w:p>
        </w:tc>
        <w:tc>
          <w:tcPr>
            <w:tcW w:w="7102" w:type="dxa"/>
            <w:shd w:val="clear" w:color="auto" w:fill="auto"/>
          </w:tcPr>
          <w:p w14:paraId="7EC6D75B" w14:textId="116F42E6" w:rsidR="00741ACE" w:rsidRPr="0004758B" w:rsidRDefault="00741ACE" w:rsidP="00741ACE">
            <w:pPr>
              <w:rPr>
                <w:rFonts w:eastAsia="SimSun"/>
              </w:rPr>
            </w:pPr>
            <w:r>
              <w:rPr>
                <w:lang w:eastAsia="en-US"/>
              </w:rPr>
              <w:t>Disabled</w:t>
            </w:r>
          </w:p>
        </w:tc>
      </w:tr>
      <w:tr w:rsidR="00741ACE" w14:paraId="1FA2248B" w14:textId="77777777" w:rsidTr="00741ACE">
        <w:tc>
          <w:tcPr>
            <w:tcW w:w="2474" w:type="dxa"/>
            <w:shd w:val="clear" w:color="auto" w:fill="auto"/>
          </w:tcPr>
          <w:p w14:paraId="2523C0DE" w14:textId="0CCCFF69" w:rsidR="00741ACE" w:rsidRPr="0004758B" w:rsidRDefault="00741ACE" w:rsidP="00741ACE">
            <w:pPr>
              <w:rPr>
                <w:rFonts w:eastAsia="SimSun"/>
              </w:rPr>
            </w:pPr>
            <w:r>
              <w:rPr>
                <w:lang w:eastAsia="en-US"/>
              </w:rPr>
              <w:t>Antenna configuration</w:t>
            </w:r>
          </w:p>
        </w:tc>
        <w:tc>
          <w:tcPr>
            <w:tcW w:w="7102" w:type="dxa"/>
            <w:shd w:val="clear" w:color="auto" w:fill="auto"/>
          </w:tcPr>
          <w:p w14:paraId="67AAD45F" w14:textId="5ECAE0ED" w:rsidR="00741ACE" w:rsidRPr="0004758B" w:rsidRDefault="00741ACE" w:rsidP="00741ACE">
            <w:pPr>
              <w:rPr>
                <w:rFonts w:eastAsia="SimSun"/>
              </w:rPr>
            </w:pPr>
            <w:r>
              <w:rPr>
                <w:lang w:eastAsia="en-US"/>
              </w:rPr>
              <w:t>8Tx, 8Rx</w:t>
            </w:r>
          </w:p>
        </w:tc>
      </w:tr>
      <w:tr w:rsidR="00741ACE" w14:paraId="49A6AAEF" w14:textId="77777777" w:rsidTr="00741ACE">
        <w:tc>
          <w:tcPr>
            <w:tcW w:w="2474" w:type="dxa"/>
            <w:shd w:val="clear" w:color="auto" w:fill="auto"/>
          </w:tcPr>
          <w:p w14:paraId="2A60AEC8" w14:textId="7FE3DEB7" w:rsidR="00741ACE" w:rsidRPr="0004758B" w:rsidRDefault="00741ACE" w:rsidP="00741ACE">
            <w:pPr>
              <w:rPr>
                <w:rFonts w:eastAsia="SimSun"/>
              </w:rPr>
            </w:pPr>
            <w:r>
              <w:rPr>
                <w:lang w:eastAsia="en-US"/>
              </w:rPr>
              <w:t>MIMO Layers</w:t>
            </w:r>
          </w:p>
        </w:tc>
        <w:tc>
          <w:tcPr>
            <w:tcW w:w="7102" w:type="dxa"/>
            <w:shd w:val="clear" w:color="auto" w:fill="auto"/>
          </w:tcPr>
          <w:p w14:paraId="5A1DF0AB" w14:textId="4031CF5F" w:rsidR="00741ACE" w:rsidRDefault="00741ACE" w:rsidP="00741ACE">
            <w:pPr>
              <w:rPr>
                <w:rFonts w:eastAsia="SimSun"/>
              </w:rPr>
            </w:pPr>
            <w:r>
              <w:rPr>
                <w:lang w:eastAsia="en-US"/>
              </w:rPr>
              <w:t>4</w:t>
            </w:r>
          </w:p>
        </w:tc>
      </w:tr>
      <w:tr w:rsidR="00741ACE" w14:paraId="43D8D00A" w14:textId="77777777" w:rsidTr="00741ACE">
        <w:tc>
          <w:tcPr>
            <w:tcW w:w="2474" w:type="dxa"/>
            <w:shd w:val="clear" w:color="auto" w:fill="auto"/>
          </w:tcPr>
          <w:p w14:paraId="19F8725C" w14:textId="1874243D" w:rsidR="00741ACE" w:rsidRPr="0004758B" w:rsidRDefault="00741ACE" w:rsidP="00741ACE">
            <w:pPr>
              <w:rPr>
                <w:rFonts w:eastAsia="SimSun"/>
              </w:rPr>
            </w:pPr>
            <w:r>
              <w:rPr>
                <w:lang w:eastAsia="en-US"/>
              </w:rPr>
              <w:t>DMRS Pattern</w:t>
            </w:r>
          </w:p>
        </w:tc>
        <w:tc>
          <w:tcPr>
            <w:tcW w:w="7102" w:type="dxa"/>
            <w:shd w:val="clear" w:color="auto" w:fill="auto"/>
          </w:tcPr>
          <w:p w14:paraId="6B47FD99" w14:textId="4B52D559" w:rsidR="00741ACE" w:rsidRPr="0004758B" w:rsidRDefault="00741ACE" w:rsidP="00741ACE">
            <w:pPr>
              <w:rPr>
                <w:rFonts w:eastAsia="SimSun"/>
              </w:rPr>
            </w:pPr>
            <w:r>
              <w:rPr>
                <w:lang w:val="en-US" w:eastAsia="en-US"/>
              </w:rPr>
              <w:t xml:space="preserve">FDM factor 4 (Comb-4) at symbol 3, 4 orthogonal DMRS Port </w:t>
            </w:r>
          </w:p>
        </w:tc>
      </w:tr>
      <w:tr w:rsidR="00741ACE" w14:paraId="4A53AD2B" w14:textId="77777777" w:rsidTr="00741ACE">
        <w:tc>
          <w:tcPr>
            <w:tcW w:w="2474" w:type="dxa"/>
            <w:shd w:val="clear" w:color="auto" w:fill="auto"/>
          </w:tcPr>
          <w:p w14:paraId="6FB1FA67" w14:textId="0BD6327F" w:rsidR="00741ACE" w:rsidRPr="0004758B" w:rsidRDefault="00741ACE" w:rsidP="00741ACE">
            <w:pPr>
              <w:rPr>
                <w:rFonts w:eastAsia="SimSun"/>
              </w:rPr>
            </w:pPr>
            <w:r>
              <w:rPr>
                <w:lang w:eastAsia="en-US"/>
              </w:rPr>
              <w:t>Channel estimator</w:t>
            </w:r>
          </w:p>
        </w:tc>
        <w:tc>
          <w:tcPr>
            <w:tcW w:w="7102" w:type="dxa"/>
            <w:shd w:val="clear" w:color="auto" w:fill="auto"/>
          </w:tcPr>
          <w:p w14:paraId="19E03B67" w14:textId="67B84761" w:rsidR="00741ACE" w:rsidRPr="0004758B" w:rsidRDefault="00741ACE" w:rsidP="00741ACE">
            <w:pPr>
              <w:rPr>
                <w:rFonts w:eastAsia="SimSun"/>
              </w:rPr>
            </w:pPr>
            <w:r>
              <w:rPr>
                <w:lang w:eastAsia="en-US"/>
              </w:rPr>
              <w:t>LMMSE</w:t>
            </w:r>
          </w:p>
        </w:tc>
      </w:tr>
    </w:tbl>
    <w:p w14:paraId="17C302AA" w14:textId="77777777" w:rsidR="00741ACE" w:rsidRPr="00CE0424" w:rsidRDefault="00741ACE" w:rsidP="00814708">
      <w:pPr>
        <w:pStyle w:val="Reference"/>
        <w:numPr>
          <w:ilvl w:val="0"/>
          <w:numId w:val="0"/>
        </w:numPr>
        <w:ind w:left="567" w:hanging="567"/>
      </w:pPr>
    </w:p>
    <w:sectPr w:rsidR="00741ACE" w:rsidRPr="00CE0424"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2D4B3" w14:textId="77777777" w:rsidR="00C45CE8" w:rsidRDefault="00C45CE8">
      <w:r>
        <w:separator/>
      </w:r>
    </w:p>
  </w:endnote>
  <w:endnote w:type="continuationSeparator" w:id="0">
    <w:p w14:paraId="6A8A7C60" w14:textId="77777777" w:rsidR="00C45CE8" w:rsidRDefault="00C45CE8">
      <w:r>
        <w:continuationSeparator/>
      </w:r>
    </w:p>
  </w:endnote>
  <w:endnote w:type="continuationNotice" w:id="1">
    <w:p w14:paraId="6C5B2B2D" w14:textId="77777777" w:rsidR="00C45CE8" w:rsidRDefault="00C45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7D3A0" w14:textId="548B835C" w:rsidR="0007511B" w:rsidRDefault="000751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5ED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5ED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08997" w14:textId="77777777" w:rsidR="00C45CE8" w:rsidRDefault="00C45CE8">
      <w:r>
        <w:separator/>
      </w:r>
    </w:p>
  </w:footnote>
  <w:footnote w:type="continuationSeparator" w:id="0">
    <w:p w14:paraId="6737A38C" w14:textId="77777777" w:rsidR="00C45CE8" w:rsidRDefault="00C45CE8">
      <w:r>
        <w:continuationSeparator/>
      </w:r>
    </w:p>
  </w:footnote>
  <w:footnote w:type="continuationNotice" w:id="1">
    <w:p w14:paraId="3C9E2243" w14:textId="77777777" w:rsidR="00C45CE8" w:rsidRDefault="00C45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9A21B" w14:textId="77777777" w:rsidR="0007511B" w:rsidRDefault="0007511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7BA8728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19"/>
        </w:tabs>
        <w:ind w:left="567" w:hanging="567"/>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5"/>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12"/>
  </w:num>
  <w:num w:numId="15">
    <w:abstractNumId w:val="23"/>
  </w:num>
  <w:num w:numId="16">
    <w:abstractNumId w:val="5"/>
  </w:num>
  <w:num w:numId="17">
    <w:abstractNumId w:val="3"/>
  </w:num>
  <w:num w:numId="18">
    <w:abstractNumId w:val="18"/>
  </w:num>
  <w:num w:numId="19">
    <w:abstractNumId w:val="24"/>
  </w:num>
  <w:num w:numId="20">
    <w:abstractNumId w:val="6"/>
  </w:num>
  <w:num w:numId="21">
    <w:abstractNumId w:val="16"/>
  </w:num>
  <w:num w:numId="22">
    <w:abstractNumId w:val="7"/>
  </w:num>
  <w:num w:numId="23">
    <w:abstractNumId w:val="9"/>
  </w:num>
  <w:num w:numId="24">
    <w:abstractNumId w:val="22"/>
  </w:num>
  <w:num w:numId="25">
    <w:abstractNumId w:val="20"/>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37C73"/>
    <w:rsid w:val="00042009"/>
    <w:rsid w:val="000422E2"/>
    <w:rsid w:val="00042F22"/>
    <w:rsid w:val="000444EF"/>
    <w:rsid w:val="00052A07"/>
    <w:rsid w:val="000534E3"/>
    <w:rsid w:val="0005606A"/>
    <w:rsid w:val="00057117"/>
    <w:rsid w:val="000616E7"/>
    <w:rsid w:val="00064421"/>
    <w:rsid w:val="0006487E"/>
    <w:rsid w:val="00065E1A"/>
    <w:rsid w:val="00066D9B"/>
    <w:rsid w:val="0007511B"/>
    <w:rsid w:val="00075225"/>
    <w:rsid w:val="00077E5F"/>
    <w:rsid w:val="0008036A"/>
    <w:rsid w:val="00081AE6"/>
    <w:rsid w:val="000855EB"/>
    <w:rsid w:val="00085B52"/>
    <w:rsid w:val="000866F2"/>
    <w:rsid w:val="0009009F"/>
    <w:rsid w:val="00091557"/>
    <w:rsid w:val="000924C1"/>
    <w:rsid w:val="000924F0"/>
    <w:rsid w:val="000925E8"/>
    <w:rsid w:val="00093474"/>
    <w:rsid w:val="0009510F"/>
    <w:rsid w:val="00095EED"/>
    <w:rsid w:val="000A1B7B"/>
    <w:rsid w:val="000A56F2"/>
    <w:rsid w:val="000B2719"/>
    <w:rsid w:val="000B3A8F"/>
    <w:rsid w:val="000B4AB9"/>
    <w:rsid w:val="000B58C3"/>
    <w:rsid w:val="000B61E9"/>
    <w:rsid w:val="000C165A"/>
    <w:rsid w:val="000C2E19"/>
    <w:rsid w:val="000C3ACC"/>
    <w:rsid w:val="000D0D07"/>
    <w:rsid w:val="000D4797"/>
    <w:rsid w:val="000E0527"/>
    <w:rsid w:val="000E06B1"/>
    <w:rsid w:val="000E1E92"/>
    <w:rsid w:val="000E5277"/>
    <w:rsid w:val="000F06D6"/>
    <w:rsid w:val="000F0EB1"/>
    <w:rsid w:val="000F1106"/>
    <w:rsid w:val="000F3BE9"/>
    <w:rsid w:val="000F3F6C"/>
    <w:rsid w:val="000F6DF3"/>
    <w:rsid w:val="001005FF"/>
    <w:rsid w:val="001062FB"/>
    <w:rsid w:val="001063E6"/>
    <w:rsid w:val="00113CF4"/>
    <w:rsid w:val="001153EA"/>
    <w:rsid w:val="00115643"/>
    <w:rsid w:val="001162D2"/>
    <w:rsid w:val="00116765"/>
    <w:rsid w:val="001219F5"/>
    <w:rsid w:val="00121A20"/>
    <w:rsid w:val="0012275B"/>
    <w:rsid w:val="0012377F"/>
    <w:rsid w:val="00124314"/>
    <w:rsid w:val="00126B4A"/>
    <w:rsid w:val="00132FD0"/>
    <w:rsid w:val="001344C0"/>
    <w:rsid w:val="001346FA"/>
    <w:rsid w:val="00135252"/>
    <w:rsid w:val="00137AB5"/>
    <w:rsid w:val="00137F0B"/>
    <w:rsid w:val="00145823"/>
    <w:rsid w:val="00150014"/>
    <w:rsid w:val="00151E23"/>
    <w:rsid w:val="001526E0"/>
    <w:rsid w:val="0015373E"/>
    <w:rsid w:val="001551B5"/>
    <w:rsid w:val="001659C1"/>
    <w:rsid w:val="00167828"/>
    <w:rsid w:val="00173A8E"/>
    <w:rsid w:val="0018143F"/>
    <w:rsid w:val="00190AC1"/>
    <w:rsid w:val="0019341A"/>
    <w:rsid w:val="00193D38"/>
    <w:rsid w:val="00196433"/>
    <w:rsid w:val="001975D7"/>
    <w:rsid w:val="00197DF9"/>
    <w:rsid w:val="001A1987"/>
    <w:rsid w:val="001A2564"/>
    <w:rsid w:val="001A6173"/>
    <w:rsid w:val="001A6CBA"/>
    <w:rsid w:val="001B0D97"/>
    <w:rsid w:val="001B199A"/>
    <w:rsid w:val="001B5A5D"/>
    <w:rsid w:val="001C0DFC"/>
    <w:rsid w:val="001C1CE5"/>
    <w:rsid w:val="001C3D2A"/>
    <w:rsid w:val="001C5E06"/>
    <w:rsid w:val="001D51BA"/>
    <w:rsid w:val="001D6342"/>
    <w:rsid w:val="001D6D53"/>
    <w:rsid w:val="001E2560"/>
    <w:rsid w:val="001E58E2"/>
    <w:rsid w:val="001E7AED"/>
    <w:rsid w:val="001F3916"/>
    <w:rsid w:val="001F54C5"/>
    <w:rsid w:val="001F5F27"/>
    <w:rsid w:val="001F662C"/>
    <w:rsid w:val="001F7074"/>
    <w:rsid w:val="00200490"/>
    <w:rsid w:val="00201F3A"/>
    <w:rsid w:val="00203F96"/>
    <w:rsid w:val="002069B2"/>
    <w:rsid w:val="00207FA3"/>
    <w:rsid w:val="0021371D"/>
    <w:rsid w:val="00214005"/>
    <w:rsid w:val="00214DA8"/>
    <w:rsid w:val="00215423"/>
    <w:rsid w:val="002158FA"/>
    <w:rsid w:val="0021695D"/>
    <w:rsid w:val="00220600"/>
    <w:rsid w:val="00220DD8"/>
    <w:rsid w:val="002224DB"/>
    <w:rsid w:val="00223FCB"/>
    <w:rsid w:val="002252C3"/>
    <w:rsid w:val="00225C54"/>
    <w:rsid w:val="0022609F"/>
    <w:rsid w:val="00230765"/>
    <w:rsid w:val="002319E4"/>
    <w:rsid w:val="00235632"/>
    <w:rsid w:val="00235872"/>
    <w:rsid w:val="00236BD1"/>
    <w:rsid w:val="00241559"/>
    <w:rsid w:val="0024324B"/>
    <w:rsid w:val="002435B3"/>
    <w:rsid w:val="002451ED"/>
    <w:rsid w:val="002458EB"/>
    <w:rsid w:val="002500C8"/>
    <w:rsid w:val="00257543"/>
    <w:rsid w:val="002617E7"/>
    <w:rsid w:val="00261BAC"/>
    <w:rsid w:val="00264228"/>
    <w:rsid w:val="00264334"/>
    <w:rsid w:val="0026473E"/>
    <w:rsid w:val="00266214"/>
    <w:rsid w:val="00267C83"/>
    <w:rsid w:val="0027144F"/>
    <w:rsid w:val="00271813"/>
    <w:rsid w:val="00271F3A"/>
    <w:rsid w:val="00273278"/>
    <w:rsid w:val="002737F4"/>
    <w:rsid w:val="00276C96"/>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C52"/>
    <w:rsid w:val="002C1092"/>
    <w:rsid w:val="002C41E6"/>
    <w:rsid w:val="002D071A"/>
    <w:rsid w:val="002D34B2"/>
    <w:rsid w:val="002D7637"/>
    <w:rsid w:val="002E17F2"/>
    <w:rsid w:val="002E2C23"/>
    <w:rsid w:val="002E4209"/>
    <w:rsid w:val="002E7CAE"/>
    <w:rsid w:val="002F2771"/>
    <w:rsid w:val="002F345B"/>
    <w:rsid w:val="002F37A9"/>
    <w:rsid w:val="002F6288"/>
    <w:rsid w:val="00301CE6"/>
    <w:rsid w:val="0030256B"/>
    <w:rsid w:val="0030501F"/>
    <w:rsid w:val="00307BA1"/>
    <w:rsid w:val="00311702"/>
    <w:rsid w:val="00311E82"/>
    <w:rsid w:val="00312BEB"/>
    <w:rsid w:val="00313FD6"/>
    <w:rsid w:val="003143BD"/>
    <w:rsid w:val="00316259"/>
    <w:rsid w:val="003203ED"/>
    <w:rsid w:val="00322C9F"/>
    <w:rsid w:val="00324D23"/>
    <w:rsid w:val="00327997"/>
    <w:rsid w:val="00331751"/>
    <w:rsid w:val="00331B7B"/>
    <w:rsid w:val="00334579"/>
    <w:rsid w:val="00335858"/>
    <w:rsid w:val="00336BDA"/>
    <w:rsid w:val="00342BD7"/>
    <w:rsid w:val="00346DB5"/>
    <w:rsid w:val="003477B1"/>
    <w:rsid w:val="00354402"/>
    <w:rsid w:val="00357380"/>
    <w:rsid w:val="003602D9"/>
    <w:rsid w:val="003604CE"/>
    <w:rsid w:val="00370E47"/>
    <w:rsid w:val="00372DBD"/>
    <w:rsid w:val="003742AC"/>
    <w:rsid w:val="00374ADB"/>
    <w:rsid w:val="00377CE1"/>
    <w:rsid w:val="00385BF0"/>
    <w:rsid w:val="003939FF"/>
    <w:rsid w:val="00393B88"/>
    <w:rsid w:val="003A0E41"/>
    <w:rsid w:val="003A2223"/>
    <w:rsid w:val="003A2A0F"/>
    <w:rsid w:val="003A45A1"/>
    <w:rsid w:val="003A49BE"/>
    <w:rsid w:val="003A5B0A"/>
    <w:rsid w:val="003A6BAC"/>
    <w:rsid w:val="003A7EF3"/>
    <w:rsid w:val="003B159C"/>
    <w:rsid w:val="003B369F"/>
    <w:rsid w:val="003B36A3"/>
    <w:rsid w:val="003B7FE5"/>
    <w:rsid w:val="003C0420"/>
    <w:rsid w:val="003C11C8"/>
    <w:rsid w:val="003C2702"/>
    <w:rsid w:val="003C7806"/>
    <w:rsid w:val="003C7CDA"/>
    <w:rsid w:val="003C7EE0"/>
    <w:rsid w:val="003D109F"/>
    <w:rsid w:val="003D2152"/>
    <w:rsid w:val="003D2478"/>
    <w:rsid w:val="003D3C45"/>
    <w:rsid w:val="003D5B1F"/>
    <w:rsid w:val="003E15FA"/>
    <w:rsid w:val="003E55E4"/>
    <w:rsid w:val="003E74E3"/>
    <w:rsid w:val="003F05C7"/>
    <w:rsid w:val="003F2CD4"/>
    <w:rsid w:val="003F5C96"/>
    <w:rsid w:val="003F6BBE"/>
    <w:rsid w:val="004000E8"/>
    <w:rsid w:val="00402E2B"/>
    <w:rsid w:val="004033B5"/>
    <w:rsid w:val="0040440F"/>
    <w:rsid w:val="004050EA"/>
    <w:rsid w:val="0040512B"/>
    <w:rsid w:val="004053EB"/>
    <w:rsid w:val="00405CA5"/>
    <w:rsid w:val="00407CD3"/>
    <w:rsid w:val="00410134"/>
    <w:rsid w:val="00410B72"/>
    <w:rsid w:val="00410C92"/>
    <w:rsid w:val="00410F18"/>
    <w:rsid w:val="0041263E"/>
    <w:rsid w:val="00413AAC"/>
    <w:rsid w:val="00413E92"/>
    <w:rsid w:val="00421105"/>
    <w:rsid w:val="004222C3"/>
    <w:rsid w:val="004242F4"/>
    <w:rsid w:val="00427248"/>
    <w:rsid w:val="00437447"/>
    <w:rsid w:val="00441782"/>
    <w:rsid w:val="00441A92"/>
    <w:rsid w:val="00444F56"/>
    <w:rsid w:val="00446488"/>
    <w:rsid w:val="004517AA"/>
    <w:rsid w:val="00452CAC"/>
    <w:rsid w:val="00457565"/>
    <w:rsid w:val="00457B71"/>
    <w:rsid w:val="0046506A"/>
    <w:rsid w:val="004669E2"/>
    <w:rsid w:val="00470C31"/>
    <w:rsid w:val="00471FA2"/>
    <w:rsid w:val="004734D0"/>
    <w:rsid w:val="0047556B"/>
    <w:rsid w:val="00477768"/>
    <w:rsid w:val="004825E4"/>
    <w:rsid w:val="004830AB"/>
    <w:rsid w:val="00492BC5"/>
    <w:rsid w:val="004964F1"/>
    <w:rsid w:val="004972D9"/>
    <w:rsid w:val="004A16BC"/>
    <w:rsid w:val="004A2B94"/>
    <w:rsid w:val="004A3906"/>
    <w:rsid w:val="004B7C0C"/>
    <w:rsid w:val="004C3898"/>
    <w:rsid w:val="004C5C4C"/>
    <w:rsid w:val="004D36B1"/>
    <w:rsid w:val="004D7EBD"/>
    <w:rsid w:val="004E2680"/>
    <w:rsid w:val="004E28F9"/>
    <w:rsid w:val="004E462E"/>
    <w:rsid w:val="004E56DC"/>
    <w:rsid w:val="004E76F4"/>
    <w:rsid w:val="004F0B4E"/>
    <w:rsid w:val="004F0B6C"/>
    <w:rsid w:val="004F2078"/>
    <w:rsid w:val="004F4DA3"/>
    <w:rsid w:val="00504B89"/>
    <w:rsid w:val="005053DB"/>
    <w:rsid w:val="00506557"/>
    <w:rsid w:val="0050677A"/>
    <w:rsid w:val="005108D8"/>
    <w:rsid w:val="005116F9"/>
    <w:rsid w:val="005153A7"/>
    <w:rsid w:val="005219CF"/>
    <w:rsid w:val="00525AFB"/>
    <w:rsid w:val="00526DB5"/>
    <w:rsid w:val="00534B59"/>
    <w:rsid w:val="00536759"/>
    <w:rsid w:val="00537C62"/>
    <w:rsid w:val="00546970"/>
    <w:rsid w:val="00554192"/>
    <w:rsid w:val="00554E19"/>
    <w:rsid w:val="0056121F"/>
    <w:rsid w:val="00572505"/>
    <w:rsid w:val="00575DA6"/>
    <w:rsid w:val="00581CC3"/>
    <w:rsid w:val="00582809"/>
    <w:rsid w:val="005849F7"/>
    <w:rsid w:val="0058798C"/>
    <w:rsid w:val="005900FA"/>
    <w:rsid w:val="005935A4"/>
    <w:rsid w:val="005948C2"/>
    <w:rsid w:val="00595DCA"/>
    <w:rsid w:val="0059779B"/>
    <w:rsid w:val="005A209A"/>
    <w:rsid w:val="005A662D"/>
    <w:rsid w:val="005B35D7"/>
    <w:rsid w:val="005B392A"/>
    <w:rsid w:val="005B3AA3"/>
    <w:rsid w:val="005B458C"/>
    <w:rsid w:val="005B6613"/>
    <w:rsid w:val="005B6F83"/>
    <w:rsid w:val="005C74FB"/>
    <w:rsid w:val="005D1602"/>
    <w:rsid w:val="005D6C45"/>
    <w:rsid w:val="005E100D"/>
    <w:rsid w:val="005E1202"/>
    <w:rsid w:val="005E385F"/>
    <w:rsid w:val="005E4F0E"/>
    <w:rsid w:val="005E5B81"/>
    <w:rsid w:val="005F2CB1"/>
    <w:rsid w:val="005F3025"/>
    <w:rsid w:val="005F618C"/>
    <w:rsid w:val="005F70BD"/>
    <w:rsid w:val="0060283C"/>
    <w:rsid w:val="00604F14"/>
    <w:rsid w:val="00611B83"/>
    <w:rsid w:val="00613257"/>
    <w:rsid w:val="00613DA2"/>
    <w:rsid w:val="00617CDD"/>
    <w:rsid w:val="00620A71"/>
    <w:rsid w:val="00620D80"/>
    <w:rsid w:val="00621274"/>
    <w:rsid w:val="006225CA"/>
    <w:rsid w:val="006234A6"/>
    <w:rsid w:val="00630001"/>
    <w:rsid w:val="006311B3"/>
    <w:rsid w:val="0063284C"/>
    <w:rsid w:val="00635AF0"/>
    <w:rsid w:val="00636398"/>
    <w:rsid w:val="006368D3"/>
    <w:rsid w:val="006377EC"/>
    <w:rsid w:val="0064151F"/>
    <w:rsid w:val="00641533"/>
    <w:rsid w:val="0064208D"/>
    <w:rsid w:val="00643475"/>
    <w:rsid w:val="0064396A"/>
    <w:rsid w:val="0064624E"/>
    <w:rsid w:val="00650AB9"/>
    <w:rsid w:val="00655733"/>
    <w:rsid w:val="00655ACD"/>
    <w:rsid w:val="00655BC2"/>
    <w:rsid w:val="00656A92"/>
    <w:rsid w:val="00656DDE"/>
    <w:rsid w:val="00656E76"/>
    <w:rsid w:val="0066011D"/>
    <w:rsid w:val="006607C0"/>
    <w:rsid w:val="006613A6"/>
    <w:rsid w:val="006627A2"/>
    <w:rsid w:val="006634E6"/>
    <w:rsid w:val="00664D64"/>
    <w:rsid w:val="00664F3C"/>
    <w:rsid w:val="006655EE"/>
    <w:rsid w:val="00667EE7"/>
    <w:rsid w:val="00670922"/>
    <w:rsid w:val="00670BE1"/>
    <w:rsid w:val="0067218F"/>
    <w:rsid w:val="006741F2"/>
    <w:rsid w:val="00674CC3"/>
    <w:rsid w:val="006755DF"/>
    <w:rsid w:val="00675C72"/>
    <w:rsid w:val="006771F9"/>
    <w:rsid w:val="006776D7"/>
    <w:rsid w:val="00681003"/>
    <w:rsid w:val="006817C9"/>
    <w:rsid w:val="00683ECE"/>
    <w:rsid w:val="0068734B"/>
    <w:rsid w:val="0069266E"/>
    <w:rsid w:val="00695FC2"/>
    <w:rsid w:val="00696949"/>
    <w:rsid w:val="00697052"/>
    <w:rsid w:val="006A1BB7"/>
    <w:rsid w:val="006A46FB"/>
    <w:rsid w:val="006A5E28"/>
    <w:rsid w:val="006A6585"/>
    <w:rsid w:val="006A697B"/>
    <w:rsid w:val="006A7AFF"/>
    <w:rsid w:val="006B1816"/>
    <w:rsid w:val="006B2099"/>
    <w:rsid w:val="006B36F7"/>
    <w:rsid w:val="006B50CF"/>
    <w:rsid w:val="006B53F6"/>
    <w:rsid w:val="006C03B8"/>
    <w:rsid w:val="006C5EC9"/>
    <w:rsid w:val="006C6059"/>
    <w:rsid w:val="006C7522"/>
    <w:rsid w:val="006D6F08"/>
    <w:rsid w:val="006E062C"/>
    <w:rsid w:val="006E1514"/>
    <w:rsid w:val="006E2288"/>
    <w:rsid w:val="006E28B7"/>
    <w:rsid w:val="006E3310"/>
    <w:rsid w:val="006E4E39"/>
    <w:rsid w:val="006E565E"/>
    <w:rsid w:val="006E673D"/>
    <w:rsid w:val="006E6BF2"/>
    <w:rsid w:val="006E7D3B"/>
    <w:rsid w:val="006F0339"/>
    <w:rsid w:val="006F1B70"/>
    <w:rsid w:val="006F341D"/>
    <w:rsid w:val="006F3CDE"/>
    <w:rsid w:val="006F58D4"/>
    <w:rsid w:val="0070346E"/>
    <w:rsid w:val="00704683"/>
    <w:rsid w:val="00704EDB"/>
    <w:rsid w:val="007059EE"/>
    <w:rsid w:val="00706101"/>
    <w:rsid w:val="00707072"/>
    <w:rsid w:val="00707D61"/>
    <w:rsid w:val="00712287"/>
    <w:rsid w:val="00712772"/>
    <w:rsid w:val="00713D85"/>
    <w:rsid w:val="007148D3"/>
    <w:rsid w:val="0071549E"/>
    <w:rsid w:val="00715B9A"/>
    <w:rsid w:val="0072277B"/>
    <w:rsid w:val="00726EA6"/>
    <w:rsid w:val="00727208"/>
    <w:rsid w:val="00727680"/>
    <w:rsid w:val="007348B1"/>
    <w:rsid w:val="007362A6"/>
    <w:rsid w:val="00736D7D"/>
    <w:rsid w:val="00737FB0"/>
    <w:rsid w:val="00740E58"/>
    <w:rsid w:val="00741687"/>
    <w:rsid w:val="00741ACE"/>
    <w:rsid w:val="007445A0"/>
    <w:rsid w:val="0074524B"/>
    <w:rsid w:val="00747D8B"/>
    <w:rsid w:val="00751228"/>
    <w:rsid w:val="007571E1"/>
    <w:rsid w:val="007604B2"/>
    <w:rsid w:val="00765281"/>
    <w:rsid w:val="00766BAD"/>
    <w:rsid w:val="00767B16"/>
    <w:rsid w:val="00773B72"/>
    <w:rsid w:val="00774E25"/>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D7DA5"/>
    <w:rsid w:val="007E4610"/>
    <w:rsid w:val="007E4715"/>
    <w:rsid w:val="007E505B"/>
    <w:rsid w:val="007E5126"/>
    <w:rsid w:val="007E7091"/>
    <w:rsid w:val="007E73B0"/>
    <w:rsid w:val="007F5853"/>
    <w:rsid w:val="007F75D5"/>
    <w:rsid w:val="00803FAE"/>
    <w:rsid w:val="0080605F"/>
    <w:rsid w:val="00807786"/>
    <w:rsid w:val="00811FCB"/>
    <w:rsid w:val="00814708"/>
    <w:rsid w:val="008151ED"/>
    <w:rsid w:val="008158D6"/>
    <w:rsid w:val="00817196"/>
    <w:rsid w:val="008235DB"/>
    <w:rsid w:val="00824AB4"/>
    <w:rsid w:val="00825C42"/>
    <w:rsid w:val="00825D25"/>
    <w:rsid w:val="00827D6F"/>
    <w:rsid w:val="0083388B"/>
    <w:rsid w:val="008376AC"/>
    <w:rsid w:val="008444E8"/>
    <w:rsid w:val="00844E80"/>
    <w:rsid w:val="00846FE7"/>
    <w:rsid w:val="00856911"/>
    <w:rsid w:val="0086477D"/>
    <w:rsid w:val="008677FD"/>
    <w:rsid w:val="008706D4"/>
    <w:rsid w:val="00870F8A"/>
    <w:rsid w:val="008719A4"/>
    <w:rsid w:val="00871D23"/>
    <w:rsid w:val="00874312"/>
    <w:rsid w:val="0087437C"/>
    <w:rsid w:val="008754BC"/>
    <w:rsid w:val="00875CD7"/>
    <w:rsid w:val="00876379"/>
    <w:rsid w:val="00876B4D"/>
    <w:rsid w:val="00877F18"/>
    <w:rsid w:val="00883251"/>
    <w:rsid w:val="008832DD"/>
    <w:rsid w:val="008837F0"/>
    <w:rsid w:val="00894A88"/>
    <w:rsid w:val="00895386"/>
    <w:rsid w:val="008A21FF"/>
    <w:rsid w:val="008A2CE2"/>
    <w:rsid w:val="008A30AC"/>
    <w:rsid w:val="008A44B8"/>
    <w:rsid w:val="008A473F"/>
    <w:rsid w:val="008A51A8"/>
    <w:rsid w:val="008A54C7"/>
    <w:rsid w:val="008A62E4"/>
    <w:rsid w:val="008A77D8"/>
    <w:rsid w:val="008B023F"/>
    <w:rsid w:val="008B0483"/>
    <w:rsid w:val="008B120C"/>
    <w:rsid w:val="008B51A0"/>
    <w:rsid w:val="008B592A"/>
    <w:rsid w:val="008B7B5C"/>
    <w:rsid w:val="008C0C99"/>
    <w:rsid w:val="008C2017"/>
    <w:rsid w:val="008C4958"/>
    <w:rsid w:val="008C4BAA"/>
    <w:rsid w:val="008C6AE8"/>
    <w:rsid w:val="008C7573"/>
    <w:rsid w:val="008D21B2"/>
    <w:rsid w:val="008D30A5"/>
    <w:rsid w:val="008D34F1"/>
    <w:rsid w:val="008D39D8"/>
    <w:rsid w:val="008D6133"/>
    <w:rsid w:val="008D6D1A"/>
    <w:rsid w:val="008E065E"/>
    <w:rsid w:val="008E0927"/>
    <w:rsid w:val="008E1909"/>
    <w:rsid w:val="008F1EAB"/>
    <w:rsid w:val="008F33DC"/>
    <w:rsid w:val="008F477F"/>
    <w:rsid w:val="008F74F0"/>
    <w:rsid w:val="00902350"/>
    <w:rsid w:val="0090336B"/>
    <w:rsid w:val="009053AA"/>
    <w:rsid w:val="00906939"/>
    <w:rsid w:val="00910B7D"/>
    <w:rsid w:val="00911DFB"/>
    <w:rsid w:val="009130EC"/>
    <w:rsid w:val="00913855"/>
    <w:rsid w:val="009139D9"/>
    <w:rsid w:val="00914AD8"/>
    <w:rsid w:val="00916079"/>
    <w:rsid w:val="00917CE9"/>
    <w:rsid w:val="00920BF2"/>
    <w:rsid w:val="00922010"/>
    <w:rsid w:val="00926492"/>
    <w:rsid w:val="009301D9"/>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1F0C"/>
    <w:rsid w:val="0097603D"/>
    <w:rsid w:val="00976949"/>
    <w:rsid w:val="0097787A"/>
    <w:rsid w:val="00980477"/>
    <w:rsid w:val="00985253"/>
    <w:rsid w:val="009853B3"/>
    <w:rsid w:val="00985BFD"/>
    <w:rsid w:val="00990630"/>
    <w:rsid w:val="00991761"/>
    <w:rsid w:val="00994DCA"/>
    <w:rsid w:val="009960EC"/>
    <w:rsid w:val="0099664D"/>
    <w:rsid w:val="00996FA8"/>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7F16"/>
    <w:rsid w:val="00A13E54"/>
    <w:rsid w:val="00A15745"/>
    <w:rsid w:val="00A17F63"/>
    <w:rsid w:val="00A2193B"/>
    <w:rsid w:val="00A2351A"/>
    <w:rsid w:val="00A264A9"/>
    <w:rsid w:val="00A27785"/>
    <w:rsid w:val="00A30187"/>
    <w:rsid w:val="00A3448A"/>
    <w:rsid w:val="00A36297"/>
    <w:rsid w:val="00A41E2B"/>
    <w:rsid w:val="00A45B74"/>
    <w:rsid w:val="00A52E1D"/>
    <w:rsid w:val="00A53659"/>
    <w:rsid w:val="00A61499"/>
    <w:rsid w:val="00A62A77"/>
    <w:rsid w:val="00A63483"/>
    <w:rsid w:val="00A657D7"/>
    <w:rsid w:val="00A660AC"/>
    <w:rsid w:val="00A67E6C"/>
    <w:rsid w:val="00A70154"/>
    <w:rsid w:val="00A71B99"/>
    <w:rsid w:val="00A739D0"/>
    <w:rsid w:val="00A761D4"/>
    <w:rsid w:val="00A77EC4"/>
    <w:rsid w:val="00A85C6C"/>
    <w:rsid w:val="00A85EF6"/>
    <w:rsid w:val="00A907E4"/>
    <w:rsid w:val="00A92879"/>
    <w:rsid w:val="00A9442A"/>
    <w:rsid w:val="00A971CD"/>
    <w:rsid w:val="00AA016F"/>
    <w:rsid w:val="00AA1ED6"/>
    <w:rsid w:val="00AA4B8F"/>
    <w:rsid w:val="00AA51D6"/>
    <w:rsid w:val="00AB0BC8"/>
    <w:rsid w:val="00AB11CA"/>
    <w:rsid w:val="00AB14D9"/>
    <w:rsid w:val="00AB4AB8"/>
    <w:rsid w:val="00AB655E"/>
    <w:rsid w:val="00AC007F"/>
    <w:rsid w:val="00AC2ECD"/>
    <w:rsid w:val="00AC3119"/>
    <w:rsid w:val="00AC49FB"/>
    <w:rsid w:val="00AC5A10"/>
    <w:rsid w:val="00AC7789"/>
    <w:rsid w:val="00AD0AA3"/>
    <w:rsid w:val="00AD11B6"/>
    <w:rsid w:val="00AD3F94"/>
    <w:rsid w:val="00AD4A5A"/>
    <w:rsid w:val="00AD7E15"/>
    <w:rsid w:val="00AE27AC"/>
    <w:rsid w:val="00AE2FEB"/>
    <w:rsid w:val="00AE40E0"/>
    <w:rsid w:val="00AE4DBA"/>
    <w:rsid w:val="00AE4F07"/>
    <w:rsid w:val="00AF1C5D"/>
    <w:rsid w:val="00AF42D7"/>
    <w:rsid w:val="00B006FE"/>
    <w:rsid w:val="00B007CB"/>
    <w:rsid w:val="00B02AA9"/>
    <w:rsid w:val="00B02FA3"/>
    <w:rsid w:val="00B03374"/>
    <w:rsid w:val="00B05084"/>
    <w:rsid w:val="00B105DE"/>
    <w:rsid w:val="00B114FA"/>
    <w:rsid w:val="00B157F9"/>
    <w:rsid w:val="00B20256"/>
    <w:rsid w:val="00B20D09"/>
    <w:rsid w:val="00B2763F"/>
    <w:rsid w:val="00B27AAC"/>
    <w:rsid w:val="00B30929"/>
    <w:rsid w:val="00B35546"/>
    <w:rsid w:val="00B372AA"/>
    <w:rsid w:val="00B40445"/>
    <w:rsid w:val="00B41888"/>
    <w:rsid w:val="00B41B7D"/>
    <w:rsid w:val="00B437BD"/>
    <w:rsid w:val="00B45A52"/>
    <w:rsid w:val="00B46175"/>
    <w:rsid w:val="00B55949"/>
    <w:rsid w:val="00B664C7"/>
    <w:rsid w:val="00B739F6"/>
    <w:rsid w:val="00B75A51"/>
    <w:rsid w:val="00B81A6C"/>
    <w:rsid w:val="00B85DE5"/>
    <w:rsid w:val="00B8616B"/>
    <w:rsid w:val="00B87B5F"/>
    <w:rsid w:val="00B90F73"/>
    <w:rsid w:val="00B93B59"/>
    <w:rsid w:val="00B9406A"/>
    <w:rsid w:val="00B95316"/>
    <w:rsid w:val="00BA2280"/>
    <w:rsid w:val="00BA2A08"/>
    <w:rsid w:val="00BA56D2"/>
    <w:rsid w:val="00BA76E0"/>
    <w:rsid w:val="00BB2A25"/>
    <w:rsid w:val="00BB51E9"/>
    <w:rsid w:val="00BC0FDC"/>
    <w:rsid w:val="00BC3053"/>
    <w:rsid w:val="00BC4D2E"/>
    <w:rsid w:val="00BC5E0D"/>
    <w:rsid w:val="00BD1913"/>
    <w:rsid w:val="00BD2A9D"/>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33D"/>
    <w:rsid w:val="00C10478"/>
    <w:rsid w:val="00C12107"/>
    <w:rsid w:val="00C14D4B"/>
    <w:rsid w:val="00C154BB"/>
    <w:rsid w:val="00C279B5"/>
    <w:rsid w:val="00C27C45"/>
    <w:rsid w:val="00C3719D"/>
    <w:rsid w:val="00C45CE8"/>
    <w:rsid w:val="00C54995"/>
    <w:rsid w:val="00C54D41"/>
    <w:rsid w:val="00C60783"/>
    <w:rsid w:val="00C629BA"/>
    <w:rsid w:val="00C64672"/>
    <w:rsid w:val="00C70697"/>
    <w:rsid w:val="00C723A2"/>
    <w:rsid w:val="00C72EF4"/>
    <w:rsid w:val="00C75D2F"/>
    <w:rsid w:val="00C767BE"/>
    <w:rsid w:val="00C76E3C"/>
    <w:rsid w:val="00C81147"/>
    <w:rsid w:val="00C81568"/>
    <w:rsid w:val="00C9027A"/>
    <w:rsid w:val="00C9068E"/>
    <w:rsid w:val="00C90878"/>
    <w:rsid w:val="00C93C4B"/>
    <w:rsid w:val="00C9449D"/>
    <w:rsid w:val="00C944AB"/>
    <w:rsid w:val="00C95B40"/>
    <w:rsid w:val="00C9694D"/>
    <w:rsid w:val="00C96B76"/>
    <w:rsid w:val="00C96D0A"/>
    <w:rsid w:val="00CA1068"/>
    <w:rsid w:val="00CA1ED8"/>
    <w:rsid w:val="00CA2417"/>
    <w:rsid w:val="00CA32E3"/>
    <w:rsid w:val="00CB1F63"/>
    <w:rsid w:val="00CB2245"/>
    <w:rsid w:val="00CB7170"/>
    <w:rsid w:val="00CC040E"/>
    <w:rsid w:val="00CC111F"/>
    <w:rsid w:val="00CC2011"/>
    <w:rsid w:val="00CC3DE9"/>
    <w:rsid w:val="00CC3EA0"/>
    <w:rsid w:val="00CC7B45"/>
    <w:rsid w:val="00CD1188"/>
    <w:rsid w:val="00CD2ED1"/>
    <w:rsid w:val="00CD337B"/>
    <w:rsid w:val="00CE0424"/>
    <w:rsid w:val="00CE1EA4"/>
    <w:rsid w:val="00CE7561"/>
    <w:rsid w:val="00CF1354"/>
    <w:rsid w:val="00CF2E1E"/>
    <w:rsid w:val="00CF3B1F"/>
    <w:rsid w:val="00CF3BF6"/>
    <w:rsid w:val="00CF625B"/>
    <w:rsid w:val="00CF65F7"/>
    <w:rsid w:val="00CF687E"/>
    <w:rsid w:val="00D0349B"/>
    <w:rsid w:val="00D04E25"/>
    <w:rsid w:val="00D10249"/>
    <w:rsid w:val="00D115C3"/>
    <w:rsid w:val="00D11897"/>
    <w:rsid w:val="00D13135"/>
    <w:rsid w:val="00D13E4E"/>
    <w:rsid w:val="00D209D9"/>
    <w:rsid w:val="00D239A7"/>
    <w:rsid w:val="00D23F47"/>
    <w:rsid w:val="00D24F42"/>
    <w:rsid w:val="00D31C97"/>
    <w:rsid w:val="00D36E71"/>
    <w:rsid w:val="00D37D87"/>
    <w:rsid w:val="00D40B33"/>
    <w:rsid w:val="00D4318F"/>
    <w:rsid w:val="00D438BF"/>
    <w:rsid w:val="00D440F8"/>
    <w:rsid w:val="00D51FD5"/>
    <w:rsid w:val="00D546FF"/>
    <w:rsid w:val="00D55AD5"/>
    <w:rsid w:val="00D576CA"/>
    <w:rsid w:val="00D61AF5"/>
    <w:rsid w:val="00D652B5"/>
    <w:rsid w:val="00D66155"/>
    <w:rsid w:val="00D708B0"/>
    <w:rsid w:val="00D77B1D"/>
    <w:rsid w:val="00D8021F"/>
    <w:rsid w:val="00D80383"/>
    <w:rsid w:val="00D823C6"/>
    <w:rsid w:val="00D86CA3"/>
    <w:rsid w:val="00D86D51"/>
    <w:rsid w:val="00D871CE"/>
    <w:rsid w:val="00D902D9"/>
    <w:rsid w:val="00D9196D"/>
    <w:rsid w:val="00D92982"/>
    <w:rsid w:val="00DA305E"/>
    <w:rsid w:val="00DA5417"/>
    <w:rsid w:val="00DA56E8"/>
    <w:rsid w:val="00DA6186"/>
    <w:rsid w:val="00DB06DA"/>
    <w:rsid w:val="00DB0A9F"/>
    <w:rsid w:val="00DB377D"/>
    <w:rsid w:val="00DB3912"/>
    <w:rsid w:val="00DC13BB"/>
    <w:rsid w:val="00DC2D36"/>
    <w:rsid w:val="00DC53EF"/>
    <w:rsid w:val="00DC718B"/>
    <w:rsid w:val="00DD46B1"/>
    <w:rsid w:val="00DE5608"/>
    <w:rsid w:val="00DE58D0"/>
    <w:rsid w:val="00DE654F"/>
    <w:rsid w:val="00DF0B6E"/>
    <w:rsid w:val="00DF15E0"/>
    <w:rsid w:val="00DF37A0"/>
    <w:rsid w:val="00E04063"/>
    <w:rsid w:val="00E07117"/>
    <w:rsid w:val="00E110E7"/>
    <w:rsid w:val="00E11B20"/>
    <w:rsid w:val="00E17FA2"/>
    <w:rsid w:val="00E22330"/>
    <w:rsid w:val="00E30B5A"/>
    <w:rsid w:val="00E3123D"/>
    <w:rsid w:val="00E31461"/>
    <w:rsid w:val="00E317D6"/>
    <w:rsid w:val="00E31D43"/>
    <w:rsid w:val="00E32608"/>
    <w:rsid w:val="00E34188"/>
    <w:rsid w:val="00E34B6E"/>
    <w:rsid w:val="00E35559"/>
    <w:rsid w:val="00E3723A"/>
    <w:rsid w:val="00E37860"/>
    <w:rsid w:val="00E41A60"/>
    <w:rsid w:val="00E446F1"/>
    <w:rsid w:val="00E46886"/>
    <w:rsid w:val="00E47AEF"/>
    <w:rsid w:val="00E47D8D"/>
    <w:rsid w:val="00E51C7B"/>
    <w:rsid w:val="00E53B75"/>
    <w:rsid w:val="00E54E3B"/>
    <w:rsid w:val="00E5689D"/>
    <w:rsid w:val="00E57565"/>
    <w:rsid w:val="00E63838"/>
    <w:rsid w:val="00E64434"/>
    <w:rsid w:val="00E64B80"/>
    <w:rsid w:val="00E66A3B"/>
    <w:rsid w:val="00E67C51"/>
    <w:rsid w:val="00E72EFC"/>
    <w:rsid w:val="00E758EC"/>
    <w:rsid w:val="00E8234C"/>
    <w:rsid w:val="00E83AA9"/>
    <w:rsid w:val="00E85928"/>
    <w:rsid w:val="00E85ED6"/>
    <w:rsid w:val="00E87400"/>
    <w:rsid w:val="00E876F6"/>
    <w:rsid w:val="00E87822"/>
    <w:rsid w:val="00E90395"/>
    <w:rsid w:val="00E90E49"/>
    <w:rsid w:val="00E917F9"/>
    <w:rsid w:val="00E9291C"/>
    <w:rsid w:val="00E93848"/>
    <w:rsid w:val="00E93FFE"/>
    <w:rsid w:val="00E94F8A"/>
    <w:rsid w:val="00E96B48"/>
    <w:rsid w:val="00EA121D"/>
    <w:rsid w:val="00EA4B16"/>
    <w:rsid w:val="00EA6C9F"/>
    <w:rsid w:val="00EA7A41"/>
    <w:rsid w:val="00EA7C6C"/>
    <w:rsid w:val="00EB077B"/>
    <w:rsid w:val="00EB4CB3"/>
    <w:rsid w:val="00EB4EA2"/>
    <w:rsid w:val="00EC27C6"/>
    <w:rsid w:val="00EC4207"/>
    <w:rsid w:val="00EC5653"/>
    <w:rsid w:val="00EC6843"/>
    <w:rsid w:val="00EC71CE"/>
    <w:rsid w:val="00EC77A7"/>
    <w:rsid w:val="00ED1006"/>
    <w:rsid w:val="00EE59C8"/>
    <w:rsid w:val="00EF0067"/>
    <w:rsid w:val="00EF18FE"/>
    <w:rsid w:val="00EF5787"/>
    <w:rsid w:val="00EF60D0"/>
    <w:rsid w:val="00F0286F"/>
    <w:rsid w:val="00F03A47"/>
    <w:rsid w:val="00F0528D"/>
    <w:rsid w:val="00F052FC"/>
    <w:rsid w:val="00F067A2"/>
    <w:rsid w:val="00F06C67"/>
    <w:rsid w:val="00F06DFD"/>
    <w:rsid w:val="00F071D1"/>
    <w:rsid w:val="00F07533"/>
    <w:rsid w:val="00F10629"/>
    <w:rsid w:val="00F12CE3"/>
    <w:rsid w:val="00F1449C"/>
    <w:rsid w:val="00F15FA5"/>
    <w:rsid w:val="00F209B7"/>
    <w:rsid w:val="00F2136D"/>
    <w:rsid w:val="00F2168C"/>
    <w:rsid w:val="00F2376F"/>
    <w:rsid w:val="00F243D8"/>
    <w:rsid w:val="00F30828"/>
    <w:rsid w:val="00F30A59"/>
    <w:rsid w:val="00F313D6"/>
    <w:rsid w:val="00F40F0C"/>
    <w:rsid w:val="00F41FE2"/>
    <w:rsid w:val="00F4766C"/>
    <w:rsid w:val="00F5060E"/>
    <w:rsid w:val="00F507D1"/>
    <w:rsid w:val="00F519CE"/>
    <w:rsid w:val="00F51ADA"/>
    <w:rsid w:val="00F607C5"/>
    <w:rsid w:val="00F60DEA"/>
    <w:rsid w:val="00F6302A"/>
    <w:rsid w:val="00F64C2B"/>
    <w:rsid w:val="00F651BE"/>
    <w:rsid w:val="00F66923"/>
    <w:rsid w:val="00F67F53"/>
    <w:rsid w:val="00F703BE"/>
    <w:rsid w:val="00F705B9"/>
    <w:rsid w:val="00F71F69"/>
    <w:rsid w:val="00F72B72"/>
    <w:rsid w:val="00F74BB9"/>
    <w:rsid w:val="00F75582"/>
    <w:rsid w:val="00F76EFA"/>
    <w:rsid w:val="00F804BE"/>
    <w:rsid w:val="00F817CE"/>
    <w:rsid w:val="00F8456C"/>
    <w:rsid w:val="00F859D8"/>
    <w:rsid w:val="00F868F5"/>
    <w:rsid w:val="00F9056A"/>
    <w:rsid w:val="00F90F8D"/>
    <w:rsid w:val="00F92269"/>
    <w:rsid w:val="00F92782"/>
    <w:rsid w:val="00F93AA9"/>
    <w:rsid w:val="00F96985"/>
    <w:rsid w:val="00F97838"/>
    <w:rsid w:val="00FA2BB3"/>
    <w:rsid w:val="00FB4C80"/>
    <w:rsid w:val="00FB525B"/>
    <w:rsid w:val="00FB6A6A"/>
    <w:rsid w:val="00FC2439"/>
    <w:rsid w:val="00FC7429"/>
    <w:rsid w:val="00FD07F6"/>
    <w:rsid w:val="00FD0F67"/>
    <w:rsid w:val="00FD1EC8"/>
    <w:rsid w:val="00FD47ED"/>
    <w:rsid w:val="00FD4C47"/>
    <w:rsid w:val="00FD74DB"/>
    <w:rsid w:val="00FD7660"/>
    <w:rsid w:val="00FE0655"/>
    <w:rsid w:val="00FE2365"/>
    <w:rsid w:val="00FE37D7"/>
    <w:rsid w:val="00FE4C7B"/>
    <w:rsid w:val="00FE7336"/>
    <w:rsid w:val="00FE787C"/>
    <w:rsid w:val="00FF45A5"/>
    <w:rsid w:val="00FF5656"/>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3B1E4"/>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7059EE"/>
    <w:rPr>
      <w:color w:val="808080"/>
    </w:rPr>
  </w:style>
  <w:style w:type="character" w:customStyle="1" w:styleId="B1Char1">
    <w:name w:val="B1 Char1"/>
    <w:rsid w:val="008D6133"/>
    <w:rPr>
      <w:rFonts w:ascii="Times New Roman" w:hAnsi="Times New Roman"/>
      <w:lang w:val="en-GB" w:eastAsia="en-US"/>
    </w:rPr>
  </w:style>
  <w:style w:type="paragraph" w:styleId="Revision">
    <w:name w:val="Revision"/>
    <w:hidden/>
    <w:uiPriority w:val="99"/>
    <w:semiHidden/>
    <w:rsid w:val="0071549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819">
      <w:bodyDiv w:val="1"/>
      <w:marLeft w:val="0"/>
      <w:marRight w:val="0"/>
      <w:marTop w:val="0"/>
      <w:marBottom w:val="0"/>
      <w:divBdr>
        <w:top w:val="none" w:sz="0" w:space="0" w:color="auto"/>
        <w:left w:val="none" w:sz="0" w:space="0" w:color="auto"/>
        <w:bottom w:val="none" w:sz="0" w:space="0" w:color="auto"/>
        <w:right w:val="none" w:sz="0" w:space="0" w:color="auto"/>
      </w:divBdr>
    </w:div>
    <w:div w:id="136728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5NUHHDQN7SK2-1-114525</_dlc_DocId>
    <_dlc_DocIdUrl xmlns="08b2df90-05d3-4030-90d4-c9feeb4a1cd9">
      <Url>https://ericoll.internal.ericsson.com/sites/STAR/_layouts/DocIdRedir.aspx?ID=5NUHHDQN7SK2-1-114525</Url>
      <Description>5NUHHDQN7SK2-1-114525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36E57-83AB-4152-8DFD-3723EF7C253A}">
  <ds:schemaRefs>
    <ds:schemaRef ds:uri="http://schemas.microsoft.com/sharepoint/events"/>
  </ds:schemaRefs>
</ds:datastoreItem>
</file>

<file path=customXml/itemProps2.xml><?xml version="1.0" encoding="utf-8"?>
<ds:datastoreItem xmlns:ds="http://schemas.openxmlformats.org/officeDocument/2006/customXml" ds:itemID="{34349438-DD60-4702-8AD5-00B2B966ABF6}">
  <ds:schemaRefs>
    <ds:schemaRef ds:uri="http://schemas.microsoft.com/sharepoint/v3/contenttype/forms"/>
  </ds:schemaRefs>
</ds:datastoreItem>
</file>

<file path=customXml/itemProps3.xml><?xml version="1.0" encoding="utf-8"?>
<ds:datastoreItem xmlns:ds="http://schemas.openxmlformats.org/officeDocument/2006/customXml" ds:itemID="{EF4FB874-CA74-4ED6-A625-9D90763397CD}">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69D7D2D-C897-4C5F-A164-1F4BC2EB2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BFE430-3BAD-4C85-A757-ACC417B5B9B3}">
  <ds:schemaRefs>
    <ds:schemaRef ds:uri="Microsoft.SharePoint.Taxonomy.ContentTypeSync"/>
  </ds:schemaRefs>
</ds:datastoreItem>
</file>

<file path=customXml/itemProps6.xml><?xml version="1.0" encoding="utf-8"?>
<ds:datastoreItem xmlns:ds="http://schemas.openxmlformats.org/officeDocument/2006/customXml" ds:itemID="{4731D6C9-3968-48AA-B9AA-FCEC59C26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91</TotalTime>
  <Pages>6</Pages>
  <Words>2211</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Ericsson; TDoc; 3GPP</cp:keywords>
  <cp:lastModifiedBy>Martin Hessler</cp:lastModifiedBy>
  <cp:revision>21</cp:revision>
  <cp:lastPrinted>2008-01-31T15:09:00Z</cp:lastPrinted>
  <dcterms:created xsi:type="dcterms:W3CDTF">2017-05-02T11:03:00Z</dcterms:created>
  <dcterms:modified xsi:type="dcterms:W3CDTF">2017-05-05T12:09:00Z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f9baf5d6-f51c-419d-9585-42601cb58869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