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5BA6DEA1" w:rsidR="008E3B42" w:rsidRPr="0061125D" w:rsidRDefault="008E3B42" w:rsidP="008E3B42">
      <w:pPr>
        <w:pStyle w:val="a7"/>
        <w:rPr>
          <w:rFonts w:eastAsia="SimSun"/>
          <w:sz w:val="24"/>
          <w:lang w:val="en-US" w:eastAsia="zh-CN"/>
        </w:rPr>
      </w:pPr>
      <w:bookmarkStart w:id="0" w:name="OLE_LINK3"/>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5466EE">
        <w:rPr>
          <w:rFonts w:hint="eastAsia"/>
          <w:sz w:val="24"/>
          <w:lang w:val="en-US" w:eastAsia="ja-JP"/>
        </w:rPr>
        <w:t>08497</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0"/>
    <w:p w14:paraId="1CA5307B" w14:textId="7CA07FEA"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9758AD">
        <w:rPr>
          <w:color w:val="000000" w:themeColor="text1"/>
          <w:sz w:val="24"/>
          <w:lang w:val="en-US" w:eastAsia="ja-JP"/>
        </w:rPr>
        <w:t xml:space="preserve">Power sharing between LTE and NR in NSA </w:t>
      </w:r>
    </w:p>
    <w:bookmarkEnd w:id="1"/>
    <w:bookmarkEnd w:id="2"/>
    <w:bookmarkEnd w:id="3"/>
    <w:bookmarkEnd w:id="4"/>
    <w:p w14:paraId="0841971C" w14:textId="5AD13203"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5466EE">
        <w:rPr>
          <w:rFonts w:hint="eastAsia"/>
          <w:color w:val="000000" w:themeColor="text1"/>
          <w:sz w:val="24"/>
          <w:lang w:val="en-US" w:eastAsia="ja-JP"/>
        </w:rPr>
        <w:t>9</w:t>
      </w:r>
      <w:bookmarkStart w:id="6" w:name="_GoBack"/>
      <w:bookmarkEnd w:id="6"/>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2F037E59" w:rsidR="00FE0C9D" w:rsidRPr="00A12F71" w:rsidRDefault="009758AD" w:rsidP="00FE0C9D">
      <w:pPr>
        <w:spacing w:afterLines="50" w:after="120"/>
        <w:jc w:val="both"/>
        <w:rPr>
          <w:rFonts w:eastAsia="ＭＳ 明朝"/>
          <w:sz w:val="22"/>
          <w:lang w:val="en-US"/>
        </w:rPr>
      </w:pPr>
      <w:r>
        <w:rPr>
          <w:rFonts w:eastAsia="ＭＳ 明朝"/>
          <w:sz w:val="22"/>
          <w:lang w:val="en-US"/>
        </w:rPr>
        <w:t>RAN1 received an LS from RAN4 regarding the feasibility and possible time plan from RAN1’s point of view [1]</w:t>
      </w:r>
      <w:r w:rsidR="006D1696"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9758AD" w14:paraId="7DBAECB8" w14:textId="77777777" w:rsidTr="00AA1EDD">
        <w:tc>
          <w:tcPr>
            <w:tcW w:w="5000" w:type="pct"/>
          </w:tcPr>
          <w:p w14:paraId="158ACA72" w14:textId="2B8F18BF" w:rsidR="009758AD" w:rsidRPr="009758AD" w:rsidRDefault="009758AD" w:rsidP="009758AD">
            <w:pPr>
              <w:spacing w:after="0"/>
              <w:rPr>
                <w:rFonts w:ascii="Arial" w:eastAsia="ＭＳ 明朝" w:hAnsi="Arial" w:cs="Arial"/>
                <w:sz w:val="22"/>
              </w:rPr>
            </w:pPr>
            <w:r w:rsidRPr="009758AD">
              <w:rPr>
                <w:rFonts w:ascii="Arial" w:hAnsi="Arial" w:cs="Arial"/>
                <w:sz w:val="22"/>
              </w:rPr>
              <w:t xml:space="preserve">RAN4 </w:t>
            </w:r>
            <w:r w:rsidRPr="009758AD">
              <w:rPr>
                <w:rFonts w:ascii="Arial" w:eastAsia="ＭＳ 明朝" w:hAnsi="Arial" w:cs="Arial"/>
                <w:sz w:val="22"/>
              </w:rPr>
              <w:t>agreed</w:t>
            </w:r>
            <w:r w:rsidRPr="009758AD">
              <w:rPr>
                <w:rFonts w:ascii="Arial" w:hAnsi="Arial" w:cs="Arial"/>
                <w:sz w:val="22"/>
              </w:rPr>
              <w:t xml:space="preserve"> </w:t>
            </w:r>
            <w:r w:rsidRPr="009758AD">
              <w:rPr>
                <w:rFonts w:ascii="Arial" w:eastAsia="ＭＳ 明朝" w:hAnsi="Arial" w:cs="Arial"/>
                <w:sz w:val="22"/>
              </w:rPr>
              <w:t xml:space="preserve">the NR RF/RRM work plans [R4-1704215] and identified the following parameters related to physical layer are necessary to complete the core part in December 2017 from RAN4 perspective so far. </w:t>
            </w:r>
            <w:r w:rsidRPr="009040B3">
              <w:rPr>
                <w:rFonts w:ascii="Arial" w:eastAsia="ＭＳ 明朝" w:hAnsi="Arial" w:cs="Arial"/>
                <w:sz w:val="22"/>
                <w:highlight w:val="yellow"/>
              </w:rPr>
              <w:t>RAN4 would like to confirm the feasibility and possible time plan from RAN1’s point of view.</w:t>
            </w:r>
          </w:p>
          <w:p w14:paraId="08852B1E" w14:textId="77777777" w:rsidR="009758AD" w:rsidRPr="009758AD" w:rsidRDefault="009758AD" w:rsidP="009758AD">
            <w:pPr>
              <w:numPr>
                <w:ilvl w:val="1"/>
                <w:numId w:val="25"/>
              </w:numPr>
              <w:spacing w:after="0"/>
              <w:rPr>
                <w:rFonts w:ascii="Arial" w:eastAsia="ＭＳ 明朝" w:hAnsi="Arial" w:cs="Arial"/>
                <w:sz w:val="22"/>
                <w:highlight w:val="yellow"/>
              </w:rPr>
            </w:pPr>
            <w:r w:rsidRPr="009758AD">
              <w:rPr>
                <w:rFonts w:ascii="Arial" w:eastAsia="ＭＳ 明朝" w:hAnsi="Arial" w:cs="Arial"/>
                <w:sz w:val="22"/>
                <w:highlight w:val="yellow"/>
              </w:rPr>
              <w:t>End of June meeting</w:t>
            </w:r>
          </w:p>
          <w:p w14:paraId="77D3DE1C" w14:textId="77777777" w:rsidR="009758AD" w:rsidRPr="009758AD" w:rsidRDefault="009758AD" w:rsidP="009758AD">
            <w:pPr>
              <w:numPr>
                <w:ilvl w:val="2"/>
                <w:numId w:val="25"/>
              </w:numPr>
              <w:spacing w:after="0"/>
              <w:rPr>
                <w:rFonts w:ascii="Arial" w:eastAsia="ＭＳ 明朝" w:hAnsi="Arial" w:cs="Arial"/>
                <w:sz w:val="22"/>
              </w:rPr>
            </w:pPr>
            <w:r w:rsidRPr="009758AD">
              <w:rPr>
                <w:rFonts w:ascii="Arial" w:eastAsia="ＭＳ 明朝" w:hAnsi="Arial" w:cs="Arial"/>
                <w:sz w:val="22"/>
              </w:rPr>
              <w:t>RF</w:t>
            </w:r>
          </w:p>
          <w:p w14:paraId="15FCCB90" w14:textId="77777777" w:rsidR="009758AD" w:rsidRPr="009758AD" w:rsidRDefault="009758AD" w:rsidP="009758AD">
            <w:pPr>
              <w:numPr>
                <w:ilvl w:val="3"/>
                <w:numId w:val="25"/>
              </w:numPr>
              <w:spacing w:after="0"/>
              <w:rPr>
                <w:rFonts w:ascii="Arial" w:eastAsia="ＭＳ 明朝" w:hAnsi="Arial" w:cs="Arial"/>
                <w:sz w:val="22"/>
              </w:rPr>
            </w:pPr>
            <w:r w:rsidRPr="009758AD">
              <w:rPr>
                <w:rFonts w:ascii="Arial" w:eastAsia="ＭＳ 明朝" w:hAnsi="Arial" w:cs="Arial"/>
                <w:sz w:val="22"/>
              </w:rPr>
              <w:t>Applicable UL modulation schemes for below 6 GHz and above 24 GHz</w:t>
            </w:r>
          </w:p>
          <w:p w14:paraId="1E1A22AA" w14:textId="77777777" w:rsidR="009758AD" w:rsidRPr="009758AD" w:rsidRDefault="009758AD" w:rsidP="009758AD">
            <w:pPr>
              <w:numPr>
                <w:ilvl w:val="3"/>
                <w:numId w:val="25"/>
              </w:numPr>
              <w:spacing w:after="0"/>
              <w:rPr>
                <w:rFonts w:ascii="Arial" w:eastAsia="ＭＳ 明朝" w:hAnsi="Arial" w:cs="Arial"/>
                <w:sz w:val="22"/>
                <w:highlight w:val="yellow"/>
              </w:rPr>
            </w:pPr>
            <w:r w:rsidRPr="009758AD">
              <w:rPr>
                <w:rFonts w:ascii="Arial" w:eastAsia="ＭＳ 明朝" w:hAnsi="Arial" w:cs="Arial"/>
                <w:sz w:val="22"/>
                <w:highlight w:val="yellow"/>
              </w:rPr>
              <w:t>Power control mechanism including power sharing between LTE and NR in NSA</w:t>
            </w:r>
          </w:p>
          <w:p w14:paraId="704EE2CD" w14:textId="61F84A4E" w:rsidR="009758AD" w:rsidRPr="009758AD" w:rsidRDefault="009758AD" w:rsidP="009758AD">
            <w:pPr>
              <w:numPr>
                <w:ilvl w:val="3"/>
                <w:numId w:val="25"/>
              </w:numPr>
              <w:spacing w:after="0"/>
              <w:rPr>
                <w:rFonts w:ascii="Arial" w:eastAsia="ＭＳ 明朝" w:hAnsi="Arial" w:cs="Arial"/>
                <w:sz w:val="22"/>
              </w:rPr>
            </w:pPr>
            <w:r w:rsidRPr="009758AD">
              <w:rPr>
                <w:rFonts w:ascii="Arial" w:eastAsia="ＭＳ 明朝" w:hAnsi="Arial" w:cs="Arial"/>
                <w:sz w:val="22"/>
              </w:rPr>
              <w:t>Whether LO returning is assumed or not to evaluate MPR</w:t>
            </w:r>
          </w:p>
          <w:p w14:paraId="1D5FB90D" w14:textId="77777777" w:rsidR="009758AD" w:rsidRPr="009758AD" w:rsidRDefault="009758AD" w:rsidP="009758AD">
            <w:pPr>
              <w:numPr>
                <w:ilvl w:val="2"/>
                <w:numId w:val="25"/>
              </w:numPr>
              <w:spacing w:after="0"/>
              <w:rPr>
                <w:rFonts w:ascii="Arial" w:eastAsia="ＭＳ 明朝" w:hAnsi="Arial" w:cs="Arial"/>
                <w:sz w:val="22"/>
              </w:rPr>
            </w:pPr>
            <w:r w:rsidRPr="009758AD">
              <w:rPr>
                <w:rFonts w:ascii="Arial" w:eastAsia="ＭＳ 明朝" w:hAnsi="Arial" w:cs="Arial"/>
                <w:sz w:val="22"/>
              </w:rPr>
              <w:t>RRM</w:t>
            </w:r>
          </w:p>
          <w:p w14:paraId="7C4AF4D2" w14:textId="77777777" w:rsidR="009758AD" w:rsidRPr="009758AD" w:rsidRDefault="009758AD" w:rsidP="009758AD">
            <w:pPr>
              <w:numPr>
                <w:ilvl w:val="3"/>
                <w:numId w:val="25"/>
              </w:numPr>
              <w:spacing w:after="0"/>
              <w:rPr>
                <w:rFonts w:ascii="Arial" w:eastAsia="ＭＳ 明朝" w:hAnsi="Arial" w:cs="Arial"/>
                <w:sz w:val="22"/>
              </w:rPr>
            </w:pPr>
            <w:r w:rsidRPr="009758AD">
              <w:rPr>
                <w:rFonts w:ascii="Arial" w:eastAsia="ＭＳ 明朝" w:hAnsi="Arial" w:cs="Arial"/>
                <w:sz w:val="22"/>
              </w:rPr>
              <w:t>RAN4 needs the parameters related the reference signals to be used for RRM procedures. Based on RAN4 understanding, the parameters related to following would be needed for simulations:</w:t>
            </w:r>
          </w:p>
          <w:p w14:paraId="629F18F8" w14:textId="77777777" w:rsidR="009758AD" w:rsidRPr="009758AD" w:rsidRDefault="009758AD" w:rsidP="009758AD">
            <w:pPr>
              <w:numPr>
                <w:ilvl w:val="4"/>
                <w:numId w:val="25"/>
              </w:numPr>
              <w:spacing w:after="0"/>
              <w:rPr>
                <w:rFonts w:ascii="Arial" w:eastAsia="ＭＳ 明朝" w:hAnsi="Arial" w:cs="Arial"/>
                <w:sz w:val="22"/>
              </w:rPr>
            </w:pPr>
            <w:r w:rsidRPr="009758AD">
              <w:rPr>
                <w:rFonts w:ascii="Arial" w:eastAsia="ＭＳ 明朝" w:hAnsi="Arial" w:cs="Arial"/>
                <w:sz w:val="22"/>
              </w:rPr>
              <w:t>Reference signals to be used for RRM including mobility, radio link monitoring, transmit timing on NR uplink serving cell, and beam management.</w:t>
            </w:r>
          </w:p>
          <w:p w14:paraId="0C8DC587" w14:textId="77777777" w:rsidR="009758AD" w:rsidRPr="009758AD" w:rsidRDefault="009758AD" w:rsidP="009758AD">
            <w:pPr>
              <w:numPr>
                <w:ilvl w:val="4"/>
                <w:numId w:val="25"/>
              </w:numPr>
              <w:spacing w:after="0"/>
              <w:rPr>
                <w:rFonts w:ascii="Arial" w:eastAsia="ＭＳ 明朝" w:hAnsi="Arial" w:cs="Arial"/>
                <w:sz w:val="22"/>
              </w:rPr>
            </w:pPr>
            <w:r w:rsidRPr="009758AD">
              <w:rPr>
                <w:rFonts w:ascii="Arial" w:eastAsia="ＭＳ 明朝" w:hAnsi="Arial" w:cs="Arial"/>
                <w:sz w:val="22"/>
              </w:rPr>
              <w:t>Radio link monitoring associated control channel and/or NR-PDSCH design</w:t>
            </w:r>
          </w:p>
          <w:p w14:paraId="5C2B77A9" w14:textId="77777777" w:rsidR="00536080" w:rsidRDefault="009758AD" w:rsidP="009758AD">
            <w:pPr>
              <w:numPr>
                <w:ilvl w:val="5"/>
                <w:numId w:val="25"/>
              </w:numPr>
              <w:spacing w:after="0"/>
              <w:rPr>
                <w:rFonts w:ascii="Arial" w:eastAsia="ＭＳ 明朝" w:hAnsi="Arial" w:cs="Arial"/>
                <w:sz w:val="22"/>
              </w:rPr>
            </w:pPr>
            <w:r w:rsidRPr="009758AD">
              <w:rPr>
                <w:rFonts w:ascii="Arial" w:eastAsia="ＭＳ 明朝" w:hAnsi="Arial" w:cs="Arial"/>
                <w:sz w:val="22"/>
              </w:rPr>
              <w:t>In LTE case, RLM associated PDCCH. Corresponding NR channel would be required</w:t>
            </w:r>
          </w:p>
          <w:p w14:paraId="3E3476B6" w14:textId="58F83716" w:rsidR="009758AD" w:rsidRPr="009758AD" w:rsidRDefault="009758AD" w:rsidP="009758AD">
            <w:pPr>
              <w:spacing w:after="0"/>
              <w:rPr>
                <w:rFonts w:ascii="Arial" w:eastAsia="ＭＳ 明朝" w:hAnsi="Arial" w:cs="Arial"/>
                <w:sz w:val="22"/>
              </w:rPr>
            </w:pPr>
            <w:r>
              <w:rPr>
                <w:rFonts w:ascii="Arial" w:eastAsia="ＭＳ 明朝" w:hAnsi="Arial" w:cs="Arial"/>
                <w:sz w:val="22"/>
              </w:rPr>
              <w:t>[…]</w:t>
            </w:r>
          </w:p>
        </w:tc>
      </w:tr>
    </w:tbl>
    <w:p w14:paraId="3A4B02A1" w14:textId="3202ACD8"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E3B42">
        <w:rPr>
          <w:rFonts w:eastAsia="ＭＳ 明朝"/>
          <w:sz w:val="22"/>
          <w:lang w:val="en-US"/>
        </w:rPr>
        <w:t xml:space="preserve">propose to </w:t>
      </w:r>
      <w:r w:rsidR="009758AD">
        <w:rPr>
          <w:rFonts w:eastAsia="ＭＳ 明朝"/>
          <w:sz w:val="22"/>
          <w:lang w:val="en-US"/>
        </w:rPr>
        <w:t>support LTE dual connectivity based power sharing between LTE and NR in NSA</w:t>
      </w:r>
      <w:r w:rsidR="008E3B42">
        <w:rPr>
          <w:rFonts w:eastAsia="ＭＳ 明朝"/>
          <w:sz w:val="22"/>
          <w:lang w:val="en-US"/>
        </w:rPr>
        <w:t>.</w:t>
      </w:r>
    </w:p>
    <w:p w14:paraId="2BADA4E0" w14:textId="77777777" w:rsidR="009758AD" w:rsidRPr="00A12F71" w:rsidRDefault="009758AD" w:rsidP="003566E7">
      <w:pPr>
        <w:spacing w:beforeLines="50" w:before="120" w:afterLines="50" w:after="120"/>
        <w:jc w:val="both"/>
        <w:rPr>
          <w:rFonts w:eastAsia="ＭＳ 明朝"/>
          <w:sz w:val="22"/>
          <w:lang w:val="en-US"/>
        </w:rPr>
      </w:pPr>
    </w:p>
    <w:p w14:paraId="26C2A787" w14:textId="65F32E74" w:rsidR="0077086E" w:rsidRPr="00A12F71" w:rsidRDefault="00214023" w:rsidP="00545864">
      <w:pPr>
        <w:pStyle w:val="1"/>
        <w:numPr>
          <w:ilvl w:val="0"/>
          <w:numId w:val="6"/>
        </w:numPr>
        <w:spacing w:after="120"/>
        <w:jc w:val="both"/>
        <w:rPr>
          <w:b/>
          <w:lang w:val="en-US"/>
        </w:rPr>
      </w:pPr>
      <w:r>
        <w:rPr>
          <w:b/>
          <w:lang w:val="en-US"/>
        </w:rPr>
        <w:t>P</w:t>
      </w:r>
      <w:r w:rsidR="00DF6CDD">
        <w:rPr>
          <w:b/>
          <w:lang w:val="en-US"/>
        </w:rPr>
        <w:t>ower sharing between LTE and NR</w:t>
      </w:r>
    </w:p>
    <w:p w14:paraId="50A8E89D" w14:textId="053C7998" w:rsidR="009040B3" w:rsidRDefault="00CB4A3F" w:rsidP="006875BA">
      <w:pPr>
        <w:spacing w:afterLines="50" w:after="120"/>
        <w:jc w:val="both"/>
        <w:rPr>
          <w:rFonts w:eastAsiaTheme="minorEastAsia"/>
          <w:sz w:val="22"/>
          <w:lang w:val="en-US"/>
        </w:rPr>
      </w:pPr>
      <w:r>
        <w:rPr>
          <w:rFonts w:eastAsiaTheme="minorEastAsia"/>
          <w:sz w:val="22"/>
          <w:lang w:val="en-US"/>
        </w:rPr>
        <w:t xml:space="preserve">LTE-NR dual connectivity is an important </w:t>
      </w:r>
      <w:r w:rsidR="009040B3">
        <w:rPr>
          <w:rFonts w:eastAsiaTheme="minorEastAsia"/>
          <w:sz w:val="22"/>
          <w:lang w:val="en-US"/>
        </w:rPr>
        <w:t>part of the scope of Rel. 15 NR WI. For LTE-NR dual connectivity, at the RAN1#88bis meeting, it was agreed that scheduling and HARQ mechanisms and procedures between cell-groups are independent. Therefore, same as for LTE dual connectivity, UE power-control is independent between transmissions across cell-groups.</w:t>
      </w:r>
      <w:r w:rsidR="00873617">
        <w:rPr>
          <w:rFonts w:eastAsiaTheme="minorEastAsia"/>
          <w:sz w:val="22"/>
          <w:lang w:val="en-US"/>
        </w:rPr>
        <w:t xml:space="preserve"> </w:t>
      </w:r>
      <w:r w:rsidR="00EB4559">
        <w:rPr>
          <w:rFonts w:eastAsiaTheme="minorEastAsia"/>
          <w:sz w:val="22"/>
          <w:lang w:val="en-US"/>
        </w:rPr>
        <w:t>In order to mee</w:t>
      </w:r>
      <w:r>
        <w:rPr>
          <w:rFonts w:eastAsiaTheme="minorEastAsia"/>
          <w:sz w:val="22"/>
          <w:lang w:val="en-US"/>
        </w:rPr>
        <w:t xml:space="preserve">t the regulatory requirement, </w:t>
      </w:r>
      <w:r w:rsidR="00EB4559">
        <w:rPr>
          <w:rFonts w:eastAsiaTheme="minorEastAsia"/>
          <w:sz w:val="22"/>
          <w:lang w:val="en-US"/>
        </w:rPr>
        <w:t>UE shall scale the transmit power such that the output power does not exceed the defined value</w:t>
      </w:r>
      <w:r>
        <w:rPr>
          <w:rFonts w:eastAsiaTheme="minorEastAsia"/>
          <w:sz w:val="22"/>
          <w:lang w:val="en-US"/>
        </w:rPr>
        <w:t>, at least for below 6 GHz</w:t>
      </w:r>
      <w:r w:rsidR="00EB4559">
        <w:rPr>
          <w:rFonts w:eastAsiaTheme="minorEastAsia"/>
          <w:sz w:val="22"/>
          <w:lang w:val="en-US"/>
        </w:rPr>
        <w:t>.</w:t>
      </w:r>
      <w:r>
        <w:rPr>
          <w:rFonts w:eastAsiaTheme="minorEastAsia"/>
          <w:sz w:val="22"/>
          <w:lang w:val="en-US"/>
        </w:rPr>
        <w:t xml:space="preserve"> It is not yet clear how regulatory requirements will be made for above 6 GHz.</w:t>
      </w:r>
    </w:p>
    <w:p w14:paraId="492BFA99" w14:textId="485060F1" w:rsidR="00873617" w:rsidRDefault="00873617" w:rsidP="006875BA">
      <w:pPr>
        <w:spacing w:afterLines="50" w:after="120"/>
        <w:jc w:val="both"/>
        <w:rPr>
          <w:rFonts w:eastAsiaTheme="minorEastAsia"/>
          <w:sz w:val="22"/>
          <w:lang w:val="en-US"/>
        </w:rPr>
      </w:pPr>
      <w:r>
        <w:rPr>
          <w:rFonts w:eastAsiaTheme="minorEastAsia"/>
          <w:sz w:val="22"/>
          <w:lang w:val="en-US"/>
        </w:rPr>
        <w:t xml:space="preserve">The simplest way </w:t>
      </w:r>
      <w:r w:rsidR="00EB4559">
        <w:rPr>
          <w:rFonts w:eastAsiaTheme="minorEastAsia"/>
          <w:sz w:val="22"/>
          <w:lang w:val="en-US"/>
        </w:rPr>
        <w:t xml:space="preserve">of power-limited handling </w:t>
      </w:r>
      <w:r>
        <w:rPr>
          <w:rFonts w:eastAsiaTheme="minorEastAsia"/>
          <w:sz w:val="22"/>
          <w:lang w:val="en-US"/>
        </w:rPr>
        <w:t>is to let up to UE implementation</w:t>
      </w:r>
      <w:r w:rsidR="00EB4559">
        <w:rPr>
          <w:rFonts w:eastAsiaTheme="minorEastAsia"/>
          <w:sz w:val="22"/>
          <w:lang w:val="en-US"/>
        </w:rPr>
        <w:t xml:space="preserve"> on how to scale the transmission</w:t>
      </w:r>
      <w:r>
        <w:rPr>
          <w:rFonts w:eastAsiaTheme="minorEastAsia"/>
          <w:sz w:val="22"/>
          <w:lang w:val="en-US"/>
        </w:rPr>
        <w:t xml:space="preserve">. However, this implies that the UE can scale transmit power of important signal, e.g., </w:t>
      </w:r>
      <w:r w:rsidR="00EB4559">
        <w:rPr>
          <w:rFonts w:eastAsiaTheme="minorEastAsia"/>
          <w:sz w:val="22"/>
          <w:lang w:val="en-US"/>
        </w:rPr>
        <w:t xml:space="preserve">UE is allowed to scale transmit power of </w:t>
      </w:r>
      <w:r>
        <w:rPr>
          <w:rFonts w:eastAsiaTheme="minorEastAsia"/>
          <w:sz w:val="22"/>
          <w:lang w:val="en-US"/>
        </w:rPr>
        <w:t>HARQ-ACK feedback on PUCCH</w:t>
      </w:r>
      <w:r w:rsidR="00EB4559">
        <w:rPr>
          <w:rFonts w:eastAsiaTheme="minorEastAsia"/>
          <w:sz w:val="22"/>
          <w:lang w:val="en-US"/>
        </w:rPr>
        <w:t xml:space="preserve"> and to prioritize UL data</w:t>
      </w:r>
      <w:r>
        <w:rPr>
          <w:rFonts w:eastAsiaTheme="minorEastAsia"/>
          <w:sz w:val="22"/>
          <w:lang w:val="en-US"/>
        </w:rPr>
        <w:t>. Specifying certain rules to control pow</w:t>
      </w:r>
      <w:r w:rsidR="00EB4559">
        <w:rPr>
          <w:rFonts w:eastAsiaTheme="minorEastAsia"/>
          <w:sz w:val="22"/>
          <w:lang w:val="en-US"/>
        </w:rPr>
        <w:t>er-limited handling is important</w:t>
      </w:r>
      <w:r>
        <w:rPr>
          <w:rFonts w:eastAsiaTheme="minorEastAsia"/>
          <w:sz w:val="22"/>
          <w:lang w:val="en-US"/>
        </w:rPr>
        <w:t>.</w:t>
      </w:r>
      <w:r w:rsidR="00CB4A3F">
        <w:rPr>
          <w:rFonts w:eastAsiaTheme="minorEastAsia"/>
          <w:sz w:val="22"/>
          <w:lang w:val="en-US"/>
        </w:rPr>
        <w:t xml:space="preserve"> During Rel. 12 specification work, the same discussion has been done, and RAN1 already agreed to specify power sharing for LTE dual connectivity in the RAN1 specifications.</w:t>
      </w:r>
    </w:p>
    <w:p w14:paraId="1B40622C" w14:textId="291BA788" w:rsidR="009040B3" w:rsidRDefault="009040B3" w:rsidP="006875BA">
      <w:pPr>
        <w:spacing w:afterLines="50" w:after="120"/>
        <w:jc w:val="both"/>
        <w:rPr>
          <w:rFonts w:eastAsiaTheme="minorEastAsia"/>
          <w:sz w:val="22"/>
          <w:lang w:val="en-US"/>
        </w:rPr>
      </w:pPr>
      <w:r>
        <w:rPr>
          <w:rFonts w:eastAsiaTheme="minorEastAsia"/>
          <w:sz w:val="22"/>
          <w:lang w:val="en-US"/>
        </w:rPr>
        <w:t xml:space="preserve">During Rel. 12 LTE dual connectivity, it was </w:t>
      </w:r>
      <w:r w:rsidR="00EB4559">
        <w:rPr>
          <w:rFonts w:eastAsiaTheme="minorEastAsia"/>
          <w:sz w:val="22"/>
          <w:lang w:val="en-US"/>
        </w:rPr>
        <w:t>agreed</w:t>
      </w:r>
      <w:r>
        <w:rPr>
          <w:rFonts w:eastAsiaTheme="minorEastAsia"/>
          <w:sz w:val="22"/>
          <w:lang w:val="en-US"/>
        </w:rPr>
        <w:t xml:space="preserve"> to support different power sharing mechanisms for synchronous case and asynchronous case with a certain commonality. For LTE-NR dual connectivity, sim</w:t>
      </w:r>
      <w:r w:rsidR="00EB4559">
        <w:rPr>
          <w:rFonts w:eastAsiaTheme="minorEastAsia"/>
          <w:sz w:val="22"/>
          <w:lang w:val="en-US"/>
        </w:rPr>
        <w:t xml:space="preserve">ilar power sharing mechanism can be considered. Between LTE cell-group and NR cell-group, data transmission durations may be different. Besides, RAN2 already agreed to support asynchronous dual connectivity. Therefore, </w:t>
      </w:r>
      <w:r w:rsidR="00EB4559">
        <w:rPr>
          <w:rFonts w:eastAsiaTheme="minorEastAsia"/>
          <w:sz w:val="22"/>
          <w:lang w:val="en-US"/>
        </w:rPr>
        <w:lastRenderedPageBreak/>
        <w:t xml:space="preserve">RAN1 can start from specifying power control for asynchronous case. Specific optimization for synchronous case can be considered later </w:t>
      </w:r>
      <w:r w:rsidR="00CB4A3F">
        <w:rPr>
          <w:rFonts w:eastAsiaTheme="minorEastAsia"/>
          <w:sz w:val="22"/>
          <w:lang w:val="en-US"/>
        </w:rPr>
        <w:t>once</w:t>
      </w:r>
      <w:r w:rsidR="00EB4559">
        <w:rPr>
          <w:rFonts w:eastAsiaTheme="minorEastAsia"/>
          <w:sz w:val="22"/>
          <w:lang w:val="en-US"/>
        </w:rPr>
        <w:t xml:space="preserve"> actual channel/signal types and UE transmission procedures are further clarified.</w:t>
      </w:r>
    </w:p>
    <w:p w14:paraId="06F99B00" w14:textId="4D8DAAE3" w:rsidR="00EB4559" w:rsidRDefault="00EB4559" w:rsidP="006875BA">
      <w:pPr>
        <w:spacing w:afterLines="50" w:after="120"/>
        <w:jc w:val="both"/>
        <w:rPr>
          <w:rFonts w:eastAsiaTheme="minorEastAsia"/>
          <w:sz w:val="22"/>
          <w:lang w:val="en-US"/>
        </w:rPr>
      </w:pPr>
      <w:r>
        <w:rPr>
          <w:rFonts w:eastAsiaTheme="minorEastAsia" w:hint="eastAsia"/>
          <w:sz w:val="22"/>
          <w:lang w:val="en-US"/>
        </w:rPr>
        <w:t>At Rel.</w:t>
      </w:r>
      <w:r>
        <w:rPr>
          <w:rFonts w:eastAsiaTheme="minorEastAsia"/>
          <w:sz w:val="22"/>
          <w:lang w:val="en-US"/>
        </w:rPr>
        <w:t xml:space="preserve"> 12,</w:t>
      </w:r>
      <w:r>
        <w:rPr>
          <w:rFonts w:eastAsiaTheme="minorEastAsia" w:hint="eastAsia"/>
          <w:sz w:val="22"/>
          <w:lang w:val="en-US"/>
        </w:rPr>
        <w:t xml:space="preserve"> </w:t>
      </w:r>
      <w:r>
        <w:rPr>
          <w:rFonts w:eastAsiaTheme="minorEastAsia"/>
          <w:sz w:val="22"/>
          <w:lang w:val="en-US"/>
        </w:rPr>
        <w:t xml:space="preserve">as a key feature of </w:t>
      </w:r>
      <w:r>
        <w:rPr>
          <w:rFonts w:eastAsiaTheme="minorEastAsia" w:hint="eastAsia"/>
          <w:sz w:val="22"/>
          <w:lang w:val="en-US"/>
        </w:rPr>
        <w:t>power-control</w:t>
      </w:r>
      <w:r>
        <w:rPr>
          <w:rFonts w:eastAsiaTheme="minorEastAsia"/>
          <w:sz w:val="22"/>
          <w:lang w:val="en-US"/>
        </w:rPr>
        <w:t xml:space="preserve"> for asynchronous dual connectivity, guaranteed power was introduced. It is configured by higher-layer for the cell-group, and the UE shall guarantee the transmit power allocation at least up to the guaranteed power. Whether/when/how to allocate the transmit power exceeding the guaranteed power is up to UE implementation. Note that the UE maximum output power shall not be exceed</w:t>
      </w:r>
      <w:r w:rsidR="00CB4A3F">
        <w:rPr>
          <w:rFonts w:eastAsiaTheme="minorEastAsia"/>
          <w:sz w:val="22"/>
          <w:lang w:val="en-US"/>
        </w:rPr>
        <w:t xml:space="preserve"> with any conditions</w:t>
      </w:r>
      <w:r>
        <w:rPr>
          <w:rFonts w:eastAsiaTheme="minorEastAsia"/>
          <w:sz w:val="22"/>
          <w:lang w:val="en-US"/>
        </w:rPr>
        <w:t xml:space="preserve">. </w:t>
      </w:r>
    </w:p>
    <w:p w14:paraId="14040399" w14:textId="61CCEA2F" w:rsidR="00EB4559" w:rsidRDefault="00214023" w:rsidP="006875BA">
      <w:pPr>
        <w:spacing w:afterLines="50" w:after="120"/>
        <w:jc w:val="both"/>
        <w:rPr>
          <w:rFonts w:eastAsiaTheme="minorEastAsia"/>
          <w:sz w:val="22"/>
          <w:lang w:val="en-US"/>
        </w:rPr>
      </w:pPr>
      <w:r>
        <w:rPr>
          <w:rFonts w:eastAsiaTheme="minorEastAsia"/>
          <w:sz w:val="22"/>
          <w:lang w:val="en-US"/>
        </w:rPr>
        <w:t xml:space="preserve">For LTE-NR dual connectivity power-control, the same concept can be applied, no matter whether they are asynchronous, using different subcarrier-spacing, etc. </w:t>
      </w:r>
    </w:p>
    <w:p w14:paraId="0D40EA4A" w14:textId="77777777" w:rsidR="00D9626F" w:rsidRPr="00EB4559" w:rsidRDefault="00D9626F" w:rsidP="006875BA">
      <w:pPr>
        <w:spacing w:afterLines="50" w:after="120"/>
        <w:jc w:val="both"/>
        <w:rPr>
          <w:rFonts w:eastAsiaTheme="minorEastAsia"/>
          <w:sz w:val="22"/>
          <w:lang w:val="en-US"/>
        </w:rPr>
      </w:pPr>
    </w:p>
    <w:p w14:paraId="6F57E943" w14:textId="028C1EBD" w:rsidR="00D9626F" w:rsidRPr="00D9626F" w:rsidRDefault="00D9626F" w:rsidP="006875BA">
      <w:pPr>
        <w:spacing w:afterLines="50" w:after="120"/>
        <w:jc w:val="both"/>
        <w:rPr>
          <w:rFonts w:eastAsiaTheme="minorEastAsia"/>
          <w:b/>
          <w:sz w:val="22"/>
          <w:u w:val="single"/>
          <w:lang w:val="en-US"/>
        </w:rPr>
      </w:pPr>
      <w:r w:rsidRPr="00D9626F">
        <w:rPr>
          <w:rFonts w:eastAsiaTheme="minorEastAsia" w:hint="eastAsia"/>
          <w:b/>
          <w:sz w:val="22"/>
          <w:u w:val="single"/>
          <w:lang w:val="en-US"/>
        </w:rPr>
        <w:t>Proposal 1:</w:t>
      </w:r>
    </w:p>
    <w:p w14:paraId="5483D847" w14:textId="167836C0" w:rsidR="00D9626F" w:rsidRDefault="00D9626F" w:rsidP="00D9626F">
      <w:pPr>
        <w:pStyle w:val="afd"/>
        <w:numPr>
          <w:ilvl w:val="0"/>
          <w:numId w:val="27"/>
        </w:numPr>
        <w:spacing w:afterLines="50" w:after="120"/>
        <w:ind w:leftChars="0"/>
        <w:jc w:val="both"/>
        <w:rPr>
          <w:rFonts w:eastAsiaTheme="minorEastAsia"/>
          <w:i/>
          <w:sz w:val="22"/>
          <w:lang w:val="en-US"/>
        </w:rPr>
      </w:pPr>
      <w:r w:rsidRPr="00D9626F">
        <w:rPr>
          <w:rFonts w:eastAsiaTheme="minorEastAsia" w:hint="eastAsia"/>
          <w:i/>
          <w:sz w:val="22"/>
          <w:lang w:val="en-US"/>
        </w:rPr>
        <w:t xml:space="preserve">Support power sharing mechanism for LTE-NR dual </w:t>
      </w:r>
      <w:r w:rsidRPr="00D9626F">
        <w:rPr>
          <w:rFonts w:eastAsiaTheme="minorEastAsia"/>
          <w:i/>
          <w:sz w:val="22"/>
          <w:lang w:val="en-US"/>
        </w:rPr>
        <w:t>connectivity</w:t>
      </w:r>
      <w:r>
        <w:rPr>
          <w:rFonts w:eastAsiaTheme="minorEastAsia"/>
          <w:i/>
          <w:sz w:val="22"/>
          <w:lang w:val="en-US"/>
        </w:rPr>
        <w:t xml:space="preserve"> by RAN1 specification</w:t>
      </w:r>
      <w:r w:rsidRPr="00D9626F">
        <w:rPr>
          <w:rFonts w:eastAsiaTheme="minorEastAsia" w:hint="eastAsia"/>
          <w:i/>
          <w:sz w:val="22"/>
          <w:lang w:val="en-US"/>
        </w:rPr>
        <w:t>.</w:t>
      </w:r>
    </w:p>
    <w:p w14:paraId="6D9C0A8D" w14:textId="42B3354D" w:rsidR="00D9626F" w:rsidRDefault="00D9626F" w:rsidP="00D9626F">
      <w:pPr>
        <w:pStyle w:val="afd"/>
        <w:numPr>
          <w:ilvl w:val="1"/>
          <w:numId w:val="27"/>
        </w:numPr>
        <w:spacing w:afterLines="50" w:after="120"/>
        <w:ind w:leftChars="0"/>
        <w:jc w:val="both"/>
        <w:rPr>
          <w:rFonts w:eastAsiaTheme="minorEastAsia"/>
          <w:i/>
          <w:sz w:val="22"/>
          <w:lang w:val="en-US"/>
        </w:rPr>
      </w:pPr>
      <w:r>
        <w:rPr>
          <w:rFonts w:eastAsiaTheme="minorEastAsia" w:hint="eastAsia"/>
          <w:i/>
          <w:sz w:val="22"/>
          <w:lang w:val="en-US"/>
        </w:rPr>
        <w:t>At least guaranteed power for each cell-group is supported.</w:t>
      </w:r>
    </w:p>
    <w:p w14:paraId="33099B76" w14:textId="7197F4ED" w:rsidR="00D9626F" w:rsidRPr="00D9626F" w:rsidRDefault="00D9626F" w:rsidP="00D9626F">
      <w:pPr>
        <w:pStyle w:val="afd"/>
        <w:numPr>
          <w:ilvl w:val="1"/>
          <w:numId w:val="27"/>
        </w:numPr>
        <w:spacing w:afterLines="50" w:after="120"/>
        <w:ind w:leftChars="0"/>
        <w:jc w:val="both"/>
        <w:rPr>
          <w:rFonts w:eastAsiaTheme="minorEastAsia"/>
          <w:i/>
          <w:sz w:val="22"/>
          <w:lang w:val="en-US"/>
        </w:rPr>
      </w:pPr>
      <w:r>
        <w:rPr>
          <w:rFonts w:eastAsiaTheme="minorEastAsia"/>
          <w:i/>
          <w:sz w:val="22"/>
          <w:lang w:val="en-US"/>
        </w:rPr>
        <w:t>Further optimization can be considered at later stage if deemed necessary.</w:t>
      </w:r>
    </w:p>
    <w:p w14:paraId="7EFCD23E" w14:textId="45081F90" w:rsidR="00D9626F" w:rsidRDefault="00D9626F" w:rsidP="006875BA">
      <w:pPr>
        <w:spacing w:afterLines="50" w:after="120"/>
        <w:jc w:val="both"/>
        <w:rPr>
          <w:rFonts w:eastAsiaTheme="minorEastAsia"/>
          <w:sz w:val="22"/>
          <w:lang w:val="en-US"/>
        </w:rPr>
      </w:pPr>
    </w:p>
    <w:p w14:paraId="63AFA623" w14:textId="338C6F8F" w:rsidR="00D9626F" w:rsidRPr="00D9626F" w:rsidRDefault="00D9626F" w:rsidP="006875BA">
      <w:pPr>
        <w:spacing w:afterLines="50" w:after="120"/>
        <w:jc w:val="both"/>
        <w:rPr>
          <w:rFonts w:eastAsiaTheme="minorEastAsia"/>
          <w:sz w:val="22"/>
          <w:lang w:val="en-US"/>
        </w:rPr>
      </w:pPr>
      <w:r>
        <w:rPr>
          <w:rFonts w:eastAsiaTheme="minorEastAsia" w:hint="eastAsia"/>
          <w:sz w:val="22"/>
          <w:lang w:val="en-US"/>
        </w:rPr>
        <w:t>RAN4 is waiting for RAN1</w:t>
      </w:r>
      <w:r>
        <w:rPr>
          <w:rFonts w:eastAsiaTheme="minorEastAsia"/>
          <w:sz w:val="22"/>
          <w:lang w:val="en-US"/>
        </w:rPr>
        <w:t xml:space="preserve">’s feedback on power sharing for LTE-NR dual connectivity. From RAN4 RF point of view, the important thing is whether Pcmax is shared by transmissions across LTE and NR. Therefore, RAN1 should inform RAN4 about RAN1’s decision that RAN1 will define </w:t>
      </w:r>
      <w:r w:rsidR="00A2454A">
        <w:rPr>
          <w:rFonts w:eastAsiaTheme="minorEastAsia"/>
          <w:sz w:val="22"/>
          <w:lang w:val="en-US"/>
        </w:rPr>
        <w:t>power sharing mechanism</w:t>
      </w:r>
      <w:r w:rsidR="00CB4A3F">
        <w:rPr>
          <w:rFonts w:eastAsiaTheme="minorEastAsia"/>
          <w:sz w:val="22"/>
          <w:lang w:val="en-US"/>
        </w:rPr>
        <w:t xml:space="preserve"> so that Pcmax is not exceeded</w:t>
      </w:r>
      <w:r w:rsidR="00A2454A">
        <w:rPr>
          <w:rFonts w:eastAsiaTheme="minorEastAsia"/>
          <w:sz w:val="22"/>
          <w:lang w:val="en-US"/>
        </w:rPr>
        <w:t xml:space="preserve">. Note that </w:t>
      </w:r>
      <w:r w:rsidR="00CB4A3F">
        <w:rPr>
          <w:rFonts w:eastAsiaTheme="minorEastAsia"/>
          <w:sz w:val="22"/>
          <w:lang w:val="en-US"/>
        </w:rPr>
        <w:t xml:space="preserve">again, </w:t>
      </w:r>
      <w:r w:rsidR="00A2454A">
        <w:rPr>
          <w:rFonts w:eastAsiaTheme="minorEastAsia"/>
          <w:sz w:val="22"/>
          <w:lang w:val="en-US"/>
        </w:rPr>
        <w:t>in some specific band combinations</w:t>
      </w:r>
      <w:r w:rsidR="00CB4A3F">
        <w:rPr>
          <w:rFonts w:eastAsiaTheme="minorEastAsia"/>
          <w:sz w:val="22"/>
          <w:lang w:val="en-US"/>
        </w:rPr>
        <w:t xml:space="preserve"> (e.g., mmwave)</w:t>
      </w:r>
      <w:r w:rsidR="00A2454A">
        <w:rPr>
          <w:rFonts w:eastAsiaTheme="minorEastAsia"/>
          <w:sz w:val="22"/>
          <w:lang w:val="en-US"/>
        </w:rPr>
        <w:t>, power sharing may not be necessary; it is up to regulatory requirements. However, RAN1 specification is frequency-band agnostic and hence it is up to RAN4 how</w:t>
      </w:r>
      <w:r w:rsidR="00CB4A3F">
        <w:rPr>
          <w:rFonts w:eastAsiaTheme="minorEastAsia"/>
          <w:sz w:val="22"/>
          <w:lang w:val="en-US"/>
        </w:rPr>
        <w:t>/whether</w:t>
      </w:r>
      <w:r w:rsidR="00A2454A">
        <w:rPr>
          <w:rFonts w:eastAsiaTheme="minorEastAsia"/>
          <w:sz w:val="22"/>
          <w:lang w:val="en-US"/>
        </w:rPr>
        <w:t xml:space="preserve"> to </w:t>
      </w:r>
      <w:r w:rsidR="00CB4A3F">
        <w:rPr>
          <w:rFonts w:eastAsiaTheme="minorEastAsia"/>
          <w:sz w:val="22"/>
          <w:lang w:val="en-US"/>
        </w:rPr>
        <w:t>limit</w:t>
      </w:r>
      <w:r w:rsidR="00A2454A">
        <w:rPr>
          <w:rFonts w:eastAsiaTheme="minorEastAsia"/>
          <w:sz w:val="22"/>
          <w:lang w:val="en-US"/>
        </w:rPr>
        <w:t xml:space="preserve"> the power sharing </w:t>
      </w:r>
      <w:r w:rsidR="00CB4A3F">
        <w:rPr>
          <w:rFonts w:eastAsiaTheme="minorEastAsia"/>
          <w:sz w:val="22"/>
          <w:lang w:val="en-US"/>
        </w:rPr>
        <w:t>for</w:t>
      </w:r>
      <w:r w:rsidR="00A2454A">
        <w:rPr>
          <w:rFonts w:eastAsiaTheme="minorEastAsia"/>
          <w:sz w:val="22"/>
          <w:lang w:val="en-US"/>
        </w:rPr>
        <w:t xml:space="preserve"> specific band combinations.</w:t>
      </w:r>
    </w:p>
    <w:p w14:paraId="7B24B80B" w14:textId="3A90CC79" w:rsidR="00F029C9" w:rsidRDefault="00F029C9" w:rsidP="00442A96">
      <w:pPr>
        <w:spacing w:afterLines="50" w:after="120"/>
        <w:jc w:val="both"/>
        <w:rPr>
          <w:rFonts w:eastAsia="ＭＳ 明朝"/>
          <w:sz w:val="22"/>
          <w:szCs w:val="22"/>
          <w:lang w:val="en-US"/>
        </w:rPr>
      </w:pPr>
    </w:p>
    <w:p w14:paraId="4E2A111A" w14:textId="627BF96C" w:rsidR="00CB4A3F" w:rsidRPr="00D9626F" w:rsidRDefault="00CB4A3F" w:rsidP="00CB4A3F">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D9626F">
        <w:rPr>
          <w:rFonts w:eastAsiaTheme="minorEastAsia" w:hint="eastAsia"/>
          <w:b/>
          <w:sz w:val="22"/>
          <w:u w:val="single"/>
          <w:lang w:val="en-US"/>
        </w:rPr>
        <w:t>:</w:t>
      </w:r>
    </w:p>
    <w:p w14:paraId="3EDF035D" w14:textId="50CDD6B0" w:rsidR="00CB4A3F" w:rsidRDefault="00CB4A3F" w:rsidP="00CB4A3F">
      <w:pPr>
        <w:pStyle w:val="afd"/>
        <w:numPr>
          <w:ilvl w:val="0"/>
          <w:numId w:val="27"/>
        </w:numPr>
        <w:spacing w:afterLines="50" w:after="120"/>
        <w:ind w:leftChars="0"/>
        <w:jc w:val="both"/>
        <w:rPr>
          <w:rFonts w:eastAsiaTheme="minorEastAsia"/>
          <w:i/>
          <w:sz w:val="22"/>
          <w:lang w:val="en-US"/>
        </w:rPr>
      </w:pPr>
      <w:r>
        <w:rPr>
          <w:rFonts w:eastAsiaTheme="minorEastAsia"/>
          <w:i/>
          <w:sz w:val="22"/>
          <w:lang w:val="en-US"/>
        </w:rPr>
        <w:t>Send a LS reply to RAN4 to inform that RAN1 will specify power sharing mechanism for transmissions across LTE and NR carriers.</w:t>
      </w:r>
    </w:p>
    <w:p w14:paraId="600122D0" w14:textId="77777777" w:rsidR="00CB4A3F" w:rsidRPr="00CB4A3F" w:rsidRDefault="00CB4A3F" w:rsidP="00442A96">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567CE515" w:rsidR="00E55B65" w:rsidRDefault="00A2454A" w:rsidP="00D5166A">
      <w:pPr>
        <w:spacing w:after="120"/>
        <w:jc w:val="both"/>
        <w:rPr>
          <w:sz w:val="22"/>
          <w:szCs w:val="22"/>
          <w:lang w:val="en-US"/>
        </w:rPr>
      </w:pPr>
      <w:r>
        <w:rPr>
          <w:rFonts w:hint="eastAsia"/>
          <w:sz w:val="22"/>
          <w:szCs w:val="22"/>
          <w:lang w:val="en-US"/>
        </w:rPr>
        <w:t>In this contribution</w:t>
      </w:r>
      <w:r>
        <w:rPr>
          <w:sz w:val="22"/>
          <w:szCs w:val="22"/>
          <w:lang w:val="en-US"/>
        </w:rPr>
        <w:t>,</w:t>
      </w:r>
      <w:r>
        <w:rPr>
          <w:rFonts w:hint="eastAsia"/>
          <w:sz w:val="22"/>
          <w:szCs w:val="22"/>
          <w:lang w:val="en-US"/>
        </w:rPr>
        <w:t xml:space="preserve"> we discussed the power control for LTE-NR dual connectivity and proposed following:</w:t>
      </w:r>
    </w:p>
    <w:p w14:paraId="6BCE78B4" w14:textId="77777777" w:rsidR="00A2454A" w:rsidRPr="00D9626F" w:rsidRDefault="00A2454A" w:rsidP="00A2454A">
      <w:pPr>
        <w:spacing w:afterLines="50" w:after="120"/>
        <w:jc w:val="both"/>
        <w:rPr>
          <w:rFonts w:eastAsiaTheme="minorEastAsia"/>
          <w:b/>
          <w:sz w:val="22"/>
          <w:u w:val="single"/>
          <w:lang w:val="en-US"/>
        </w:rPr>
      </w:pPr>
      <w:r w:rsidRPr="00D9626F">
        <w:rPr>
          <w:rFonts w:eastAsiaTheme="minorEastAsia" w:hint="eastAsia"/>
          <w:b/>
          <w:sz w:val="22"/>
          <w:u w:val="single"/>
          <w:lang w:val="en-US"/>
        </w:rPr>
        <w:t>Proposal 1:</w:t>
      </w:r>
    </w:p>
    <w:p w14:paraId="6AF977E4" w14:textId="77777777" w:rsidR="00A2454A" w:rsidRDefault="00A2454A" w:rsidP="00A2454A">
      <w:pPr>
        <w:pStyle w:val="afd"/>
        <w:numPr>
          <w:ilvl w:val="0"/>
          <w:numId w:val="27"/>
        </w:numPr>
        <w:spacing w:afterLines="50" w:after="120"/>
        <w:ind w:leftChars="0"/>
        <w:jc w:val="both"/>
        <w:rPr>
          <w:rFonts w:eastAsiaTheme="minorEastAsia"/>
          <w:i/>
          <w:sz w:val="22"/>
          <w:lang w:val="en-US"/>
        </w:rPr>
      </w:pPr>
      <w:r w:rsidRPr="00D9626F">
        <w:rPr>
          <w:rFonts w:eastAsiaTheme="minorEastAsia" w:hint="eastAsia"/>
          <w:i/>
          <w:sz w:val="22"/>
          <w:lang w:val="en-US"/>
        </w:rPr>
        <w:t xml:space="preserve">Support power sharing mechanism for LTE-NR dual </w:t>
      </w:r>
      <w:r w:rsidRPr="00D9626F">
        <w:rPr>
          <w:rFonts w:eastAsiaTheme="minorEastAsia"/>
          <w:i/>
          <w:sz w:val="22"/>
          <w:lang w:val="en-US"/>
        </w:rPr>
        <w:t>connectivity</w:t>
      </w:r>
      <w:r>
        <w:rPr>
          <w:rFonts w:eastAsiaTheme="minorEastAsia"/>
          <w:i/>
          <w:sz w:val="22"/>
          <w:lang w:val="en-US"/>
        </w:rPr>
        <w:t xml:space="preserve"> by RAN1 specification</w:t>
      </w:r>
      <w:r w:rsidRPr="00D9626F">
        <w:rPr>
          <w:rFonts w:eastAsiaTheme="minorEastAsia" w:hint="eastAsia"/>
          <w:i/>
          <w:sz w:val="22"/>
          <w:lang w:val="en-US"/>
        </w:rPr>
        <w:t>.</w:t>
      </w:r>
    </w:p>
    <w:p w14:paraId="7F79523F" w14:textId="77777777" w:rsidR="00A2454A" w:rsidRDefault="00A2454A" w:rsidP="00A2454A">
      <w:pPr>
        <w:pStyle w:val="afd"/>
        <w:numPr>
          <w:ilvl w:val="1"/>
          <w:numId w:val="27"/>
        </w:numPr>
        <w:spacing w:afterLines="50" w:after="120"/>
        <w:ind w:leftChars="0"/>
        <w:jc w:val="both"/>
        <w:rPr>
          <w:rFonts w:eastAsiaTheme="minorEastAsia"/>
          <w:i/>
          <w:sz w:val="22"/>
          <w:lang w:val="en-US"/>
        </w:rPr>
      </w:pPr>
      <w:r>
        <w:rPr>
          <w:rFonts w:eastAsiaTheme="minorEastAsia" w:hint="eastAsia"/>
          <w:i/>
          <w:sz w:val="22"/>
          <w:lang w:val="en-US"/>
        </w:rPr>
        <w:t>At least guaranteed power for each cell-group is supported.</w:t>
      </w:r>
    </w:p>
    <w:p w14:paraId="6C5534CB" w14:textId="77777777" w:rsidR="00A2454A" w:rsidRPr="00D9626F" w:rsidRDefault="00A2454A" w:rsidP="00A2454A">
      <w:pPr>
        <w:pStyle w:val="afd"/>
        <w:numPr>
          <w:ilvl w:val="1"/>
          <w:numId w:val="27"/>
        </w:numPr>
        <w:spacing w:afterLines="50" w:after="120"/>
        <w:ind w:leftChars="0"/>
        <w:jc w:val="both"/>
        <w:rPr>
          <w:rFonts w:eastAsiaTheme="minorEastAsia"/>
          <w:i/>
          <w:sz w:val="22"/>
          <w:lang w:val="en-US"/>
        </w:rPr>
      </w:pPr>
      <w:r>
        <w:rPr>
          <w:rFonts w:eastAsiaTheme="minorEastAsia"/>
          <w:i/>
          <w:sz w:val="22"/>
          <w:lang w:val="en-US"/>
        </w:rPr>
        <w:t>Further optimization can be considered at later stage if deemed necessary.</w:t>
      </w:r>
    </w:p>
    <w:p w14:paraId="6B9D677E" w14:textId="77777777" w:rsidR="00CB4A3F" w:rsidRPr="00D9626F" w:rsidRDefault="00CB4A3F" w:rsidP="00CB4A3F">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D9626F">
        <w:rPr>
          <w:rFonts w:eastAsiaTheme="minorEastAsia" w:hint="eastAsia"/>
          <w:b/>
          <w:sz w:val="22"/>
          <w:u w:val="single"/>
          <w:lang w:val="en-US"/>
        </w:rPr>
        <w:t>:</w:t>
      </w:r>
    </w:p>
    <w:p w14:paraId="10984317" w14:textId="77777777" w:rsidR="00CB4A3F" w:rsidRDefault="00CB4A3F" w:rsidP="00CB4A3F">
      <w:pPr>
        <w:pStyle w:val="afd"/>
        <w:numPr>
          <w:ilvl w:val="0"/>
          <w:numId w:val="27"/>
        </w:numPr>
        <w:spacing w:afterLines="50" w:after="120"/>
        <w:ind w:leftChars="0"/>
        <w:jc w:val="both"/>
        <w:rPr>
          <w:rFonts w:eastAsiaTheme="minorEastAsia"/>
          <w:i/>
          <w:sz w:val="22"/>
          <w:lang w:val="en-US"/>
        </w:rPr>
      </w:pPr>
      <w:r>
        <w:rPr>
          <w:rFonts w:eastAsiaTheme="minorEastAsia"/>
          <w:i/>
          <w:sz w:val="22"/>
          <w:lang w:val="en-US"/>
        </w:rPr>
        <w:t>Send a LS reply to RAN4 to inform that RAN1 will specify power sharing mechanism for transmissions across LTE and NR carriers.</w:t>
      </w:r>
    </w:p>
    <w:p w14:paraId="1FE5B015" w14:textId="77777777" w:rsidR="00A2454A" w:rsidRPr="00CB4A3F" w:rsidRDefault="00A2454A" w:rsidP="00D5166A">
      <w:pPr>
        <w:spacing w:after="120"/>
        <w:jc w:val="both"/>
        <w:rPr>
          <w:sz w:val="22"/>
          <w:szCs w:val="22"/>
          <w:lang w:val="en-US"/>
        </w:rPr>
      </w:pPr>
    </w:p>
    <w:p w14:paraId="5258490A" w14:textId="5A84FE87" w:rsidR="00D5166A" w:rsidRPr="00A2454A" w:rsidRDefault="00D5166A" w:rsidP="00D5166A">
      <w:pPr>
        <w:pStyle w:val="1"/>
        <w:spacing w:after="120"/>
        <w:jc w:val="both"/>
        <w:rPr>
          <w:b/>
          <w:lang w:val="en-US"/>
        </w:rPr>
      </w:pPr>
      <w:r w:rsidRPr="00A12F71">
        <w:rPr>
          <w:b/>
          <w:lang w:val="en-US"/>
        </w:rPr>
        <w:t>References</w:t>
      </w:r>
    </w:p>
    <w:p w14:paraId="399A9B26" w14:textId="5C953284" w:rsidR="00E43F35" w:rsidRPr="00A2454A" w:rsidRDefault="00A2454A" w:rsidP="00A2454A">
      <w:pPr>
        <w:widowControl w:val="0"/>
        <w:numPr>
          <w:ilvl w:val="0"/>
          <w:numId w:val="4"/>
        </w:numPr>
        <w:spacing w:afterLines="50" w:after="120"/>
        <w:jc w:val="both"/>
        <w:rPr>
          <w:rFonts w:eastAsia="ＭＳ 明朝"/>
          <w:sz w:val="22"/>
          <w:lang w:val="en-US"/>
        </w:rPr>
      </w:pPr>
      <w:r w:rsidRPr="00A2454A">
        <w:rPr>
          <w:rFonts w:eastAsia="ＭＳ 明朝" w:hint="eastAsia"/>
          <w:sz w:val="22"/>
          <w:lang w:val="en-US"/>
        </w:rPr>
        <w:t>R1-17</w:t>
      </w:r>
      <w:r w:rsidRPr="00A2454A">
        <w:rPr>
          <w:rFonts w:eastAsia="ＭＳ 明朝"/>
          <w:sz w:val="22"/>
          <w:lang w:val="en-US"/>
        </w:rPr>
        <w:t xml:space="preserve">06874, </w:t>
      </w:r>
      <w:r>
        <w:rPr>
          <w:rFonts w:eastAsia="ＭＳ 明朝"/>
          <w:sz w:val="22"/>
          <w:lang w:val="en-US"/>
        </w:rPr>
        <w:t>‘</w:t>
      </w:r>
      <w:r w:rsidRPr="00A2454A">
        <w:rPr>
          <w:rFonts w:eastAsia="ＭＳ 明朝"/>
          <w:sz w:val="22"/>
          <w:lang w:val="en-US"/>
        </w:rPr>
        <w:t>LS on required NR parameters from RAN4 perspective</w:t>
      </w:r>
      <w:r>
        <w:rPr>
          <w:rFonts w:eastAsia="ＭＳ 明朝"/>
          <w:sz w:val="22"/>
          <w:lang w:val="en-US"/>
        </w:rPr>
        <w:t>,’ RAN4.</w:t>
      </w:r>
    </w:p>
    <w:sectPr w:rsidR="00E43F35" w:rsidRPr="00A2454A" w:rsidSect="00040A9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3E11" w14:textId="77777777" w:rsidR="00C00C6C" w:rsidRDefault="00C00C6C">
      <w:r>
        <w:separator/>
      </w:r>
    </w:p>
  </w:endnote>
  <w:endnote w:type="continuationSeparator" w:id="0">
    <w:p w14:paraId="6B411386" w14:textId="77777777" w:rsidR="00C00C6C" w:rsidRDefault="00C00C6C">
      <w:r>
        <w:continuationSeparator/>
      </w:r>
    </w:p>
  </w:endnote>
  <w:endnote w:type="continuationNotice" w:id="1">
    <w:p w14:paraId="4844F895" w14:textId="77777777" w:rsidR="00C00C6C" w:rsidRDefault="00C00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3F75A105"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52754">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52754">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A14F3" w14:textId="77777777" w:rsidR="00C00C6C" w:rsidRDefault="00C00C6C">
      <w:r>
        <w:separator/>
      </w:r>
    </w:p>
  </w:footnote>
  <w:footnote w:type="continuationSeparator" w:id="0">
    <w:p w14:paraId="7BB366AA" w14:textId="77777777" w:rsidR="00C00C6C" w:rsidRDefault="00C00C6C">
      <w:r>
        <w:continuationSeparator/>
      </w:r>
    </w:p>
  </w:footnote>
  <w:footnote w:type="continuationNotice" w:id="1">
    <w:p w14:paraId="58900E07" w14:textId="77777777" w:rsidR="00C00C6C" w:rsidRDefault="00C00C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35694B"/>
    <w:multiLevelType w:val="hybridMultilevel"/>
    <w:tmpl w:val="5E2082F8"/>
    <w:lvl w:ilvl="0" w:tplc="FEB623EA">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D539EE"/>
    <w:multiLevelType w:val="hybridMultilevel"/>
    <w:tmpl w:val="4B2C3D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7"/>
  </w:num>
  <w:num w:numId="4">
    <w:abstractNumId w:val="4"/>
  </w:num>
  <w:num w:numId="5">
    <w:abstractNumId w:val="25"/>
  </w:num>
  <w:num w:numId="6">
    <w:abstractNumId w:val="18"/>
  </w:num>
  <w:num w:numId="7">
    <w:abstractNumId w:val="13"/>
  </w:num>
  <w:num w:numId="8">
    <w:abstractNumId w:val="22"/>
  </w:num>
  <w:num w:numId="9">
    <w:abstractNumId w:val="10"/>
  </w:num>
  <w:num w:numId="10">
    <w:abstractNumId w:val="8"/>
  </w:num>
  <w:num w:numId="11">
    <w:abstractNumId w:val="5"/>
  </w:num>
  <w:num w:numId="12">
    <w:abstractNumId w:val="15"/>
  </w:num>
  <w:num w:numId="13">
    <w:abstractNumId w:val="12"/>
  </w:num>
  <w:num w:numId="14">
    <w:abstractNumId w:val="11"/>
  </w:num>
  <w:num w:numId="15">
    <w:abstractNumId w:val="2"/>
  </w:num>
  <w:num w:numId="16">
    <w:abstractNumId w:val="14"/>
  </w:num>
  <w:num w:numId="17">
    <w:abstractNumId w:val="23"/>
  </w:num>
  <w:num w:numId="18">
    <w:abstractNumId w:val="19"/>
  </w:num>
  <w:num w:numId="19">
    <w:abstractNumId w:val="6"/>
  </w:num>
  <w:num w:numId="20">
    <w:abstractNumId w:val="17"/>
  </w:num>
  <w:num w:numId="21">
    <w:abstractNumId w:val="9"/>
  </w:num>
  <w:num w:numId="22">
    <w:abstractNumId w:val="21"/>
  </w:num>
  <w:num w:numId="23">
    <w:abstractNumId w:val="1"/>
  </w:num>
  <w:num w:numId="24">
    <w:abstractNumId w:val="16"/>
  </w:num>
  <w:num w:numId="25">
    <w:abstractNumId w:val="3"/>
  </w:num>
  <w:num w:numId="26">
    <w:abstractNumId w:val="3"/>
  </w:num>
  <w:num w:numId="2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195"/>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023"/>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6EE"/>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17"/>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55"/>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0B3"/>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8AD"/>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4A"/>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6C"/>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6F97"/>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A3F"/>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26F"/>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6CDD"/>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754"/>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C1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59"/>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F7221169-03A2-49E9-B0C7-AA7EFAFE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13861">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508486">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088822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18652-639B-42B7-8125-FD321E03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813</Words>
  <Characters>4637</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2017-05-05T14:19:00Z</dcterms:created>
  <dcterms:modified xsi:type="dcterms:W3CDTF">2017-05-05T14:19:00Z</dcterms:modified>
</cp:coreProperties>
</file>