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14845" w14:textId="683BB0BA" w:rsidR="000A0A9C" w:rsidRPr="006C4B73" w:rsidRDefault="000A0A9C" w:rsidP="000A0A9C">
      <w:pPr>
        <w:pStyle w:val="a7"/>
        <w:rPr>
          <w:sz w:val="24"/>
          <w:lang w:val="en-US" w:eastAsia="ja-JP"/>
        </w:rPr>
      </w:pPr>
      <w:bookmarkStart w:id="0" w:name="OLE_LINK3"/>
      <w:r>
        <w:rPr>
          <w:sz w:val="24"/>
          <w:lang w:val="en-US"/>
        </w:rPr>
        <w:t>3GPP TSG RAN WG1 Meeting #8</w:t>
      </w:r>
      <w:r w:rsidR="0059189B">
        <w:rPr>
          <w:sz w:val="24"/>
          <w:lang w:val="en-US"/>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96003F">
        <w:rPr>
          <w:sz w:val="24"/>
          <w:lang w:val="en-US"/>
        </w:rPr>
        <w:t>R1-17</w:t>
      </w:r>
      <w:r w:rsidR="006218CE" w:rsidRPr="006218CE">
        <w:rPr>
          <w:sz w:val="24"/>
          <w:lang w:val="en-US"/>
        </w:rPr>
        <w:t>08485</w:t>
      </w:r>
    </w:p>
    <w:p w14:paraId="33DE6DF6" w14:textId="05579CEB" w:rsidR="000A0A9C" w:rsidRDefault="0059189B" w:rsidP="000A0A9C">
      <w:pPr>
        <w:pStyle w:val="a7"/>
        <w:rPr>
          <w:sz w:val="24"/>
          <w:lang w:val="en-US"/>
        </w:rPr>
      </w:pPr>
      <w:r>
        <w:rPr>
          <w:sz w:val="24"/>
          <w:lang w:val="en-US"/>
        </w:rPr>
        <w:t>Hangzho</w:t>
      </w:r>
      <w:r w:rsidR="000E56C0">
        <w:rPr>
          <w:rFonts w:hint="eastAsia"/>
          <w:sz w:val="24"/>
          <w:lang w:val="en-US" w:eastAsia="ja-JP"/>
        </w:rPr>
        <w:t>u</w:t>
      </w:r>
      <w:r>
        <w:rPr>
          <w:sz w:val="24"/>
          <w:lang w:val="en-US"/>
        </w:rPr>
        <w:t>, P.R. China</w:t>
      </w:r>
      <w:r w:rsidR="000A0A9C" w:rsidRPr="00A3686A">
        <w:rPr>
          <w:sz w:val="24"/>
          <w:lang w:val="en-US"/>
        </w:rPr>
        <w:t xml:space="preserve"> </w:t>
      </w:r>
      <w:r>
        <w:rPr>
          <w:sz w:val="24"/>
          <w:lang w:val="en-US"/>
        </w:rPr>
        <w:t>15th - 19</w:t>
      </w:r>
      <w:r w:rsidR="000A0A9C" w:rsidRPr="00A3686A">
        <w:rPr>
          <w:sz w:val="24"/>
          <w:lang w:val="en-US"/>
        </w:rPr>
        <w:t xml:space="preserve">th </w:t>
      </w:r>
      <w:r>
        <w:rPr>
          <w:sz w:val="24"/>
          <w:lang w:val="en-US"/>
        </w:rPr>
        <w:t>May</w:t>
      </w:r>
      <w:r w:rsidR="000A0A9C" w:rsidRPr="00A3686A">
        <w:rPr>
          <w:sz w:val="24"/>
          <w:lang w:val="en-US"/>
        </w:rPr>
        <w:t xml:space="preserve"> 2017</w:t>
      </w:r>
    </w:p>
    <w:p w14:paraId="097926AE" w14:textId="77777777" w:rsidR="002123E7" w:rsidRPr="0059189B"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0247C7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59189B">
        <w:rPr>
          <w:sz w:val="24"/>
          <w:lang w:val="en-US" w:eastAsia="ja-JP"/>
        </w:rPr>
        <w:t>M</w:t>
      </w:r>
      <w:r w:rsidR="005250D1">
        <w:rPr>
          <w:sz w:val="24"/>
          <w:lang w:val="en-US"/>
        </w:rPr>
        <w:t xml:space="preserve">ultiplexing </w:t>
      </w:r>
      <w:r w:rsidR="0059189B">
        <w:rPr>
          <w:sz w:val="24"/>
          <w:lang w:val="en-US"/>
        </w:rPr>
        <w:t xml:space="preserve">of different data durations </w:t>
      </w:r>
      <w:r w:rsidR="005250D1">
        <w:rPr>
          <w:sz w:val="24"/>
          <w:lang w:val="en-US"/>
        </w:rPr>
        <w:t xml:space="preserve">for </w:t>
      </w:r>
      <w:r w:rsidR="000E7458">
        <w:rPr>
          <w:sz w:val="24"/>
          <w:lang w:val="en-US"/>
        </w:rPr>
        <w:t>downlink</w:t>
      </w:r>
    </w:p>
    <w:bookmarkEnd w:id="1"/>
    <w:bookmarkEnd w:id="2"/>
    <w:bookmarkEnd w:id="3"/>
    <w:bookmarkEnd w:id="4"/>
    <w:p w14:paraId="02FF14B3" w14:textId="5416416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59189B">
        <w:rPr>
          <w:sz w:val="24"/>
          <w:lang w:val="en-US" w:eastAsia="ja-JP"/>
        </w:rPr>
        <w:t>7</w:t>
      </w:r>
      <w:r w:rsidR="00623BA4">
        <w:rPr>
          <w:sz w:val="24"/>
          <w:lang w:val="en-US" w:eastAsia="ja-JP"/>
        </w:rPr>
        <w:t>.1.3.</w:t>
      </w:r>
      <w:r w:rsidR="000A0A9C">
        <w:rPr>
          <w:rFonts w:hint="eastAsia"/>
          <w:sz w:val="24"/>
          <w:lang w:val="en-US" w:eastAsia="ja-JP"/>
        </w:rPr>
        <w:t>3.6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6B6C7DFE" w:rsidR="005250D1" w:rsidRPr="007307E6" w:rsidRDefault="00876BA5" w:rsidP="006537B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5250D1">
        <w:rPr>
          <w:rFonts w:eastAsia="ＭＳ 明朝"/>
          <w:sz w:val="22"/>
          <w:lang w:val="en-US"/>
        </w:rPr>
        <w:t xml:space="preserve">we discuss </w:t>
      </w:r>
      <w:r w:rsidR="0059189B">
        <w:rPr>
          <w:rFonts w:eastAsia="ＭＳ 明朝"/>
          <w:sz w:val="22"/>
          <w:lang w:val="en-US"/>
        </w:rPr>
        <w:t>multiplexing of different data durations f</w:t>
      </w:r>
      <w:r w:rsidR="005250D1">
        <w:rPr>
          <w:rFonts w:eastAsia="ＭＳ 明朝"/>
          <w:sz w:val="22"/>
          <w:lang w:val="en-US"/>
        </w:rPr>
        <w:t xml:space="preserve">or </w:t>
      </w:r>
      <w:r w:rsidR="000E7458">
        <w:rPr>
          <w:rFonts w:eastAsia="ＭＳ 明朝"/>
          <w:sz w:val="22"/>
          <w:lang w:val="en-US"/>
        </w:rPr>
        <w:t>downlink</w:t>
      </w:r>
      <w:r w:rsidR="00AB5D7A">
        <w:rPr>
          <w:rFonts w:eastAsia="ＭＳ 明朝"/>
          <w:sz w:val="22"/>
          <w:lang w:val="en-US"/>
        </w:rPr>
        <w:t>.</w:t>
      </w:r>
    </w:p>
    <w:p w14:paraId="0FA8B3BB" w14:textId="09D93B60" w:rsidR="005250D1" w:rsidRDefault="0059189B" w:rsidP="005250D1">
      <w:pPr>
        <w:pStyle w:val="1"/>
        <w:numPr>
          <w:ilvl w:val="0"/>
          <w:numId w:val="6"/>
        </w:numPr>
        <w:spacing w:after="120"/>
        <w:jc w:val="both"/>
        <w:rPr>
          <w:rFonts w:eastAsia="DengXian"/>
          <w:b/>
          <w:lang w:val="en-US" w:eastAsia="zh-CN"/>
        </w:rPr>
      </w:pPr>
      <w:r>
        <w:rPr>
          <w:rFonts w:eastAsia="DengXian"/>
          <w:b/>
          <w:lang w:val="en-US" w:eastAsia="zh-CN"/>
        </w:rPr>
        <w:t>Multiplexing of different data durations</w:t>
      </w:r>
      <w:r w:rsidR="000E56C0">
        <w:rPr>
          <w:rFonts w:eastAsia="DengXian"/>
          <w:b/>
          <w:lang w:val="en-US" w:eastAsia="zh-CN"/>
        </w:rPr>
        <w:t xml:space="preserve"> for </w:t>
      </w:r>
      <w:r w:rsidR="000E7458">
        <w:rPr>
          <w:rFonts w:eastAsia="DengXian"/>
          <w:b/>
          <w:lang w:val="en-US" w:eastAsia="zh-CN"/>
        </w:rPr>
        <w:t>downlink</w:t>
      </w:r>
    </w:p>
    <w:p w14:paraId="4A30D859" w14:textId="74FD66E5" w:rsidR="007558CC" w:rsidRDefault="007558CC" w:rsidP="007558CC">
      <w:pPr>
        <w:spacing w:afterLines="50" w:after="120"/>
        <w:jc w:val="both"/>
        <w:rPr>
          <w:rFonts w:eastAsia="ＭＳ 明朝"/>
          <w:sz w:val="22"/>
          <w:lang w:val="en-US"/>
        </w:rPr>
      </w:pPr>
      <w:r>
        <w:rPr>
          <w:rFonts w:eastAsia="ＭＳ 明朝" w:hint="eastAsia"/>
          <w:sz w:val="22"/>
          <w:lang w:val="en-US"/>
        </w:rPr>
        <w:t xml:space="preserve">Shorter data transmission duration is promising to satisfy low latency requirement </w:t>
      </w:r>
      <w:r>
        <w:rPr>
          <w:rFonts w:eastAsia="ＭＳ 明朝"/>
          <w:sz w:val="22"/>
          <w:lang w:val="en-US"/>
        </w:rPr>
        <w:t xml:space="preserve">for </w:t>
      </w:r>
      <w:r>
        <w:rPr>
          <w:rFonts w:eastAsia="ＭＳ 明朝" w:hint="eastAsia"/>
          <w:sz w:val="22"/>
          <w:lang w:val="en-US"/>
        </w:rPr>
        <w:t xml:space="preserve">URLLC and/or </w:t>
      </w:r>
      <w:proofErr w:type="spellStart"/>
      <w:r>
        <w:rPr>
          <w:rFonts w:eastAsia="ＭＳ 明朝" w:hint="eastAsia"/>
          <w:sz w:val="22"/>
          <w:lang w:val="en-US"/>
        </w:rPr>
        <w:t>eMBB</w:t>
      </w:r>
      <w:proofErr w:type="spellEnd"/>
      <w:r>
        <w:rPr>
          <w:rFonts w:eastAsia="ＭＳ 明朝" w:hint="eastAsia"/>
          <w:sz w:val="22"/>
          <w:lang w:val="en-US"/>
        </w:rPr>
        <w:t xml:space="preserve"> low </w:t>
      </w:r>
      <w:r>
        <w:rPr>
          <w:rFonts w:eastAsia="ＭＳ 明朝"/>
          <w:sz w:val="22"/>
          <w:lang w:val="en-US"/>
        </w:rPr>
        <w:t>latency</w:t>
      </w:r>
      <w:r>
        <w:rPr>
          <w:rFonts w:eastAsia="ＭＳ 明朝" w:hint="eastAsia"/>
          <w:sz w:val="22"/>
          <w:lang w:val="en-US"/>
        </w:rPr>
        <w:t xml:space="preserve"> </w:t>
      </w:r>
      <w:r>
        <w:rPr>
          <w:rFonts w:eastAsia="ＭＳ 明朝"/>
          <w:sz w:val="22"/>
          <w:lang w:val="en-US"/>
        </w:rPr>
        <w:t>services. Especially for URLLC services, extremely tight latency/reliability requirements shall be met by using shorter data transmission duration. On the other hand, for the services where latency requirement is not extremely tight while high spectral efficiency is important, longer data durations are more preferable, since it reduces control/RS overhead.</w:t>
      </w:r>
    </w:p>
    <w:p w14:paraId="4EE8B7E8" w14:textId="38615667" w:rsidR="007558CC" w:rsidRDefault="007558CC" w:rsidP="007558CC">
      <w:pPr>
        <w:spacing w:afterLines="50" w:after="120"/>
        <w:jc w:val="both"/>
        <w:rPr>
          <w:rFonts w:eastAsia="ＭＳ 明朝"/>
          <w:sz w:val="22"/>
          <w:lang w:val="en-US"/>
        </w:rPr>
      </w:pPr>
      <w:r>
        <w:rPr>
          <w:rFonts w:eastAsia="ＭＳ 明朝"/>
          <w:sz w:val="22"/>
          <w:lang w:val="en-US"/>
        </w:rPr>
        <w:t>I</w:t>
      </w:r>
      <w:r>
        <w:rPr>
          <w:rFonts w:eastAsia="ＭＳ 明朝" w:hint="eastAsia"/>
          <w:sz w:val="22"/>
          <w:lang w:val="en-US"/>
        </w:rPr>
        <w:t xml:space="preserve">t is possible that data transmissions </w:t>
      </w:r>
      <w:r>
        <w:rPr>
          <w:rFonts w:eastAsia="ＭＳ 明朝"/>
          <w:sz w:val="22"/>
          <w:lang w:val="en-US"/>
        </w:rPr>
        <w:t>with</w:t>
      </w:r>
      <w:r>
        <w:rPr>
          <w:rFonts w:eastAsia="ＭＳ 明朝" w:hint="eastAsia"/>
          <w:sz w:val="22"/>
          <w:lang w:val="en-US"/>
        </w:rPr>
        <w:t xml:space="preserve"> different durations are multiplexed on one carrier. </w:t>
      </w:r>
      <w:r>
        <w:rPr>
          <w:rFonts w:eastAsia="ＭＳ 明朝"/>
          <w:sz w:val="22"/>
          <w:lang w:val="en-US"/>
        </w:rPr>
        <w:t>If the traffic of shorter data transmission</w:t>
      </w:r>
      <w:r w:rsidR="00133C72">
        <w:rPr>
          <w:rFonts w:eastAsia="ＭＳ 明朝"/>
          <w:sz w:val="22"/>
          <w:lang w:val="en-US"/>
        </w:rPr>
        <w:t xml:space="preserve"> in the carrier of the system</w:t>
      </w:r>
      <w:r>
        <w:rPr>
          <w:rFonts w:eastAsia="ＭＳ 明朝"/>
          <w:sz w:val="22"/>
          <w:lang w:val="en-US"/>
        </w:rPr>
        <w:t xml:space="preserve"> is constant, it is reasonable to reserve a certain amount of resources for the shorter data transmissions. On the other hand, if it is not constant or very sparse, resource reservation for the shorter data transmissions degrades the spectral efficiency of the carrier.</w:t>
      </w:r>
    </w:p>
    <w:p w14:paraId="20EC7E4B" w14:textId="415AD222" w:rsidR="007558CC" w:rsidRDefault="008F17E7" w:rsidP="006537BD">
      <w:pPr>
        <w:spacing w:afterLines="50" w:after="120"/>
        <w:jc w:val="both"/>
        <w:rPr>
          <w:rFonts w:eastAsia="ＭＳ 明朝"/>
          <w:sz w:val="22"/>
          <w:lang w:val="en-US"/>
        </w:rPr>
      </w:pPr>
      <w:r>
        <w:rPr>
          <w:rFonts w:eastAsia="ＭＳ 明朝"/>
          <w:sz w:val="22"/>
          <w:lang w:val="en-US"/>
        </w:rPr>
        <w:t xml:space="preserve">In order to </w:t>
      </w:r>
      <w:r w:rsidR="00133C72">
        <w:rPr>
          <w:rFonts w:eastAsia="ＭＳ 明朝"/>
          <w:sz w:val="22"/>
          <w:lang w:val="en-US"/>
        </w:rPr>
        <w:t>accommodate</w:t>
      </w:r>
      <w:r w:rsidR="006218CE">
        <w:rPr>
          <w:rFonts w:eastAsia="ＭＳ 明朝"/>
          <w:sz w:val="22"/>
          <w:lang w:val="en-US"/>
        </w:rPr>
        <w:t xml:space="preserve"> the </w:t>
      </w:r>
      <w:proofErr w:type="spellStart"/>
      <w:r w:rsidR="006218CE">
        <w:rPr>
          <w:rFonts w:eastAsia="ＭＳ 明朝"/>
          <w:sz w:val="22"/>
          <w:lang w:val="en-US"/>
        </w:rPr>
        <w:t>bursty</w:t>
      </w:r>
      <w:proofErr w:type="spellEnd"/>
      <w:r w:rsidR="006218CE">
        <w:rPr>
          <w:rFonts w:eastAsia="ＭＳ 明朝"/>
          <w:sz w:val="22"/>
          <w:lang w:val="en-US"/>
        </w:rPr>
        <w:t xml:space="preserve"> traffic with short duration while maintain high resource usage efficiency</w:t>
      </w:r>
      <w:r>
        <w:rPr>
          <w:rFonts w:eastAsia="ＭＳ 明朝"/>
          <w:sz w:val="22"/>
          <w:lang w:val="en-US"/>
        </w:rPr>
        <w:t>, f</w:t>
      </w:r>
      <w:r w:rsidR="000D7EAE">
        <w:rPr>
          <w:rFonts w:eastAsia="ＭＳ 明朝"/>
          <w:sz w:val="22"/>
          <w:lang w:val="en-US"/>
        </w:rPr>
        <w:t xml:space="preserve">or downlink, </w:t>
      </w:r>
      <w:proofErr w:type="spellStart"/>
      <w:r w:rsidR="007558CC">
        <w:rPr>
          <w:rFonts w:eastAsia="ＭＳ 明朝"/>
          <w:sz w:val="22"/>
          <w:lang w:val="en-US"/>
        </w:rPr>
        <w:t>gNB</w:t>
      </w:r>
      <w:proofErr w:type="spellEnd"/>
      <w:r w:rsidR="007558CC">
        <w:rPr>
          <w:rFonts w:eastAsia="ＭＳ 明朝"/>
          <w:sz w:val="22"/>
          <w:lang w:val="en-US"/>
        </w:rPr>
        <w:t xml:space="preserve"> is able to allocate longer data transmission without taking into account possible shorter data transmission. Once shorter data transmission requiring low latency is coming, the </w:t>
      </w:r>
      <w:proofErr w:type="spellStart"/>
      <w:r w:rsidR="007558CC">
        <w:rPr>
          <w:rFonts w:eastAsia="ＭＳ 明朝"/>
          <w:sz w:val="22"/>
          <w:lang w:val="en-US"/>
        </w:rPr>
        <w:t>gNB</w:t>
      </w:r>
      <w:proofErr w:type="spellEnd"/>
      <w:r w:rsidR="007558CC">
        <w:rPr>
          <w:rFonts w:eastAsia="ＭＳ 明朝"/>
          <w:sz w:val="22"/>
          <w:lang w:val="en-US"/>
        </w:rPr>
        <w:t xml:space="preserve"> allocate</w:t>
      </w:r>
      <w:r w:rsidR="006218CE">
        <w:rPr>
          <w:rFonts w:eastAsia="ＭＳ 明朝"/>
          <w:sz w:val="22"/>
          <w:lang w:val="en-US"/>
        </w:rPr>
        <w:t>s</w:t>
      </w:r>
      <w:r w:rsidR="007558CC">
        <w:rPr>
          <w:rFonts w:eastAsia="ＭＳ 明朝"/>
          <w:sz w:val="22"/>
          <w:lang w:val="en-US"/>
        </w:rPr>
        <w:t xml:space="preserve"> the resource by preempting some resources from the longer data transmission. In order to mitigate the negative impact of such preemption </w:t>
      </w:r>
      <w:r w:rsidR="006218CE">
        <w:rPr>
          <w:rFonts w:eastAsia="ＭＳ 明朝"/>
          <w:sz w:val="22"/>
          <w:lang w:val="en-US"/>
        </w:rPr>
        <w:t xml:space="preserve">on </w:t>
      </w:r>
      <w:r w:rsidR="007558CC">
        <w:rPr>
          <w:rFonts w:eastAsia="ＭＳ 明朝"/>
          <w:sz w:val="22"/>
          <w:lang w:val="en-US"/>
        </w:rPr>
        <w:t>the longer data transmission, RAN1 agreed to support preemption indication for downlink.</w:t>
      </w:r>
    </w:p>
    <w:p w14:paraId="102C704F" w14:textId="7ADF027D" w:rsidR="007558CC" w:rsidRDefault="00BF3001" w:rsidP="006537BD">
      <w:pPr>
        <w:spacing w:afterLines="50" w:after="120"/>
        <w:jc w:val="both"/>
        <w:rPr>
          <w:rFonts w:eastAsia="ＭＳ 明朝"/>
          <w:sz w:val="22"/>
          <w:lang w:val="en-US"/>
        </w:rPr>
      </w:pPr>
      <w:r>
        <w:rPr>
          <w:rFonts w:eastAsia="ＭＳ 明朝"/>
          <w:sz w:val="22"/>
          <w:lang w:val="en-US"/>
        </w:rPr>
        <w:t xml:space="preserve">At the last meeting, RAN1 agreed that </w:t>
      </w:r>
      <w:r>
        <w:rPr>
          <w:rFonts w:eastAsia="ＭＳ 明朝" w:hint="eastAsia"/>
          <w:sz w:val="22"/>
          <w:lang w:val="en-US"/>
        </w:rPr>
        <w:t>n</w:t>
      </w:r>
      <w:r w:rsidRPr="00BF3001">
        <w:rPr>
          <w:rFonts w:eastAsia="ＭＳ 明朝"/>
          <w:sz w:val="22"/>
          <w:lang w:val="en-US"/>
        </w:rPr>
        <w:t>o new physical channel specific for indication of DL resources being preempted by another DL transmission is introduced</w:t>
      </w:r>
      <w:r>
        <w:rPr>
          <w:rFonts w:eastAsia="ＭＳ 明朝"/>
          <w:sz w:val="22"/>
          <w:lang w:val="en-US"/>
        </w:rPr>
        <w:t>. Nevertheless, t</w:t>
      </w:r>
      <w:r>
        <w:rPr>
          <w:rFonts w:eastAsia="ＭＳ 明朝" w:hint="eastAsia"/>
          <w:sz w:val="22"/>
          <w:lang w:val="en-US"/>
        </w:rPr>
        <w:t xml:space="preserve">he details of </w:t>
      </w:r>
      <w:r>
        <w:rPr>
          <w:rFonts w:eastAsia="ＭＳ 明朝"/>
          <w:sz w:val="22"/>
          <w:lang w:val="en-US"/>
        </w:rPr>
        <w:t>the indication</w:t>
      </w:r>
      <w:r>
        <w:rPr>
          <w:rFonts w:eastAsia="ＭＳ 明朝" w:hint="eastAsia"/>
          <w:sz w:val="22"/>
          <w:lang w:val="en-US"/>
        </w:rPr>
        <w:t xml:space="preserve"> </w:t>
      </w:r>
      <w:r>
        <w:rPr>
          <w:rFonts w:eastAsia="ＭＳ 明朝"/>
          <w:sz w:val="22"/>
          <w:lang w:val="en-US"/>
        </w:rPr>
        <w:t>are</w:t>
      </w:r>
      <w:r>
        <w:rPr>
          <w:rFonts w:eastAsia="ＭＳ 明朝" w:hint="eastAsia"/>
          <w:sz w:val="22"/>
          <w:lang w:val="en-US"/>
        </w:rPr>
        <w:t xml:space="preserve"> still FFS</w:t>
      </w:r>
      <w:r>
        <w:rPr>
          <w:rFonts w:eastAsia="ＭＳ 明朝"/>
          <w:sz w:val="22"/>
          <w:lang w:val="en-US"/>
        </w:rPr>
        <w:t>.</w:t>
      </w:r>
    </w:p>
    <w:p w14:paraId="586F7D1B" w14:textId="23E9CBFA" w:rsidR="00BF3001" w:rsidRDefault="00BF3001" w:rsidP="006537BD">
      <w:pPr>
        <w:spacing w:afterLines="50" w:after="120"/>
        <w:jc w:val="both"/>
        <w:rPr>
          <w:rFonts w:eastAsia="ＭＳ 明朝"/>
          <w:sz w:val="22"/>
          <w:lang w:val="en-US"/>
        </w:rPr>
      </w:pPr>
      <w:r>
        <w:rPr>
          <w:rFonts w:eastAsia="ＭＳ 明朝"/>
          <w:sz w:val="22"/>
          <w:lang w:val="en-US"/>
        </w:rPr>
        <w:t xml:space="preserve">There are two approaches on the indication; (1) it indicates a set of physical resources, e.g., PRB/symbol, and (2) it indicates a set of logical </w:t>
      </w:r>
      <w:r w:rsidR="00747861">
        <w:rPr>
          <w:rFonts w:eastAsia="ＭＳ 明朝"/>
          <w:sz w:val="22"/>
          <w:lang w:val="en-US"/>
        </w:rPr>
        <w:t>data block</w:t>
      </w:r>
      <w:r>
        <w:rPr>
          <w:rFonts w:eastAsia="ＭＳ 明朝"/>
          <w:sz w:val="22"/>
          <w:lang w:val="en-US"/>
        </w:rPr>
        <w:t>, e.g.,</w:t>
      </w:r>
      <w:r w:rsidR="00853A8C">
        <w:rPr>
          <w:rFonts w:eastAsia="ＭＳ 明朝"/>
          <w:sz w:val="22"/>
          <w:lang w:val="en-US"/>
        </w:rPr>
        <w:t xml:space="preserve"> CB</w:t>
      </w:r>
      <w:r w:rsidR="006218CE">
        <w:rPr>
          <w:rFonts w:eastAsia="ＭＳ 明朝"/>
          <w:sz w:val="22"/>
          <w:lang w:val="en-US"/>
        </w:rPr>
        <w:t xml:space="preserve"> or CBG</w:t>
      </w:r>
      <w:r>
        <w:rPr>
          <w:rFonts w:eastAsia="ＭＳ 明朝"/>
          <w:sz w:val="22"/>
          <w:lang w:val="en-US"/>
        </w:rPr>
        <w:t xml:space="preserve">. In case of (1), the indicated set of resources could be part of a CB and hence, the </w:t>
      </w:r>
      <w:r w:rsidR="00747861">
        <w:rPr>
          <w:rFonts w:eastAsia="ＭＳ 明朝"/>
          <w:sz w:val="22"/>
          <w:lang w:val="en-US"/>
        </w:rPr>
        <w:t xml:space="preserve">preempted CB may still </w:t>
      </w:r>
      <w:r>
        <w:rPr>
          <w:rFonts w:eastAsia="ＭＳ 明朝"/>
          <w:sz w:val="22"/>
          <w:lang w:val="en-US"/>
        </w:rPr>
        <w:t xml:space="preserve">be </w:t>
      </w:r>
      <w:r w:rsidR="00747861">
        <w:rPr>
          <w:rFonts w:eastAsia="ＭＳ 明朝"/>
          <w:sz w:val="22"/>
          <w:lang w:val="en-US"/>
        </w:rPr>
        <w:t xml:space="preserve">able to be </w:t>
      </w:r>
      <w:r>
        <w:rPr>
          <w:rFonts w:eastAsia="ＭＳ 明朝"/>
          <w:sz w:val="22"/>
          <w:lang w:val="en-US"/>
        </w:rPr>
        <w:t>correctly decoded even without subsequent re-transmission</w:t>
      </w:r>
      <w:r w:rsidR="00853A8C">
        <w:rPr>
          <w:rFonts w:eastAsia="ＭＳ 明朝"/>
          <w:sz w:val="22"/>
          <w:lang w:val="en-US"/>
        </w:rPr>
        <w:t xml:space="preserve"> if the coding rate of the CB is sufficiently low such that the error due to preempted resources are correctable</w:t>
      </w:r>
      <w:r>
        <w:rPr>
          <w:rFonts w:eastAsia="ＭＳ 明朝"/>
          <w:sz w:val="22"/>
          <w:lang w:val="en-US"/>
        </w:rPr>
        <w:t xml:space="preserve">. In case of (2), the indicated set of resources is at least one CB and hence, </w:t>
      </w:r>
      <w:r w:rsidR="00133C72">
        <w:rPr>
          <w:rFonts w:eastAsia="ＭＳ 明朝"/>
          <w:sz w:val="22"/>
          <w:lang w:val="en-US"/>
        </w:rPr>
        <w:t xml:space="preserve">the indication cannot improve the decoding performance of </w:t>
      </w:r>
      <w:r>
        <w:rPr>
          <w:rFonts w:eastAsia="ＭＳ 明朝"/>
          <w:sz w:val="22"/>
          <w:lang w:val="en-US"/>
        </w:rPr>
        <w:t>the indicated CB; therefore, the subsequent re-transmission is the baseline.</w:t>
      </w:r>
      <w:r w:rsidR="00853A8C">
        <w:rPr>
          <w:rFonts w:eastAsia="ＭＳ 明朝"/>
          <w:sz w:val="22"/>
          <w:lang w:val="en-US"/>
        </w:rPr>
        <w:t xml:space="preserve"> Note that even in case of (2), </w:t>
      </w:r>
      <w:proofErr w:type="spellStart"/>
      <w:r w:rsidR="00853A8C">
        <w:rPr>
          <w:rFonts w:eastAsia="ＭＳ 明朝"/>
          <w:sz w:val="22"/>
          <w:lang w:val="en-US"/>
        </w:rPr>
        <w:t>gNB</w:t>
      </w:r>
      <w:proofErr w:type="spellEnd"/>
      <w:r w:rsidR="00853A8C">
        <w:rPr>
          <w:rFonts w:eastAsia="ＭＳ 明朝"/>
          <w:sz w:val="22"/>
          <w:lang w:val="en-US"/>
        </w:rPr>
        <w:t xml:space="preserve"> can perform sub-CB level preemption, if it is necessary; the indication granularity cannot be less than a CB.</w:t>
      </w:r>
    </w:p>
    <w:p w14:paraId="122AF132" w14:textId="34E52D47" w:rsidR="008F17E7" w:rsidRDefault="00073B05" w:rsidP="006537BD">
      <w:pPr>
        <w:spacing w:afterLines="50" w:after="120"/>
        <w:jc w:val="both"/>
        <w:rPr>
          <w:rFonts w:eastAsia="ＭＳ 明朝"/>
          <w:sz w:val="22"/>
          <w:lang w:val="en-US"/>
        </w:rPr>
      </w:pPr>
      <w:r>
        <w:rPr>
          <w:rFonts w:eastAsia="ＭＳ 明朝"/>
          <w:sz w:val="22"/>
          <w:lang w:val="en-US"/>
        </w:rPr>
        <w:t xml:space="preserve">Meanwhile, RAN1 also agreed to support CBG-based </w:t>
      </w:r>
      <w:r w:rsidR="00853A8C">
        <w:rPr>
          <w:rFonts w:eastAsia="ＭＳ 明朝"/>
          <w:sz w:val="22"/>
          <w:lang w:val="en-US"/>
        </w:rPr>
        <w:t>re-</w:t>
      </w:r>
      <w:r>
        <w:rPr>
          <w:rFonts w:eastAsia="ＭＳ 明朝"/>
          <w:sz w:val="22"/>
          <w:lang w:val="en-US"/>
        </w:rPr>
        <w:t xml:space="preserve">transmission. </w:t>
      </w:r>
      <w:r w:rsidR="00853A8C">
        <w:rPr>
          <w:rFonts w:eastAsia="ＭＳ 明朝"/>
          <w:sz w:val="22"/>
          <w:lang w:val="en-US"/>
        </w:rPr>
        <w:t>For this, a</w:t>
      </w:r>
      <w:r>
        <w:rPr>
          <w:rFonts w:eastAsia="ＭＳ 明朝"/>
          <w:sz w:val="22"/>
          <w:lang w:val="en-US"/>
        </w:rPr>
        <w:t xml:space="preserve"> TB is </w:t>
      </w:r>
      <w:r w:rsidR="00853A8C">
        <w:rPr>
          <w:rFonts w:eastAsia="ＭＳ 明朝"/>
          <w:sz w:val="22"/>
          <w:lang w:val="en-US"/>
        </w:rPr>
        <w:t>segmented to CBs, and CBs form one or multiple CBGs</w:t>
      </w:r>
      <w:r w:rsidR="00912474">
        <w:rPr>
          <w:rFonts w:eastAsia="ＭＳ 明朝"/>
          <w:sz w:val="22"/>
          <w:lang w:val="en-US"/>
        </w:rPr>
        <w:t xml:space="preserve"> [</w:t>
      </w:r>
      <w:r w:rsidR="006218CE">
        <w:rPr>
          <w:rFonts w:eastAsia="ＭＳ 明朝"/>
          <w:sz w:val="22"/>
          <w:lang w:val="en-US"/>
        </w:rPr>
        <w:t>1</w:t>
      </w:r>
      <w:r w:rsidR="00912474">
        <w:rPr>
          <w:rFonts w:eastAsia="ＭＳ 明朝"/>
          <w:sz w:val="22"/>
          <w:lang w:val="en-US"/>
        </w:rPr>
        <w:t>]</w:t>
      </w:r>
      <w:r w:rsidR="00853A8C">
        <w:rPr>
          <w:rFonts w:eastAsia="ＭＳ 明朝"/>
          <w:sz w:val="22"/>
          <w:lang w:val="en-US"/>
        </w:rPr>
        <w:t xml:space="preserve">. Then, HARQ-ACK feedback is done per CBG basis, so that the </w:t>
      </w:r>
      <w:proofErr w:type="spellStart"/>
      <w:r w:rsidR="00853A8C">
        <w:rPr>
          <w:rFonts w:eastAsia="ＭＳ 明朝"/>
          <w:sz w:val="22"/>
          <w:lang w:val="en-US"/>
        </w:rPr>
        <w:t>gNB</w:t>
      </w:r>
      <w:proofErr w:type="spellEnd"/>
      <w:r w:rsidR="00853A8C">
        <w:rPr>
          <w:rFonts w:eastAsia="ＭＳ 明朝"/>
          <w:sz w:val="22"/>
          <w:lang w:val="en-US"/>
        </w:rPr>
        <w:t xml:space="preserve"> can re-transmit one or some of CBGs of the TB. </w:t>
      </w:r>
      <w:r w:rsidR="009B505F">
        <w:rPr>
          <w:rFonts w:eastAsia="ＭＳ 明朝"/>
          <w:sz w:val="22"/>
          <w:lang w:val="en-US"/>
        </w:rPr>
        <w:t xml:space="preserve">For CBG-based re-transmission, besides HARQ-ACK per CBG, DCI indication of which CBG(s) is/are re-transmitted is necessary. </w:t>
      </w:r>
      <w:r w:rsidR="00BF03E7">
        <w:rPr>
          <w:rFonts w:eastAsia="ＭＳ 明朝"/>
          <w:sz w:val="22"/>
          <w:lang w:val="en-US"/>
        </w:rPr>
        <w:t>If the UE configured with CBG-based re-transmission can be notified of which CBGs) is/are impacted by puncturing, (2) can be realized. Considering that the benefit of (1) is limited or even harmful</w:t>
      </w:r>
      <w:r w:rsidR="006218CE">
        <w:rPr>
          <w:rFonts w:eastAsia="ＭＳ 明朝"/>
          <w:sz w:val="22"/>
          <w:lang w:val="en-US"/>
        </w:rPr>
        <w:t xml:space="preserve"> from DL overhead and </w:t>
      </w:r>
      <w:r w:rsidR="006218CE" w:rsidRPr="006218CE">
        <w:rPr>
          <w:rFonts w:eastAsia="ＭＳ 明朝"/>
          <w:sz w:val="22"/>
          <w:lang w:val="en-US"/>
        </w:rPr>
        <w:t>conservative</w:t>
      </w:r>
      <w:r w:rsidR="006218CE">
        <w:rPr>
          <w:rFonts w:eastAsia="ＭＳ 明朝"/>
          <w:sz w:val="22"/>
          <w:lang w:val="en-US"/>
        </w:rPr>
        <w:t xml:space="preserve"> scheduling point of view</w:t>
      </w:r>
      <w:r w:rsidR="00BF03E7">
        <w:rPr>
          <w:rFonts w:eastAsia="ＭＳ 明朝"/>
          <w:sz w:val="22"/>
          <w:lang w:val="en-US"/>
        </w:rPr>
        <w:t xml:space="preserve">, </w:t>
      </w:r>
      <w:r w:rsidR="00B62FB5">
        <w:rPr>
          <w:rFonts w:eastAsia="ＭＳ 明朝"/>
          <w:sz w:val="22"/>
          <w:lang w:val="en-US"/>
        </w:rPr>
        <w:t xml:space="preserve">we prefer to </w:t>
      </w:r>
      <w:r w:rsidR="006218CE">
        <w:rPr>
          <w:rFonts w:eastAsia="ＭＳ 明朝"/>
          <w:sz w:val="22"/>
          <w:lang w:val="en-US"/>
        </w:rPr>
        <w:t xml:space="preserve">adopt </w:t>
      </w:r>
      <w:r w:rsidR="00B62FB5">
        <w:rPr>
          <w:rFonts w:eastAsia="ＭＳ 明朝"/>
          <w:sz w:val="22"/>
          <w:lang w:val="en-US"/>
        </w:rPr>
        <w:t>the approach (2) to design a unified solution for CBG-based re-transmission and preemption indication. Details of our views are found in [</w:t>
      </w:r>
      <w:r w:rsidR="006218CE">
        <w:rPr>
          <w:rFonts w:eastAsia="ＭＳ 明朝"/>
          <w:sz w:val="22"/>
          <w:lang w:val="en-US"/>
        </w:rPr>
        <w:t>2</w:t>
      </w:r>
      <w:r w:rsidR="00B62FB5">
        <w:rPr>
          <w:rFonts w:eastAsia="ＭＳ 明朝"/>
          <w:sz w:val="22"/>
          <w:lang w:val="en-US"/>
        </w:rPr>
        <w:t>].</w:t>
      </w:r>
    </w:p>
    <w:p w14:paraId="247BBE63" w14:textId="13B6F154" w:rsidR="00B62FB5" w:rsidRPr="00BF3001" w:rsidRDefault="00B62FB5" w:rsidP="006537BD">
      <w:pPr>
        <w:spacing w:afterLines="50" w:after="120"/>
        <w:jc w:val="both"/>
        <w:rPr>
          <w:rFonts w:eastAsia="ＭＳ 明朝"/>
          <w:sz w:val="22"/>
          <w:lang w:val="en-US"/>
        </w:rPr>
      </w:pPr>
      <w:r>
        <w:rPr>
          <w:rFonts w:eastAsia="ＭＳ 明朝"/>
          <w:sz w:val="22"/>
          <w:lang w:val="en-US"/>
        </w:rPr>
        <w:t xml:space="preserve">It is FFS whether/how to align symbol boundary and CBG boundary. At least for some DCI setting (e.g., MCS index, PRB number, layer number, </w:t>
      </w:r>
      <w:proofErr w:type="spellStart"/>
      <w:r>
        <w:rPr>
          <w:rFonts w:eastAsia="ＭＳ 明朝"/>
          <w:sz w:val="22"/>
          <w:lang w:val="en-US"/>
        </w:rPr>
        <w:t>etc</w:t>
      </w:r>
      <w:proofErr w:type="spellEnd"/>
      <w:r>
        <w:rPr>
          <w:rFonts w:eastAsia="ＭＳ 明朝"/>
          <w:sz w:val="22"/>
          <w:lang w:val="en-US"/>
        </w:rPr>
        <w:t xml:space="preserve">), it </w:t>
      </w:r>
      <w:r w:rsidR="008E3B20">
        <w:rPr>
          <w:rFonts w:eastAsia="ＭＳ 明朝"/>
          <w:sz w:val="22"/>
          <w:lang w:val="en-US"/>
        </w:rPr>
        <w:t>should</w:t>
      </w:r>
      <w:r>
        <w:rPr>
          <w:rFonts w:eastAsia="ＭＳ 明朝"/>
          <w:sz w:val="22"/>
          <w:lang w:val="en-US"/>
        </w:rPr>
        <w:t xml:space="preserve"> be possible to align these two.</w:t>
      </w:r>
      <w:r w:rsidR="008E3B20">
        <w:rPr>
          <w:rFonts w:eastAsia="ＭＳ 明朝"/>
          <w:sz w:val="22"/>
          <w:lang w:val="en-US"/>
        </w:rPr>
        <w:t xml:space="preserve"> This should be considered as part of CB segmentation</w:t>
      </w:r>
      <w:r w:rsidR="006218CE">
        <w:rPr>
          <w:rFonts w:eastAsia="ＭＳ 明朝"/>
          <w:sz w:val="22"/>
          <w:lang w:val="en-US"/>
        </w:rPr>
        <w:t xml:space="preserve"> and codeword mapping</w:t>
      </w:r>
      <w:r w:rsidR="008E3B20">
        <w:rPr>
          <w:rFonts w:eastAsia="ＭＳ 明朝"/>
          <w:sz w:val="22"/>
          <w:lang w:val="en-US"/>
        </w:rPr>
        <w:t>.</w:t>
      </w:r>
    </w:p>
    <w:p w14:paraId="3DABB8D3" w14:textId="7DE2FFBC" w:rsidR="0098544E" w:rsidRPr="00876BA5" w:rsidRDefault="006133E8" w:rsidP="0098544E">
      <w:pPr>
        <w:spacing w:afterLines="50" w:after="120"/>
        <w:jc w:val="both"/>
        <w:rPr>
          <w:rFonts w:eastAsia="ＭＳ 明朝"/>
          <w:b/>
          <w:sz w:val="22"/>
          <w:u w:val="single"/>
          <w:lang w:val="en-US"/>
        </w:rPr>
      </w:pPr>
      <w:r>
        <w:rPr>
          <w:rFonts w:eastAsia="ＭＳ 明朝"/>
          <w:b/>
          <w:sz w:val="22"/>
          <w:u w:val="single"/>
          <w:lang w:val="en-US"/>
        </w:rPr>
        <w:t>Proposal</w:t>
      </w:r>
      <w:r w:rsidR="0098544E" w:rsidRPr="00876BA5">
        <w:rPr>
          <w:rFonts w:eastAsia="ＭＳ 明朝"/>
          <w:b/>
          <w:sz w:val="22"/>
          <w:u w:val="single"/>
          <w:lang w:val="en-US"/>
        </w:rPr>
        <w:t>:</w:t>
      </w:r>
    </w:p>
    <w:p w14:paraId="5B1A61C2" w14:textId="7D49BBE2" w:rsidR="008E3B20" w:rsidRPr="008E3B20" w:rsidRDefault="008E3B20" w:rsidP="008E3B20">
      <w:pPr>
        <w:pStyle w:val="afc"/>
        <w:numPr>
          <w:ilvl w:val="0"/>
          <w:numId w:val="30"/>
        </w:numPr>
        <w:spacing w:afterLines="50" w:after="120"/>
        <w:ind w:leftChars="0"/>
        <w:jc w:val="both"/>
        <w:rPr>
          <w:rFonts w:eastAsia="ＭＳ 明朝"/>
          <w:i/>
          <w:sz w:val="22"/>
          <w:lang w:val="en-US"/>
        </w:rPr>
      </w:pPr>
      <w:r w:rsidRPr="008E3B20">
        <w:rPr>
          <w:rFonts w:eastAsia="ＭＳ 明朝"/>
          <w:i/>
          <w:sz w:val="22"/>
          <w:lang w:val="en-US"/>
        </w:rPr>
        <w:lastRenderedPageBreak/>
        <w:t xml:space="preserve">The preemption indication </w:t>
      </w:r>
      <w:r>
        <w:rPr>
          <w:rFonts w:eastAsia="ＭＳ 明朝"/>
          <w:i/>
          <w:sz w:val="22"/>
          <w:lang w:val="en-US"/>
        </w:rPr>
        <w:t xml:space="preserve">is </w:t>
      </w:r>
      <w:r w:rsidR="00862E9E">
        <w:rPr>
          <w:rFonts w:eastAsia="ＭＳ 明朝"/>
          <w:i/>
          <w:sz w:val="22"/>
          <w:lang w:val="en-US"/>
        </w:rPr>
        <w:t xml:space="preserve">TB-level or </w:t>
      </w:r>
      <w:r>
        <w:rPr>
          <w:rFonts w:eastAsia="ＭＳ 明朝"/>
          <w:i/>
          <w:sz w:val="22"/>
          <w:lang w:val="en-US"/>
        </w:rPr>
        <w:t>CBG-level and is</w:t>
      </w:r>
      <w:r w:rsidRPr="008E3B20">
        <w:rPr>
          <w:rFonts w:eastAsia="ＭＳ 明朝"/>
          <w:i/>
          <w:sz w:val="22"/>
          <w:lang w:val="en-US"/>
        </w:rPr>
        <w:t xml:space="preserve"> included in the DCI scheduling the subsequent transmission.</w:t>
      </w:r>
    </w:p>
    <w:p w14:paraId="6D890A23" w14:textId="77777777" w:rsidR="008E3B20" w:rsidRPr="00FA18B9" w:rsidRDefault="008E3B20" w:rsidP="008E3B20">
      <w:pPr>
        <w:pStyle w:val="afc"/>
        <w:numPr>
          <w:ilvl w:val="1"/>
          <w:numId w:val="30"/>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192CCE83" w14:textId="40864565" w:rsidR="006133E8" w:rsidRPr="008E3B20" w:rsidRDefault="008E3B20" w:rsidP="008E3B20">
      <w:pPr>
        <w:pStyle w:val="afc"/>
        <w:numPr>
          <w:ilvl w:val="1"/>
          <w:numId w:val="30"/>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0E506A8C" w14:textId="77777777" w:rsidR="00980B7F" w:rsidRPr="00980B7F" w:rsidRDefault="00980B7F"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85DA39E" w14:textId="77777777" w:rsidR="008E3B20" w:rsidRPr="00876BA5" w:rsidRDefault="008E3B20" w:rsidP="008E3B20">
      <w:pPr>
        <w:spacing w:afterLines="50" w:after="120"/>
        <w:jc w:val="both"/>
        <w:rPr>
          <w:rFonts w:eastAsia="ＭＳ 明朝"/>
          <w:b/>
          <w:sz w:val="22"/>
          <w:u w:val="single"/>
          <w:lang w:val="en-US"/>
        </w:rPr>
      </w:pPr>
      <w:r>
        <w:rPr>
          <w:rFonts w:eastAsia="ＭＳ 明朝"/>
          <w:b/>
          <w:sz w:val="22"/>
          <w:u w:val="single"/>
          <w:lang w:val="en-US"/>
        </w:rPr>
        <w:t>Proposal</w:t>
      </w:r>
      <w:r w:rsidRPr="00876BA5">
        <w:rPr>
          <w:rFonts w:eastAsia="ＭＳ 明朝"/>
          <w:b/>
          <w:sz w:val="22"/>
          <w:u w:val="single"/>
          <w:lang w:val="en-US"/>
        </w:rPr>
        <w:t>:</w:t>
      </w:r>
    </w:p>
    <w:p w14:paraId="3B5ACB6D" w14:textId="408768AB" w:rsidR="008E3B20" w:rsidRPr="008E3B20" w:rsidRDefault="008E3B20" w:rsidP="008E3B20">
      <w:pPr>
        <w:pStyle w:val="afc"/>
        <w:numPr>
          <w:ilvl w:val="0"/>
          <w:numId w:val="30"/>
        </w:numPr>
        <w:spacing w:afterLines="50" w:after="120"/>
        <w:ind w:leftChars="0"/>
        <w:jc w:val="both"/>
        <w:rPr>
          <w:rFonts w:eastAsia="ＭＳ 明朝"/>
          <w:i/>
          <w:sz w:val="22"/>
          <w:lang w:val="en-US"/>
        </w:rPr>
      </w:pPr>
      <w:r w:rsidRPr="008E3B20">
        <w:rPr>
          <w:rFonts w:eastAsia="ＭＳ 明朝"/>
          <w:i/>
          <w:sz w:val="22"/>
          <w:lang w:val="en-US"/>
        </w:rPr>
        <w:t xml:space="preserve">The preemption indication </w:t>
      </w:r>
      <w:r>
        <w:rPr>
          <w:rFonts w:eastAsia="ＭＳ 明朝"/>
          <w:i/>
          <w:sz w:val="22"/>
          <w:lang w:val="en-US"/>
        </w:rPr>
        <w:t xml:space="preserve">is </w:t>
      </w:r>
      <w:r w:rsidR="00862E9E">
        <w:rPr>
          <w:rFonts w:eastAsia="ＭＳ 明朝"/>
          <w:i/>
          <w:sz w:val="22"/>
          <w:lang w:val="en-US"/>
        </w:rPr>
        <w:t xml:space="preserve">TB-level or </w:t>
      </w:r>
      <w:bookmarkStart w:id="7" w:name="_GoBack"/>
      <w:bookmarkEnd w:id="7"/>
      <w:r>
        <w:rPr>
          <w:rFonts w:eastAsia="ＭＳ 明朝"/>
          <w:i/>
          <w:sz w:val="22"/>
          <w:lang w:val="en-US"/>
        </w:rPr>
        <w:t>CBG-level and is</w:t>
      </w:r>
      <w:r w:rsidRPr="008E3B20">
        <w:rPr>
          <w:rFonts w:eastAsia="ＭＳ 明朝"/>
          <w:i/>
          <w:sz w:val="22"/>
          <w:lang w:val="en-US"/>
        </w:rPr>
        <w:t xml:space="preserve"> included in the DCI scheduling the subsequent transmission.</w:t>
      </w:r>
    </w:p>
    <w:p w14:paraId="253AE526" w14:textId="77777777" w:rsidR="008E3B20" w:rsidRPr="00FA18B9" w:rsidRDefault="008E3B20" w:rsidP="008E3B20">
      <w:pPr>
        <w:pStyle w:val="afc"/>
        <w:numPr>
          <w:ilvl w:val="1"/>
          <w:numId w:val="30"/>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one bit field in the scheduling DCI.</w:t>
      </w:r>
    </w:p>
    <w:p w14:paraId="5F75A065" w14:textId="77777777" w:rsidR="008E3B20" w:rsidRPr="008E3B20" w:rsidRDefault="008E3B20" w:rsidP="008E3B20">
      <w:pPr>
        <w:pStyle w:val="afc"/>
        <w:numPr>
          <w:ilvl w:val="1"/>
          <w:numId w:val="30"/>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46D73263" w14:textId="77777777" w:rsidR="00A06DD8" w:rsidRPr="008E3B20"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31882244" w14:textId="079AC692" w:rsidR="00B17DE2" w:rsidRDefault="000056EC" w:rsidP="004F00A6">
      <w:pPr>
        <w:widowControl w:val="0"/>
        <w:numPr>
          <w:ilvl w:val="0"/>
          <w:numId w:val="4"/>
        </w:numPr>
        <w:spacing w:after="120"/>
        <w:jc w:val="both"/>
        <w:rPr>
          <w:sz w:val="22"/>
          <w:szCs w:val="22"/>
          <w:lang w:val="en-US"/>
        </w:rPr>
      </w:pPr>
      <w:r w:rsidRPr="000056EC">
        <w:rPr>
          <w:sz w:val="22"/>
          <w:szCs w:val="22"/>
          <w:lang w:val="en-US"/>
        </w:rPr>
        <w:t>R1-1708483</w:t>
      </w:r>
      <w:r w:rsidR="00B17DE2">
        <w:rPr>
          <w:sz w:val="22"/>
          <w:szCs w:val="22"/>
          <w:lang w:val="en-US"/>
        </w:rPr>
        <w:t>, ‘</w:t>
      </w:r>
      <w:r>
        <w:rPr>
          <w:sz w:val="22"/>
          <w:szCs w:val="22"/>
          <w:lang w:val="en-US"/>
        </w:rPr>
        <w:t>CBG construction</w:t>
      </w:r>
      <w:r w:rsidR="00B17DE2">
        <w:rPr>
          <w:sz w:val="22"/>
          <w:szCs w:val="22"/>
          <w:lang w:val="en-US"/>
        </w:rPr>
        <w:t>,’ NTT DOCOMO, INC.</w:t>
      </w:r>
    </w:p>
    <w:p w14:paraId="140B7B33" w14:textId="3064305C" w:rsidR="000056EC" w:rsidRDefault="000056EC" w:rsidP="000056EC">
      <w:pPr>
        <w:widowControl w:val="0"/>
        <w:numPr>
          <w:ilvl w:val="0"/>
          <w:numId w:val="4"/>
        </w:numPr>
        <w:spacing w:after="120"/>
        <w:jc w:val="both"/>
        <w:rPr>
          <w:sz w:val="22"/>
          <w:szCs w:val="22"/>
          <w:lang w:val="en-US"/>
        </w:rPr>
      </w:pPr>
      <w:r w:rsidRPr="000056EC">
        <w:rPr>
          <w:sz w:val="22"/>
          <w:szCs w:val="22"/>
          <w:lang w:val="en-US"/>
        </w:rPr>
        <w:t>R1-170848</w:t>
      </w:r>
      <w:r>
        <w:rPr>
          <w:sz w:val="22"/>
          <w:szCs w:val="22"/>
          <w:lang w:val="en-US"/>
        </w:rPr>
        <w:t>4, ‘</w:t>
      </w:r>
      <w:r w:rsidRPr="000056EC">
        <w:rPr>
          <w:sz w:val="22"/>
          <w:szCs w:val="22"/>
          <w:lang w:val="en-US"/>
        </w:rPr>
        <w:t>CBG based (re)transmission, preemption indication and subsequent transmission in NR</w:t>
      </w:r>
      <w:r>
        <w:rPr>
          <w:sz w:val="22"/>
          <w:szCs w:val="22"/>
          <w:lang w:val="en-US"/>
        </w:rPr>
        <w:t>,’ NTT DOCOMO, INC.</w:t>
      </w:r>
    </w:p>
    <w:p w14:paraId="2F28F2B2" w14:textId="3624D598" w:rsidR="00B95814" w:rsidRPr="004F00A6" w:rsidRDefault="00B95814" w:rsidP="00B17DE2">
      <w:pPr>
        <w:widowControl w:val="0"/>
        <w:spacing w:after="120"/>
        <w:jc w:val="both"/>
        <w:rPr>
          <w:sz w:val="22"/>
          <w:szCs w:val="22"/>
          <w:lang w:val="en-US"/>
        </w:rPr>
      </w:pPr>
    </w:p>
    <w:sectPr w:rsidR="00B95814" w:rsidRPr="004F00A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5D765" w14:textId="77777777" w:rsidR="00D51898" w:rsidRDefault="00D51898">
      <w:r>
        <w:separator/>
      </w:r>
    </w:p>
  </w:endnote>
  <w:endnote w:type="continuationSeparator" w:id="0">
    <w:p w14:paraId="427D31F1" w14:textId="77777777" w:rsidR="00D51898" w:rsidRDefault="00D51898">
      <w:r>
        <w:continuationSeparator/>
      </w:r>
    </w:p>
  </w:endnote>
  <w:endnote w:type="continuationNotice" w:id="1">
    <w:p w14:paraId="713E9F8A" w14:textId="77777777" w:rsidR="00D51898" w:rsidRDefault="00D51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0CCA1D3"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F123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F1238">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03FC8" w14:textId="77777777" w:rsidR="00D51898" w:rsidRDefault="00D51898">
      <w:r>
        <w:separator/>
      </w:r>
    </w:p>
  </w:footnote>
  <w:footnote w:type="continuationSeparator" w:id="0">
    <w:p w14:paraId="514942A4" w14:textId="77777777" w:rsidR="00D51898" w:rsidRDefault="00D51898">
      <w:r>
        <w:continuationSeparator/>
      </w:r>
    </w:p>
  </w:footnote>
  <w:footnote w:type="continuationNotice" w:id="1">
    <w:p w14:paraId="2C8F80A1" w14:textId="77777777" w:rsidR="00D51898" w:rsidRDefault="00D518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7"/>
  </w:num>
  <w:num w:numId="3">
    <w:abstractNumId w:val="20"/>
  </w:num>
  <w:num w:numId="4">
    <w:abstractNumId w:val="15"/>
  </w:num>
  <w:num w:numId="5">
    <w:abstractNumId w:val="42"/>
  </w:num>
  <w:num w:numId="6">
    <w:abstractNumId w:val="33"/>
  </w:num>
  <w:num w:numId="7">
    <w:abstractNumId w:val="39"/>
  </w:num>
  <w:num w:numId="8">
    <w:abstractNumId w:val="40"/>
  </w:num>
  <w:num w:numId="9">
    <w:abstractNumId w:val="27"/>
  </w:num>
  <w:num w:numId="10">
    <w:abstractNumId w:val="35"/>
  </w:num>
  <w:num w:numId="11">
    <w:abstractNumId w:val="12"/>
  </w:num>
  <w:num w:numId="12">
    <w:abstractNumId w:val="32"/>
  </w:num>
  <w:num w:numId="13">
    <w:abstractNumId w:val="8"/>
  </w:num>
  <w:num w:numId="14">
    <w:abstractNumId w:val="2"/>
  </w:num>
  <w:num w:numId="15">
    <w:abstractNumId w:val="13"/>
  </w:num>
  <w:num w:numId="16">
    <w:abstractNumId w:val="41"/>
  </w:num>
  <w:num w:numId="17">
    <w:abstractNumId w:val="5"/>
  </w:num>
  <w:num w:numId="18">
    <w:abstractNumId w:val="1"/>
  </w:num>
  <w:num w:numId="19">
    <w:abstractNumId w:val="36"/>
  </w:num>
  <w:num w:numId="20">
    <w:abstractNumId w:val="11"/>
  </w:num>
  <w:num w:numId="21">
    <w:abstractNumId w:val="26"/>
  </w:num>
  <w:num w:numId="22">
    <w:abstractNumId w:val="16"/>
  </w:num>
  <w:num w:numId="23">
    <w:abstractNumId w:val="17"/>
  </w:num>
  <w:num w:numId="24">
    <w:abstractNumId w:val="21"/>
  </w:num>
  <w:num w:numId="25">
    <w:abstractNumId w:val="10"/>
  </w:num>
  <w:num w:numId="26">
    <w:abstractNumId w:val="24"/>
  </w:num>
  <w:num w:numId="27">
    <w:abstractNumId w:val="19"/>
  </w:num>
  <w:num w:numId="28">
    <w:abstractNumId w:val="28"/>
  </w:num>
  <w:num w:numId="29">
    <w:abstractNumId w:val="30"/>
  </w:num>
  <w:num w:numId="30">
    <w:abstractNumId w:val="7"/>
  </w:num>
  <w:num w:numId="31">
    <w:abstractNumId w:val="3"/>
  </w:num>
  <w:num w:numId="32">
    <w:abstractNumId w:val="4"/>
  </w:num>
  <w:num w:numId="33">
    <w:abstractNumId w:val="22"/>
  </w:num>
  <w:num w:numId="34">
    <w:abstractNumId w:val="25"/>
  </w:num>
  <w:num w:numId="35">
    <w:abstractNumId w:val="34"/>
  </w:num>
  <w:num w:numId="36">
    <w:abstractNumId w:val="31"/>
  </w:num>
  <w:num w:numId="37">
    <w:abstractNumId w:val="23"/>
  </w:num>
  <w:num w:numId="38">
    <w:abstractNumId w:val="18"/>
  </w:num>
  <w:num w:numId="39">
    <w:abstractNumId w:val="43"/>
  </w:num>
  <w:num w:numId="40">
    <w:abstractNumId w:val="6"/>
  </w:num>
  <w:num w:numId="41">
    <w:abstractNumId w:val="38"/>
  </w:num>
  <w:num w:numId="42">
    <w:abstractNumId w:val="29"/>
  </w:num>
  <w:num w:numId="43">
    <w:abstractNumId w:val="14"/>
  </w:num>
  <w:num w:numId="4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6EC"/>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B05"/>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6C0"/>
    <w:rsid w:val="000E58B4"/>
    <w:rsid w:val="000E598D"/>
    <w:rsid w:val="000E5AA1"/>
    <w:rsid w:val="000E620A"/>
    <w:rsid w:val="000E6571"/>
    <w:rsid w:val="000E6653"/>
    <w:rsid w:val="000E7458"/>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C72"/>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377"/>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CBF"/>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DC4"/>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874"/>
    <w:rsid w:val="00586B37"/>
    <w:rsid w:val="00587AE4"/>
    <w:rsid w:val="005900AA"/>
    <w:rsid w:val="00590136"/>
    <w:rsid w:val="005904F1"/>
    <w:rsid w:val="00590634"/>
    <w:rsid w:val="00590E98"/>
    <w:rsid w:val="00591153"/>
    <w:rsid w:val="0059119C"/>
    <w:rsid w:val="0059119E"/>
    <w:rsid w:val="00591790"/>
    <w:rsid w:val="0059189B"/>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3E8"/>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8CE"/>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79"/>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DA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2A5E"/>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A56"/>
    <w:rsid w:val="00744BA2"/>
    <w:rsid w:val="007455DC"/>
    <w:rsid w:val="007457A4"/>
    <w:rsid w:val="0074590F"/>
    <w:rsid w:val="00745EFF"/>
    <w:rsid w:val="007466F1"/>
    <w:rsid w:val="007469C7"/>
    <w:rsid w:val="00746A93"/>
    <w:rsid w:val="00746A9C"/>
    <w:rsid w:val="00746EE5"/>
    <w:rsid w:val="007473CF"/>
    <w:rsid w:val="00747861"/>
    <w:rsid w:val="00747DAD"/>
    <w:rsid w:val="00750AC5"/>
    <w:rsid w:val="00750E7B"/>
    <w:rsid w:val="007513F2"/>
    <w:rsid w:val="00751ACF"/>
    <w:rsid w:val="0075239A"/>
    <w:rsid w:val="007529C9"/>
    <w:rsid w:val="00753312"/>
    <w:rsid w:val="00753562"/>
    <w:rsid w:val="00754AA2"/>
    <w:rsid w:val="00754C3B"/>
    <w:rsid w:val="00754DCC"/>
    <w:rsid w:val="00755136"/>
    <w:rsid w:val="007558C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FE2"/>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A8C"/>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E9E"/>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B20"/>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7E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74"/>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05F"/>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7C7"/>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263"/>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DD1"/>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9DD"/>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2FB5"/>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B3A"/>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32F"/>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6FD"/>
    <w:rsid w:val="00BE57AC"/>
    <w:rsid w:val="00BE58AC"/>
    <w:rsid w:val="00BE5B85"/>
    <w:rsid w:val="00BE5D11"/>
    <w:rsid w:val="00BE5ECB"/>
    <w:rsid w:val="00BE5F77"/>
    <w:rsid w:val="00BE6590"/>
    <w:rsid w:val="00BE66D0"/>
    <w:rsid w:val="00BE6B96"/>
    <w:rsid w:val="00BE7073"/>
    <w:rsid w:val="00BE70CE"/>
    <w:rsid w:val="00BE7797"/>
    <w:rsid w:val="00BF03E7"/>
    <w:rsid w:val="00BF06D7"/>
    <w:rsid w:val="00BF0C9C"/>
    <w:rsid w:val="00BF10B0"/>
    <w:rsid w:val="00BF1238"/>
    <w:rsid w:val="00BF132E"/>
    <w:rsid w:val="00BF2B7C"/>
    <w:rsid w:val="00BF2E16"/>
    <w:rsid w:val="00BF3001"/>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BA0"/>
    <w:rsid w:val="00C93C8E"/>
    <w:rsid w:val="00C948C4"/>
    <w:rsid w:val="00C94A6C"/>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898"/>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3831"/>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89C"/>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4B0"/>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8E3B20"/>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38D79-308F-4FD4-B899-872E2BABC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3877</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2017-05-06T02:12:00Z</dcterms:created>
  <dcterms:modified xsi:type="dcterms:W3CDTF">2017-05-06T02:12:00Z</dcterms:modified>
</cp:coreProperties>
</file>