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987636">
        <w:rPr>
          <w:rFonts w:cs="Arial"/>
          <w:bCs/>
          <w:sz w:val="22"/>
        </w:rPr>
        <w:t xml:space="preserve"> #8</w:t>
      </w:r>
      <w:r w:rsidR="00236DB3">
        <w:rPr>
          <w:rFonts w:cs="Arial"/>
          <w:bCs/>
          <w:sz w:val="22"/>
        </w:rPr>
        <w:t>9</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84237C">
        <w:rPr>
          <w:rFonts w:cs="Arial"/>
          <w:bCs/>
          <w:sz w:val="22"/>
        </w:rPr>
        <w:t>075</w:t>
      </w:r>
      <w:r w:rsidR="002D6989">
        <w:rPr>
          <w:rFonts w:cs="Arial"/>
          <w:bCs/>
          <w:sz w:val="22"/>
        </w:rPr>
        <w:t>12</w:t>
      </w:r>
    </w:p>
    <w:p w:rsidR="00C11ED7" w:rsidRPr="005D47C0" w:rsidRDefault="00236DB3" w:rsidP="00E9523A">
      <w:pPr>
        <w:pStyle w:val="Header"/>
        <w:widowControl w:val="0"/>
        <w:tabs>
          <w:tab w:val="clear" w:pos="9072"/>
          <w:tab w:val="right" w:pos="8280"/>
          <w:tab w:val="right" w:pos="9781"/>
        </w:tabs>
        <w:snapToGrid w:val="0"/>
        <w:ind w:left="-2" w:right="-57"/>
        <w:rPr>
          <w:rFonts w:cs="Arial"/>
          <w:bCs/>
          <w:sz w:val="22"/>
        </w:rPr>
      </w:pPr>
      <w:r>
        <w:rPr>
          <w:rFonts w:cs="Arial"/>
          <w:bCs/>
          <w:sz w:val="22"/>
        </w:rPr>
        <w:t>Hangzhou</w:t>
      </w:r>
      <w:r w:rsidR="008C27F9" w:rsidRPr="00F2358D">
        <w:rPr>
          <w:rFonts w:cs="Arial"/>
          <w:bCs/>
          <w:sz w:val="22"/>
        </w:rPr>
        <w:t xml:space="preserve">, </w:t>
      </w:r>
      <w:r>
        <w:rPr>
          <w:rFonts w:cs="Arial"/>
          <w:bCs/>
          <w:sz w:val="22"/>
        </w:rPr>
        <w:t>P. R. China</w:t>
      </w:r>
      <w:r w:rsidR="008C27F9">
        <w:rPr>
          <w:rFonts w:cs="Arial"/>
          <w:bCs/>
          <w:sz w:val="22"/>
        </w:rPr>
        <w:t>,</w:t>
      </w:r>
      <w:r w:rsidR="008C27F9" w:rsidRPr="00F2358D">
        <w:rPr>
          <w:rFonts w:cs="Arial"/>
          <w:bCs/>
          <w:sz w:val="22"/>
        </w:rPr>
        <w:t xml:space="preserve"> </w:t>
      </w:r>
      <w:r>
        <w:rPr>
          <w:rFonts w:cs="Arial"/>
          <w:bCs/>
          <w:sz w:val="22"/>
        </w:rPr>
        <w:t>15</w:t>
      </w:r>
      <w:r w:rsidRPr="00236DB3">
        <w:rPr>
          <w:rFonts w:cs="Arial"/>
          <w:bCs/>
          <w:sz w:val="22"/>
          <w:vertAlign w:val="superscript"/>
        </w:rPr>
        <w:t>th</w:t>
      </w:r>
      <w:r>
        <w:rPr>
          <w:rFonts w:cs="Arial"/>
          <w:bCs/>
          <w:sz w:val="22"/>
        </w:rPr>
        <w:t xml:space="preserve"> – 19</w:t>
      </w:r>
      <w:r w:rsidRPr="00236DB3">
        <w:rPr>
          <w:rFonts w:cs="Arial"/>
          <w:bCs/>
          <w:sz w:val="22"/>
          <w:vertAlign w:val="superscript"/>
        </w:rPr>
        <w:t>th</w:t>
      </w:r>
      <w:r>
        <w:rPr>
          <w:rFonts w:cs="Arial"/>
          <w:bCs/>
          <w:sz w:val="22"/>
        </w:rPr>
        <w:t xml:space="preserve"> May</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A601EF" w:rsidRPr="00A601EF">
        <w:rPr>
          <w:sz w:val="22"/>
          <w:szCs w:val="22"/>
        </w:rPr>
        <w:t>NR HARQ-ACK multiplexing</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236DB3">
        <w:rPr>
          <w:sz w:val="22"/>
          <w:szCs w:val="22"/>
        </w:rPr>
        <w:t>7</w:t>
      </w:r>
      <w:r w:rsidR="008C27F9">
        <w:rPr>
          <w:rFonts w:eastAsia="SimSun"/>
          <w:sz w:val="22"/>
          <w:szCs w:val="22"/>
          <w:lang w:eastAsia="zh-CN"/>
        </w:rPr>
        <w:t>.1.</w:t>
      </w:r>
      <w:r w:rsidR="003909AE">
        <w:rPr>
          <w:rFonts w:eastAsia="SimSun"/>
          <w:sz w:val="22"/>
          <w:szCs w:val="22"/>
          <w:lang w:eastAsia="zh-CN"/>
        </w:rPr>
        <w:t>3</w:t>
      </w:r>
      <w:r w:rsidR="002D6989">
        <w:rPr>
          <w:rFonts w:eastAsia="SimSun"/>
          <w:sz w:val="22"/>
          <w:szCs w:val="22"/>
          <w:lang w:eastAsia="zh-CN"/>
        </w:rPr>
        <w:t>.3.3</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241EF9" w:rsidRDefault="00D97077" w:rsidP="00423654">
      <w:pPr>
        <w:pStyle w:val="BodyText"/>
        <w:rPr>
          <w:rFonts w:eastAsia="SimSun"/>
          <w:lang w:eastAsia="zh-CN"/>
        </w:rPr>
      </w:pPr>
      <w:r>
        <w:rPr>
          <w:rFonts w:eastAsia="SimSun"/>
          <w:lang w:eastAsia="zh-CN"/>
        </w:rPr>
        <w:t xml:space="preserve">NR shall support flexible scheduling </w:t>
      </w:r>
      <w:r w:rsidR="00D34A42">
        <w:rPr>
          <w:rFonts w:eastAsia="SimSun"/>
          <w:lang w:eastAsia="zh-CN"/>
        </w:rPr>
        <w:t>of DL data transmission. This contribution discusses HARQ-ACK multiplexing in NR.</w:t>
      </w:r>
    </w:p>
    <w:p w:rsidR="009478B6" w:rsidRDefault="00F50C8B" w:rsidP="009478B6">
      <w:pPr>
        <w:pStyle w:val="Heading1"/>
      </w:pPr>
      <w:r>
        <w:t>D</w:t>
      </w:r>
      <w:r w:rsidR="00D67395">
        <w:t>iscussion</w:t>
      </w:r>
    </w:p>
    <w:p w:rsidR="00F72F00" w:rsidRDefault="00B716FB" w:rsidP="00D7653C">
      <w:pPr>
        <w:jc w:val="both"/>
        <w:rPr>
          <w:rFonts w:eastAsia="MS Mincho"/>
          <w:iCs/>
          <w:lang w:eastAsia="ja-JP"/>
        </w:rPr>
      </w:pPr>
      <w:r>
        <w:rPr>
          <w:rFonts w:eastAsia="MS Mincho"/>
          <w:iCs/>
          <w:lang w:eastAsia="ja-JP"/>
        </w:rPr>
        <w:t xml:space="preserve">In LTE </w:t>
      </w:r>
      <w:r w:rsidR="00441026">
        <w:rPr>
          <w:rFonts w:eastAsia="MS Mincho"/>
          <w:iCs/>
          <w:lang w:eastAsia="ja-JP"/>
        </w:rPr>
        <w:t>a TTI define</w:t>
      </w:r>
      <w:r w:rsidR="00D7653C">
        <w:rPr>
          <w:rFonts w:eastAsia="MS Mincho"/>
          <w:iCs/>
          <w:lang w:eastAsia="ja-JP"/>
        </w:rPr>
        <w:t>s</w:t>
      </w:r>
      <w:r w:rsidR="00441026">
        <w:rPr>
          <w:rFonts w:eastAsia="MS Mincho"/>
          <w:iCs/>
          <w:lang w:eastAsia="ja-JP"/>
        </w:rPr>
        <w:t xml:space="preserve"> the minimum transmission duration of a transport channel and </w:t>
      </w:r>
      <w:r w:rsidR="00C9672F">
        <w:rPr>
          <w:rFonts w:eastAsia="MS Mincho"/>
          <w:iCs/>
          <w:lang w:eastAsia="ja-JP"/>
        </w:rPr>
        <w:t>is</w:t>
      </w:r>
      <w:r w:rsidR="00441026">
        <w:rPr>
          <w:rFonts w:eastAsia="MS Mincho"/>
          <w:iCs/>
          <w:lang w:eastAsia="ja-JP"/>
        </w:rPr>
        <w:t xml:space="preserve"> also equivalent to a subframe</w:t>
      </w:r>
      <w:r>
        <w:rPr>
          <w:rFonts w:eastAsia="MS Mincho"/>
          <w:iCs/>
          <w:lang w:eastAsia="ja-JP"/>
        </w:rPr>
        <w:t xml:space="preserve">. In contrast NR specification shall support flexible </w:t>
      </w:r>
      <w:r w:rsidR="0036096D">
        <w:rPr>
          <w:rFonts w:eastAsia="MS Mincho"/>
          <w:iCs/>
          <w:lang w:eastAsia="ja-JP"/>
        </w:rPr>
        <w:t xml:space="preserve">DL </w:t>
      </w:r>
      <w:r>
        <w:rPr>
          <w:rFonts w:eastAsia="MS Mincho"/>
          <w:iCs/>
          <w:lang w:eastAsia="ja-JP"/>
        </w:rPr>
        <w:t>transmission durations ranging from 1 symbol to an aggregation of slots</w:t>
      </w:r>
      <w:r w:rsidR="0036096D">
        <w:rPr>
          <w:rFonts w:eastAsia="MS Mincho"/>
          <w:iCs/>
          <w:lang w:eastAsia="ja-JP"/>
        </w:rPr>
        <w:t xml:space="preserve"> for a given numerology</w:t>
      </w:r>
      <w:r>
        <w:rPr>
          <w:rFonts w:eastAsia="MS Mincho"/>
          <w:iCs/>
          <w:lang w:eastAsia="ja-JP"/>
        </w:rPr>
        <w:t>. Th</w:t>
      </w:r>
      <w:r w:rsidR="00D7653C">
        <w:rPr>
          <w:rFonts w:eastAsia="MS Mincho"/>
          <w:iCs/>
          <w:lang w:eastAsia="ja-JP"/>
        </w:rPr>
        <w:t xml:space="preserve">is is a </w:t>
      </w:r>
      <w:r>
        <w:rPr>
          <w:rFonts w:eastAsia="MS Mincho"/>
          <w:iCs/>
          <w:lang w:eastAsia="ja-JP"/>
        </w:rPr>
        <w:t>rather loose definition of a TTI, where</w:t>
      </w:r>
      <w:r w:rsidR="008D5D59">
        <w:rPr>
          <w:rFonts w:eastAsia="MS Mincho"/>
          <w:iCs/>
          <w:lang w:eastAsia="ja-JP"/>
        </w:rPr>
        <w:t>,</w:t>
      </w:r>
      <w:r>
        <w:rPr>
          <w:rFonts w:eastAsia="MS Mincho"/>
          <w:iCs/>
          <w:lang w:eastAsia="ja-JP"/>
        </w:rPr>
        <w:t xml:space="preserve"> even for a single UE</w:t>
      </w:r>
      <w:r w:rsidR="008D5D59">
        <w:rPr>
          <w:rFonts w:eastAsia="MS Mincho"/>
          <w:iCs/>
          <w:lang w:eastAsia="ja-JP"/>
        </w:rPr>
        <w:t>,</w:t>
      </w:r>
      <w:r>
        <w:rPr>
          <w:rFonts w:eastAsia="MS Mincho"/>
          <w:iCs/>
          <w:lang w:eastAsia="ja-JP"/>
        </w:rPr>
        <w:t xml:space="preserve"> different </w:t>
      </w:r>
      <w:r w:rsidR="0036096D">
        <w:rPr>
          <w:rFonts w:eastAsia="MS Mincho"/>
          <w:iCs/>
          <w:lang w:eastAsia="ja-JP"/>
        </w:rPr>
        <w:t xml:space="preserve">DL </w:t>
      </w:r>
      <w:r>
        <w:rPr>
          <w:rFonts w:eastAsia="MS Mincho"/>
          <w:iCs/>
          <w:lang w:eastAsia="ja-JP"/>
        </w:rPr>
        <w:t>data transmission durations are possible</w:t>
      </w:r>
      <w:r w:rsidR="0036096D">
        <w:rPr>
          <w:rFonts w:eastAsia="MS Mincho"/>
          <w:iCs/>
          <w:lang w:eastAsia="ja-JP"/>
        </w:rPr>
        <w:t xml:space="preserve"> for the same numerology. Therefore, NR shall support multiplexing of HARQ-ACK feedback for different TTI durations in the same UL transmission occasion. Furthermore, HARQ-ACK multiplexing shall support both TB-based and CBG-based HARQ-ACK feedback. </w:t>
      </w:r>
    </w:p>
    <w:p w:rsidR="00F72F00" w:rsidRDefault="00F72F00" w:rsidP="00D7653C">
      <w:pPr>
        <w:jc w:val="both"/>
        <w:rPr>
          <w:rFonts w:eastAsia="MS Mincho"/>
          <w:iCs/>
          <w:lang w:eastAsia="ja-JP"/>
        </w:rPr>
      </w:pPr>
    </w:p>
    <w:p w:rsidR="0036096D" w:rsidRDefault="0036096D" w:rsidP="00D7653C">
      <w:pPr>
        <w:jc w:val="both"/>
        <w:rPr>
          <w:rFonts w:eastAsia="MS Mincho"/>
          <w:iCs/>
          <w:lang w:eastAsia="ja-JP"/>
        </w:rPr>
      </w:pPr>
      <w:r>
        <w:rPr>
          <w:rFonts w:eastAsia="MS Mincho"/>
          <w:iCs/>
          <w:lang w:eastAsia="ja-JP"/>
        </w:rPr>
        <w:t xml:space="preserve">When coupled with CA and/or DC configuration, </w:t>
      </w:r>
      <w:r w:rsidR="00F72F00">
        <w:rPr>
          <w:rFonts w:eastAsia="MS Mincho"/>
          <w:iCs/>
          <w:lang w:eastAsia="ja-JP"/>
        </w:rPr>
        <w:t>NR specification should consider rules for</w:t>
      </w:r>
      <w:r>
        <w:rPr>
          <w:rFonts w:eastAsia="MS Mincho"/>
          <w:iCs/>
          <w:lang w:eastAsia="ja-JP"/>
        </w:rPr>
        <w:t xml:space="preserve">  </w:t>
      </w:r>
    </w:p>
    <w:p w:rsidR="00F72F00" w:rsidRDefault="00F72F00" w:rsidP="00F72F00">
      <w:pPr>
        <w:pStyle w:val="ListParagraph"/>
        <w:numPr>
          <w:ilvl w:val="0"/>
          <w:numId w:val="24"/>
        </w:numPr>
        <w:ind w:firstLineChars="0"/>
        <w:jc w:val="both"/>
        <w:rPr>
          <w:rFonts w:ascii="Times New Roman" w:eastAsia="MS Mincho" w:hAnsi="Times New Roman" w:cs="Times New Roman"/>
          <w:iCs/>
          <w:sz w:val="20"/>
          <w:szCs w:val="20"/>
          <w:lang w:eastAsia="ja-JP"/>
        </w:rPr>
      </w:pPr>
      <w:r>
        <w:rPr>
          <w:rFonts w:ascii="Times New Roman" w:eastAsia="MS Mincho" w:hAnsi="Times New Roman" w:cs="Times New Roman"/>
          <w:iCs/>
          <w:sz w:val="20"/>
          <w:szCs w:val="20"/>
          <w:lang w:eastAsia="ja-JP"/>
        </w:rPr>
        <w:t>HARQ-ACK m</w:t>
      </w:r>
      <w:r w:rsidRPr="00F72F00">
        <w:rPr>
          <w:rFonts w:ascii="Times New Roman" w:eastAsia="MS Mincho" w:hAnsi="Times New Roman" w:cs="Times New Roman"/>
          <w:iCs/>
          <w:sz w:val="20"/>
          <w:szCs w:val="20"/>
          <w:lang w:eastAsia="ja-JP"/>
        </w:rPr>
        <w:t xml:space="preserve">ultiplexing </w:t>
      </w:r>
      <w:r>
        <w:rPr>
          <w:rFonts w:ascii="Times New Roman" w:eastAsia="MS Mincho" w:hAnsi="Times New Roman" w:cs="Times New Roman"/>
          <w:iCs/>
          <w:sz w:val="20"/>
          <w:szCs w:val="20"/>
          <w:lang w:eastAsia="ja-JP"/>
        </w:rPr>
        <w:t xml:space="preserve">for </w:t>
      </w:r>
      <w:r w:rsidRPr="00F72F00">
        <w:rPr>
          <w:rFonts w:ascii="Times New Roman" w:eastAsia="MS Mincho" w:hAnsi="Times New Roman" w:cs="Times New Roman"/>
          <w:iCs/>
          <w:sz w:val="20"/>
          <w:szCs w:val="20"/>
          <w:lang w:eastAsia="ja-JP"/>
        </w:rPr>
        <w:t>TBs and/or CBGs associated with a single DL TTI</w:t>
      </w:r>
    </w:p>
    <w:p w:rsidR="00F72F00" w:rsidRDefault="00F72F00" w:rsidP="00F72F00">
      <w:pPr>
        <w:pStyle w:val="ListParagraph"/>
        <w:numPr>
          <w:ilvl w:val="0"/>
          <w:numId w:val="24"/>
        </w:numPr>
        <w:ind w:firstLineChars="0"/>
        <w:jc w:val="both"/>
        <w:rPr>
          <w:rFonts w:ascii="Times New Roman" w:eastAsia="MS Mincho" w:hAnsi="Times New Roman" w:cs="Times New Roman"/>
          <w:iCs/>
          <w:sz w:val="20"/>
          <w:szCs w:val="20"/>
          <w:lang w:eastAsia="ja-JP"/>
        </w:rPr>
      </w:pPr>
      <w:r>
        <w:rPr>
          <w:rFonts w:ascii="Times New Roman" w:eastAsia="MS Mincho" w:hAnsi="Times New Roman" w:cs="Times New Roman"/>
          <w:iCs/>
          <w:sz w:val="20"/>
          <w:szCs w:val="20"/>
          <w:lang w:eastAsia="ja-JP"/>
        </w:rPr>
        <w:t>HARQ-ACK multiplexing of one or more DL TTIs in a single PUCCH/PUSCH</w:t>
      </w:r>
    </w:p>
    <w:p w:rsidR="00F72F00" w:rsidRDefault="00F72F00" w:rsidP="00F72F00">
      <w:pPr>
        <w:pStyle w:val="ListParagraph"/>
        <w:numPr>
          <w:ilvl w:val="0"/>
          <w:numId w:val="24"/>
        </w:numPr>
        <w:ind w:firstLineChars="0"/>
        <w:jc w:val="both"/>
        <w:rPr>
          <w:rFonts w:ascii="Times New Roman" w:eastAsia="MS Mincho" w:hAnsi="Times New Roman" w:cs="Times New Roman"/>
          <w:iCs/>
          <w:sz w:val="20"/>
          <w:szCs w:val="20"/>
          <w:lang w:eastAsia="ja-JP"/>
        </w:rPr>
      </w:pPr>
      <w:r>
        <w:rPr>
          <w:rFonts w:ascii="Times New Roman" w:eastAsia="MS Mincho" w:hAnsi="Times New Roman" w:cs="Times New Roman"/>
          <w:iCs/>
          <w:sz w:val="20"/>
          <w:szCs w:val="20"/>
          <w:lang w:eastAsia="ja-JP"/>
        </w:rPr>
        <w:t xml:space="preserve">HARQ-ACK multiplexing of DL TTIs scheduled in one or more configured serving cells </w:t>
      </w:r>
      <w:r w:rsidRPr="00F72F00">
        <w:rPr>
          <w:rFonts w:ascii="Times New Roman" w:eastAsia="MS Mincho" w:hAnsi="Times New Roman" w:cs="Times New Roman"/>
          <w:iCs/>
          <w:sz w:val="20"/>
          <w:szCs w:val="20"/>
          <w:lang w:eastAsia="ja-JP"/>
        </w:rPr>
        <w:t xml:space="preserve"> </w:t>
      </w:r>
    </w:p>
    <w:p w:rsidR="00D67395" w:rsidRDefault="00D67395" w:rsidP="00F72F00">
      <w:pPr>
        <w:pStyle w:val="BodyText"/>
        <w:rPr>
          <w:iCs/>
          <w:lang w:eastAsia="ja-JP"/>
        </w:rPr>
      </w:pPr>
    </w:p>
    <w:p w:rsidR="00F72F00" w:rsidRDefault="00F72F00" w:rsidP="00F72F00">
      <w:pPr>
        <w:pStyle w:val="BodyText"/>
        <w:rPr>
          <w:lang w:eastAsia="zh-CN"/>
        </w:rPr>
      </w:pPr>
      <w:r>
        <w:rPr>
          <w:iCs/>
          <w:lang w:eastAsia="ja-JP"/>
        </w:rPr>
        <w:t>A unified HARQ-ACK multiplexing scheme is desired to handle all cases. For instance HARQ-ACK ordering across different TTI durations, numerologies and serving cells should be specified. It has been agreed that polar coding shall be used for UCI payloads greater than 11 bits, while RM block code is used between 3 and 11 bits. Similarly to TBCC in LTE, dynamic codebook adaptation is preferable for large payloads. T</w:t>
      </w:r>
      <w:r w:rsidR="009D298D">
        <w:rPr>
          <w:iCs/>
          <w:lang w:eastAsia="ja-JP"/>
        </w:rPr>
        <w:t>h</w:t>
      </w:r>
      <w:r>
        <w:rPr>
          <w:iCs/>
          <w:lang w:eastAsia="ja-JP"/>
        </w:rPr>
        <w:t xml:space="preserve">is </w:t>
      </w:r>
      <w:r w:rsidR="0028158A">
        <w:rPr>
          <w:iCs/>
          <w:lang w:eastAsia="ja-JP"/>
        </w:rPr>
        <w:t>may</w:t>
      </w:r>
      <w:r>
        <w:rPr>
          <w:iCs/>
          <w:lang w:eastAsia="ja-JP"/>
        </w:rPr>
        <w:t xml:space="preserve"> require the same concepts of a counter DAI and total DAI to ensure alignment between gNB and UE on the expected HARQ-ACK payload. </w:t>
      </w:r>
    </w:p>
    <w:p w:rsidR="00FC6C5D" w:rsidRDefault="009D298D" w:rsidP="00F50C8B">
      <w:pPr>
        <w:rPr>
          <w:b/>
        </w:rPr>
      </w:pPr>
      <w:r>
        <w:rPr>
          <w:b/>
        </w:rPr>
        <w:t>Proposal: NR specifies a generic HARQ-ACK multiplexing mechanism that enables HARQ-ACK multiplexing associated with DL transmission of different TTI durations, different numerologies and one or more serving cells.</w:t>
      </w:r>
    </w:p>
    <w:p w:rsidR="0028158A" w:rsidRDefault="0028158A" w:rsidP="00F50C8B">
      <w:pPr>
        <w:rPr>
          <w:b/>
        </w:rPr>
      </w:pPr>
    </w:p>
    <w:p w:rsidR="0028158A" w:rsidRPr="0028158A" w:rsidRDefault="0028158A" w:rsidP="00F50C8B">
      <w:r w:rsidRPr="0028158A">
        <w:t>I</w:t>
      </w:r>
      <w:r>
        <w:t>n</w:t>
      </w:r>
      <w:r w:rsidRPr="0028158A">
        <w:t xml:space="preserve"> addition multiplexing of HARQ-ACK and data on PUSCH should also be considered as discussed in </w:t>
      </w:r>
      <w:r w:rsidR="00424B8A">
        <w:fldChar w:fldCharType="begin"/>
      </w:r>
      <w:r>
        <w:instrText xml:space="preserve"> REF _Ref481675698 \n \h </w:instrText>
      </w:r>
      <w:r w:rsidR="00424B8A">
        <w:fldChar w:fldCharType="separate"/>
      </w:r>
      <w:r>
        <w:t>[1]</w:t>
      </w:r>
      <w:r w:rsidR="00424B8A">
        <w:fldChar w:fldCharType="end"/>
      </w:r>
      <w:r w:rsidRPr="0028158A">
        <w:t xml:space="preserve">. </w:t>
      </w:r>
    </w:p>
    <w:p w:rsidR="005935B8" w:rsidRDefault="00830F4E" w:rsidP="005725F7">
      <w:pPr>
        <w:pStyle w:val="Heading1"/>
        <w:jc w:val="both"/>
      </w:pPr>
      <w:r w:rsidRPr="0052231C">
        <w:rPr>
          <w:rFonts w:hint="eastAsia"/>
        </w:rPr>
        <w:t>Conclusion</w:t>
      </w:r>
    </w:p>
    <w:p w:rsidR="00A64FFD" w:rsidRDefault="00C22604" w:rsidP="00D67395">
      <w:pPr>
        <w:pStyle w:val="BodyText"/>
        <w:ind w:left="-2"/>
        <w:rPr>
          <w:rFonts w:eastAsia="SimSun"/>
          <w:lang w:eastAsia="zh-CN"/>
        </w:rPr>
      </w:pPr>
      <w:r>
        <w:rPr>
          <w:rFonts w:eastAsia="SimSun"/>
          <w:lang w:eastAsia="zh-CN"/>
        </w:rPr>
        <w:t>This contributio</w:t>
      </w:r>
      <w:r w:rsidR="008B0372">
        <w:rPr>
          <w:rFonts w:eastAsia="SimSun"/>
          <w:lang w:eastAsia="zh-CN"/>
        </w:rPr>
        <w:t xml:space="preserve">n provided </w:t>
      </w:r>
      <w:r w:rsidR="009D298D">
        <w:rPr>
          <w:rFonts w:eastAsia="SimSun"/>
          <w:lang w:eastAsia="zh-CN"/>
        </w:rPr>
        <w:t>some views on HARQ-ACK multiplexing in NR. In summary, we propose that</w:t>
      </w:r>
      <w:r w:rsidR="008B0372">
        <w:rPr>
          <w:rFonts w:eastAsia="SimSun"/>
          <w:lang w:eastAsia="zh-CN"/>
        </w:rPr>
        <w:t>:</w:t>
      </w:r>
    </w:p>
    <w:p w:rsidR="008B0372" w:rsidRDefault="008B0372" w:rsidP="008B0372">
      <w:pPr>
        <w:pStyle w:val="BodyText"/>
        <w:rPr>
          <w:lang w:eastAsia="zh-CN"/>
        </w:rPr>
      </w:pPr>
      <w:r w:rsidRPr="00D7653C">
        <w:rPr>
          <w:b/>
          <w:lang w:eastAsia="zh-CN"/>
        </w:rPr>
        <w:t>Proposal</w:t>
      </w:r>
      <w:r>
        <w:rPr>
          <w:b/>
          <w:lang w:eastAsia="zh-CN"/>
        </w:rPr>
        <w:t xml:space="preserve"> 1</w:t>
      </w:r>
      <w:r>
        <w:rPr>
          <w:lang w:eastAsia="zh-CN"/>
        </w:rPr>
        <w:t xml:space="preserve">: </w:t>
      </w:r>
      <w:r w:rsidR="009D298D">
        <w:rPr>
          <w:b/>
        </w:rPr>
        <w:t>NR specifies a generic HARQ-ACK multiplexing mechanism that enables HARQ-ACK multiplexing associated with DL transmission of different TTI durations, different numerologies and one or more serving cells.</w:t>
      </w:r>
    </w:p>
    <w:p w:rsidR="00054B92" w:rsidRPr="00DE501E" w:rsidRDefault="00054B92" w:rsidP="00DE501E">
      <w:pPr>
        <w:pStyle w:val="BodyText"/>
        <w:rPr>
          <w:rFonts w:eastAsia="SimSun"/>
          <w:b/>
          <w:lang w:eastAsia="zh-CN"/>
        </w:rPr>
      </w:pPr>
    </w:p>
    <w:p w:rsidR="00830F4E" w:rsidRPr="0052231C" w:rsidRDefault="00830F4E" w:rsidP="00E9523A">
      <w:pPr>
        <w:pStyle w:val="Heading1"/>
      </w:pPr>
      <w:r w:rsidRPr="0052231C">
        <w:t>References</w:t>
      </w:r>
    </w:p>
    <w:p w:rsidR="005F793B" w:rsidRDefault="00B36BFA" w:rsidP="00B36BFA">
      <w:pPr>
        <w:pStyle w:val="BodyText"/>
        <w:numPr>
          <w:ilvl w:val="1"/>
          <w:numId w:val="1"/>
        </w:numPr>
        <w:tabs>
          <w:tab w:val="clear" w:pos="1545"/>
          <w:tab w:val="left" w:pos="0"/>
          <w:tab w:val="left" w:pos="540"/>
        </w:tabs>
        <w:ind w:left="540" w:hangingChars="270" w:hanging="540"/>
        <w:rPr>
          <w:rFonts w:eastAsia="SimSun"/>
          <w:noProof/>
          <w:lang w:eastAsia="zh-CN"/>
        </w:rPr>
      </w:pPr>
      <w:bookmarkStart w:id="3" w:name="_Ref481506070"/>
      <w:bookmarkStart w:id="4" w:name="_Ref481675698"/>
      <w:r>
        <w:rPr>
          <w:rFonts w:eastAsia="SimSun"/>
          <w:noProof/>
          <w:lang w:eastAsia="zh-CN"/>
        </w:rPr>
        <w:t>R1-170</w:t>
      </w:r>
      <w:r w:rsidR="0028158A">
        <w:rPr>
          <w:rFonts w:eastAsia="SimSun"/>
          <w:noProof/>
          <w:lang w:eastAsia="zh-CN"/>
        </w:rPr>
        <w:t>7507</w:t>
      </w:r>
      <w:r>
        <w:rPr>
          <w:rFonts w:eastAsia="SimSun"/>
          <w:noProof/>
          <w:lang w:eastAsia="zh-CN"/>
        </w:rPr>
        <w:t>, “</w:t>
      </w:r>
      <w:r w:rsidR="0028158A" w:rsidRPr="0028158A">
        <w:rPr>
          <w:rFonts w:eastAsia="SimSun"/>
          <w:noProof/>
          <w:lang w:eastAsia="zh-CN"/>
        </w:rPr>
        <w:t>Multiplexing of UCI and UL data</w:t>
      </w:r>
      <w:r>
        <w:rPr>
          <w:rFonts w:eastAsia="SimSun"/>
          <w:noProof/>
          <w:lang w:eastAsia="zh-CN"/>
        </w:rPr>
        <w:t xml:space="preserve">”, </w:t>
      </w:r>
      <w:r w:rsidR="0028158A">
        <w:rPr>
          <w:rFonts w:eastAsia="SimSun"/>
          <w:noProof/>
          <w:lang w:eastAsia="zh-CN"/>
        </w:rPr>
        <w:t xml:space="preserve">CATT, </w:t>
      </w:r>
      <w:r w:rsidR="0079130D">
        <w:rPr>
          <w:rFonts w:eastAsia="SimSun"/>
          <w:noProof/>
          <w:lang w:eastAsia="zh-CN"/>
        </w:rPr>
        <w:t>RAN1</w:t>
      </w:r>
      <w:r>
        <w:rPr>
          <w:rFonts w:eastAsia="SimSun"/>
          <w:noProof/>
          <w:lang w:eastAsia="zh-CN"/>
        </w:rPr>
        <w:t xml:space="preserve"> #8</w:t>
      </w:r>
      <w:bookmarkEnd w:id="3"/>
      <w:r w:rsidR="0028158A">
        <w:rPr>
          <w:rFonts w:eastAsia="SimSun"/>
          <w:noProof/>
          <w:lang w:eastAsia="zh-CN"/>
        </w:rPr>
        <w:t>9</w:t>
      </w:r>
      <w:bookmarkEnd w:id="4"/>
    </w:p>
    <w:sectPr w:rsidR="005F793B"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5CAF" w:rsidRDefault="009F5CAF" w:rsidP="00E9523A">
      <w:pPr>
        <w:ind w:left="-2"/>
      </w:pPr>
      <w:r>
        <w:separator/>
      </w:r>
    </w:p>
  </w:endnote>
  <w:endnote w:type="continuationSeparator" w:id="1">
    <w:p w:rsidR="009F5CAF" w:rsidRDefault="009F5CAF"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5CAF" w:rsidRDefault="009F5CAF" w:rsidP="00E9523A">
      <w:pPr>
        <w:ind w:left="-2"/>
      </w:pPr>
      <w:r>
        <w:separator/>
      </w:r>
    </w:p>
  </w:footnote>
  <w:footnote w:type="continuationSeparator" w:id="1">
    <w:p w:rsidR="009F5CAF" w:rsidRDefault="009F5CAF"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913" w:rsidRPr="001A329E" w:rsidRDefault="0034791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3">
    <w:nsid w:val="0B766F39"/>
    <w:multiLevelType w:val="hybridMultilevel"/>
    <w:tmpl w:val="55E8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164517"/>
    <w:multiLevelType w:val="hybridMultilevel"/>
    <w:tmpl w:val="984C2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nsid w:val="2BA62A9D"/>
    <w:multiLevelType w:val="hybridMultilevel"/>
    <w:tmpl w:val="224A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26736E"/>
    <w:multiLevelType w:val="hybridMultilevel"/>
    <w:tmpl w:val="05060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4">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
    <w:nsid w:val="5A15260D"/>
    <w:multiLevelType w:val="hybridMultilevel"/>
    <w:tmpl w:val="01080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6D712D"/>
    <w:multiLevelType w:val="hybridMultilevel"/>
    <w:tmpl w:val="15CA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B332E43"/>
    <w:multiLevelType w:val="hybridMultilevel"/>
    <w:tmpl w:val="F210E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0"/>
  </w:num>
  <w:num w:numId="4">
    <w:abstractNumId w:val="17"/>
  </w:num>
  <w:num w:numId="5">
    <w:abstractNumId w:val="9"/>
  </w:num>
  <w:num w:numId="6">
    <w:abstractNumId w:val="14"/>
  </w:num>
  <w:num w:numId="7">
    <w:abstractNumId w:val="1"/>
  </w:num>
  <w:num w:numId="8">
    <w:abstractNumId w:val="21"/>
  </w:num>
  <w:num w:numId="9">
    <w:abstractNumId w:val="4"/>
  </w:num>
  <w:num w:numId="10">
    <w:abstractNumId w:val="11"/>
  </w:num>
  <w:num w:numId="11">
    <w:abstractNumId w:val="20"/>
  </w:num>
  <w:num w:numId="12">
    <w:abstractNumId w:val="8"/>
  </w:num>
  <w:num w:numId="13">
    <w:abstractNumId w:val="22"/>
  </w:num>
  <w:num w:numId="14">
    <w:abstractNumId w:val="15"/>
  </w:num>
  <w:num w:numId="15">
    <w:abstractNumId w:val="6"/>
  </w:num>
  <w:num w:numId="16">
    <w:abstractNumId w:val="7"/>
  </w:num>
  <w:num w:numId="17">
    <w:abstractNumId w:val="2"/>
  </w:num>
  <w:num w:numId="18">
    <w:abstractNumId w:val="13"/>
  </w:num>
  <w:num w:numId="19">
    <w:abstractNumId w:val="19"/>
  </w:num>
  <w:num w:numId="20">
    <w:abstractNumId w:val="3"/>
  </w:num>
  <w:num w:numId="21">
    <w:abstractNumId w:val="23"/>
  </w:num>
  <w:num w:numId="22">
    <w:abstractNumId w:val="18"/>
  </w:num>
  <w:num w:numId="23">
    <w:abstractNumId w:val="12"/>
  </w:num>
  <w:num w:numId="24">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19490"/>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4DB"/>
    <w:rsid w:val="00085080"/>
    <w:rsid w:val="0008531E"/>
    <w:rsid w:val="0008560C"/>
    <w:rsid w:val="00086060"/>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581"/>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481"/>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1F3"/>
    <w:rsid w:val="00146D1F"/>
    <w:rsid w:val="0014761F"/>
    <w:rsid w:val="00150A7E"/>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AF"/>
    <w:rsid w:val="00207CDE"/>
    <w:rsid w:val="0021051F"/>
    <w:rsid w:val="0021085E"/>
    <w:rsid w:val="00210977"/>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40083"/>
    <w:rsid w:val="00240A74"/>
    <w:rsid w:val="00240E71"/>
    <w:rsid w:val="00241EF9"/>
    <w:rsid w:val="00242455"/>
    <w:rsid w:val="00242D34"/>
    <w:rsid w:val="00244BBA"/>
    <w:rsid w:val="00244ED4"/>
    <w:rsid w:val="002453DC"/>
    <w:rsid w:val="00245785"/>
    <w:rsid w:val="00245ADF"/>
    <w:rsid w:val="002462C7"/>
    <w:rsid w:val="002465F1"/>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58A"/>
    <w:rsid w:val="00281720"/>
    <w:rsid w:val="002818C9"/>
    <w:rsid w:val="00282E37"/>
    <w:rsid w:val="002835E6"/>
    <w:rsid w:val="002838FF"/>
    <w:rsid w:val="00285986"/>
    <w:rsid w:val="00285A60"/>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160"/>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989"/>
    <w:rsid w:val="002D6CA7"/>
    <w:rsid w:val="002D6D27"/>
    <w:rsid w:val="002D7310"/>
    <w:rsid w:val="002D7406"/>
    <w:rsid w:val="002D7918"/>
    <w:rsid w:val="002E0A17"/>
    <w:rsid w:val="002E0E29"/>
    <w:rsid w:val="002E0E81"/>
    <w:rsid w:val="002E0F24"/>
    <w:rsid w:val="002E1D6F"/>
    <w:rsid w:val="002E1F7B"/>
    <w:rsid w:val="002E4D82"/>
    <w:rsid w:val="002E608C"/>
    <w:rsid w:val="002E7E65"/>
    <w:rsid w:val="002F0B10"/>
    <w:rsid w:val="002F1387"/>
    <w:rsid w:val="002F1494"/>
    <w:rsid w:val="002F2D60"/>
    <w:rsid w:val="002F2E5B"/>
    <w:rsid w:val="002F32C0"/>
    <w:rsid w:val="002F355D"/>
    <w:rsid w:val="002F35D5"/>
    <w:rsid w:val="002F378F"/>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96D"/>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3654"/>
    <w:rsid w:val="004241FE"/>
    <w:rsid w:val="00424B8A"/>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026"/>
    <w:rsid w:val="0044171D"/>
    <w:rsid w:val="00442798"/>
    <w:rsid w:val="00442D73"/>
    <w:rsid w:val="004431DC"/>
    <w:rsid w:val="004433A4"/>
    <w:rsid w:val="00443DD8"/>
    <w:rsid w:val="004440E2"/>
    <w:rsid w:val="004445B2"/>
    <w:rsid w:val="00444964"/>
    <w:rsid w:val="004454AC"/>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293"/>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5655"/>
    <w:rsid w:val="004A6474"/>
    <w:rsid w:val="004A6F61"/>
    <w:rsid w:val="004A7649"/>
    <w:rsid w:val="004A7AF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90A7C"/>
    <w:rsid w:val="00591438"/>
    <w:rsid w:val="00591D59"/>
    <w:rsid w:val="00593170"/>
    <w:rsid w:val="005935B8"/>
    <w:rsid w:val="0059378E"/>
    <w:rsid w:val="00593E55"/>
    <w:rsid w:val="00595A42"/>
    <w:rsid w:val="0059687A"/>
    <w:rsid w:val="0059699D"/>
    <w:rsid w:val="00597704"/>
    <w:rsid w:val="00597BB3"/>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65"/>
    <w:rsid w:val="005D47C0"/>
    <w:rsid w:val="005D5A59"/>
    <w:rsid w:val="005D5F6B"/>
    <w:rsid w:val="005D60A4"/>
    <w:rsid w:val="005D62A3"/>
    <w:rsid w:val="005D641E"/>
    <w:rsid w:val="005E14A9"/>
    <w:rsid w:val="005E14DA"/>
    <w:rsid w:val="005E591D"/>
    <w:rsid w:val="005E5F9E"/>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158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1BAB"/>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281A"/>
    <w:rsid w:val="007136AE"/>
    <w:rsid w:val="0071380F"/>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53"/>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30D"/>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509"/>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4D1F"/>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7C"/>
    <w:rsid w:val="008423AA"/>
    <w:rsid w:val="00842579"/>
    <w:rsid w:val="008431F2"/>
    <w:rsid w:val="00843312"/>
    <w:rsid w:val="00843F5D"/>
    <w:rsid w:val="00844ED2"/>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B0372"/>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5D59"/>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F2F"/>
    <w:rsid w:val="00950FDB"/>
    <w:rsid w:val="009510C1"/>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2897"/>
    <w:rsid w:val="00963028"/>
    <w:rsid w:val="00963599"/>
    <w:rsid w:val="009647D5"/>
    <w:rsid w:val="009649D0"/>
    <w:rsid w:val="00965B65"/>
    <w:rsid w:val="0096666F"/>
    <w:rsid w:val="00966D29"/>
    <w:rsid w:val="0096756E"/>
    <w:rsid w:val="009679BB"/>
    <w:rsid w:val="00970382"/>
    <w:rsid w:val="00970939"/>
    <w:rsid w:val="009709E6"/>
    <w:rsid w:val="00971E54"/>
    <w:rsid w:val="009723FC"/>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78C"/>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651"/>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298D"/>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AF"/>
    <w:rsid w:val="009F5CC2"/>
    <w:rsid w:val="009F5ED9"/>
    <w:rsid w:val="009F6206"/>
    <w:rsid w:val="009F6336"/>
    <w:rsid w:val="009F7BFF"/>
    <w:rsid w:val="00A00291"/>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CBA"/>
    <w:rsid w:val="00A504E4"/>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EAB"/>
    <w:rsid w:val="00A601EF"/>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57B"/>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16FB"/>
    <w:rsid w:val="00B73755"/>
    <w:rsid w:val="00B7386B"/>
    <w:rsid w:val="00B73D59"/>
    <w:rsid w:val="00B74043"/>
    <w:rsid w:val="00B746AE"/>
    <w:rsid w:val="00B7622A"/>
    <w:rsid w:val="00B76724"/>
    <w:rsid w:val="00B76A5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201"/>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5CC1"/>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05B9"/>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D72"/>
    <w:rsid w:val="00C40E29"/>
    <w:rsid w:val="00C40F97"/>
    <w:rsid w:val="00C41527"/>
    <w:rsid w:val="00C41E6C"/>
    <w:rsid w:val="00C42FB8"/>
    <w:rsid w:val="00C431A1"/>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72F"/>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B7BB4"/>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5B8"/>
    <w:rsid w:val="00CF0A2F"/>
    <w:rsid w:val="00CF117D"/>
    <w:rsid w:val="00CF13F3"/>
    <w:rsid w:val="00CF1B3D"/>
    <w:rsid w:val="00CF38B0"/>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4A42"/>
    <w:rsid w:val="00D35B2F"/>
    <w:rsid w:val="00D36E52"/>
    <w:rsid w:val="00D37A1C"/>
    <w:rsid w:val="00D413A7"/>
    <w:rsid w:val="00D4264C"/>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395"/>
    <w:rsid w:val="00D67AF4"/>
    <w:rsid w:val="00D724D0"/>
    <w:rsid w:val="00D7328D"/>
    <w:rsid w:val="00D74FD0"/>
    <w:rsid w:val="00D763D4"/>
    <w:rsid w:val="00D7653C"/>
    <w:rsid w:val="00D774E8"/>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97077"/>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400"/>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523A"/>
    <w:rsid w:val="00E95459"/>
    <w:rsid w:val="00E979A6"/>
    <w:rsid w:val="00E97FF0"/>
    <w:rsid w:val="00EA0118"/>
    <w:rsid w:val="00EA20BF"/>
    <w:rsid w:val="00EA2499"/>
    <w:rsid w:val="00EA2EF6"/>
    <w:rsid w:val="00EA33DE"/>
    <w:rsid w:val="00EA3B65"/>
    <w:rsid w:val="00EA41A2"/>
    <w:rsid w:val="00EA4C53"/>
    <w:rsid w:val="00EA59C5"/>
    <w:rsid w:val="00EA5F68"/>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5E32"/>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1595"/>
    <w:rsid w:val="00F422D7"/>
    <w:rsid w:val="00F43DC1"/>
    <w:rsid w:val="00F4421C"/>
    <w:rsid w:val="00F44411"/>
    <w:rsid w:val="00F44F8A"/>
    <w:rsid w:val="00F45F0C"/>
    <w:rsid w:val="00F46DE7"/>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00"/>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521E"/>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9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003A9-FB03-48E0-97ED-46F00E48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396</Words>
  <Characters>2261</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8</cp:revision>
  <dcterms:created xsi:type="dcterms:W3CDTF">2017-05-04T19:09:00Z</dcterms:created>
  <dcterms:modified xsi:type="dcterms:W3CDTF">2017-05-05T22:57:00Z</dcterms:modified>
</cp:coreProperties>
</file>