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16BF7" w14:textId="6403F6E2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r w:rsidRPr="00446F9D">
        <w:t>TSG-RAN WG1</w:t>
      </w:r>
      <w:r w:rsidR="006556BF">
        <w:t>#88bis</w:t>
      </w:r>
      <w:r w:rsidRPr="00446F9D">
        <w:tab/>
      </w:r>
      <w:r w:rsidR="007D497C" w:rsidRPr="007D497C">
        <w:t>R1-1705777</w:t>
      </w:r>
      <w:bookmarkStart w:id="0" w:name="_GoBack"/>
      <w:bookmarkEnd w:id="0"/>
    </w:p>
    <w:p w14:paraId="4587AF62" w14:textId="2740D6E7" w:rsidR="00A85E54" w:rsidRPr="000833FA" w:rsidRDefault="00543494" w:rsidP="00A85E54">
      <w:pPr>
        <w:pStyle w:val="Header"/>
        <w:rPr>
          <w:color w:val="000000"/>
        </w:rPr>
      </w:pPr>
      <w:r>
        <w:t>Spokane, WA</w:t>
      </w:r>
      <w:r w:rsidR="00D11960">
        <w:t>, USA</w:t>
      </w:r>
      <w:r w:rsidR="0056282E">
        <w:t xml:space="preserve">, </w:t>
      </w:r>
      <w:r w:rsidR="006556BF">
        <w:t>April 3 – 7, 2017</w:t>
      </w:r>
    </w:p>
    <w:p w14:paraId="0160157A" w14:textId="77777777" w:rsidR="00A85E54" w:rsidRPr="000833FA" w:rsidRDefault="00A85E54" w:rsidP="00A85E54">
      <w:pPr>
        <w:pStyle w:val="Header"/>
      </w:pPr>
    </w:p>
    <w:p w14:paraId="5E2498C0" w14:textId="76E97D9B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F2599F">
        <w:t>, ZTE</w:t>
      </w:r>
    </w:p>
    <w:p w14:paraId="3D04D6C4" w14:textId="3854114D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6556BF">
        <w:t>On slot and mini-slot description</w:t>
      </w:r>
    </w:p>
    <w:p w14:paraId="7DAFFA69" w14:textId="75DC2A2B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565AF1">
        <w:t>8.1.3.1.5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A1B9FCF" w14:textId="68817AB1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4A4CC4F2" w14:textId="1A146FA4" w:rsidR="0023314F" w:rsidRDefault="006556BF" w:rsidP="0023314F">
      <w:pPr>
        <w:pStyle w:val="BodyText"/>
      </w:pPr>
      <w:r>
        <w:t>RAN1 has agreed to support slot and mini-slot based transmissions. In this contribution we discuss how to capture these agreements in the specifications.</w:t>
      </w:r>
    </w:p>
    <w:p w14:paraId="643B3910" w14:textId="5CAD7AFF" w:rsidR="000A74B8" w:rsidRDefault="000A74B8" w:rsidP="000A74B8">
      <w:pPr>
        <w:pStyle w:val="Heading1"/>
      </w:pPr>
      <w:r>
        <w:t>Structure of slot-based and mini-slot-based transmission</w:t>
      </w:r>
    </w:p>
    <w:p w14:paraId="2792A5D7" w14:textId="4F5B5DE3" w:rsidR="000A74B8" w:rsidRDefault="00D650BD" w:rsidP="000A74B8">
      <w:pPr>
        <w:pStyle w:val="BodyText"/>
      </w:pPr>
      <w:r>
        <w:t xml:space="preserve">The general time-domain structure of slot-based transmissions in the downlink according to the RAN1 agreements is illustrated in a simplified form at the top of </w:t>
      </w:r>
      <w:r>
        <w:fldChar w:fldCharType="begin"/>
      </w:r>
      <w:r>
        <w:instrText xml:space="preserve"> REF _Ref476844631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. Control signaling is located at the beginning, followed by DM-RS and data transmissions (the possibility to frequency-multiplex e.g. control and data is ignored to simplify the figure). </w:t>
      </w:r>
      <w:r w:rsidR="000A74B8">
        <w:t xml:space="preserve">Note that even slot-based transmissions </w:t>
      </w:r>
      <w:r>
        <w:t xml:space="preserve">often </w:t>
      </w:r>
      <w:r w:rsidR="000A74B8">
        <w:t>do not completely fill a slot. For example, a downlink slot typically leaves the last couple of OF</w:t>
      </w:r>
      <w:r>
        <w:t>D</w:t>
      </w:r>
      <w:r w:rsidR="000A74B8">
        <w:t>M symbols empty in order to leave room for the guard period and transmission of uplink control signaling.</w:t>
      </w:r>
    </w:p>
    <w:p w14:paraId="7F2DB22A" w14:textId="3D194715" w:rsidR="00D650BD" w:rsidRPr="00726C96" w:rsidRDefault="00D650BD" w:rsidP="000A74B8">
      <w:pPr>
        <w:pStyle w:val="BodyText"/>
      </w:pPr>
      <w:r>
        <w:t>A mini-slot-based transmission can follow the same general structure</w:t>
      </w:r>
      <w:r w:rsidR="00CE1E70">
        <w:t xml:space="preserve"> with </w:t>
      </w:r>
      <w:r>
        <w:t xml:space="preserve">a mini-slot </w:t>
      </w:r>
      <w:r w:rsidR="00CE1E70">
        <w:t>being</w:t>
      </w:r>
      <w:r w:rsidR="00A677A0">
        <w:t xml:space="preserve"> a ‘truncated’ version of a slot-based transmission.</w:t>
      </w:r>
      <w:r w:rsidR="00726C96">
        <w:t xml:space="preserve"> In other words, a mini-slot of length </w:t>
      </w:r>
      <w:r w:rsidR="00726C96">
        <w:rPr>
          <w:i/>
        </w:rPr>
        <w:t>k</w:t>
      </w:r>
      <w:r w:rsidR="00726C96">
        <w:t xml:space="preserve"> has the same structure as the first </w:t>
      </w:r>
      <w:r w:rsidR="00726C96">
        <w:rPr>
          <w:i/>
        </w:rPr>
        <w:t>k</w:t>
      </w:r>
      <w:r w:rsidR="00726C96">
        <w:t xml:space="preserve"> symbols of a regular slot, see </w:t>
      </w:r>
      <w:r w:rsidR="00726C96">
        <w:fldChar w:fldCharType="begin"/>
      </w:r>
      <w:r w:rsidR="00726C96">
        <w:instrText xml:space="preserve"> REF _Ref477344174 \h </w:instrText>
      </w:r>
      <w:r w:rsidR="00726C96">
        <w:fldChar w:fldCharType="separate"/>
      </w:r>
      <w:r w:rsidR="00726C96">
        <w:t xml:space="preserve">Figure </w:t>
      </w:r>
      <w:r w:rsidR="00726C96">
        <w:rPr>
          <w:noProof/>
        </w:rPr>
        <w:t>3</w:t>
      </w:r>
      <w:r w:rsidR="00726C96">
        <w:fldChar w:fldCharType="end"/>
      </w:r>
      <w:r w:rsidR="00726C96">
        <w:t xml:space="preserve"> for a schematic illustration. A length-1 mini-slot may require special treatment if it contains control signaling as control, DM-RS, and data in the same symbol is typically not </w:t>
      </w:r>
      <w:r w:rsidR="00DB0BC2">
        <w:t>used</w:t>
      </w:r>
      <w:r w:rsidR="00726C96">
        <w:t xml:space="preserve"> for slot-based transmissions.</w:t>
      </w:r>
    </w:p>
    <w:p w14:paraId="42376190" w14:textId="77777777" w:rsidR="00D650BD" w:rsidRDefault="00D650BD" w:rsidP="000A74B8">
      <w:pPr>
        <w:pStyle w:val="BodyText"/>
      </w:pPr>
    </w:p>
    <w:p w14:paraId="3FF0E7F8" w14:textId="38F58FEC" w:rsidR="000A74B8" w:rsidRDefault="007C7C69" w:rsidP="000A74B8">
      <w:pPr>
        <w:pStyle w:val="BodyText"/>
        <w:keepNext/>
      </w:pPr>
      <w:r w:rsidRPr="007C7C69">
        <w:rPr>
          <w:noProof/>
        </w:rPr>
        <w:drawing>
          <wp:inline distT="0" distB="0" distL="0" distR="0" wp14:anchorId="4EE4F0F5" wp14:editId="03BB5CDE">
            <wp:extent cx="2085975" cy="365469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478" cy="3662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BAEBD" w14:textId="08D707F2" w:rsidR="000A74B8" w:rsidRDefault="000A74B8" w:rsidP="00B8400F">
      <w:pPr>
        <w:pStyle w:val="Caption"/>
        <w:jc w:val="both"/>
      </w:pPr>
      <w:bookmarkStart w:id="4" w:name="_Ref4773441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 xml:space="preserve">: </w:t>
      </w:r>
      <w:r w:rsidR="00726C96">
        <w:t>Schematic illustration of mini-slots as a ‘truncated’ version of a slot.</w:t>
      </w:r>
    </w:p>
    <w:p w14:paraId="105F04EB" w14:textId="7B2CDC94" w:rsidR="005278F6" w:rsidRDefault="00726C96" w:rsidP="005278F6">
      <w:pPr>
        <w:pStyle w:val="Heading1"/>
      </w:pPr>
      <w:r>
        <w:t>Specification perspective</w:t>
      </w:r>
    </w:p>
    <w:p w14:paraId="13F72632" w14:textId="0926FD9B" w:rsidR="00726C96" w:rsidRDefault="00726C96" w:rsidP="00C325A2">
      <w:pPr>
        <w:pStyle w:val="BodyText"/>
      </w:pPr>
      <w:r>
        <w:t>This section outlines how slots and mini-slots can be described from a specification perspective.</w:t>
      </w:r>
    </w:p>
    <w:p w14:paraId="038FF8DE" w14:textId="7BA8C0BE" w:rsidR="00C325A2" w:rsidRPr="00CE7F2E" w:rsidRDefault="005278F6" w:rsidP="00C325A2">
      <w:pPr>
        <w:pStyle w:val="BodyText"/>
      </w:pPr>
      <w:r>
        <w:lastRenderedPageBreak/>
        <w:t>The transmitted signal</w:t>
      </w:r>
      <w:r w:rsidR="00B20FBD">
        <w:t xml:space="preserve"> (in uplink as well as downlink)</w:t>
      </w:r>
      <w:r>
        <w:t xml:space="preserve"> is described in terms of a resource grid</w:t>
      </w:r>
      <w:r w:rsidR="00B20FBD">
        <w:t xml:space="preserve"> with both a time-domain and a frequency-domain component. In the time domain, OFDM symbols represents the finest granularity and every 14</w:t>
      </w:r>
      <w:r w:rsidR="00B20FBD" w:rsidRPr="00B20FBD">
        <w:rPr>
          <w:vertAlign w:val="superscript"/>
        </w:rPr>
        <w:t>th</w:t>
      </w:r>
      <w:r w:rsidR="00B20FBD">
        <w:t xml:space="preserve"> OFDM symbol is part of a ‘slot grid’ indicating the starting position of a slot.</w:t>
      </w:r>
      <w:r w:rsidR="00C325A2">
        <w:t xml:space="preserve"> At the UE, uplink slot </w:t>
      </w:r>
      <w:r w:rsidR="00C325A2">
        <w:rPr>
          <w:i/>
        </w:rPr>
        <w:t>n</w:t>
      </w:r>
      <w:r w:rsidR="00C325A2">
        <w:t xml:space="preserve"> starts TA before downlink slot </w:t>
      </w:r>
      <w:r w:rsidR="00C325A2">
        <w:rPr>
          <w:i/>
        </w:rPr>
        <w:t>n</w:t>
      </w:r>
    </w:p>
    <w:p w14:paraId="6C012908" w14:textId="77777777" w:rsidR="00C325A2" w:rsidRDefault="00C325A2" w:rsidP="0023314F">
      <w:pPr>
        <w:pStyle w:val="BodyText"/>
      </w:pPr>
    </w:p>
    <w:p w14:paraId="4A13E6AB" w14:textId="3BFCA26A" w:rsidR="00B20FBD" w:rsidRDefault="00C325A2" w:rsidP="00B20FBD">
      <w:pPr>
        <w:pStyle w:val="BodyText"/>
        <w:keepNext/>
      </w:pPr>
      <w:r w:rsidRPr="00C325A2">
        <w:rPr>
          <w:noProof/>
        </w:rPr>
        <w:drawing>
          <wp:inline distT="0" distB="0" distL="0" distR="0" wp14:anchorId="7D5E9B28" wp14:editId="51B877E3">
            <wp:extent cx="5760720" cy="15277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2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6C2FE" w14:textId="73D1B1D6" w:rsidR="00B20FBD" w:rsidRDefault="00B20FBD" w:rsidP="00B20FBD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OFDM symbol and slot grid.</w:t>
      </w:r>
    </w:p>
    <w:p w14:paraId="7AEE3224" w14:textId="4F7BFDF2" w:rsidR="00C325A2" w:rsidRDefault="00C325A2" w:rsidP="00C325A2">
      <w:pPr>
        <w:pStyle w:val="BodyText"/>
      </w:pPr>
      <w:r>
        <w:t xml:space="preserve">The UE monitors for DCI according to its configuration (RAN1#86bis, </w:t>
      </w:r>
      <w:r w:rsidRPr="006549E5">
        <w:rPr>
          <w:i/>
        </w:rPr>
        <w:t>UE-specific DL control information monitoring occasions at least in time domain can be configured</w:t>
      </w:r>
      <w:r>
        <w:t>). For a UE using slot-based transmissions</w:t>
      </w:r>
      <w:r w:rsidR="00726C96">
        <w:t xml:space="preserve"> only</w:t>
      </w:r>
      <w:r>
        <w:t>, the DCI monitoring occasions are typically configured to occur one per slot interval in the slot grid, while for a UE also supporting mini-slot-based transmissions, the monitoring occasions are more frequent. Thus, from a DCI monitoring perspective, the same overall principle can be used to support both slot-based and mini-slot-based transmissions.</w:t>
      </w:r>
    </w:p>
    <w:p w14:paraId="4EFD0BE8" w14:textId="77777777" w:rsidR="00726C96" w:rsidRDefault="00726C96" w:rsidP="00726C96">
      <w:pPr>
        <w:pStyle w:val="BodyText"/>
      </w:pPr>
      <w:r>
        <w:t xml:space="preserve">For the data part (uplink as well as downlink), the UE needs to know </w:t>
      </w:r>
    </w:p>
    <w:p w14:paraId="5CBEAEA7" w14:textId="77777777" w:rsidR="00726C96" w:rsidRDefault="00726C96" w:rsidP="00726C96">
      <w:pPr>
        <w:pStyle w:val="BodyText"/>
        <w:numPr>
          <w:ilvl w:val="0"/>
          <w:numId w:val="5"/>
        </w:numPr>
      </w:pPr>
      <w:r>
        <w:t>the starting position of the data, and</w:t>
      </w:r>
    </w:p>
    <w:p w14:paraId="1A3F21AD" w14:textId="77777777" w:rsidR="00726C96" w:rsidRDefault="00726C96" w:rsidP="00726C96">
      <w:pPr>
        <w:pStyle w:val="BodyText"/>
        <w:numPr>
          <w:ilvl w:val="0"/>
          <w:numId w:val="5"/>
        </w:numPr>
      </w:pPr>
      <w:r>
        <w:t>the length of the data</w:t>
      </w:r>
    </w:p>
    <w:p w14:paraId="02FB97A2" w14:textId="34DBDCDC" w:rsidR="00726C96" w:rsidRDefault="00726C96" w:rsidP="00726C96">
      <w:pPr>
        <w:pStyle w:val="BodyText"/>
      </w:pPr>
      <w:r>
        <w:t xml:space="preserve">The starting position for data could be linked to the timing of the corresponding DCI, i.e. the data starts a certain number of OFDM symbols after the DCI. To support cross-slot scheduling (RAN1#86bis, </w:t>
      </w:r>
      <w:r w:rsidRPr="003B5644">
        <w:rPr>
          <w:i/>
        </w:rPr>
        <w:t>NR supports at least same-slot and cross-slot scheduling for DL.</w:t>
      </w:r>
      <w:r w:rsidRPr="003B5644">
        <w:t xml:space="preserve"> </w:t>
      </w:r>
      <w:r w:rsidRPr="003B5644">
        <w:rPr>
          <w:i/>
        </w:rPr>
        <w:t>Note: it is already agreed that NR supports same-slot and cross-slot scheduling for UL.</w:t>
      </w:r>
      <w:r>
        <w:t xml:space="preserve">), the DCI </w:t>
      </w:r>
      <w:r w:rsidR="00B8400F">
        <w:t>needs to</w:t>
      </w:r>
      <w:r>
        <w:t xml:space="preserve"> contain the timing relation s between DCI and data, e.g. in relation to the slot grid. There is no fundamental difference between slot-based and mini-slot-based transmissions in this respect.</w:t>
      </w:r>
    </w:p>
    <w:p w14:paraId="08F4D4A8" w14:textId="77777777" w:rsidR="00726C96" w:rsidRDefault="00726C96" w:rsidP="00726C96">
      <w:pPr>
        <w:pStyle w:val="BodyText"/>
      </w:pPr>
      <w:r>
        <w:t>Similarly, the length of the data can be part of the DCI (implicitly or explicitly) or possibly semi-statically configured. Also in this case the same basic structure can be used for slot-based as well as mini-slot-based transmissions.</w:t>
      </w:r>
    </w:p>
    <w:p w14:paraId="7B97326B" w14:textId="71B4A2C9" w:rsidR="000A74B8" w:rsidRDefault="000A74B8" w:rsidP="00C325A2">
      <w:pPr>
        <w:pStyle w:val="BodyText"/>
      </w:pPr>
      <w:r>
        <w:t>The mapping of data and reference signals for the PDSCH/PUSCH starts at the OFDM symbol indicate</w:t>
      </w:r>
      <w:r w:rsidR="00B8400F">
        <w:t>d</w:t>
      </w:r>
      <w:r>
        <w:t xml:space="preserve"> by the DCI. Reference signals are mapped to OFDM symbols relative to the start of the PDSCH/PUSCH mapping, i.e. the same procedure can be used for both slots and mini-slots.</w:t>
      </w:r>
    </w:p>
    <w:p w14:paraId="68D85B41" w14:textId="5240512E" w:rsidR="00D23CBA" w:rsidRDefault="003E2560" w:rsidP="00D23CBA">
      <w:pPr>
        <w:pStyle w:val="Heading1"/>
      </w:pPr>
      <w:r>
        <w:t>Conclusion</w:t>
      </w:r>
    </w:p>
    <w:p w14:paraId="01907EAE" w14:textId="0C660602" w:rsidR="00726C96" w:rsidRDefault="00726C96" w:rsidP="003E2560">
      <w:pPr>
        <w:pStyle w:val="BodyText"/>
        <w:numPr>
          <w:ilvl w:val="0"/>
          <w:numId w:val="7"/>
        </w:numPr>
      </w:pPr>
      <w:r>
        <w:t xml:space="preserve">A mini-slot of length </w:t>
      </w:r>
      <w:r>
        <w:rPr>
          <w:i/>
        </w:rPr>
        <w:t>k</w:t>
      </w:r>
      <w:r>
        <w:t xml:space="preserve"> has the same structure as the first </w:t>
      </w:r>
      <w:r>
        <w:rPr>
          <w:i/>
        </w:rPr>
        <w:t>k</w:t>
      </w:r>
      <w:r>
        <w:t xml:space="preserve"> symbols of a regular slot</w:t>
      </w:r>
    </w:p>
    <w:p w14:paraId="32B7798D" w14:textId="25366074" w:rsidR="00726C96" w:rsidRDefault="007C7C69" w:rsidP="003E2560">
      <w:pPr>
        <w:pStyle w:val="BodyText"/>
        <w:numPr>
          <w:ilvl w:val="0"/>
          <w:numId w:val="7"/>
        </w:numPr>
      </w:pPr>
      <w:r>
        <w:t>Slots and mini-slots can be described in a common manner in the specifications.</w:t>
      </w:r>
    </w:p>
    <w:sectPr w:rsidR="00726C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CCC54" w14:textId="77777777" w:rsidR="002F1206" w:rsidRDefault="002F1206">
      <w:r>
        <w:separator/>
      </w:r>
    </w:p>
  </w:endnote>
  <w:endnote w:type="continuationSeparator" w:id="0">
    <w:p w14:paraId="47C1F787" w14:textId="77777777" w:rsidR="002F1206" w:rsidRDefault="002F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B6950" w14:textId="77777777" w:rsidR="00830B63" w:rsidRDefault="00830B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48B1F" w14:textId="77777777" w:rsidR="00830B63" w:rsidRDefault="00830B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991DE" w14:textId="77777777" w:rsidR="00830B63" w:rsidRDefault="00830B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B4052" w14:textId="77777777" w:rsidR="002F1206" w:rsidRDefault="002F1206">
      <w:r>
        <w:separator/>
      </w:r>
    </w:p>
  </w:footnote>
  <w:footnote w:type="continuationSeparator" w:id="0">
    <w:p w14:paraId="017A4232" w14:textId="77777777" w:rsidR="002F1206" w:rsidRDefault="002F1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30FE4" w14:textId="77777777" w:rsidR="00830B63" w:rsidRDefault="00830B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4034A4C9" w:rsidR="004D4F57" w:rsidRDefault="002F1206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B6BFD" w14:textId="77777777" w:rsidR="00830B63" w:rsidRDefault="00830B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1947"/>
    <w:rsid w:val="0004251E"/>
    <w:rsid w:val="00055C3F"/>
    <w:rsid w:val="00056F8C"/>
    <w:rsid w:val="0009038A"/>
    <w:rsid w:val="000944E4"/>
    <w:rsid w:val="000A258F"/>
    <w:rsid w:val="000A74B8"/>
    <w:rsid w:val="000C02AC"/>
    <w:rsid w:val="0010025E"/>
    <w:rsid w:val="001018DF"/>
    <w:rsid w:val="001027FF"/>
    <w:rsid w:val="00112E18"/>
    <w:rsid w:val="00114B6A"/>
    <w:rsid w:val="00120E84"/>
    <w:rsid w:val="00141448"/>
    <w:rsid w:val="00142260"/>
    <w:rsid w:val="0017310F"/>
    <w:rsid w:val="00175D32"/>
    <w:rsid w:val="00191E60"/>
    <w:rsid w:val="001B4110"/>
    <w:rsid w:val="001C5CE9"/>
    <w:rsid w:val="001D5808"/>
    <w:rsid w:val="002029F5"/>
    <w:rsid w:val="00205AF2"/>
    <w:rsid w:val="00210105"/>
    <w:rsid w:val="0021013F"/>
    <w:rsid w:val="00214784"/>
    <w:rsid w:val="0023314F"/>
    <w:rsid w:val="0025780D"/>
    <w:rsid w:val="002634F0"/>
    <w:rsid w:val="00264D4E"/>
    <w:rsid w:val="00290099"/>
    <w:rsid w:val="00290F9F"/>
    <w:rsid w:val="002B139C"/>
    <w:rsid w:val="002B5439"/>
    <w:rsid w:val="002C0453"/>
    <w:rsid w:val="002C3A4F"/>
    <w:rsid w:val="002D0AB6"/>
    <w:rsid w:val="002D1248"/>
    <w:rsid w:val="002E6A70"/>
    <w:rsid w:val="002F1206"/>
    <w:rsid w:val="00304706"/>
    <w:rsid w:val="0031422F"/>
    <w:rsid w:val="00343A18"/>
    <w:rsid w:val="00350180"/>
    <w:rsid w:val="00361CA8"/>
    <w:rsid w:val="00363390"/>
    <w:rsid w:val="003875A3"/>
    <w:rsid w:val="003A3E47"/>
    <w:rsid w:val="003B5644"/>
    <w:rsid w:val="003C040C"/>
    <w:rsid w:val="003E2560"/>
    <w:rsid w:val="004067C0"/>
    <w:rsid w:val="004165C9"/>
    <w:rsid w:val="004217B5"/>
    <w:rsid w:val="00422F7B"/>
    <w:rsid w:val="00437ACB"/>
    <w:rsid w:val="004837C7"/>
    <w:rsid w:val="00492A78"/>
    <w:rsid w:val="004B57FD"/>
    <w:rsid w:val="004C321E"/>
    <w:rsid w:val="004C4387"/>
    <w:rsid w:val="004D7360"/>
    <w:rsid w:val="004E70DB"/>
    <w:rsid w:val="00511453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5AF1"/>
    <w:rsid w:val="00566F92"/>
    <w:rsid w:val="00570BCE"/>
    <w:rsid w:val="00580D67"/>
    <w:rsid w:val="00587AD2"/>
    <w:rsid w:val="00594C69"/>
    <w:rsid w:val="005A0E80"/>
    <w:rsid w:val="005A2873"/>
    <w:rsid w:val="005A4D1F"/>
    <w:rsid w:val="005B0522"/>
    <w:rsid w:val="005C439D"/>
    <w:rsid w:val="005D67F9"/>
    <w:rsid w:val="005E033B"/>
    <w:rsid w:val="005E0AF0"/>
    <w:rsid w:val="005E2BCF"/>
    <w:rsid w:val="005F57CF"/>
    <w:rsid w:val="0060203F"/>
    <w:rsid w:val="0061336B"/>
    <w:rsid w:val="00625E21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A286A"/>
    <w:rsid w:val="006B271B"/>
    <w:rsid w:val="006E0D45"/>
    <w:rsid w:val="006E319B"/>
    <w:rsid w:val="006E6138"/>
    <w:rsid w:val="00714D20"/>
    <w:rsid w:val="00726A12"/>
    <w:rsid w:val="00726C96"/>
    <w:rsid w:val="00741E68"/>
    <w:rsid w:val="007506C7"/>
    <w:rsid w:val="0075384C"/>
    <w:rsid w:val="007563CC"/>
    <w:rsid w:val="007569CA"/>
    <w:rsid w:val="00762DF4"/>
    <w:rsid w:val="0076348D"/>
    <w:rsid w:val="00765485"/>
    <w:rsid w:val="007A01C0"/>
    <w:rsid w:val="007C217E"/>
    <w:rsid w:val="007C7C69"/>
    <w:rsid w:val="007D497C"/>
    <w:rsid w:val="007E2C96"/>
    <w:rsid w:val="007F3F65"/>
    <w:rsid w:val="00815566"/>
    <w:rsid w:val="008302A2"/>
    <w:rsid w:val="00830B63"/>
    <w:rsid w:val="0083401B"/>
    <w:rsid w:val="00834DE7"/>
    <w:rsid w:val="0083689E"/>
    <w:rsid w:val="00841BE8"/>
    <w:rsid w:val="00843FE9"/>
    <w:rsid w:val="00854EA0"/>
    <w:rsid w:val="0086087F"/>
    <w:rsid w:val="008739DF"/>
    <w:rsid w:val="008A0B64"/>
    <w:rsid w:val="008A3AF2"/>
    <w:rsid w:val="008B1B81"/>
    <w:rsid w:val="008B23D4"/>
    <w:rsid w:val="008B38BA"/>
    <w:rsid w:val="008D1E1F"/>
    <w:rsid w:val="008E31D2"/>
    <w:rsid w:val="008E7AA2"/>
    <w:rsid w:val="008F77A7"/>
    <w:rsid w:val="0091488F"/>
    <w:rsid w:val="00944B89"/>
    <w:rsid w:val="0096027F"/>
    <w:rsid w:val="00973F8C"/>
    <w:rsid w:val="0097401A"/>
    <w:rsid w:val="00977B9E"/>
    <w:rsid w:val="009A6BB8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677A0"/>
    <w:rsid w:val="00A7428A"/>
    <w:rsid w:val="00A757B8"/>
    <w:rsid w:val="00A808F6"/>
    <w:rsid w:val="00A81AA1"/>
    <w:rsid w:val="00A81EFF"/>
    <w:rsid w:val="00A85E54"/>
    <w:rsid w:val="00A93AEC"/>
    <w:rsid w:val="00AA0A42"/>
    <w:rsid w:val="00AA13EF"/>
    <w:rsid w:val="00AB6372"/>
    <w:rsid w:val="00AC2A5F"/>
    <w:rsid w:val="00AD5F57"/>
    <w:rsid w:val="00AE3947"/>
    <w:rsid w:val="00AE7A97"/>
    <w:rsid w:val="00B00FDB"/>
    <w:rsid w:val="00B20FBD"/>
    <w:rsid w:val="00B34FDB"/>
    <w:rsid w:val="00B368D9"/>
    <w:rsid w:val="00B42F5C"/>
    <w:rsid w:val="00B52C5F"/>
    <w:rsid w:val="00B5516A"/>
    <w:rsid w:val="00B63298"/>
    <w:rsid w:val="00B8400F"/>
    <w:rsid w:val="00B85DCB"/>
    <w:rsid w:val="00BA2CDD"/>
    <w:rsid w:val="00BA3D9B"/>
    <w:rsid w:val="00BA76BC"/>
    <w:rsid w:val="00BF7E13"/>
    <w:rsid w:val="00C04B3F"/>
    <w:rsid w:val="00C06E8E"/>
    <w:rsid w:val="00C073DB"/>
    <w:rsid w:val="00C13452"/>
    <w:rsid w:val="00C1560A"/>
    <w:rsid w:val="00C325A2"/>
    <w:rsid w:val="00C326A6"/>
    <w:rsid w:val="00C50B3C"/>
    <w:rsid w:val="00C55346"/>
    <w:rsid w:val="00C61496"/>
    <w:rsid w:val="00C76E90"/>
    <w:rsid w:val="00C93774"/>
    <w:rsid w:val="00CB4D3D"/>
    <w:rsid w:val="00CE02E7"/>
    <w:rsid w:val="00CE1E70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4257"/>
    <w:rsid w:val="00D11960"/>
    <w:rsid w:val="00D23CBA"/>
    <w:rsid w:val="00D338CE"/>
    <w:rsid w:val="00D350E3"/>
    <w:rsid w:val="00D516DD"/>
    <w:rsid w:val="00D63209"/>
    <w:rsid w:val="00D650BD"/>
    <w:rsid w:val="00D701A0"/>
    <w:rsid w:val="00D83B62"/>
    <w:rsid w:val="00DA110D"/>
    <w:rsid w:val="00DB0BC2"/>
    <w:rsid w:val="00DB3BC8"/>
    <w:rsid w:val="00DC085D"/>
    <w:rsid w:val="00DD1935"/>
    <w:rsid w:val="00DD4245"/>
    <w:rsid w:val="00DE3421"/>
    <w:rsid w:val="00DE5946"/>
    <w:rsid w:val="00DE63BC"/>
    <w:rsid w:val="00DF49ED"/>
    <w:rsid w:val="00DF6135"/>
    <w:rsid w:val="00DF71DB"/>
    <w:rsid w:val="00DF762C"/>
    <w:rsid w:val="00E0407B"/>
    <w:rsid w:val="00E13BDA"/>
    <w:rsid w:val="00E220C0"/>
    <w:rsid w:val="00E30E59"/>
    <w:rsid w:val="00E31041"/>
    <w:rsid w:val="00E45EB0"/>
    <w:rsid w:val="00E57CED"/>
    <w:rsid w:val="00E63D88"/>
    <w:rsid w:val="00E83054"/>
    <w:rsid w:val="00EA148A"/>
    <w:rsid w:val="00EA172F"/>
    <w:rsid w:val="00EA1984"/>
    <w:rsid w:val="00EA479A"/>
    <w:rsid w:val="00EC61BE"/>
    <w:rsid w:val="00EC76D4"/>
    <w:rsid w:val="00EE478D"/>
    <w:rsid w:val="00EF4B30"/>
    <w:rsid w:val="00F0587F"/>
    <w:rsid w:val="00F21365"/>
    <w:rsid w:val="00F24DDE"/>
    <w:rsid w:val="00F2599F"/>
    <w:rsid w:val="00F302D9"/>
    <w:rsid w:val="00F37D49"/>
    <w:rsid w:val="00F4190F"/>
    <w:rsid w:val="00F47068"/>
    <w:rsid w:val="00F51EB4"/>
    <w:rsid w:val="00FA3B0E"/>
    <w:rsid w:val="00FB04C4"/>
    <w:rsid w:val="00FB1B57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5AA56094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C8BB2-703E-499A-94AF-A2FF54D5B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cp:lastPrinted>2017-03-14T12:16:00Z</cp:lastPrinted>
  <dcterms:created xsi:type="dcterms:W3CDTF">2017-03-24T08:12:00Z</dcterms:created>
  <dcterms:modified xsi:type="dcterms:W3CDTF">2017-03-24T08:12:00Z</dcterms:modified>
</cp:coreProperties>
</file>