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1B8840FF"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Pr>
          <w:rFonts w:ascii="Arial" w:hAnsi="Arial" w:cs="Arial"/>
          <w:b/>
          <w:sz w:val="24"/>
          <w:szCs w:val="24"/>
        </w:rPr>
        <w:t>8</w:t>
      </w:r>
      <w:r w:rsidR="00AC00EB">
        <w:rPr>
          <w:rFonts w:ascii="Arial" w:hAnsi="Arial" w:cs="Arial"/>
          <w:b/>
          <w:sz w:val="24"/>
          <w:szCs w:val="24"/>
        </w:rPr>
        <w:t>8</w:t>
      </w:r>
      <w:r w:rsidR="00F74835">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017278" w:rsidRPr="00017278">
        <w:rPr>
          <w:rFonts w:ascii="Arial" w:hAnsi="Arial" w:cs="Arial"/>
          <w:b/>
          <w:sz w:val="24"/>
          <w:szCs w:val="24"/>
        </w:rPr>
        <w:t>1705629</w:t>
      </w:r>
    </w:p>
    <w:p w14:paraId="43B7F879" w14:textId="7ABE4DBD" w:rsidR="00D1303E" w:rsidRPr="00FD021C" w:rsidRDefault="00AC00EB" w:rsidP="00D1303E">
      <w:pPr>
        <w:tabs>
          <w:tab w:val="right" w:pos="9630"/>
        </w:tabs>
        <w:spacing w:after="0"/>
        <w:jc w:val="both"/>
        <w:rPr>
          <w:rFonts w:ascii="Arial" w:hAnsi="Arial" w:cs="Arial"/>
          <w:b/>
          <w:sz w:val="24"/>
          <w:szCs w:val="24"/>
        </w:rPr>
      </w:pPr>
      <w:r>
        <w:rPr>
          <w:rFonts w:ascii="Arial" w:hAnsi="Arial" w:cs="Arial"/>
          <w:b/>
          <w:sz w:val="24"/>
          <w:szCs w:val="24"/>
        </w:rPr>
        <w:t>3</w:t>
      </w:r>
      <w:r w:rsidR="00F74835">
        <w:rPr>
          <w:rFonts w:ascii="Arial" w:hAnsi="Arial" w:cs="Arial"/>
          <w:b/>
          <w:sz w:val="24"/>
          <w:szCs w:val="24"/>
          <w:vertAlign w:val="superscript"/>
        </w:rPr>
        <w:t>rd</w:t>
      </w:r>
      <w:r w:rsidR="00D1303E" w:rsidRPr="00AF0112">
        <w:rPr>
          <w:rFonts w:ascii="Arial" w:hAnsi="Arial" w:cs="Arial"/>
          <w:b/>
          <w:sz w:val="24"/>
          <w:szCs w:val="24"/>
        </w:rPr>
        <w:t xml:space="preserve"> – </w:t>
      </w:r>
      <w:r>
        <w:rPr>
          <w:rFonts w:ascii="Arial" w:hAnsi="Arial" w:cs="Arial"/>
          <w:b/>
          <w:sz w:val="24"/>
          <w:szCs w:val="24"/>
        </w:rPr>
        <w:t>7</w:t>
      </w:r>
      <w:r w:rsidR="00CA6BDF" w:rsidRPr="00AF0112">
        <w:rPr>
          <w:rFonts w:ascii="Arial" w:hAnsi="Arial" w:cs="Arial"/>
          <w:b/>
          <w:sz w:val="24"/>
          <w:szCs w:val="24"/>
          <w:vertAlign w:val="superscript"/>
        </w:rPr>
        <w:t>th</w:t>
      </w:r>
      <w:r w:rsidR="00AF0112" w:rsidRPr="00AF0112">
        <w:rPr>
          <w:rFonts w:ascii="Arial" w:hAnsi="Arial" w:cs="Arial"/>
          <w:b/>
          <w:sz w:val="24"/>
          <w:szCs w:val="24"/>
        </w:rPr>
        <w:t xml:space="preserve"> </w:t>
      </w:r>
      <w:r w:rsidR="00F74835">
        <w:rPr>
          <w:rFonts w:ascii="Arial" w:hAnsi="Arial" w:cs="Arial"/>
          <w:b/>
          <w:sz w:val="24"/>
          <w:szCs w:val="24"/>
        </w:rPr>
        <w:t>April</w:t>
      </w:r>
      <w:r w:rsidR="00CA6BDF" w:rsidRPr="00AF0112">
        <w:rPr>
          <w:rFonts w:ascii="Arial" w:hAnsi="Arial" w:cs="Arial"/>
          <w:b/>
          <w:sz w:val="24"/>
          <w:szCs w:val="24"/>
        </w:rPr>
        <w:t xml:space="preserve"> 201</w:t>
      </w:r>
      <w:r>
        <w:rPr>
          <w:rFonts w:ascii="Arial" w:hAnsi="Arial" w:cs="Arial"/>
          <w:b/>
          <w:sz w:val="24"/>
          <w:szCs w:val="24"/>
        </w:rPr>
        <w:t>7</w:t>
      </w:r>
    </w:p>
    <w:p w14:paraId="43B7F87A" w14:textId="7C71FA9B" w:rsidR="00D1303E" w:rsidRPr="00FD021C" w:rsidRDefault="00F74835" w:rsidP="00D1303E">
      <w:pPr>
        <w:spacing w:after="0"/>
        <w:jc w:val="both"/>
        <w:rPr>
          <w:rFonts w:ascii="Arial" w:hAnsi="Arial" w:cs="Arial"/>
          <w:b/>
          <w:sz w:val="24"/>
          <w:szCs w:val="24"/>
        </w:rPr>
      </w:pPr>
      <w:r>
        <w:rPr>
          <w:rFonts w:ascii="Arial" w:hAnsi="Arial" w:cs="Arial"/>
          <w:b/>
          <w:sz w:val="24"/>
          <w:szCs w:val="24"/>
        </w:rPr>
        <w:t>Spokane</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0F5658D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022AF" w:rsidRPr="00976278">
        <w:rPr>
          <w:rFonts w:ascii="Arial" w:hAnsi="Arial"/>
          <w:sz w:val="24"/>
        </w:rPr>
        <w:t>8</w:t>
      </w:r>
      <w:r w:rsidR="00CA6BDF" w:rsidRPr="00976278">
        <w:rPr>
          <w:rFonts w:ascii="Arial" w:hAnsi="Arial"/>
          <w:sz w:val="24"/>
        </w:rPr>
        <w:t>.</w:t>
      </w:r>
      <w:r w:rsidR="005729A6" w:rsidRPr="00976278">
        <w:rPr>
          <w:rFonts w:ascii="Arial" w:hAnsi="Arial"/>
          <w:sz w:val="24"/>
        </w:rPr>
        <w:t>1</w:t>
      </w:r>
      <w:r w:rsidR="00CA6BDF" w:rsidRPr="00976278">
        <w:rPr>
          <w:rFonts w:ascii="Arial" w:hAnsi="Arial"/>
          <w:sz w:val="24"/>
        </w:rPr>
        <w:t>.</w:t>
      </w:r>
      <w:r w:rsidR="000022AF" w:rsidRPr="00976278">
        <w:rPr>
          <w:rFonts w:ascii="Arial" w:hAnsi="Arial"/>
          <w:sz w:val="24"/>
        </w:rPr>
        <w:t>4</w:t>
      </w:r>
      <w:r w:rsidR="003711C5" w:rsidRPr="00976278">
        <w:rPr>
          <w:rFonts w:ascii="Arial" w:hAnsi="Arial"/>
          <w:sz w:val="24"/>
        </w:rPr>
        <w:t>.</w:t>
      </w:r>
      <w:r w:rsidR="005729A6" w:rsidRPr="00976278">
        <w:rPr>
          <w:rFonts w:ascii="Arial" w:hAnsi="Arial"/>
          <w:sz w:val="24"/>
        </w:rPr>
        <w:t>1</w:t>
      </w:r>
      <w:r w:rsidR="00F74835">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9FC4121"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17278">
        <w:rPr>
          <w:rFonts w:ascii="Arial" w:hAnsi="Arial"/>
          <w:sz w:val="22"/>
        </w:rPr>
        <w:t>Throughput of</w:t>
      </w:r>
      <w:r w:rsidR="00976278" w:rsidRPr="00976278">
        <w:rPr>
          <w:rFonts w:ascii="Arial" w:hAnsi="Arial"/>
          <w:sz w:val="22"/>
        </w:rPr>
        <w:t xml:space="preserve"> LDPC codes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Default="004503F9" w:rsidP="004503F9">
      <w:pPr>
        <w:pStyle w:val="Heading1"/>
      </w:pPr>
      <w:r w:rsidRPr="00183CB7">
        <w:t>Introduction</w:t>
      </w:r>
    </w:p>
    <w:p w14:paraId="5EDCDFD3" w14:textId="6B8EBF3B" w:rsidR="00017278" w:rsidRDefault="00017278" w:rsidP="00017278">
      <w:pPr>
        <w:jc w:val="both"/>
        <w:rPr>
          <w:szCs w:val="22"/>
        </w:rPr>
      </w:pPr>
      <w:r>
        <w:rPr>
          <w:szCs w:val="22"/>
        </w:rPr>
        <w:t xml:space="preserve">In the RAN1-88 February 2017 meeting </w:t>
      </w:r>
      <w:r>
        <w:rPr>
          <w:szCs w:val="22"/>
        </w:rPr>
        <w:fldChar w:fldCharType="begin"/>
      </w:r>
      <w:r>
        <w:rPr>
          <w:szCs w:val="22"/>
        </w:rPr>
        <w:instrText xml:space="preserve"> REF _Ref474009888 \r \h </w:instrText>
      </w:r>
      <w:r>
        <w:rPr>
          <w:szCs w:val="22"/>
        </w:rPr>
      </w:r>
      <w:r>
        <w:rPr>
          <w:szCs w:val="22"/>
        </w:rPr>
        <w:fldChar w:fldCharType="separate"/>
      </w:r>
      <w:r w:rsidR="00A01BC1">
        <w:rPr>
          <w:szCs w:val="22"/>
        </w:rPr>
        <w:t>[1]</w:t>
      </w:r>
      <w:r>
        <w:rPr>
          <w:szCs w:val="22"/>
        </w:rPr>
        <w:fldChar w:fldCharType="end"/>
      </w:r>
      <w:r>
        <w:rPr>
          <w:szCs w:val="22"/>
        </w:rPr>
        <w:t>, the following was concluded:</w:t>
      </w:r>
    </w:p>
    <w:p w14:paraId="72BE102F" w14:textId="77777777" w:rsidR="00017278" w:rsidRDefault="00017278" w:rsidP="00017278">
      <w:pPr>
        <w:rPr>
          <w:rFonts w:eastAsia="MS Mincho"/>
          <w:b/>
          <w:highlight w:val="green"/>
          <w:u w:val="single"/>
          <w:lang w:eastAsia="ja-JP"/>
        </w:rPr>
      </w:pPr>
      <w:r>
        <w:rPr>
          <w:rFonts w:eastAsia="MS Mincho"/>
          <w:b/>
          <w:highlight w:val="green"/>
          <w:u w:val="single"/>
          <w:lang w:eastAsia="ja-JP"/>
        </w:rPr>
        <w:t>Conclusion for some code design targets:</w:t>
      </w:r>
    </w:p>
    <w:p w14:paraId="007FBD4F" w14:textId="77777777" w:rsidR="00017278" w:rsidRDefault="00017278" w:rsidP="00017278">
      <w:pPr>
        <w:numPr>
          <w:ilvl w:val="0"/>
          <w:numId w:val="16"/>
        </w:numPr>
        <w:overflowPunct/>
        <w:autoSpaceDE/>
        <w:autoSpaceDN/>
        <w:adjustRightInd/>
        <w:spacing w:after="0"/>
        <w:textAlignment w:val="auto"/>
        <w:rPr>
          <w:rFonts w:eastAsia="MS Mincho"/>
          <w:lang w:eastAsia="ja-JP"/>
        </w:rPr>
      </w:pPr>
      <w:r>
        <w:rPr>
          <w:rFonts w:eastAsia="MS Mincho"/>
          <w:lang w:eastAsia="ja-JP"/>
        </w:rPr>
        <w:t>At least support 20Gbps decoder information throughput with code rate 8/9</w:t>
      </w:r>
    </w:p>
    <w:p w14:paraId="3F8E3845" w14:textId="77777777" w:rsidR="00017278" w:rsidRDefault="00017278" w:rsidP="00017278">
      <w:pPr>
        <w:numPr>
          <w:ilvl w:val="0"/>
          <w:numId w:val="16"/>
        </w:numPr>
        <w:overflowPunct/>
        <w:autoSpaceDE/>
        <w:autoSpaceDN/>
        <w:adjustRightInd/>
        <w:spacing w:after="0"/>
        <w:textAlignment w:val="auto"/>
        <w:rPr>
          <w:rFonts w:eastAsia="MS Mincho"/>
          <w:lang w:eastAsia="ja-JP"/>
        </w:rPr>
      </w:pPr>
      <w:r>
        <w:rPr>
          <w:rFonts w:eastAsia="MS Mincho"/>
          <w:lang w:eastAsia="ja-JP"/>
        </w:rPr>
        <w:t>Also aim for good throughput performance at lower code rate(s)</w:t>
      </w:r>
    </w:p>
    <w:p w14:paraId="4E118E3A" w14:textId="77777777" w:rsidR="00017278" w:rsidRDefault="00017278" w:rsidP="00017278">
      <w:pPr>
        <w:numPr>
          <w:ilvl w:val="1"/>
          <w:numId w:val="16"/>
        </w:numPr>
        <w:overflowPunct/>
        <w:autoSpaceDE/>
        <w:autoSpaceDN/>
        <w:adjustRightInd/>
        <w:spacing w:after="0"/>
        <w:textAlignment w:val="auto"/>
        <w:rPr>
          <w:rFonts w:eastAsia="MS Mincho"/>
          <w:lang w:eastAsia="ja-JP"/>
        </w:rPr>
      </w:pPr>
      <w:r>
        <w:rPr>
          <w:rFonts w:eastAsia="MS Mincho"/>
          <w:lang w:eastAsia="ja-JP"/>
        </w:rPr>
        <w:t>FFS the details of how to assess throughput performance at lower code rates, including whether the assessment is relative or absolute, and other constraints (e.g. complexity)</w:t>
      </w:r>
    </w:p>
    <w:p w14:paraId="3C38F527" w14:textId="5D9ECE94" w:rsidR="00976278" w:rsidRDefault="00976278" w:rsidP="00207919">
      <w:pPr>
        <w:overflowPunct/>
        <w:autoSpaceDE/>
        <w:autoSpaceDN/>
        <w:adjustRightInd/>
        <w:spacing w:after="0"/>
        <w:jc w:val="both"/>
        <w:textAlignment w:val="auto"/>
        <w:rPr>
          <w:rFonts w:eastAsia="MS Mincho"/>
          <w:lang w:eastAsia="ja-JP"/>
        </w:rPr>
      </w:pPr>
    </w:p>
    <w:p w14:paraId="23E41449" w14:textId="4B0BD7B4" w:rsidR="00B8774B" w:rsidRDefault="00017278" w:rsidP="002D7DE8">
      <w:pPr>
        <w:overflowPunct/>
        <w:autoSpaceDE/>
        <w:autoSpaceDN/>
        <w:adjustRightInd/>
        <w:spacing w:after="0"/>
        <w:jc w:val="both"/>
        <w:textAlignment w:val="auto"/>
        <w:rPr>
          <w:rFonts w:eastAsia="MS Mincho"/>
          <w:lang w:eastAsia="ja-JP"/>
        </w:rPr>
      </w:pPr>
      <w:r>
        <w:rPr>
          <w:rFonts w:eastAsia="MS Mincho"/>
          <w:lang w:eastAsia="ja-JP"/>
        </w:rPr>
        <w:t xml:space="preserve">This contribution discusses the </w:t>
      </w:r>
      <w:r w:rsidR="004B2C2B">
        <w:rPr>
          <w:rFonts w:eastAsia="MS Mincho"/>
          <w:lang w:eastAsia="ja-JP"/>
        </w:rPr>
        <w:t>throughput of LDPC decoders</w:t>
      </w:r>
      <w:r>
        <w:rPr>
          <w:rFonts w:eastAsia="MS Mincho"/>
          <w:lang w:eastAsia="ja-JP"/>
        </w:rPr>
        <w:t xml:space="preserve"> with codes of different </w:t>
      </w:r>
      <w:r w:rsidR="004B2C2B">
        <w:rPr>
          <w:rFonts w:eastAsia="MS Mincho"/>
          <w:lang w:eastAsia="ja-JP"/>
        </w:rPr>
        <w:t xml:space="preserve">maximum lift sizes. More specifically, the </w:t>
      </w:r>
      <w:r w:rsidR="00B8774B">
        <w:rPr>
          <w:rFonts w:eastAsia="MS Mincho"/>
          <w:lang w:eastAsia="ja-JP"/>
        </w:rPr>
        <w:t xml:space="preserve">effect of decoding a different number of base-graph edges (blocks) simultaneously is investigated and methods to resolve </w:t>
      </w:r>
      <w:r w:rsidR="004D604D">
        <w:rPr>
          <w:rFonts w:eastAsia="MS Mincho"/>
          <w:lang w:eastAsia="ja-JP"/>
        </w:rPr>
        <w:t>scheduling</w:t>
      </w:r>
      <w:r w:rsidR="00B8774B">
        <w:rPr>
          <w:rFonts w:eastAsia="MS Mincho"/>
          <w:lang w:eastAsia="ja-JP"/>
        </w:rPr>
        <w:t xml:space="preserve"> conflict</w:t>
      </w:r>
      <w:r w:rsidR="004D604D">
        <w:rPr>
          <w:rFonts w:eastAsia="MS Mincho"/>
          <w:lang w:eastAsia="ja-JP"/>
        </w:rPr>
        <w:t>s</w:t>
      </w:r>
      <w:r w:rsidR="00B8774B">
        <w:rPr>
          <w:rFonts w:eastAsia="MS Mincho"/>
          <w:lang w:eastAsia="ja-JP"/>
        </w:rPr>
        <w:t xml:space="preserve"> are discussed.</w:t>
      </w:r>
    </w:p>
    <w:p w14:paraId="66BBC435" w14:textId="7644B3D2" w:rsidR="002D7DE8" w:rsidRDefault="002D7DE8" w:rsidP="002D7DE8">
      <w:pPr>
        <w:overflowPunct/>
        <w:autoSpaceDE/>
        <w:autoSpaceDN/>
        <w:adjustRightInd/>
        <w:spacing w:after="0"/>
        <w:jc w:val="both"/>
        <w:textAlignment w:val="auto"/>
        <w:rPr>
          <w:rFonts w:eastAsia="MS Mincho"/>
          <w:lang w:eastAsia="ja-JP"/>
        </w:rPr>
      </w:pPr>
      <w:r>
        <w:rPr>
          <w:rFonts w:eastAsia="MS Mincho"/>
          <w:lang w:eastAsia="ja-JP"/>
        </w:rPr>
        <w:t>The decoder implementation complexity is compared for codes with different maximum lift sizes, where the tradeoff between a larger maximum lift size and a larger number of edge processors is presented.</w:t>
      </w:r>
    </w:p>
    <w:p w14:paraId="147F8343" w14:textId="5165C8B1" w:rsidR="002D7DE8" w:rsidRDefault="002D7DE8" w:rsidP="002D7DE8">
      <w:pPr>
        <w:pStyle w:val="Heading1"/>
        <w:rPr>
          <w:lang w:eastAsia="ja-JP"/>
        </w:rPr>
      </w:pPr>
      <w:r>
        <w:rPr>
          <w:lang w:eastAsia="ja-JP"/>
        </w:rPr>
        <w:t>Layered Decoding</w:t>
      </w:r>
    </w:p>
    <w:p w14:paraId="3E6703A8" w14:textId="45330C3D" w:rsidR="002D7DE8" w:rsidRDefault="002D7DE8" w:rsidP="002D7DE8">
      <w:pPr>
        <w:jc w:val="both"/>
        <w:rPr>
          <w:lang w:val="en-GB" w:eastAsia="ja-JP"/>
        </w:rPr>
      </w:pPr>
      <w:r>
        <w:rPr>
          <w:lang w:val="en-GB" w:eastAsia="ja-JP"/>
        </w:rPr>
        <w:t>Operations in an LDPC decoder can proceed according to a flooding schedule, where all check nodes are process simultaneously and use messages from the previous iteration to calculate their outputs. Another schedule is the layered schedule, in which check nodes are processed serially and messages from previously processed check nodes are used to calculate output messages</w:t>
      </w:r>
      <w:r w:rsidR="00384D7E">
        <w:rPr>
          <w:lang w:val="en-GB" w:eastAsia="ja-JP"/>
        </w:rPr>
        <w:t xml:space="preserve"> within the same iteration</w:t>
      </w:r>
      <w:r>
        <w:rPr>
          <w:lang w:val="en-GB" w:eastAsia="ja-JP"/>
        </w:rPr>
        <w:t>. The layered schedule requires fewer iterations than the flooding schedule and leads to lower implementation complexity.</w:t>
      </w:r>
    </w:p>
    <w:p w14:paraId="110415DB" w14:textId="5269544E" w:rsidR="002D7DE8" w:rsidRDefault="002D7DE8" w:rsidP="002D7DE8">
      <w:pPr>
        <w:jc w:val="both"/>
        <w:rPr>
          <w:lang w:val="en-GB" w:eastAsia="ja-JP"/>
        </w:rPr>
      </w:pPr>
      <w:r>
        <w:rPr>
          <w:lang w:val="en-GB" w:eastAsia="ja-JP"/>
        </w:rPr>
        <w:t xml:space="preserve">High throughput layered LDPC decoders can be either node-parallel (row-parallel) or edge-parallel (block-parallel). A node parallel processes all edges in a base-graph check node simultaneously, whereas an edge-parallel decoder processes one base-graph edge at a time. In </w:t>
      </w:r>
      <w:r>
        <w:rPr>
          <w:lang w:val="en-GB" w:eastAsia="ja-JP"/>
        </w:rPr>
        <w:fldChar w:fldCharType="begin"/>
      </w:r>
      <w:r>
        <w:rPr>
          <w:lang w:val="en-GB" w:eastAsia="ja-JP"/>
        </w:rPr>
        <w:instrText xml:space="preserve"> REF _Ref474011199 \r \h  \* MERGEFORMAT </w:instrText>
      </w:r>
      <w:r>
        <w:rPr>
          <w:lang w:val="en-GB" w:eastAsia="ja-JP"/>
        </w:rPr>
      </w:r>
      <w:r>
        <w:rPr>
          <w:lang w:val="en-GB" w:eastAsia="ja-JP"/>
        </w:rPr>
        <w:fldChar w:fldCharType="separate"/>
      </w:r>
      <w:r w:rsidR="00A01BC1">
        <w:rPr>
          <w:lang w:val="en-GB" w:eastAsia="ja-JP"/>
        </w:rPr>
        <w:t>[2]</w:t>
      </w:r>
      <w:r>
        <w:rPr>
          <w:lang w:val="en-GB" w:eastAsia="ja-JP"/>
        </w:rPr>
        <w:fldChar w:fldCharType="end"/>
      </w:r>
      <w:r>
        <w:rPr>
          <w:lang w:val="en-GB" w:eastAsia="ja-JP"/>
        </w:rPr>
        <w:t xml:space="preserve">, an intermediate architecture that processes multiple edges simultaneously was proposed. This architecture was also studied in </w:t>
      </w:r>
      <w:r>
        <w:rPr>
          <w:lang w:val="en-GB" w:eastAsia="ja-JP"/>
        </w:rPr>
        <w:fldChar w:fldCharType="begin"/>
      </w:r>
      <w:r>
        <w:rPr>
          <w:lang w:val="en-GB" w:eastAsia="ja-JP"/>
        </w:rPr>
        <w:instrText xml:space="preserve"> REF _Ref478139908 \r \h  \* MERGEFORMAT </w:instrText>
      </w:r>
      <w:r>
        <w:rPr>
          <w:lang w:val="en-GB" w:eastAsia="ja-JP"/>
        </w:rPr>
      </w:r>
      <w:r>
        <w:rPr>
          <w:lang w:val="en-GB" w:eastAsia="ja-JP"/>
        </w:rPr>
        <w:fldChar w:fldCharType="separate"/>
      </w:r>
      <w:r w:rsidR="00A01BC1">
        <w:rPr>
          <w:lang w:val="en-GB" w:eastAsia="ja-JP"/>
        </w:rPr>
        <w:t>[3]</w:t>
      </w:r>
      <w:r>
        <w:rPr>
          <w:lang w:val="en-GB" w:eastAsia="ja-JP"/>
        </w:rPr>
        <w:fldChar w:fldCharType="end"/>
      </w:r>
      <w:r>
        <w:rPr>
          <w:lang w:val="en-GB" w:eastAsia="ja-JP"/>
        </w:rPr>
        <w:t xml:space="preserve"> for different NR-LDPC proposal</w:t>
      </w:r>
      <w:r w:rsidR="00384D7E">
        <w:rPr>
          <w:lang w:val="en-GB" w:eastAsia="ja-JP"/>
        </w:rPr>
        <w:t>s</w:t>
      </w:r>
      <w:r>
        <w:rPr>
          <w:lang w:val="en-GB" w:eastAsia="ja-JP"/>
        </w:rPr>
        <w:t xml:space="preserve"> where it was shown that it can reach a throughput of 20 Gbps.</w:t>
      </w:r>
      <w:r w:rsidR="00A24D9F">
        <w:rPr>
          <w:lang w:val="en-GB" w:eastAsia="ja-JP"/>
        </w:rPr>
        <w:t xml:space="preserve"> </w:t>
      </w:r>
      <w:r w:rsidR="00A24D9F">
        <w:rPr>
          <w:lang w:val="en-GB"/>
        </w:rPr>
        <w:t xml:space="preserve">To process </w:t>
      </w:r>
      <m:oMath>
        <m:r>
          <w:rPr>
            <w:rFonts w:ascii="Cambria Math" w:hAnsi="Cambria Math"/>
            <w:lang w:val="en-GB"/>
          </w:rPr>
          <m:t>C</m:t>
        </m:r>
      </m:oMath>
      <w:r w:rsidR="00A24D9F">
        <w:rPr>
          <w:lang w:val="en-GB"/>
        </w:rPr>
        <w:t xml:space="preserve"> base-graph edges in parallel, a decoder implements </w:t>
      </w:r>
      <m:oMath>
        <m:r>
          <w:rPr>
            <w:rFonts w:ascii="Cambria Math" w:hAnsi="Cambria Math"/>
            <w:lang w:val="en-GB"/>
          </w:rPr>
          <m:t>C</m:t>
        </m:r>
      </m:oMath>
      <w:r w:rsidR="00A24D9F">
        <w:rPr>
          <w:lang w:val="en-GB"/>
        </w:rPr>
        <w:t xml:space="preserve"> edge processors each comprising a cyclic shifter of size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sidR="00A24D9F">
        <w:rPr>
          <w:lang w:val="en-GB"/>
        </w:rPr>
        <w:t xml:space="preserve"> and a group of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sidR="00A24D9F">
        <w:rPr>
          <w:lang w:val="en-GB"/>
        </w:rPr>
        <w:t xml:space="preserve"> node processors to calculate the messages associated with this edge as shown in </w:t>
      </w:r>
      <w:r w:rsidR="00A24D9F">
        <w:rPr>
          <w:lang w:val="en-GB"/>
        </w:rPr>
        <w:fldChar w:fldCharType="begin"/>
      </w:r>
      <w:r w:rsidR="00A24D9F">
        <w:rPr>
          <w:lang w:val="en-GB"/>
        </w:rPr>
        <w:instrText xml:space="preserve"> REF _Ref478140793 \h </w:instrText>
      </w:r>
      <w:r w:rsidR="00A24D9F">
        <w:rPr>
          <w:lang w:val="en-GB"/>
        </w:rPr>
      </w:r>
      <w:r w:rsidR="00A24D9F">
        <w:rPr>
          <w:lang w:val="en-GB"/>
        </w:rPr>
        <w:fldChar w:fldCharType="separate"/>
      </w:r>
      <w:r w:rsidR="00A01BC1">
        <w:t xml:space="preserve">Figure </w:t>
      </w:r>
      <w:r w:rsidR="00A01BC1">
        <w:rPr>
          <w:noProof/>
        </w:rPr>
        <w:t>1</w:t>
      </w:r>
      <w:r w:rsidR="00A24D9F">
        <w:rPr>
          <w:lang w:val="en-GB"/>
        </w:rPr>
        <w:fldChar w:fldCharType="end"/>
      </w:r>
      <w:r w:rsidR="00A24D9F">
        <w:rPr>
          <w:lang w:val="en-GB"/>
        </w:rPr>
        <w:t>.</w:t>
      </w:r>
    </w:p>
    <w:p w14:paraId="19EA6342" w14:textId="6F2C81B9" w:rsidR="00A24D9F" w:rsidRDefault="00A01BC1" w:rsidP="00A01BC1">
      <w:pPr>
        <w:keepNext/>
        <w:jc w:val="center"/>
      </w:pPr>
      <w:r>
        <w:object w:dxaOrig="31328" w:dyaOrig="7156" w14:anchorId="14445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15pt;height:95.75pt" o:ole="">
            <v:imagedata r:id="rId12" o:title=""/>
          </v:shape>
          <o:OLEObject Type="Embed" ProgID="Visio.Drawing.11" ShapeID="_x0000_i1025" DrawAspect="Content" ObjectID="_1551898518" r:id="rId13"/>
        </w:object>
      </w:r>
    </w:p>
    <w:p w14:paraId="1039CB99" w14:textId="79359F20" w:rsidR="00A24D9F" w:rsidRDefault="00A24D9F" w:rsidP="00A24D9F">
      <w:pPr>
        <w:pStyle w:val="Caption"/>
        <w:jc w:val="center"/>
        <w:rPr>
          <w:lang w:val="en-GB" w:eastAsia="ja-JP"/>
        </w:rPr>
      </w:pPr>
      <w:bookmarkStart w:id="3" w:name="_Ref478140793"/>
      <w:r>
        <w:t xml:space="preserve">Figure </w:t>
      </w:r>
      <w:fldSimple w:instr=" SEQ Figure \* ARABIC ">
        <w:r w:rsidR="00A01BC1">
          <w:rPr>
            <w:noProof/>
          </w:rPr>
          <w:t>1</w:t>
        </w:r>
      </w:fldSimple>
      <w:bookmarkEnd w:id="3"/>
      <w:r>
        <w:t xml:space="preserve"> </w:t>
      </w:r>
      <w:r w:rsidRPr="00107C20">
        <w:t>Decoder archi</w:t>
      </w:r>
      <w:r>
        <w:t>tectures: (a) single-edge, (b) multiple</w:t>
      </w:r>
      <w:r w:rsidRPr="00107C20">
        <w:t>-edge, and (c) node-parallel</w:t>
      </w:r>
    </w:p>
    <w:p w14:paraId="63D35B6B" w14:textId="22107165" w:rsidR="002D7DE8" w:rsidRDefault="002D7DE8" w:rsidP="002D7DE8">
      <w:pPr>
        <w:overflowPunct/>
        <w:autoSpaceDE/>
        <w:autoSpaceDN/>
        <w:adjustRightInd/>
        <w:spacing w:after="0"/>
        <w:jc w:val="both"/>
        <w:textAlignment w:val="auto"/>
        <w:rPr>
          <w:lang w:val="en-GB" w:eastAsia="ja-JP"/>
        </w:rPr>
      </w:pPr>
      <w:r>
        <w:rPr>
          <w:lang w:val="en-GB" w:eastAsia="ja-JP"/>
        </w:rPr>
        <w:lastRenderedPageBreak/>
        <w:t xml:space="preserve">Due to pipelining, edge-parallel and node-parallel layered decoders can arrive at edge whose updated value is still being processed and is not available yet. This is denoted a conflict in </w:t>
      </w:r>
      <w:r>
        <w:rPr>
          <w:lang w:val="en-GB" w:eastAsia="ja-JP"/>
        </w:rPr>
        <w:fldChar w:fldCharType="begin"/>
      </w:r>
      <w:r>
        <w:rPr>
          <w:lang w:val="en-GB" w:eastAsia="ja-JP"/>
        </w:rPr>
        <w:instrText xml:space="preserve"> REF _Ref478139908 \r \h </w:instrText>
      </w:r>
      <w:r>
        <w:rPr>
          <w:lang w:val="en-GB" w:eastAsia="ja-JP"/>
        </w:rPr>
      </w:r>
      <w:r>
        <w:rPr>
          <w:lang w:val="en-GB" w:eastAsia="ja-JP"/>
        </w:rPr>
        <w:fldChar w:fldCharType="separate"/>
      </w:r>
      <w:r w:rsidR="00A01BC1">
        <w:rPr>
          <w:lang w:val="en-GB" w:eastAsia="ja-JP"/>
        </w:rPr>
        <w:t>[3]</w:t>
      </w:r>
      <w:r>
        <w:rPr>
          <w:lang w:val="en-GB" w:eastAsia="ja-JP"/>
        </w:rPr>
        <w:fldChar w:fldCharType="end"/>
      </w:r>
      <w:r w:rsidR="00A01BC1">
        <w:rPr>
          <w:lang w:val="en-GB" w:eastAsia="ja-JP"/>
        </w:rPr>
        <w:t xml:space="preserve">. The </w:t>
      </w:r>
      <w:r w:rsidR="00A00916">
        <w:rPr>
          <w:lang w:val="en-GB" w:eastAsia="ja-JP"/>
        </w:rPr>
        <w:t>next</w:t>
      </w:r>
      <w:r w:rsidR="00A01BC1">
        <w:rPr>
          <w:lang w:val="en-GB" w:eastAsia="ja-JP"/>
        </w:rPr>
        <w:t xml:space="preserve"> section shows methods for reducing the impact of such scheduling conflicts.</w:t>
      </w:r>
    </w:p>
    <w:p w14:paraId="61B5276E" w14:textId="3D503A19" w:rsidR="00B8774B" w:rsidRDefault="00A01BC1" w:rsidP="00EC37CD">
      <w:pPr>
        <w:pStyle w:val="Heading1"/>
        <w:rPr>
          <w:lang w:eastAsia="ja-JP"/>
        </w:rPr>
      </w:pPr>
      <w:r>
        <w:rPr>
          <w:lang w:eastAsia="ja-JP"/>
        </w:rPr>
        <w:t>Addressing</w:t>
      </w:r>
      <w:r w:rsidR="002D7DE8">
        <w:rPr>
          <w:lang w:eastAsia="ja-JP"/>
        </w:rPr>
        <w:t xml:space="preserve"> Scheduling Conflicts</w:t>
      </w:r>
    </w:p>
    <w:p w14:paraId="5C7BA6A6" w14:textId="51743237" w:rsidR="00FB09BB" w:rsidRDefault="002415A7" w:rsidP="00FF300F">
      <w:pPr>
        <w:jc w:val="both"/>
        <w:rPr>
          <w:lang w:val="en-GB" w:eastAsia="ja-JP"/>
        </w:rPr>
      </w:pPr>
      <w:r>
        <w:rPr>
          <w:lang w:val="en-GB" w:eastAsia="ja-JP"/>
        </w:rPr>
        <w:t xml:space="preserve">When the decoder reaches an edge that </w:t>
      </w:r>
      <w:r w:rsidR="00162E7C">
        <w:rPr>
          <w:lang w:val="en-GB" w:eastAsia="ja-JP"/>
        </w:rPr>
        <w:t>causes a scheduling conflict,</w:t>
      </w:r>
      <w:r w:rsidR="00AC44F3">
        <w:rPr>
          <w:lang w:val="en-GB" w:eastAsia="ja-JP"/>
        </w:rPr>
        <w:t xml:space="preserve"> it can</w:t>
      </w:r>
      <w:r w:rsidR="00162E7C">
        <w:rPr>
          <w:lang w:val="en-GB" w:eastAsia="ja-JP"/>
        </w:rPr>
        <w:t xml:space="preserve"> stall and wait for the new value to become available, or it can use the old value of the message from the previous iteration. The first option increases latency as shown </w:t>
      </w:r>
      <w:r w:rsidR="00162E7C">
        <w:rPr>
          <w:lang w:val="en-GB" w:eastAsia="ja-JP"/>
        </w:rPr>
        <w:fldChar w:fldCharType="begin"/>
      </w:r>
      <w:r w:rsidR="00162E7C">
        <w:rPr>
          <w:lang w:val="en-GB" w:eastAsia="ja-JP"/>
        </w:rPr>
        <w:instrText xml:space="preserve"> REF _Ref478139908 \r \h </w:instrText>
      </w:r>
      <w:r w:rsidR="00162E7C">
        <w:rPr>
          <w:lang w:val="en-GB" w:eastAsia="ja-JP"/>
        </w:rPr>
      </w:r>
      <w:r w:rsidR="00162E7C">
        <w:rPr>
          <w:lang w:val="en-GB" w:eastAsia="ja-JP"/>
        </w:rPr>
        <w:fldChar w:fldCharType="separate"/>
      </w:r>
      <w:r w:rsidR="00A01BC1">
        <w:rPr>
          <w:lang w:val="en-GB" w:eastAsia="ja-JP"/>
        </w:rPr>
        <w:t>[3]</w:t>
      </w:r>
      <w:r w:rsidR="00162E7C">
        <w:rPr>
          <w:lang w:val="en-GB" w:eastAsia="ja-JP"/>
        </w:rPr>
        <w:fldChar w:fldCharType="end"/>
      </w:r>
      <w:r w:rsidR="00162E7C">
        <w:rPr>
          <w:lang w:val="en-GB" w:eastAsia="ja-JP"/>
        </w:rPr>
        <w:t>.</w:t>
      </w:r>
      <w:r w:rsidR="00A01BC1">
        <w:rPr>
          <w:lang w:val="en-GB" w:eastAsia="ja-JP"/>
        </w:rPr>
        <w:t xml:space="preserve"> Using the old message value </w:t>
      </w:r>
      <w:r w:rsidR="00DD6F1A">
        <w:rPr>
          <w:lang w:val="en-GB" w:eastAsia="ja-JP"/>
        </w:rPr>
        <w:t>affects</w:t>
      </w:r>
      <w:r w:rsidR="00FB09BB">
        <w:rPr>
          <w:lang w:val="en-GB" w:eastAsia="ja-JP"/>
        </w:rPr>
        <w:t xml:space="preserve"> performance. However, it was shown in </w:t>
      </w:r>
      <w:r w:rsidR="00FB09BB">
        <w:rPr>
          <w:lang w:val="en-GB" w:eastAsia="ja-JP"/>
        </w:rPr>
        <w:fldChar w:fldCharType="begin"/>
      </w:r>
      <w:r w:rsidR="00FB09BB">
        <w:rPr>
          <w:lang w:val="en-GB" w:eastAsia="ja-JP"/>
        </w:rPr>
        <w:instrText xml:space="preserve"> REF _Ref478141989 \r \h </w:instrText>
      </w:r>
      <w:r w:rsidR="00FB09BB">
        <w:rPr>
          <w:lang w:val="en-GB" w:eastAsia="ja-JP"/>
        </w:rPr>
      </w:r>
      <w:r w:rsidR="00FB09BB">
        <w:rPr>
          <w:lang w:val="en-GB" w:eastAsia="ja-JP"/>
        </w:rPr>
        <w:fldChar w:fldCharType="separate"/>
      </w:r>
      <w:r w:rsidR="00FB09BB">
        <w:rPr>
          <w:lang w:val="en-GB" w:eastAsia="ja-JP"/>
        </w:rPr>
        <w:t>[4]</w:t>
      </w:r>
      <w:r w:rsidR="00FB09BB">
        <w:rPr>
          <w:lang w:val="en-GB" w:eastAsia="ja-JP"/>
        </w:rPr>
        <w:fldChar w:fldCharType="end"/>
      </w:r>
      <w:r w:rsidR="00FB09BB">
        <w:rPr>
          <w:lang w:val="en-GB" w:eastAsia="ja-JP"/>
        </w:rPr>
        <w:t xml:space="preserve"> that the impact on performance is negligible (&lt; 0.05) for rates ½ and 1/3. At higher rates, performance can be recovered by increasing the iteration count by a small </w:t>
      </w:r>
      <w:r w:rsidR="00BD16C5">
        <w:rPr>
          <w:lang w:val="en-GB" w:eastAsia="ja-JP"/>
        </w:rPr>
        <w:t>amount</w:t>
      </w:r>
      <w:r w:rsidR="00FB09BB">
        <w:rPr>
          <w:lang w:val="en-GB" w:eastAsia="ja-JP"/>
        </w:rPr>
        <w:t>, which would have a smaller impact on decoding latency than stalling at every conflict.</w:t>
      </w:r>
    </w:p>
    <w:p w14:paraId="146BC6A6" w14:textId="1FBAF793" w:rsidR="002D7DE8" w:rsidRDefault="00BD16C5" w:rsidP="00FF300F">
      <w:pPr>
        <w:jc w:val="both"/>
        <w:rPr>
          <w:lang w:val="en-GB" w:eastAsia="ja-JP"/>
        </w:rPr>
      </w:pPr>
      <w:r>
        <w:rPr>
          <w:lang w:val="en-GB" w:eastAsia="ja-JP"/>
        </w:rPr>
        <w:t xml:space="preserve">How the edge processors are assigned to </w:t>
      </w:r>
      <w:r w:rsidR="006232D2">
        <w:rPr>
          <w:lang w:val="en-GB" w:eastAsia="ja-JP"/>
        </w:rPr>
        <w:t xml:space="preserve">rows (nodes) </w:t>
      </w:r>
      <w:r>
        <w:rPr>
          <w:lang w:val="en-GB" w:eastAsia="ja-JP"/>
        </w:rPr>
        <w:t>in graph also affects the number of conflicts</w:t>
      </w:r>
      <w:r w:rsidR="00142540">
        <w:rPr>
          <w:lang w:val="en-GB" w:eastAsia="ja-JP"/>
        </w:rPr>
        <w:t xml:space="preserve">. In </w:t>
      </w:r>
      <w:r w:rsidR="00142540">
        <w:rPr>
          <w:lang w:val="en-GB" w:eastAsia="ja-JP"/>
        </w:rPr>
        <w:fldChar w:fldCharType="begin"/>
      </w:r>
      <w:r w:rsidR="00142540">
        <w:rPr>
          <w:lang w:val="en-GB" w:eastAsia="ja-JP"/>
        </w:rPr>
        <w:instrText xml:space="preserve"> REF _Ref478139908 \r \h </w:instrText>
      </w:r>
      <w:r w:rsidR="00142540">
        <w:rPr>
          <w:lang w:val="en-GB" w:eastAsia="ja-JP"/>
        </w:rPr>
      </w:r>
      <w:r w:rsidR="00142540">
        <w:rPr>
          <w:lang w:val="en-GB" w:eastAsia="ja-JP"/>
        </w:rPr>
        <w:fldChar w:fldCharType="separate"/>
      </w:r>
      <w:r w:rsidR="00142540">
        <w:rPr>
          <w:lang w:val="en-GB" w:eastAsia="ja-JP"/>
        </w:rPr>
        <w:t>[3]</w:t>
      </w:r>
      <w:r w:rsidR="00142540">
        <w:rPr>
          <w:lang w:val="en-GB" w:eastAsia="ja-JP"/>
        </w:rPr>
        <w:fldChar w:fldCharType="end"/>
      </w:r>
      <w:r w:rsidR="00142540">
        <w:rPr>
          <w:lang w:val="en-GB" w:eastAsia="ja-JP"/>
        </w:rPr>
        <w:t>, each edge processor operates on a different row in the base graph. Alternatively, the edge processor can operate on edges belonging to the same row in the graph and move to another row when all the previous row’s edges are in the pipeline. This limits conflicts to row transitions only, reducing their number.</w:t>
      </w:r>
      <w:r w:rsidR="006232D2">
        <w:rPr>
          <w:lang w:val="en-GB" w:eastAsia="ja-JP"/>
        </w:rPr>
        <w:t xml:space="preserve"> </w:t>
      </w:r>
      <w:r w:rsidR="00AC44F3">
        <w:rPr>
          <w:lang w:val="en-GB" w:eastAsia="ja-JP"/>
        </w:rPr>
        <w:t>T</w:t>
      </w:r>
      <w:r w:rsidR="006232D2">
        <w:rPr>
          <w:lang w:val="en-GB" w:eastAsia="ja-JP"/>
        </w:rPr>
        <w:t>he processing order of edges within a row can also be modified.</w:t>
      </w:r>
    </w:p>
    <w:p w14:paraId="5C1BFEDC" w14:textId="0C6CBC2B" w:rsidR="006232D2" w:rsidRDefault="006232D2" w:rsidP="00FF300F">
      <w:pPr>
        <w:jc w:val="both"/>
        <w:rPr>
          <w:lang w:val="en-GB" w:eastAsia="ja-JP"/>
        </w:rPr>
      </w:pPr>
      <w:r>
        <w:rPr>
          <w:lang w:val="en-GB" w:eastAsia="ja-JP"/>
        </w:rPr>
        <w:t xml:space="preserve">If the choice is made for the decoder to process edges from different rows within a layer, non-consecutive rows can be assigned to a layer to reduce conflicts. </w:t>
      </w:r>
      <w:r w:rsidR="005F32FB">
        <w:rPr>
          <w:lang w:val="en-GB" w:eastAsia="ja-JP"/>
        </w:rPr>
        <w:t>For example, the</w:t>
      </w:r>
      <w:r w:rsidR="00C60D35">
        <w:rPr>
          <w:lang w:val="en-GB" w:eastAsia="ja-JP"/>
        </w:rPr>
        <w:t xml:space="preserve"> base matrix for the K = 8192, R = 1/3 code</w:t>
      </w:r>
      <w:r w:rsidR="005F32FB">
        <w:rPr>
          <w:lang w:val="en-GB" w:eastAsia="ja-JP"/>
        </w:rPr>
        <w:t xml:space="preserve"> with Kb = 26 described in </w:t>
      </w:r>
      <w:r w:rsidR="00C60D35">
        <w:rPr>
          <w:lang w:val="en-GB" w:eastAsia="ja-JP"/>
        </w:rPr>
        <w:fldChar w:fldCharType="begin"/>
      </w:r>
      <w:r w:rsidR="00C60D35">
        <w:rPr>
          <w:lang w:val="en-GB" w:eastAsia="ja-JP"/>
        </w:rPr>
        <w:instrText xml:space="preserve"> REF _Ref478153337 \r \h </w:instrText>
      </w:r>
      <w:r w:rsidR="00C60D35">
        <w:rPr>
          <w:lang w:val="en-GB" w:eastAsia="ja-JP"/>
        </w:rPr>
      </w:r>
      <w:r w:rsidR="00C60D35">
        <w:rPr>
          <w:lang w:val="en-GB" w:eastAsia="ja-JP"/>
        </w:rPr>
        <w:fldChar w:fldCharType="separate"/>
      </w:r>
      <w:r w:rsidR="00C60D35">
        <w:rPr>
          <w:lang w:val="en-GB" w:eastAsia="ja-JP"/>
        </w:rPr>
        <w:t>[5]</w:t>
      </w:r>
      <w:r w:rsidR="00C60D35">
        <w:rPr>
          <w:lang w:val="en-GB" w:eastAsia="ja-JP"/>
        </w:rPr>
        <w:fldChar w:fldCharType="end"/>
      </w:r>
      <w:r w:rsidR="00C60D35">
        <w:rPr>
          <w:lang w:val="en-GB" w:eastAsia="ja-JP"/>
        </w:rPr>
        <w:t xml:space="preserve">, contains 54 rows. Using the conflict-free definition of quasi-row orthogonality from </w:t>
      </w:r>
      <w:r w:rsidR="00C60D35">
        <w:rPr>
          <w:lang w:val="en-GB" w:eastAsia="ja-JP"/>
        </w:rPr>
        <w:fldChar w:fldCharType="begin"/>
      </w:r>
      <w:r w:rsidR="00C60D35">
        <w:rPr>
          <w:lang w:val="en-GB" w:eastAsia="ja-JP"/>
        </w:rPr>
        <w:instrText xml:space="preserve"> REF _Ref478139908 \r \h </w:instrText>
      </w:r>
      <w:r w:rsidR="00C60D35">
        <w:rPr>
          <w:lang w:val="en-GB" w:eastAsia="ja-JP"/>
        </w:rPr>
      </w:r>
      <w:r w:rsidR="00C60D35">
        <w:rPr>
          <w:lang w:val="en-GB" w:eastAsia="ja-JP"/>
        </w:rPr>
        <w:fldChar w:fldCharType="separate"/>
      </w:r>
      <w:r w:rsidR="00C60D35">
        <w:rPr>
          <w:lang w:val="en-GB" w:eastAsia="ja-JP"/>
        </w:rPr>
        <w:t>[3]</w:t>
      </w:r>
      <w:r w:rsidR="00C60D35">
        <w:rPr>
          <w:lang w:val="en-GB" w:eastAsia="ja-JP"/>
        </w:rPr>
        <w:fldChar w:fldCharType="end"/>
      </w:r>
      <w:r w:rsidR="00C60D35">
        <w:rPr>
          <w:lang w:val="en-GB" w:eastAsia="ja-JP"/>
        </w:rPr>
        <w:t>, these rows can be arranged into 18 layers containing 3 rows each, or into 14 layers containing 4 or fewer rows each. This organization is shown in the appendix.</w:t>
      </w:r>
      <w:r w:rsidR="003D4896">
        <w:rPr>
          <w:lang w:val="en-GB" w:eastAsia="ja-JP"/>
        </w:rPr>
        <w:t xml:space="preserve"> It should be noted that the codes described in </w:t>
      </w:r>
      <w:r w:rsidR="003D4896">
        <w:rPr>
          <w:lang w:val="en-GB" w:eastAsia="ja-JP"/>
        </w:rPr>
        <w:fldChar w:fldCharType="begin"/>
      </w:r>
      <w:r w:rsidR="003D4896">
        <w:rPr>
          <w:lang w:val="en-GB" w:eastAsia="ja-JP"/>
        </w:rPr>
        <w:instrText xml:space="preserve"> REF _Ref478153337 \r \h </w:instrText>
      </w:r>
      <w:r w:rsidR="003D4896">
        <w:rPr>
          <w:lang w:val="en-GB" w:eastAsia="ja-JP"/>
        </w:rPr>
      </w:r>
      <w:r w:rsidR="003D4896">
        <w:rPr>
          <w:lang w:val="en-GB" w:eastAsia="ja-JP"/>
        </w:rPr>
        <w:fldChar w:fldCharType="separate"/>
      </w:r>
      <w:r w:rsidR="003D4896">
        <w:rPr>
          <w:lang w:val="en-GB" w:eastAsia="ja-JP"/>
        </w:rPr>
        <w:t>[5]</w:t>
      </w:r>
      <w:r w:rsidR="003D4896">
        <w:rPr>
          <w:lang w:val="en-GB" w:eastAsia="ja-JP"/>
        </w:rPr>
        <w:fldChar w:fldCharType="end"/>
      </w:r>
      <w:r w:rsidR="003D4896">
        <w:rPr>
          <w:lang w:val="en-GB" w:eastAsia="ja-JP"/>
        </w:rPr>
        <w:t xml:space="preserve"> do not have an expl</w:t>
      </w:r>
      <w:r w:rsidR="0052225E">
        <w:rPr>
          <w:lang w:val="en-GB" w:eastAsia="ja-JP"/>
        </w:rPr>
        <w:t>icit orthogonality requirement, since such a requirement could degra</w:t>
      </w:r>
      <w:r w:rsidR="008D048B">
        <w:rPr>
          <w:lang w:val="en-GB" w:eastAsia="ja-JP"/>
        </w:rPr>
        <w:t xml:space="preserve">de the performance of the codes </w:t>
      </w:r>
      <w:r w:rsidR="008D048B">
        <w:rPr>
          <w:lang w:val="en-GB" w:eastAsia="ja-JP"/>
        </w:rPr>
        <w:fldChar w:fldCharType="begin"/>
      </w:r>
      <w:r w:rsidR="008D048B">
        <w:rPr>
          <w:lang w:val="en-GB" w:eastAsia="ja-JP"/>
        </w:rPr>
        <w:instrText xml:space="preserve"> REF _Ref478154251 \r \h </w:instrText>
      </w:r>
      <w:r w:rsidR="008D048B">
        <w:rPr>
          <w:lang w:val="en-GB" w:eastAsia="ja-JP"/>
        </w:rPr>
      </w:r>
      <w:r w:rsidR="008D048B">
        <w:rPr>
          <w:lang w:val="en-GB" w:eastAsia="ja-JP"/>
        </w:rPr>
        <w:fldChar w:fldCharType="separate"/>
      </w:r>
      <w:r w:rsidR="008D048B">
        <w:rPr>
          <w:lang w:val="en-GB" w:eastAsia="ja-JP"/>
        </w:rPr>
        <w:t>[6]</w:t>
      </w:r>
      <w:r w:rsidR="008D048B">
        <w:rPr>
          <w:lang w:val="en-GB" w:eastAsia="ja-JP"/>
        </w:rPr>
        <w:fldChar w:fldCharType="end"/>
      </w:r>
      <w:r w:rsidR="008D048B">
        <w:rPr>
          <w:lang w:val="en-GB" w:eastAsia="ja-JP"/>
        </w:rPr>
        <w:t>.</w:t>
      </w:r>
    </w:p>
    <w:p w14:paraId="2B48F725" w14:textId="5EDB5BAA" w:rsidR="00C60D35" w:rsidRDefault="00C60D35" w:rsidP="00FF300F">
      <w:pPr>
        <w:jc w:val="both"/>
        <w:rPr>
          <w:lang w:val="en-GB" w:eastAsia="ja-JP"/>
        </w:rPr>
      </w:pPr>
      <w:r w:rsidRPr="00C60D35">
        <w:rPr>
          <w:b/>
          <w:u w:val="single"/>
          <w:lang w:val="en-GB" w:eastAsia="ja-JP"/>
        </w:rPr>
        <w:t>Observation 1:</w:t>
      </w:r>
      <w:r>
        <w:rPr>
          <w:lang w:val="en-GB" w:eastAsia="ja-JP"/>
        </w:rPr>
        <w:t xml:space="preserve"> There are many methods for reducing the amount and effect of scheduling conflicts in multiple-edge decoders.</w:t>
      </w:r>
    </w:p>
    <w:p w14:paraId="4B5DE0EC" w14:textId="025A358F" w:rsidR="006232D2" w:rsidRDefault="00C60D35" w:rsidP="00C60D35">
      <w:pPr>
        <w:pStyle w:val="Heading1"/>
        <w:rPr>
          <w:lang w:eastAsia="ja-JP"/>
        </w:rPr>
      </w:pPr>
      <w:r>
        <w:rPr>
          <w:lang w:eastAsia="ja-JP"/>
        </w:rPr>
        <w:t>Effect of Maximum Lift Size on Implementation Complexity</w:t>
      </w:r>
    </w:p>
    <w:p w14:paraId="45C75A23" w14:textId="7E478E07" w:rsidR="008D048B" w:rsidRDefault="009272F7" w:rsidP="008D048B">
      <w:pPr>
        <w:jc w:val="both"/>
        <w:rPr>
          <w:lang w:val="en-GB"/>
        </w:rPr>
      </w:pPr>
      <w:r>
        <w:rPr>
          <w:lang w:val="en-GB"/>
        </w:rPr>
        <w:t>The</w:t>
      </w:r>
      <w:r w:rsidR="008D048B">
        <w:rPr>
          <w:lang w:val="en-GB"/>
        </w:rPr>
        <w:t xml:space="preserve"> complexity of the circular shifters used in </w:t>
      </w:r>
      <w:r>
        <w:rPr>
          <w:lang w:val="en-GB"/>
        </w:rPr>
        <w:t>edge processors</w:t>
      </w:r>
      <w:r w:rsidR="008D048B">
        <w:rPr>
          <w:lang w:val="en-GB"/>
        </w:rPr>
        <w:t xml:space="preserve"> scales super-linearly with the maximum lift size. </w:t>
      </w:r>
      <w:r w:rsidR="00E636D5">
        <w:rPr>
          <w:lang w:val="en-GB"/>
        </w:rPr>
        <w:t xml:space="preserve">The </w:t>
      </w:r>
      <w:r w:rsidR="008D048B">
        <w:rPr>
          <w:lang w:val="en-GB"/>
        </w:rPr>
        <w:t>QC-LDPC shift network (QSN)</w:t>
      </w:r>
      <w:r w:rsidR="00E636D5">
        <w:rPr>
          <w:lang w:val="en-GB"/>
        </w:rPr>
        <w:t xml:space="preserve"> is </w:t>
      </w:r>
      <w:r w:rsidR="00192E46">
        <w:rPr>
          <w:lang w:val="en-GB"/>
        </w:rPr>
        <w:t xml:space="preserve">an </w:t>
      </w:r>
      <w:r w:rsidR="00E636D5">
        <w:rPr>
          <w:lang w:val="en-GB"/>
        </w:rPr>
        <w:t xml:space="preserve">example of flexible circular shifter that support shifts of any amount and size </w:t>
      </w:r>
      <w:r w:rsidR="00192E46">
        <w:rPr>
          <w:lang w:val="en-GB"/>
        </w:rPr>
        <w:fldChar w:fldCharType="begin"/>
      </w:r>
      <w:r w:rsidR="00192E46">
        <w:rPr>
          <w:lang w:val="en-GB"/>
        </w:rPr>
        <w:instrText xml:space="preserve"> REF _Ref478154573 \r \h </w:instrText>
      </w:r>
      <w:r w:rsidR="00192E46">
        <w:rPr>
          <w:lang w:val="en-GB"/>
        </w:rPr>
      </w:r>
      <w:r w:rsidR="00192E46">
        <w:rPr>
          <w:lang w:val="en-GB"/>
        </w:rPr>
        <w:fldChar w:fldCharType="separate"/>
      </w:r>
      <w:r w:rsidR="00192E46">
        <w:rPr>
          <w:lang w:val="en-GB"/>
        </w:rPr>
        <w:t>[7]</w:t>
      </w:r>
      <w:r w:rsidR="00192E46">
        <w:rPr>
          <w:lang w:val="en-GB"/>
        </w:rPr>
        <w:fldChar w:fldCharType="end"/>
      </w:r>
      <w:r w:rsidR="00E636D5">
        <w:rPr>
          <w:lang w:val="en-GB"/>
        </w:rPr>
        <w:t>.</w:t>
      </w:r>
      <w:r w:rsidR="008D048B">
        <w:rPr>
          <w:lang w:val="en-GB"/>
        </w:rPr>
        <w:t xml:space="preserve"> In the following, we will use the number of </w:t>
      </w:r>
      <m:oMath>
        <m:r>
          <w:rPr>
            <w:rFonts w:ascii="Cambria Math" w:hAnsi="Cambria Math"/>
            <w:lang w:val="en-GB"/>
          </w:rPr>
          <m:t>2×1</m:t>
        </m:r>
      </m:oMath>
      <w:r w:rsidR="008D048B">
        <w:rPr>
          <w:lang w:val="en-GB"/>
        </w:rPr>
        <w:t xml:space="preserve"> q-bit multiplexers as a measure of switch complexity, where q is the numb</w:t>
      </w:r>
      <w:r w:rsidR="00192E46">
        <w:rPr>
          <w:lang w:val="en-GB"/>
        </w:rPr>
        <w:t>er of bits in a decoder message, to show the effect of maximum lift size.</w:t>
      </w:r>
    </w:p>
    <w:p w14:paraId="3F47A3B9" w14:textId="17E5F9A0" w:rsidR="008D048B" w:rsidRDefault="008D048B" w:rsidP="00192E46">
      <w:pPr>
        <w:jc w:val="both"/>
      </w:pPr>
      <w:r>
        <w:rPr>
          <w:lang w:val="en-GB"/>
        </w:rPr>
        <w:t xml:space="preserve">A QSN for a maximum lift size </w:t>
      </w:r>
      <m:oMath>
        <m:r>
          <w:rPr>
            <w:rFonts w:ascii="Cambria Math" w:hAnsi="Cambria Math"/>
            <w:lang w:val="en-GB"/>
          </w:rPr>
          <m:t>Z</m:t>
        </m:r>
      </m:oMath>
      <w:r>
        <w:rPr>
          <w:lang w:val="en-GB"/>
        </w:rPr>
        <w:t xml:space="preserve"> was shown in </w:t>
      </w:r>
      <w:r w:rsidR="00192E46">
        <w:rPr>
          <w:lang w:val="en-GB"/>
        </w:rPr>
        <w:fldChar w:fldCharType="begin"/>
      </w:r>
      <w:r w:rsidR="00192E46">
        <w:rPr>
          <w:lang w:val="en-GB"/>
        </w:rPr>
        <w:instrText xml:space="preserve"> REF _Ref478154573 \r \h </w:instrText>
      </w:r>
      <w:r w:rsidR="00192E46">
        <w:rPr>
          <w:lang w:val="en-GB"/>
        </w:rPr>
      </w:r>
      <w:r w:rsidR="00192E46">
        <w:rPr>
          <w:lang w:val="en-GB"/>
        </w:rPr>
        <w:fldChar w:fldCharType="separate"/>
      </w:r>
      <w:r w:rsidR="00192E46">
        <w:rPr>
          <w:lang w:val="en-GB"/>
        </w:rPr>
        <w:t>[7]</w:t>
      </w:r>
      <w:r w:rsidR="00192E46">
        <w:rPr>
          <w:lang w:val="en-GB"/>
        </w:rPr>
        <w:fldChar w:fldCharType="end"/>
      </w:r>
      <w:r>
        <w:rPr>
          <w:lang w:val="en-GB"/>
        </w:rPr>
        <w:fldChar w:fldCharType="begin"/>
      </w:r>
      <w:r>
        <w:rPr>
          <w:lang w:val="en-GB"/>
        </w:rPr>
        <w:instrText xml:space="preserve"> REF _Ref471577047 \r \h  \* MERGEFORMAT </w:instrText>
      </w:r>
      <w:r>
        <w:rPr>
          <w:lang w:val="en-GB"/>
        </w:rPr>
      </w:r>
      <w:r>
        <w:rPr>
          <w:lang w:val="en-GB"/>
        </w:rPr>
        <w:fldChar w:fldCharType="end"/>
      </w:r>
      <w:r>
        <w:rPr>
          <w:lang w:val="en-GB"/>
        </w:rPr>
        <w:t xml:space="preserve"> to require </w:t>
      </w:r>
      <m:oMath>
        <m:r>
          <w:rPr>
            <w:rFonts w:ascii="Cambria Math" w:hAnsi="Cambria Math"/>
          </w:rPr>
          <m:t>Z</m:t>
        </m:r>
        <m:d>
          <m:dPr>
            <m:ctrlPr>
              <w:rPr>
                <w:rFonts w:ascii="Cambria Math" w:hAnsi="Cambria Math"/>
                <w:i/>
              </w:rPr>
            </m:ctrlPr>
          </m:dPr>
          <m:e>
            <m:r>
              <w:rPr>
                <w:rFonts w:ascii="Cambria Math" w:hAnsi="Cambria Math"/>
              </w:rPr>
              <m:t>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Z</m:t>
                    </m:r>
                  </m:e>
                </m:func>
              </m:e>
            </m:d>
            <m:r>
              <w:rPr>
                <w:rFonts w:ascii="Cambria Math" w:hAnsi="Cambria Math"/>
              </w:rPr>
              <m:t>+1</m:t>
            </m:r>
          </m:e>
        </m:d>
        <m:r>
          <w:rPr>
            <w:rFonts w:ascii="Cambria Math" w:hAnsi="Cambria Math"/>
          </w:rPr>
          <m:t xml:space="preserve">- </m:t>
        </m:r>
        <m:sSup>
          <m:sSupPr>
            <m:ctrlPr>
              <w:rPr>
                <w:rFonts w:ascii="Cambria Math" w:hAnsi="Cambria Math"/>
                <w:i/>
              </w:rPr>
            </m:ctrlPr>
          </m:sSupPr>
          <m:e>
            <m:r>
              <w:rPr>
                <w:rFonts w:ascii="Cambria Math" w:hAnsi="Cambria Math"/>
              </w:rPr>
              <m:t>2×2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Z</m:t>
                    </m:r>
                  </m:e>
                </m:func>
              </m:e>
            </m:d>
          </m:sup>
        </m:sSup>
        <m:r>
          <w:rPr>
            <w:rFonts w:ascii="Cambria Math" w:hAnsi="Cambria Math"/>
          </w:rPr>
          <m:t>+2≈Z(2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Z</m:t>
                </m:r>
              </m:e>
            </m:func>
          </m:e>
        </m:d>
        <m:r>
          <w:rPr>
            <w:rFonts w:ascii="Cambria Math" w:hAnsi="Cambria Math"/>
          </w:rPr>
          <m:t>-1)</m:t>
        </m:r>
      </m:oMath>
      <w:r>
        <w:t xml:space="preserve"> multiplexers</w:t>
      </w:r>
      <w:r w:rsidR="00192E46">
        <w:t xml:space="preserve">. Therefore the circular </w:t>
      </w:r>
      <w:r>
        <w:t>shift</w:t>
      </w:r>
      <w:r w:rsidR="00192E46">
        <w:t>er</w:t>
      </w:r>
      <w:r>
        <w:t xml:space="preserve"> ha</w:t>
      </w:r>
      <w:r w:rsidR="00192E46">
        <w:t>s</w:t>
      </w:r>
      <w:r>
        <w:t xml:space="preserve"> a complexity that scales as </w:t>
      </w:r>
      <m:oMath>
        <m:r>
          <w:rPr>
            <w:rFonts w:ascii="Cambria Math" w:hAnsi="Cambria Math"/>
          </w:rPr>
          <m:t>O(Z</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Z</m:t>
            </m:r>
          </m:e>
        </m:func>
        <m:r>
          <w:rPr>
            <w:rFonts w:ascii="Cambria Math" w:hAnsi="Cambria Math"/>
          </w:rPr>
          <m:t>)</m:t>
        </m:r>
      </m:oMath>
      <w:r>
        <w:t xml:space="preserve">. For example, tripling the maximum lift size is expected to increase the switch complexity at least 3.6 times. This complexity scaling is illustrated in </w:t>
      </w:r>
      <w:r w:rsidR="00192E46">
        <w:fldChar w:fldCharType="begin"/>
      </w:r>
      <w:r w:rsidR="00192E46">
        <w:instrText xml:space="preserve"> REF _Ref478154573 \r \h </w:instrText>
      </w:r>
      <w:r w:rsidR="00192E46">
        <w:fldChar w:fldCharType="separate"/>
      </w:r>
      <w:r w:rsidR="00192E46">
        <w:t>[7]</w:t>
      </w:r>
      <w:r w:rsidR="00192E46">
        <w:fldChar w:fldCharType="end"/>
      </w:r>
      <w:r>
        <w:t xml:space="preserve"> where increasing the maximum lift size from 32 to 96 increased the area 3.7 times. Therefore, the </w:t>
      </w:r>
      <w:r w:rsidR="00192E46">
        <w:t xml:space="preserve">three </w:t>
      </w:r>
      <w:r>
        <w:t>switch</w:t>
      </w:r>
      <w:r w:rsidR="00192E46">
        <w:t>es</w:t>
      </w:r>
      <w:r>
        <w:t xml:space="preserve"> for processing three edges (columns) from a base graph with a lift size </w:t>
      </w:r>
      <m:oMath>
        <m:r>
          <w:rPr>
            <w:rFonts w:ascii="Cambria Math" w:hAnsi="Cambria Math"/>
          </w:rPr>
          <m:t>Z</m:t>
        </m:r>
      </m:oMath>
      <w:r w:rsidR="00192E46">
        <w:t>, are</w:t>
      </w:r>
      <w:r>
        <w:t xml:space="preserve"> less complex than the switch for processing a single edge from a base graph with a lift size </w:t>
      </w:r>
      <m:oMath>
        <m:r>
          <w:rPr>
            <w:rFonts w:ascii="Cambria Math" w:hAnsi="Cambria Math"/>
          </w:rPr>
          <m:t>3Z</m:t>
        </m:r>
      </m:oMath>
      <w:r>
        <w:t>; while having the same decoder parallelism and similar throughput.</w:t>
      </w:r>
    </w:p>
    <w:p w14:paraId="5D94717B" w14:textId="7DFC3848" w:rsidR="00192E46" w:rsidRDefault="00192E46" w:rsidP="00192E46">
      <w:pPr>
        <w:jc w:val="both"/>
      </w:pPr>
      <w:r>
        <w:t>The number of computational elements incorporated into the node processors is related to the decoder parallelism. Two decoders can have the same amount of parallelism even if they are implemented for codes with different maximum lift sizes by implementing a different number of edge processors. The target throughput will determine the level of parallelism in the decoder, not the maximum lift size.</w:t>
      </w:r>
    </w:p>
    <w:p w14:paraId="051E4FAD" w14:textId="076F62A8" w:rsidR="00A01BC1" w:rsidRPr="00192E46" w:rsidRDefault="00192E46" w:rsidP="00FF300F">
      <w:pPr>
        <w:jc w:val="both"/>
      </w:pPr>
      <w:r w:rsidRPr="00192E46">
        <w:rPr>
          <w:b/>
          <w:u w:val="single"/>
        </w:rPr>
        <w:t>Observation 2:</w:t>
      </w:r>
      <w:r>
        <w:t xml:space="preserve"> Decoders with the same parallelism level will have comparable implementation complexity even if they target codes with different maximum lift sizes.</w:t>
      </w:r>
    </w:p>
    <w:p w14:paraId="43B7F891" w14:textId="77777777" w:rsidR="004503F9" w:rsidRDefault="004503F9" w:rsidP="004503F9">
      <w:pPr>
        <w:pStyle w:val="Heading1"/>
        <w:rPr>
          <w:lang w:eastAsia="zh-CN"/>
        </w:rPr>
      </w:pPr>
      <w:r>
        <w:rPr>
          <w:lang w:eastAsia="zh-CN"/>
        </w:rPr>
        <w:t>Conclusions</w:t>
      </w:r>
    </w:p>
    <w:p w14:paraId="7986FDAF" w14:textId="77777777" w:rsidR="00192E46" w:rsidRDefault="00192E46" w:rsidP="00192E46">
      <w:pPr>
        <w:jc w:val="both"/>
        <w:rPr>
          <w:lang w:val="en-GB" w:eastAsia="ja-JP"/>
        </w:rPr>
      </w:pPr>
      <w:r w:rsidRPr="00C60D35">
        <w:rPr>
          <w:b/>
          <w:u w:val="single"/>
          <w:lang w:val="en-GB" w:eastAsia="ja-JP"/>
        </w:rPr>
        <w:t>Observation 1:</w:t>
      </w:r>
      <w:r>
        <w:rPr>
          <w:lang w:val="en-GB" w:eastAsia="ja-JP"/>
        </w:rPr>
        <w:t xml:space="preserve"> There are many methods for reducing the amount and effect of scheduling conflicts in multiple-edge decoders.</w:t>
      </w:r>
    </w:p>
    <w:p w14:paraId="43B7F895" w14:textId="2EA4E845" w:rsidR="004503F9" w:rsidRDefault="00192E46" w:rsidP="00192E46">
      <w:pPr>
        <w:jc w:val="both"/>
      </w:pPr>
      <w:r w:rsidRPr="00192E46">
        <w:rPr>
          <w:b/>
          <w:u w:val="single"/>
        </w:rPr>
        <w:t>Observation 2:</w:t>
      </w:r>
      <w:r>
        <w:t xml:space="preserve"> Decoders with the same parallelism level will have comparable implementation complexity even if they target codes with different maximum lift sizes.</w:t>
      </w:r>
    </w:p>
    <w:p w14:paraId="0E3C9670" w14:textId="77777777" w:rsidR="00726A39" w:rsidRPr="000A64D8" w:rsidRDefault="00726A39" w:rsidP="00726A39">
      <w:pPr>
        <w:pStyle w:val="Heading1"/>
        <w:rPr>
          <w:lang w:val="en-US"/>
        </w:rPr>
      </w:pPr>
      <w:r w:rsidRPr="000A64D8">
        <w:rPr>
          <w:lang w:val="en-US"/>
        </w:rPr>
        <w:t>References</w:t>
      </w:r>
    </w:p>
    <w:p w14:paraId="45640687" w14:textId="00192092" w:rsidR="00726A39" w:rsidRDefault="00726A39" w:rsidP="00726A39">
      <w:pPr>
        <w:numPr>
          <w:ilvl w:val="0"/>
          <w:numId w:val="2"/>
        </w:numPr>
        <w:spacing w:before="100" w:beforeAutospacing="1" w:after="100" w:afterAutospacing="1"/>
        <w:ind w:left="562" w:hanging="562"/>
        <w:rPr>
          <w:szCs w:val="22"/>
        </w:rPr>
      </w:pPr>
      <w:bookmarkStart w:id="4" w:name="_Ref474009888"/>
      <w:r>
        <w:rPr>
          <w:szCs w:val="22"/>
        </w:rPr>
        <w:t xml:space="preserve">Chairman’s notes, RAN1 </w:t>
      </w:r>
      <w:r w:rsidR="00F37D39">
        <w:rPr>
          <w:szCs w:val="22"/>
        </w:rPr>
        <w:t>88</w:t>
      </w:r>
      <w:r>
        <w:rPr>
          <w:szCs w:val="22"/>
        </w:rPr>
        <w:t xml:space="preserve"> </w:t>
      </w:r>
      <w:r w:rsidR="00F37D39">
        <w:rPr>
          <w:szCs w:val="22"/>
        </w:rPr>
        <w:t>February</w:t>
      </w:r>
      <w:r>
        <w:rPr>
          <w:szCs w:val="22"/>
        </w:rPr>
        <w:t xml:space="preserve"> 2017,</w:t>
      </w:r>
      <w:r w:rsidR="00F37D39">
        <w:rPr>
          <w:szCs w:val="22"/>
        </w:rPr>
        <w:t xml:space="preserve"> Athens, Greece</w:t>
      </w:r>
      <w:r>
        <w:rPr>
          <w:szCs w:val="22"/>
        </w:rPr>
        <w:t>.</w:t>
      </w:r>
      <w:bookmarkEnd w:id="4"/>
    </w:p>
    <w:p w14:paraId="1AF59D97" w14:textId="003615F2" w:rsidR="007E57C6" w:rsidRDefault="007E57C6" w:rsidP="007E57C6">
      <w:pPr>
        <w:numPr>
          <w:ilvl w:val="0"/>
          <w:numId w:val="2"/>
        </w:numPr>
        <w:spacing w:before="100" w:beforeAutospacing="1" w:after="100" w:afterAutospacing="1"/>
        <w:rPr>
          <w:szCs w:val="22"/>
        </w:rPr>
      </w:pPr>
      <w:bookmarkStart w:id="5" w:name="_Ref474011199"/>
      <w:bookmarkStart w:id="6" w:name="_Ref474011471"/>
      <w:r>
        <w:rPr>
          <w:szCs w:val="22"/>
        </w:rPr>
        <w:t>R1-1610139, “</w:t>
      </w:r>
      <w:r w:rsidRPr="00713357">
        <w:rPr>
          <w:szCs w:val="22"/>
        </w:rPr>
        <w:t xml:space="preserve">Efficient </w:t>
      </w:r>
      <w:r w:rsidR="00FF300F">
        <w:rPr>
          <w:szCs w:val="22"/>
        </w:rPr>
        <w:t>c</w:t>
      </w:r>
      <w:r w:rsidRPr="00713357">
        <w:rPr>
          <w:szCs w:val="22"/>
        </w:rPr>
        <w:t xml:space="preserve">hannel </w:t>
      </w:r>
      <w:r w:rsidR="00FF300F">
        <w:rPr>
          <w:szCs w:val="22"/>
        </w:rPr>
        <w:t>c</w:t>
      </w:r>
      <w:r w:rsidRPr="00713357">
        <w:rPr>
          <w:szCs w:val="22"/>
        </w:rPr>
        <w:t xml:space="preserve">oding </w:t>
      </w:r>
      <w:r w:rsidR="00FF300F">
        <w:rPr>
          <w:szCs w:val="22"/>
        </w:rPr>
        <w:t>i</w:t>
      </w:r>
      <w:r w:rsidRPr="00713357">
        <w:rPr>
          <w:szCs w:val="22"/>
        </w:rPr>
        <w:t>mplementations for EMBB</w:t>
      </w:r>
      <w:r>
        <w:rPr>
          <w:szCs w:val="22"/>
        </w:rPr>
        <w:t>,” Qualcomm Incorporated, RAN1 #86b, Lisbon, Portugal.</w:t>
      </w:r>
      <w:bookmarkEnd w:id="5"/>
      <w:bookmarkEnd w:id="6"/>
    </w:p>
    <w:p w14:paraId="729C4483" w14:textId="60B95D7C" w:rsidR="00FA6243" w:rsidRDefault="00FF300F" w:rsidP="00FA6243">
      <w:pPr>
        <w:numPr>
          <w:ilvl w:val="0"/>
          <w:numId w:val="2"/>
        </w:numPr>
        <w:spacing w:before="100" w:beforeAutospacing="1" w:after="100" w:afterAutospacing="1"/>
        <w:rPr>
          <w:szCs w:val="22"/>
        </w:rPr>
      </w:pPr>
      <w:bookmarkStart w:id="7" w:name="_Ref478139908"/>
      <w:r>
        <w:rPr>
          <w:szCs w:val="22"/>
        </w:rPr>
        <w:t>R1-1701707, “Implementation aspects of LDPC codes,” Huawei, HiSilicon, RAN1 #88, Athens, Greece.</w:t>
      </w:r>
      <w:bookmarkEnd w:id="7"/>
    </w:p>
    <w:p w14:paraId="33CB65BE" w14:textId="5E9BF439" w:rsidR="00162E7C" w:rsidRDefault="00162E7C" w:rsidP="00FA6243">
      <w:pPr>
        <w:numPr>
          <w:ilvl w:val="0"/>
          <w:numId w:val="2"/>
        </w:numPr>
        <w:spacing w:before="100" w:beforeAutospacing="1" w:after="100" w:afterAutospacing="1"/>
        <w:rPr>
          <w:szCs w:val="22"/>
        </w:rPr>
      </w:pPr>
      <w:bookmarkStart w:id="8" w:name="_Ref478141989"/>
      <w:r>
        <w:rPr>
          <w:szCs w:val="22"/>
        </w:rPr>
        <w:t>R1-1700111, “Implementation and performance of LDPC decoders,” Ericsson, RAN1 #87a, Spokane, USA.</w:t>
      </w:r>
      <w:bookmarkEnd w:id="8"/>
    </w:p>
    <w:p w14:paraId="44233C84" w14:textId="2D175882" w:rsidR="00C60D35" w:rsidRDefault="00C60D35" w:rsidP="00FA6243">
      <w:pPr>
        <w:numPr>
          <w:ilvl w:val="0"/>
          <w:numId w:val="2"/>
        </w:numPr>
        <w:spacing w:before="100" w:beforeAutospacing="1" w:after="100" w:afterAutospacing="1"/>
        <w:rPr>
          <w:szCs w:val="22"/>
        </w:rPr>
      </w:pPr>
      <w:bookmarkStart w:id="9" w:name="_Ref478153337"/>
      <w:r w:rsidRPr="00543FFD">
        <w:rPr>
          <w:szCs w:val="22"/>
        </w:rPr>
        <w:t>R1-1705626, “LDPC code designs for larger lift sizes,” Qualcomm Incorporated, RAN1 #88b, Spokane, USA</w:t>
      </w:r>
      <w:r>
        <w:rPr>
          <w:szCs w:val="22"/>
        </w:rPr>
        <w:t>.</w:t>
      </w:r>
      <w:bookmarkEnd w:id="9"/>
    </w:p>
    <w:p w14:paraId="5FB79612" w14:textId="4120B08E" w:rsidR="008D048B" w:rsidRDefault="008D048B" w:rsidP="008D048B">
      <w:pPr>
        <w:numPr>
          <w:ilvl w:val="0"/>
          <w:numId w:val="2"/>
        </w:numPr>
        <w:spacing w:before="100" w:beforeAutospacing="1" w:after="100" w:afterAutospacing="1"/>
        <w:rPr>
          <w:szCs w:val="22"/>
        </w:rPr>
      </w:pPr>
      <w:bookmarkStart w:id="10" w:name="_Ref478154251"/>
      <w:r w:rsidRPr="008D048B">
        <w:rPr>
          <w:szCs w:val="22"/>
        </w:rPr>
        <w:t>R1-1700831</w:t>
      </w:r>
      <w:r>
        <w:rPr>
          <w:szCs w:val="22"/>
        </w:rPr>
        <w:t xml:space="preserve">, “LDPC design considerations,” </w:t>
      </w:r>
      <w:r w:rsidRPr="00543FFD">
        <w:rPr>
          <w:szCs w:val="22"/>
        </w:rPr>
        <w:t>Qualcomm Incorporated, RAN1 #88b, Spokane, USA</w:t>
      </w:r>
      <w:r>
        <w:rPr>
          <w:szCs w:val="22"/>
        </w:rPr>
        <w:t>.</w:t>
      </w:r>
      <w:bookmarkEnd w:id="10"/>
    </w:p>
    <w:p w14:paraId="48D8D2ED" w14:textId="7ED3640F" w:rsidR="008D048B" w:rsidRPr="008D048B" w:rsidRDefault="008D048B" w:rsidP="008D048B">
      <w:pPr>
        <w:numPr>
          <w:ilvl w:val="0"/>
          <w:numId w:val="2"/>
        </w:numPr>
        <w:spacing w:before="100" w:beforeAutospacing="1" w:after="100" w:afterAutospacing="1"/>
        <w:rPr>
          <w:szCs w:val="22"/>
        </w:rPr>
      </w:pPr>
      <w:bookmarkStart w:id="11" w:name="_Ref478154573"/>
      <w:r w:rsidRPr="008D048B">
        <w:rPr>
          <w:szCs w:val="22"/>
        </w:rPr>
        <w:t>X. Chen, S. Lin, and V. Akella, “QSN-A Simple Circular-Shift Network for Reconfigurable Quasi-Cyclic LDPC Decoders,” IEEE Trans. On Circ. And Syst., 2010</w:t>
      </w:r>
      <w:r>
        <w:rPr>
          <w:szCs w:val="22"/>
        </w:rPr>
        <w:t>.</w:t>
      </w:r>
      <w:bookmarkEnd w:id="11"/>
    </w:p>
    <w:p w14:paraId="57F7E77C" w14:textId="0E828EAE" w:rsidR="00C60D35" w:rsidRDefault="00C60D35">
      <w:pPr>
        <w:overflowPunct/>
        <w:autoSpaceDE/>
        <w:autoSpaceDN/>
        <w:adjustRightInd/>
        <w:spacing w:after="0"/>
        <w:textAlignment w:val="auto"/>
        <w:rPr>
          <w:szCs w:val="22"/>
        </w:rPr>
      </w:pPr>
      <w:r>
        <w:rPr>
          <w:szCs w:val="22"/>
        </w:rPr>
        <w:br w:type="page"/>
      </w:r>
    </w:p>
    <w:p w14:paraId="759D42C4" w14:textId="32B57C94" w:rsidR="00C60D35" w:rsidRDefault="00C60D35" w:rsidP="00C60D35">
      <w:pPr>
        <w:pStyle w:val="Heading1"/>
      </w:pPr>
      <w:r>
        <w:t>Appendix</w:t>
      </w:r>
    </w:p>
    <w:p w14:paraId="73F5923A" w14:textId="77777777" w:rsidR="00C60D35" w:rsidRPr="00C60D35" w:rsidRDefault="00C60D35" w:rsidP="00C60D35">
      <w:pPr>
        <w:rPr>
          <w:lang w:val="en-GB"/>
        </w:rPr>
      </w:pPr>
    </w:p>
    <w:p w14:paraId="67DFE0F4" w14:textId="534ECAD1" w:rsidR="00C60D35" w:rsidRDefault="00C60D35" w:rsidP="00C60D35">
      <w:pPr>
        <w:pStyle w:val="Caption"/>
        <w:keepNext/>
        <w:jc w:val="center"/>
      </w:pPr>
      <w:r>
        <w:t xml:space="preserve">Table </w:t>
      </w:r>
      <w:fldSimple w:instr=" SEQ Table \* ARABIC ">
        <w:r>
          <w:rPr>
            <w:noProof/>
          </w:rPr>
          <w:t>1</w:t>
        </w:r>
      </w:fldSimple>
      <w:r>
        <w:t xml:space="preserve"> Rows of the (24576, 8192) code arranged into layers with quasi-orthogonal rows</w:t>
      </w:r>
    </w:p>
    <w:tbl>
      <w:tblPr>
        <w:tblStyle w:val="ListTable6Colorful-Accent3"/>
        <w:tblW w:w="0" w:type="auto"/>
        <w:tblLook w:val="04A0" w:firstRow="1" w:lastRow="0" w:firstColumn="1" w:lastColumn="0" w:noHBand="0" w:noVBand="1"/>
      </w:tblPr>
      <w:tblGrid>
        <w:gridCol w:w="3320"/>
        <w:gridCol w:w="3321"/>
        <w:gridCol w:w="3321"/>
      </w:tblGrid>
      <w:tr w:rsidR="00C60D35" w:rsidRPr="00C60D35" w14:paraId="0CEF047D" w14:textId="77777777" w:rsidTr="00E179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7778FB8D" w14:textId="77777777" w:rsidR="00C60D35" w:rsidRPr="00C60D35" w:rsidRDefault="00C60D35" w:rsidP="00E17925">
            <w:pPr>
              <w:jc w:val="both"/>
              <w:rPr>
                <w:rFonts w:eastAsia="Arial Unicode MS"/>
                <w:color w:val="000000"/>
              </w:rPr>
            </w:pPr>
            <w:r w:rsidRPr="00C60D35">
              <w:rPr>
                <w:rFonts w:eastAsia="Arial Unicode MS"/>
                <w:color w:val="000000"/>
              </w:rPr>
              <w:t>Layer Index</w:t>
            </w:r>
          </w:p>
        </w:tc>
        <w:tc>
          <w:tcPr>
            <w:tcW w:w="3321" w:type="dxa"/>
          </w:tcPr>
          <w:p w14:paraId="77573C7E" w14:textId="07A21EFA" w:rsidR="00C60D35" w:rsidRPr="00C60D35" w:rsidRDefault="00C60D35" w:rsidP="00C60D35">
            <w:pPr>
              <w:cnfStyle w:val="100000000000" w:firstRow="1" w:lastRow="0" w:firstColumn="0" w:lastColumn="0" w:oddVBand="0" w:evenVBand="0" w:oddHBand="0" w:evenHBand="0" w:firstRowFirstColumn="0" w:firstRowLastColumn="0" w:lastRowFirstColumn="0" w:lastRowLastColumn="0"/>
              <w:rPr>
                <w:color w:val="000000"/>
                <w:szCs w:val="22"/>
              </w:rPr>
            </w:pPr>
            <w:r>
              <w:rPr>
                <w:color w:val="000000"/>
                <w:szCs w:val="22"/>
              </w:rPr>
              <w:t>Rows in l</w:t>
            </w:r>
            <w:r w:rsidRPr="00C60D35">
              <w:rPr>
                <w:color w:val="000000"/>
                <w:szCs w:val="22"/>
              </w:rPr>
              <w:t>ayer</w:t>
            </w:r>
            <w:r>
              <w:rPr>
                <w:color w:val="000000"/>
                <w:szCs w:val="22"/>
              </w:rPr>
              <w:t>s of</w:t>
            </w:r>
            <w:r w:rsidRPr="00C60D35">
              <w:rPr>
                <w:color w:val="000000"/>
                <w:szCs w:val="22"/>
              </w:rPr>
              <w:t xml:space="preserve"> size = 3</w:t>
            </w:r>
          </w:p>
        </w:tc>
        <w:tc>
          <w:tcPr>
            <w:tcW w:w="3321" w:type="dxa"/>
          </w:tcPr>
          <w:p w14:paraId="68B899BE" w14:textId="2E01F485" w:rsidR="00C60D35" w:rsidRPr="00C60D35" w:rsidRDefault="00C60D35" w:rsidP="00E17925">
            <w:pPr>
              <w:cnfStyle w:val="100000000000" w:firstRow="1" w:lastRow="0" w:firstColumn="0" w:lastColumn="0" w:oddVBand="0" w:evenVBand="0" w:oddHBand="0" w:evenHBand="0" w:firstRowFirstColumn="0" w:firstRowLastColumn="0" w:lastRowFirstColumn="0" w:lastRowLastColumn="0"/>
              <w:rPr>
                <w:color w:val="auto"/>
                <w:lang w:val="en-GB" w:eastAsia="ja-JP"/>
              </w:rPr>
            </w:pPr>
            <w:r>
              <w:rPr>
                <w:color w:val="000000"/>
                <w:szCs w:val="22"/>
              </w:rPr>
              <w:t>Rows in l</w:t>
            </w:r>
            <w:r w:rsidRPr="00C60D35">
              <w:rPr>
                <w:color w:val="000000"/>
                <w:szCs w:val="22"/>
              </w:rPr>
              <w:t>ayer</w:t>
            </w:r>
            <w:r>
              <w:rPr>
                <w:color w:val="000000"/>
                <w:szCs w:val="22"/>
              </w:rPr>
              <w:t>s of</w:t>
            </w:r>
            <w:r w:rsidRPr="00C60D35">
              <w:rPr>
                <w:color w:val="auto"/>
                <w:lang w:val="en-GB" w:eastAsia="ja-JP"/>
              </w:rPr>
              <w:t xml:space="preserve"> size </w:t>
            </w:r>
            <m:oMath>
              <m:r>
                <m:rPr>
                  <m:sty m:val="bi"/>
                </m:rPr>
                <w:rPr>
                  <w:rFonts w:ascii="Cambria Math" w:hAnsi="Cambria Math"/>
                  <w:color w:val="auto"/>
                  <w:lang w:val="en-GB" w:eastAsia="ja-JP"/>
                </w:rPr>
                <m:t>≤4</m:t>
              </m:r>
            </m:oMath>
          </w:p>
        </w:tc>
      </w:tr>
      <w:tr w:rsidR="00C60D35" w:rsidRPr="00C60D35" w14:paraId="54CAE414"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488BE98E"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0</w:t>
            </w:r>
          </w:p>
        </w:tc>
        <w:tc>
          <w:tcPr>
            <w:tcW w:w="3321" w:type="dxa"/>
          </w:tcPr>
          <w:p w14:paraId="3A8BC4A1"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6,9,10</w:t>
            </w:r>
          </w:p>
        </w:tc>
        <w:tc>
          <w:tcPr>
            <w:tcW w:w="3321" w:type="dxa"/>
          </w:tcPr>
          <w:p w14:paraId="1F031860"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6,9,10,11</w:t>
            </w:r>
          </w:p>
        </w:tc>
      </w:tr>
      <w:tr w:rsidR="00C60D35" w:rsidRPr="00C60D35" w14:paraId="5D60F52F"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069CBEDE"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1</w:t>
            </w:r>
          </w:p>
        </w:tc>
        <w:tc>
          <w:tcPr>
            <w:tcW w:w="3321" w:type="dxa"/>
          </w:tcPr>
          <w:p w14:paraId="4652F7D5"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7,11,12</w:t>
            </w:r>
          </w:p>
        </w:tc>
        <w:tc>
          <w:tcPr>
            <w:tcW w:w="3321" w:type="dxa"/>
          </w:tcPr>
          <w:p w14:paraId="77FA6E28"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7,12,13,14</w:t>
            </w:r>
          </w:p>
        </w:tc>
      </w:tr>
      <w:tr w:rsidR="00C60D35" w:rsidRPr="00C60D35" w14:paraId="1F851C9A"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6BAAE144"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2</w:t>
            </w:r>
          </w:p>
        </w:tc>
        <w:tc>
          <w:tcPr>
            <w:tcW w:w="3321" w:type="dxa"/>
          </w:tcPr>
          <w:p w14:paraId="1590DBB3"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8,13,14</w:t>
            </w:r>
          </w:p>
        </w:tc>
        <w:tc>
          <w:tcPr>
            <w:tcW w:w="3321" w:type="dxa"/>
          </w:tcPr>
          <w:p w14:paraId="71492E60"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8,15,16,17</w:t>
            </w:r>
          </w:p>
        </w:tc>
      </w:tr>
      <w:tr w:rsidR="00C60D35" w:rsidRPr="00C60D35" w14:paraId="33B4FEC6"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50A70002"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3</w:t>
            </w:r>
          </w:p>
        </w:tc>
        <w:tc>
          <w:tcPr>
            <w:tcW w:w="3321" w:type="dxa"/>
          </w:tcPr>
          <w:p w14:paraId="31B8322E"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15,16,17</w:t>
            </w:r>
          </w:p>
        </w:tc>
        <w:tc>
          <w:tcPr>
            <w:tcW w:w="3321" w:type="dxa"/>
          </w:tcPr>
          <w:p w14:paraId="0269E64E"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18,19,20,21</w:t>
            </w:r>
          </w:p>
        </w:tc>
      </w:tr>
      <w:tr w:rsidR="00C60D35" w:rsidRPr="00C60D35" w14:paraId="7F7AF0C7"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419ED3DD"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4</w:t>
            </w:r>
          </w:p>
        </w:tc>
        <w:tc>
          <w:tcPr>
            <w:tcW w:w="3321" w:type="dxa"/>
          </w:tcPr>
          <w:p w14:paraId="05329F47"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18,19,20</w:t>
            </w:r>
          </w:p>
        </w:tc>
        <w:tc>
          <w:tcPr>
            <w:tcW w:w="3321" w:type="dxa"/>
          </w:tcPr>
          <w:p w14:paraId="0215200B"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22,23,24,25</w:t>
            </w:r>
          </w:p>
        </w:tc>
      </w:tr>
      <w:tr w:rsidR="00C60D35" w:rsidRPr="00C60D35" w14:paraId="1D8F7902"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2A73F7A2"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5</w:t>
            </w:r>
          </w:p>
        </w:tc>
        <w:tc>
          <w:tcPr>
            <w:tcW w:w="3321" w:type="dxa"/>
          </w:tcPr>
          <w:p w14:paraId="3DEFDDA4"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21,22,23</w:t>
            </w:r>
          </w:p>
        </w:tc>
        <w:tc>
          <w:tcPr>
            <w:tcW w:w="3321" w:type="dxa"/>
          </w:tcPr>
          <w:p w14:paraId="3616A39C"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26,27,28,29</w:t>
            </w:r>
          </w:p>
        </w:tc>
      </w:tr>
      <w:tr w:rsidR="00C60D35" w:rsidRPr="00C60D35" w14:paraId="49CFD08C"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2421F355"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6</w:t>
            </w:r>
          </w:p>
        </w:tc>
        <w:tc>
          <w:tcPr>
            <w:tcW w:w="3321" w:type="dxa"/>
          </w:tcPr>
          <w:p w14:paraId="4580C0CC"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24,25,26</w:t>
            </w:r>
          </w:p>
        </w:tc>
        <w:tc>
          <w:tcPr>
            <w:tcW w:w="3321" w:type="dxa"/>
          </w:tcPr>
          <w:p w14:paraId="77711F6F"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30,31,32,33</w:t>
            </w:r>
          </w:p>
        </w:tc>
      </w:tr>
      <w:tr w:rsidR="00C60D35" w:rsidRPr="00C60D35" w14:paraId="6828C3CB"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44806200"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7</w:t>
            </w:r>
          </w:p>
        </w:tc>
        <w:tc>
          <w:tcPr>
            <w:tcW w:w="3321" w:type="dxa"/>
          </w:tcPr>
          <w:p w14:paraId="0C3C7D5C"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27,28,29</w:t>
            </w:r>
          </w:p>
        </w:tc>
        <w:tc>
          <w:tcPr>
            <w:tcW w:w="3321" w:type="dxa"/>
          </w:tcPr>
          <w:p w14:paraId="07A1E05B"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34,35,36,37</w:t>
            </w:r>
          </w:p>
        </w:tc>
      </w:tr>
      <w:tr w:rsidR="00C60D35" w:rsidRPr="00C60D35" w14:paraId="0DDD1B9A"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7EEC408C"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8</w:t>
            </w:r>
          </w:p>
        </w:tc>
        <w:tc>
          <w:tcPr>
            <w:tcW w:w="3321" w:type="dxa"/>
          </w:tcPr>
          <w:p w14:paraId="48753A16"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30,31,32</w:t>
            </w:r>
          </w:p>
        </w:tc>
        <w:tc>
          <w:tcPr>
            <w:tcW w:w="3321" w:type="dxa"/>
          </w:tcPr>
          <w:p w14:paraId="54424851"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38,39,40,41</w:t>
            </w:r>
          </w:p>
        </w:tc>
      </w:tr>
      <w:tr w:rsidR="00C60D35" w:rsidRPr="00C60D35" w14:paraId="3F51909D"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7678A40E"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9</w:t>
            </w:r>
          </w:p>
        </w:tc>
        <w:tc>
          <w:tcPr>
            <w:tcW w:w="3321" w:type="dxa"/>
          </w:tcPr>
          <w:p w14:paraId="0D3AA75F"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33,34,35</w:t>
            </w:r>
          </w:p>
        </w:tc>
        <w:tc>
          <w:tcPr>
            <w:tcW w:w="3321" w:type="dxa"/>
          </w:tcPr>
          <w:p w14:paraId="1E33ABC6"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42,43,44,45</w:t>
            </w:r>
          </w:p>
        </w:tc>
      </w:tr>
      <w:tr w:rsidR="00C60D35" w:rsidRPr="00C60D35" w14:paraId="2764C846"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3725AE07"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10</w:t>
            </w:r>
          </w:p>
        </w:tc>
        <w:tc>
          <w:tcPr>
            <w:tcW w:w="3321" w:type="dxa"/>
          </w:tcPr>
          <w:p w14:paraId="3B9217F6"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36,37,38</w:t>
            </w:r>
          </w:p>
        </w:tc>
        <w:tc>
          <w:tcPr>
            <w:tcW w:w="3321" w:type="dxa"/>
          </w:tcPr>
          <w:p w14:paraId="6EAE14E7"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46,47,48,49</w:t>
            </w:r>
          </w:p>
        </w:tc>
      </w:tr>
      <w:tr w:rsidR="00C60D35" w:rsidRPr="00C60D35" w14:paraId="33E1C52F"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6063DDB3"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11</w:t>
            </w:r>
          </w:p>
        </w:tc>
        <w:tc>
          <w:tcPr>
            <w:tcW w:w="3321" w:type="dxa"/>
          </w:tcPr>
          <w:p w14:paraId="723D05AC"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39,40,41</w:t>
            </w:r>
          </w:p>
        </w:tc>
        <w:tc>
          <w:tcPr>
            <w:tcW w:w="3321" w:type="dxa"/>
          </w:tcPr>
          <w:p w14:paraId="2A0F9C09"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50,51,52,53</w:t>
            </w:r>
          </w:p>
        </w:tc>
      </w:tr>
      <w:tr w:rsidR="00C60D35" w:rsidRPr="00C60D35" w14:paraId="789F82C1"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77567396"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12</w:t>
            </w:r>
          </w:p>
        </w:tc>
        <w:tc>
          <w:tcPr>
            <w:tcW w:w="3321" w:type="dxa"/>
          </w:tcPr>
          <w:p w14:paraId="4A9D47B0"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42,43,44</w:t>
            </w:r>
          </w:p>
        </w:tc>
        <w:tc>
          <w:tcPr>
            <w:tcW w:w="3321" w:type="dxa"/>
          </w:tcPr>
          <w:p w14:paraId="0ED41111"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0,1,2,3</w:t>
            </w:r>
          </w:p>
        </w:tc>
      </w:tr>
      <w:tr w:rsidR="00C60D35" w:rsidRPr="00C60D35" w14:paraId="6131CBC8"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1A680E31"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13</w:t>
            </w:r>
          </w:p>
        </w:tc>
        <w:tc>
          <w:tcPr>
            <w:tcW w:w="3321" w:type="dxa"/>
          </w:tcPr>
          <w:p w14:paraId="24F52CD1"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45,46,47</w:t>
            </w:r>
          </w:p>
        </w:tc>
        <w:tc>
          <w:tcPr>
            <w:tcW w:w="3321" w:type="dxa"/>
          </w:tcPr>
          <w:p w14:paraId="6CC51E8C"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4,5</w:t>
            </w:r>
          </w:p>
        </w:tc>
      </w:tr>
      <w:tr w:rsidR="00C60D35" w:rsidRPr="00C60D35" w14:paraId="5E77E02B"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4E63994A"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14</w:t>
            </w:r>
          </w:p>
        </w:tc>
        <w:tc>
          <w:tcPr>
            <w:tcW w:w="3321" w:type="dxa"/>
          </w:tcPr>
          <w:p w14:paraId="5DFC795B"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48,49,50</w:t>
            </w:r>
          </w:p>
        </w:tc>
        <w:tc>
          <w:tcPr>
            <w:tcW w:w="3321" w:type="dxa"/>
          </w:tcPr>
          <w:p w14:paraId="39C89138" w14:textId="77777777" w:rsidR="00C60D35" w:rsidRPr="00C60D35" w:rsidRDefault="00C60D35" w:rsidP="00E17925">
            <w:pPr>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w:t>
            </w:r>
          </w:p>
        </w:tc>
      </w:tr>
      <w:tr w:rsidR="00C60D35" w:rsidRPr="00C60D35" w14:paraId="16DF8DD4"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37DFAEC2"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15</w:t>
            </w:r>
          </w:p>
        </w:tc>
        <w:tc>
          <w:tcPr>
            <w:tcW w:w="3321" w:type="dxa"/>
          </w:tcPr>
          <w:p w14:paraId="1B4019DA"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51,52,53</w:t>
            </w:r>
          </w:p>
        </w:tc>
        <w:tc>
          <w:tcPr>
            <w:tcW w:w="3321" w:type="dxa"/>
          </w:tcPr>
          <w:p w14:paraId="052C7DB7"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p>
        </w:tc>
      </w:tr>
      <w:tr w:rsidR="00C60D35" w:rsidRPr="00C60D35" w14:paraId="7CE460B3"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1950C846"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16</w:t>
            </w:r>
          </w:p>
        </w:tc>
        <w:tc>
          <w:tcPr>
            <w:tcW w:w="3321" w:type="dxa"/>
          </w:tcPr>
          <w:p w14:paraId="4B1FD921"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r w:rsidRPr="00C60D35">
              <w:rPr>
                <w:rFonts w:ascii="Calibri" w:hAnsi="Calibri"/>
                <w:color w:val="000000"/>
                <w:szCs w:val="22"/>
              </w:rPr>
              <w:t xml:space="preserve"> 0,1,2</w:t>
            </w:r>
          </w:p>
        </w:tc>
        <w:tc>
          <w:tcPr>
            <w:tcW w:w="3321" w:type="dxa"/>
          </w:tcPr>
          <w:p w14:paraId="1FD9AD91" w14:textId="77777777" w:rsidR="00C60D35" w:rsidRPr="00C60D35" w:rsidRDefault="00C60D35" w:rsidP="00E17925">
            <w:pPr>
              <w:jc w:val="both"/>
              <w:cnfStyle w:val="000000100000" w:firstRow="0" w:lastRow="0" w:firstColumn="0" w:lastColumn="0" w:oddVBand="0" w:evenVBand="0" w:oddHBand="1" w:evenHBand="0" w:firstRowFirstColumn="0" w:firstRowLastColumn="0" w:lastRowFirstColumn="0" w:lastRowLastColumn="0"/>
              <w:rPr>
                <w:lang w:val="en-GB" w:eastAsia="ja-JP"/>
              </w:rPr>
            </w:pPr>
          </w:p>
        </w:tc>
      </w:tr>
      <w:tr w:rsidR="00C60D35" w:rsidRPr="00C60D35" w14:paraId="52386141"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605EA8BD" w14:textId="77777777" w:rsidR="00C60D35" w:rsidRPr="00C60D35" w:rsidRDefault="00C60D35" w:rsidP="00E17925">
            <w:pPr>
              <w:jc w:val="both"/>
              <w:rPr>
                <w:lang w:val="en-GB" w:eastAsia="ja-JP"/>
              </w:rPr>
            </w:pPr>
            <w:r w:rsidRPr="00C60D35">
              <w:rPr>
                <w:rFonts w:ascii="Arial Unicode MS" w:eastAsia="Arial Unicode MS" w:hAnsi="Arial Unicode MS" w:cs="Arial Unicode MS" w:hint="eastAsia"/>
                <w:color w:val="000000"/>
              </w:rPr>
              <w:t>17</w:t>
            </w:r>
          </w:p>
        </w:tc>
        <w:tc>
          <w:tcPr>
            <w:tcW w:w="3321" w:type="dxa"/>
          </w:tcPr>
          <w:p w14:paraId="2A7C424A"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r w:rsidRPr="00C60D35">
              <w:rPr>
                <w:rFonts w:ascii="Calibri" w:hAnsi="Calibri"/>
                <w:color w:val="000000"/>
                <w:szCs w:val="22"/>
              </w:rPr>
              <w:t xml:space="preserve"> 3,4,5</w:t>
            </w:r>
          </w:p>
        </w:tc>
        <w:tc>
          <w:tcPr>
            <w:tcW w:w="3321" w:type="dxa"/>
          </w:tcPr>
          <w:p w14:paraId="7C07CC5F" w14:textId="77777777" w:rsidR="00C60D35" w:rsidRPr="00C60D35" w:rsidRDefault="00C60D35" w:rsidP="00E17925">
            <w:pPr>
              <w:jc w:val="both"/>
              <w:cnfStyle w:val="000000000000" w:firstRow="0" w:lastRow="0" w:firstColumn="0" w:lastColumn="0" w:oddVBand="0" w:evenVBand="0" w:oddHBand="0" w:evenHBand="0" w:firstRowFirstColumn="0" w:firstRowLastColumn="0" w:lastRowFirstColumn="0" w:lastRowLastColumn="0"/>
              <w:rPr>
                <w:lang w:val="en-GB" w:eastAsia="ja-JP"/>
              </w:rPr>
            </w:pPr>
          </w:p>
        </w:tc>
      </w:tr>
    </w:tbl>
    <w:p w14:paraId="694261F9" w14:textId="77777777" w:rsidR="00C60D35" w:rsidRPr="00C60D35" w:rsidRDefault="00C60D35" w:rsidP="00C60D35">
      <w:pPr>
        <w:rPr>
          <w:lang w:val="en-GB"/>
        </w:rPr>
      </w:pPr>
    </w:p>
    <w:sectPr w:rsidR="00C60D35" w:rsidRPr="00C60D35"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C0690" w14:textId="77777777" w:rsidR="002B1862" w:rsidRDefault="002B1862">
      <w:r>
        <w:separator/>
      </w:r>
    </w:p>
  </w:endnote>
  <w:endnote w:type="continuationSeparator" w:id="0">
    <w:p w14:paraId="154BFBB8" w14:textId="77777777" w:rsidR="002B1862" w:rsidRDefault="002B1862">
      <w:r>
        <w:continuationSeparator/>
      </w:r>
    </w:p>
  </w:endnote>
  <w:endnote w:type="continuationNotice" w:id="1">
    <w:p w14:paraId="0ABF0953" w14:textId="77777777" w:rsidR="002B1862" w:rsidRDefault="002B1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B1862" w:rsidRDefault="002B18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B1862" w:rsidRDefault="002B18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B1862" w:rsidRDefault="002B18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A2AD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2AD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8508D" w14:textId="77777777" w:rsidR="002B1862" w:rsidRDefault="002B1862">
      <w:r>
        <w:separator/>
      </w:r>
    </w:p>
  </w:footnote>
  <w:footnote w:type="continuationSeparator" w:id="0">
    <w:p w14:paraId="74C7AD93" w14:textId="77777777" w:rsidR="002B1862" w:rsidRDefault="002B1862">
      <w:r>
        <w:continuationSeparator/>
      </w:r>
    </w:p>
  </w:footnote>
  <w:footnote w:type="continuationNotice" w:id="1">
    <w:p w14:paraId="56F77C9C" w14:textId="77777777" w:rsidR="002B1862" w:rsidRDefault="002B18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B1862" w:rsidRDefault="002B18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9"/>
  </w:num>
  <w:num w:numId="5">
    <w:abstractNumId w:val="3"/>
  </w:num>
  <w:num w:numId="6">
    <w:abstractNumId w:val="5"/>
  </w:num>
  <w:num w:numId="7">
    <w:abstractNumId w:val="7"/>
  </w:num>
  <w:num w:numId="8">
    <w:abstractNumId w:val="1"/>
  </w:num>
  <w:num w:numId="9">
    <w:abstractNumId w:val="13"/>
    <w:lvlOverride w:ilvl="0">
      <w:startOverride w:val="1"/>
    </w:lvlOverride>
  </w:num>
  <w:num w:numId="10">
    <w:abstractNumId w:val="10"/>
  </w:num>
  <w:num w:numId="11">
    <w:abstractNumId w:val="12"/>
  </w:num>
  <w:num w:numId="12">
    <w:abstractNumId w:val="14"/>
  </w:num>
  <w:num w:numId="13">
    <w:abstractNumId w:val="6"/>
  </w:num>
  <w:num w:numId="14">
    <w:abstractNumId w:val="11"/>
  </w:num>
  <w:num w:numId="15">
    <w:abstractNumId w:val="4"/>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C1E"/>
    <w:rsid w:val="00013F64"/>
    <w:rsid w:val="000141F0"/>
    <w:rsid w:val="00014E0E"/>
    <w:rsid w:val="00015BCB"/>
    <w:rsid w:val="00015CED"/>
    <w:rsid w:val="000162B2"/>
    <w:rsid w:val="0001645D"/>
    <w:rsid w:val="000164BB"/>
    <w:rsid w:val="000167A6"/>
    <w:rsid w:val="00016DCE"/>
    <w:rsid w:val="00017278"/>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0D2"/>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313"/>
    <w:rsid w:val="00042BFC"/>
    <w:rsid w:val="00042CCC"/>
    <w:rsid w:val="00042F86"/>
    <w:rsid w:val="000430CF"/>
    <w:rsid w:val="00043407"/>
    <w:rsid w:val="00043703"/>
    <w:rsid w:val="00044225"/>
    <w:rsid w:val="00044576"/>
    <w:rsid w:val="00044872"/>
    <w:rsid w:val="00044F4F"/>
    <w:rsid w:val="00044FC4"/>
    <w:rsid w:val="000451E5"/>
    <w:rsid w:val="000453F6"/>
    <w:rsid w:val="00045A54"/>
    <w:rsid w:val="00045A5E"/>
    <w:rsid w:val="000463BE"/>
    <w:rsid w:val="00046CD6"/>
    <w:rsid w:val="00046CE4"/>
    <w:rsid w:val="00046E6F"/>
    <w:rsid w:val="00046F9A"/>
    <w:rsid w:val="000472F3"/>
    <w:rsid w:val="000477BB"/>
    <w:rsid w:val="00047A82"/>
    <w:rsid w:val="00047B11"/>
    <w:rsid w:val="00050335"/>
    <w:rsid w:val="0005055B"/>
    <w:rsid w:val="000505E0"/>
    <w:rsid w:val="00051011"/>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D03"/>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2E"/>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92F"/>
    <w:rsid w:val="000822AD"/>
    <w:rsid w:val="000826FF"/>
    <w:rsid w:val="00082A49"/>
    <w:rsid w:val="00082C90"/>
    <w:rsid w:val="000832D0"/>
    <w:rsid w:val="00083322"/>
    <w:rsid w:val="0008399B"/>
    <w:rsid w:val="00083ABE"/>
    <w:rsid w:val="00084255"/>
    <w:rsid w:val="00084613"/>
    <w:rsid w:val="00085239"/>
    <w:rsid w:val="00085F08"/>
    <w:rsid w:val="000862BA"/>
    <w:rsid w:val="000862F6"/>
    <w:rsid w:val="00086B50"/>
    <w:rsid w:val="00086C4D"/>
    <w:rsid w:val="0008760B"/>
    <w:rsid w:val="0008782D"/>
    <w:rsid w:val="00087E29"/>
    <w:rsid w:val="0009037D"/>
    <w:rsid w:val="00090394"/>
    <w:rsid w:val="00090573"/>
    <w:rsid w:val="00090779"/>
    <w:rsid w:val="00090B1C"/>
    <w:rsid w:val="000921E3"/>
    <w:rsid w:val="0009241B"/>
    <w:rsid w:val="00092A3D"/>
    <w:rsid w:val="000931C3"/>
    <w:rsid w:val="00093566"/>
    <w:rsid w:val="00093F75"/>
    <w:rsid w:val="0009437A"/>
    <w:rsid w:val="000947B7"/>
    <w:rsid w:val="0009512D"/>
    <w:rsid w:val="000952B4"/>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386"/>
    <w:rsid w:val="000B1CD3"/>
    <w:rsid w:val="000B256B"/>
    <w:rsid w:val="000B32D4"/>
    <w:rsid w:val="000B38DA"/>
    <w:rsid w:val="000B3F37"/>
    <w:rsid w:val="000B4788"/>
    <w:rsid w:val="000B49D7"/>
    <w:rsid w:val="000B5227"/>
    <w:rsid w:val="000B546F"/>
    <w:rsid w:val="000B6030"/>
    <w:rsid w:val="000B65BE"/>
    <w:rsid w:val="000B6BDF"/>
    <w:rsid w:val="000B71B6"/>
    <w:rsid w:val="000B7B2B"/>
    <w:rsid w:val="000B7D5E"/>
    <w:rsid w:val="000C118E"/>
    <w:rsid w:val="000C133A"/>
    <w:rsid w:val="000C1545"/>
    <w:rsid w:val="000C1607"/>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E25"/>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F07"/>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2C8"/>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7F1"/>
    <w:rsid w:val="00122842"/>
    <w:rsid w:val="001232D2"/>
    <w:rsid w:val="0012345C"/>
    <w:rsid w:val="001238C6"/>
    <w:rsid w:val="00123975"/>
    <w:rsid w:val="00123DED"/>
    <w:rsid w:val="0012467D"/>
    <w:rsid w:val="001246EC"/>
    <w:rsid w:val="001249D7"/>
    <w:rsid w:val="001249FC"/>
    <w:rsid w:val="00124E10"/>
    <w:rsid w:val="00125078"/>
    <w:rsid w:val="0012523E"/>
    <w:rsid w:val="001252FE"/>
    <w:rsid w:val="001255A6"/>
    <w:rsid w:val="00125D34"/>
    <w:rsid w:val="00126005"/>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25F"/>
    <w:rsid w:val="00142540"/>
    <w:rsid w:val="00142E42"/>
    <w:rsid w:val="00143153"/>
    <w:rsid w:val="0014371C"/>
    <w:rsid w:val="00143EFE"/>
    <w:rsid w:val="00143FFE"/>
    <w:rsid w:val="00144134"/>
    <w:rsid w:val="0014471E"/>
    <w:rsid w:val="0014491B"/>
    <w:rsid w:val="00144B3F"/>
    <w:rsid w:val="00144BA1"/>
    <w:rsid w:val="00144D67"/>
    <w:rsid w:val="00144E04"/>
    <w:rsid w:val="001454C4"/>
    <w:rsid w:val="001462D7"/>
    <w:rsid w:val="00146577"/>
    <w:rsid w:val="00146773"/>
    <w:rsid w:val="0014703E"/>
    <w:rsid w:val="00147D65"/>
    <w:rsid w:val="00147D91"/>
    <w:rsid w:val="001508E1"/>
    <w:rsid w:val="001509A8"/>
    <w:rsid w:val="001510ED"/>
    <w:rsid w:val="001516BB"/>
    <w:rsid w:val="001517AB"/>
    <w:rsid w:val="00151805"/>
    <w:rsid w:val="00151897"/>
    <w:rsid w:val="00152066"/>
    <w:rsid w:val="00152559"/>
    <w:rsid w:val="00152A3B"/>
    <w:rsid w:val="0015347E"/>
    <w:rsid w:val="00153A48"/>
    <w:rsid w:val="00153A6B"/>
    <w:rsid w:val="00153E69"/>
    <w:rsid w:val="00153EEF"/>
    <w:rsid w:val="00153F29"/>
    <w:rsid w:val="001544AB"/>
    <w:rsid w:val="00154841"/>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E7C"/>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06D"/>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07"/>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2E46"/>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0DCA"/>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06"/>
    <w:rsid w:val="001B5332"/>
    <w:rsid w:val="001B54E9"/>
    <w:rsid w:val="001B55DE"/>
    <w:rsid w:val="001B70CF"/>
    <w:rsid w:val="001B748B"/>
    <w:rsid w:val="001B7905"/>
    <w:rsid w:val="001C0085"/>
    <w:rsid w:val="001C063F"/>
    <w:rsid w:val="001C0874"/>
    <w:rsid w:val="001C0883"/>
    <w:rsid w:val="001C12A0"/>
    <w:rsid w:val="001C12EC"/>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5A"/>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16"/>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919"/>
    <w:rsid w:val="00207AF9"/>
    <w:rsid w:val="00207BB9"/>
    <w:rsid w:val="00207D15"/>
    <w:rsid w:val="00207EB6"/>
    <w:rsid w:val="00210174"/>
    <w:rsid w:val="0021065B"/>
    <w:rsid w:val="0021086A"/>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6FC3"/>
    <w:rsid w:val="002373FC"/>
    <w:rsid w:val="00237C6F"/>
    <w:rsid w:val="00237D22"/>
    <w:rsid w:val="0024029F"/>
    <w:rsid w:val="00240487"/>
    <w:rsid w:val="00240956"/>
    <w:rsid w:val="00240B7D"/>
    <w:rsid w:val="00240C63"/>
    <w:rsid w:val="00240F65"/>
    <w:rsid w:val="0024103F"/>
    <w:rsid w:val="002415A7"/>
    <w:rsid w:val="00241C7B"/>
    <w:rsid w:val="00241D6D"/>
    <w:rsid w:val="002421F2"/>
    <w:rsid w:val="0024284B"/>
    <w:rsid w:val="0024286B"/>
    <w:rsid w:val="00242B2A"/>
    <w:rsid w:val="00242CAE"/>
    <w:rsid w:val="00243ACD"/>
    <w:rsid w:val="00243EF6"/>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DB8"/>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AC5"/>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46"/>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735"/>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862"/>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0FE"/>
    <w:rsid w:val="002C1264"/>
    <w:rsid w:val="002C1B17"/>
    <w:rsid w:val="002C203A"/>
    <w:rsid w:val="002C2AE9"/>
    <w:rsid w:val="002C2B29"/>
    <w:rsid w:val="002C2E8A"/>
    <w:rsid w:val="002C2FCD"/>
    <w:rsid w:val="002C3AE4"/>
    <w:rsid w:val="002C3E89"/>
    <w:rsid w:val="002C42AA"/>
    <w:rsid w:val="002C499F"/>
    <w:rsid w:val="002C4AF6"/>
    <w:rsid w:val="002C5533"/>
    <w:rsid w:val="002C5620"/>
    <w:rsid w:val="002C5A6B"/>
    <w:rsid w:val="002C61E0"/>
    <w:rsid w:val="002C640C"/>
    <w:rsid w:val="002C694A"/>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3CBE"/>
    <w:rsid w:val="002D3D0E"/>
    <w:rsid w:val="002D425A"/>
    <w:rsid w:val="002D4314"/>
    <w:rsid w:val="002D4A54"/>
    <w:rsid w:val="002D4E37"/>
    <w:rsid w:val="002D52E0"/>
    <w:rsid w:val="002D5DEA"/>
    <w:rsid w:val="002D6127"/>
    <w:rsid w:val="002D61BE"/>
    <w:rsid w:val="002D61F0"/>
    <w:rsid w:val="002D6624"/>
    <w:rsid w:val="002D7235"/>
    <w:rsid w:val="002D76E8"/>
    <w:rsid w:val="002D7DE8"/>
    <w:rsid w:val="002E0E94"/>
    <w:rsid w:val="002E15A5"/>
    <w:rsid w:val="002E16BC"/>
    <w:rsid w:val="002E25D2"/>
    <w:rsid w:val="002E2738"/>
    <w:rsid w:val="002E2923"/>
    <w:rsid w:val="002E2A76"/>
    <w:rsid w:val="002E306D"/>
    <w:rsid w:val="002E3653"/>
    <w:rsid w:val="002E38B7"/>
    <w:rsid w:val="002E3925"/>
    <w:rsid w:val="002E4301"/>
    <w:rsid w:val="002E58E1"/>
    <w:rsid w:val="002E5BDD"/>
    <w:rsid w:val="002E5C56"/>
    <w:rsid w:val="002E5D86"/>
    <w:rsid w:val="002E5DD7"/>
    <w:rsid w:val="002E6809"/>
    <w:rsid w:val="002E79CE"/>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58"/>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3C70"/>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DC4"/>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1C7"/>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675"/>
    <w:rsid w:val="0034745C"/>
    <w:rsid w:val="003474CD"/>
    <w:rsid w:val="003479B6"/>
    <w:rsid w:val="0035025F"/>
    <w:rsid w:val="0035041A"/>
    <w:rsid w:val="003505AD"/>
    <w:rsid w:val="00350631"/>
    <w:rsid w:val="00350EE7"/>
    <w:rsid w:val="00351439"/>
    <w:rsid w:val="0035180B"/>
    <w:rsid w:val="00351C98"/>
    <w:rsid w:val="0035201D"/>
    <w:rsid w:val="0035216E"/>
    <w:rsid w:val="00352759"/>
    <w:rsid w:val="00352828"/>
    <w:rsid w:val="00352952"/>
    <w:rsid w:val="00352DAE"/>
    <w:rsid w:val="003530A0"/>
    <w:rsid w:val="003531B0"/>
    <w:rsid w:val="003532D2"/>
    <w:rsid w:val="003536C6"/>
    <w:rsid w:val="0035382A"/>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6DC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198"/>
    <w:rsid w:val="00380543"/>
    <w:rsid w:val="00380602"/>
    <w:rsid w:val="00380892"/>
    <w:rsid w:val="00380BBD"/>
    <w:rsid w:val="003821E7"/>
    <w:rsid w:val="00382903"/>
    <w:rsid w:val="00383D4B"/>
    <w:rsid w:val="00383DDB"/>
    <w:rsid w:val="003842A8"/>
    <w:rsid w:val="00384747"/>
    <w:rsid w:val="003848D9"/>
    <w:rsid w:val="00384BC0"/>
    <w:rsid w:val="00384D7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068"/>
    <w:rsid w:val="003933A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75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896"/>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8EC"/>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1A19"/>
    <w:rsid w:val="004021B5"/>
    <w:rsid w:val="004021EF"/>
    <w:rsid w:val="004024AB"/>
    <w:rsid w:val="00402DC4"/>
    <w:rsid w:val="00402F2C"/>
    <w:rsid w:val="0040303D"/>
    <w:rsid w:val="00403393"/>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980"/>
    <w:rsid w:val="004251F8"/>
    <w:rsid w:val="004253B1"/>
    <w:rsid w:val="00425C97"/>
    <w:rsid w:val="00425FFD"/>
    <w:rsid w:val="004262F8"/>
    <w:rsid w:val="00426442"/>
    <w:rsid w:val="0042654A"/>
    <w:rsid w:val="00426A93"/>
    <w:rsid w:val="00426C3C"/>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10"/>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DF"/>
    <w:rsid w:val="004425C2"/>
    <w:rsid w:val="004426FE"/>
    <w:rsid w:val="00442824"/>
    <w:rsid w:val="00442FFB"/>
    <w:rsid w:val="004430FD"/>
    <w:rsid w:val="004434A9"/>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7EC"/>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806"/>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550"/>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0E"/>
    <w:rsid w:val="004B2B31"/>
    <w:rsid w:val="004B2C2B"/>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1F3D"/>
    <w:rsid w:val="004C2371"/>
    <w:rsid w:val="004C2F01"/>
    <w:rsid w:val="004C3472"/>
    <w:rsid w:val="004C34E8"/>
    <w:rsid w:val="004C3AD1"/>
    <w:rsid w:val="004C3C51"/>
    <w:rsid w:val="004C45DB"/>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2F9D"/>
    <w:rsid w:val="004D30AD"/>
    <w:rsid w:val="004D3251"/>
    <w:rsid w:val="004D3403"/>
    <w:rsid w:val="004D39CA"/>
    <w:rsid w:val="004D40D5"/>
    <w:rsid w:val="004D4968"/>
    <w:rsid w:val="004D4A8A"/>
    <w:rsid w:val="004D4ABF"/>
    <w:rsid w:val="004D50CC"/>
    <w:rsid w:val="004D58D1"/>
    <w:rsid w:val="004D5F02"/>
    <w:rsid w:val="004D602D"/>
    <w:rsid w:val="004D604D"/>
    <w:rsid w:val="004D65BA"/>
    <w:rsid w:val="004D68C0"/>
    <w:rsid w:val="004D70E1"/>
    <w:rsid w:val="004D710C"/>
    <w:rsid w:val="004D75B4"/>
    <w:rsid w:val="004D788B"/>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83E"/>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F3F"/>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FF"/>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25E"/>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3FFD"/>
    <w:rsid w:val="00544559"/>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4A"/>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5A44"/>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70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0D3A"/>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02"/>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0B"/>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DF4"/>
    <w:rsid w:val="005C4B4D"/>
    <w:rsid w:val="005C4CD6"/>
    <w:rsid w:val="005C4DE3"/>
    <w:rsid w:val="005C5024"/>
    <w:rsid w:val="005C5372"/>
    <w:rsid w:val="005C5379"/>
    <w:rsid w:val="005C5425"/>
    <w:rsid w:val="005C5849"/>
    <w:rsid w:val="005C5A28"/>
    <w:rsid w:val="005C6222"/>
    <w:rsid w:val="005C6586"/>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4C"/>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2FB"/>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278"/>
    <w:rsid w:val="006039C5"/>
    <w:rsid w:val="00603B1B"/>
    <w:rsid w:val="006043D7"/>
    <w:rsid w:val="00604594"/>
    <w:rsid w:val="00604708"/>
    <w:rsid w:val="00604CFF"/>
    <w:rsid w:val="00605399"/>
    <w:rsid w:val="0060546A"/>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2D2"/>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F82"/>
    <w:rsid w:val="006427DE"/>
    <w:rsid w:val="00642D10"/>
    <w:rsid w:val="00642E65"/>
    <w:rsid w:val="00643769"/>
    <w:rsid w:val="006437D5"/>
    <w:rsid w:val="00643891"/>
    <w:rsid w:val="00643DCD"/>
    <w:rsid w:val="00644200"/>
    <w:rsid w:val="0064428B"/>
    <w:rsid w:val="00644511"/>
    <w:rsid w:val="0064486C"/>
    <w:rsid w:val="00644BB7"/>
    <w:rsid w:val="00644E60"/>
    <w:rsid w:val="00645190"/>
    <w:rsid w:val="00645ACC"/>
    <w:rsid w:val="006466B5"/>
    <w:rsid w:val="006477A7"/>
    <w:rsid w:val="00647991"/>
    <w:rsid w:val="00647CB3"/>
    <w:rsid w:val="00650150"/>
    <w:rsid w:val="00650854"/>
    <w:rsid w:val="00650D1E"/>
    <w:rsid w:val="00650D3F"/>
    <w:rsid w:val="00650EB8"/>
    <w:rsid w:val="00650F7C"/>
    <w:rsid w:val="00650FBE"/>
    <w:rsid w:val="006513D5"/>
    <w:rsid w:val="00651715"/>
    <w:rsid w:val="006518B1"/>
    <w:rsid w:val="00651AD3"/>
    <w:rsid w:val="00651B74"/>
    <w:rsid w:val="00651D1D"/>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C1"/>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4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A0"/>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67B"/>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F3"/>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7E"/>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1F"/>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8B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ACC"/>
    <w:rsid w:val="00703D8A"/>
    <w:rsid w:val="007040CE"/>
    <w:rsid w:val="00704123"/>
    <w:rsid w:val="00704641"/>
    <w:rsid w:val="007047A7"/>
    <w:rsid w:val="007050A6"/>
    <w:rsid w:val="007056ED"/>
    <w:rsid w:val="00705D28"/>
    <w:rsid w:val="00706884"/>
    <w:rsid w:val="00706AC2"/>
    <w:rsid w:val="0070743B"/>
    <w:rsid w:val="00707CC2"/>
    <w:rsid w:val="00707EC9"/>
    <w:rsid w:val="007101EE"/>
    <w:rsid w:val="00710994"/>
    <w:rsid w:val="007109CD"/>
    <w:rsid w:val="00710A3E"/>
    <w:rsid w:val="00710D33"/>
    <w:rsid w:val="0071127B"/>
    <w:rsid w:val="00711366"/>
    <w:rsid w:val="00711760"/>
    <w:rsid w:val="007117AA"/>
    <w:rsid w:val="0071196B"/>
    <w:rsid w:val="00711A0F"/>
    <w:rsid w:val="00711AE4"/>
    <w:rsid w:val="00711B30"/>
    <w:rsid w:val="00711D10"/>
    <w:rsid w:val="00711D73"/>
    <w:rsid w:val="00712202"/>
    <w:rsid w:val="00712A0F"/>
    <w:rsid w:val="00712FDB"/>
    <w:rsid w:val="007131B0"/>
    <w:rsid w:val="00713357"/>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8E"/>
    <w:rsid w:val="007233B6"/>
    <w:rsid w:val="0072350B"/>
    <w:rsid w:val="007238F1"/>
    <w:rsid w:val="00724426"/>
    <w:rsid w:val="00724437"/>
    <w:rsid w:val="007244BA"/>
    <w:rsid w:val="00724583"/>
    <w:rsid w:val="007245F9"/>
    <w:rsid w:val="0072461A"/>
    <w:rsid w:val="00725068"/>
    <w:rsid w:val="0072560E"/>
    <w:rsid w:val="00725CB6"/>
    <w:rsid w:val="00725CDC"/>
    <w:rsid w:val="00725E5A"/>
    <w:rsid w:val="00726281"/>
    <w:rsid w:val="0072650B"/>
    <w:rsid w:val="00726537"/>
    <w:rsid w:val="0072665F"/>
    <w:rsid w:val="00726A39"/>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47C"/>
    <w:rsid w:val="00736886"/>
    <w:rsid w:val="00736D7B"/>
    <w:rsid w:val="007377ED"/>
    <w:rsid w:val="007379C8"/>
    <w:rsid w:val="007406A2"/>
    <w:rsid w:val="007406C0"/>
    <w:rsid w:val="00740AC1"/>
    <w:rsid w:val="00740B5C"/>
    <w:rsid w:val="00740BF9"/>
    <w:rsid w:val="0074108B"/>
    <w:rsid w:val="007412B3"/>
    <w:rsid w:val="00741434"/>
    <w:rsid w:val="007415B6"/>
    <w:rsid w:val="00741A56"/>
    <w:rsid w:val="007420C9"/>
    <w:rsid w:val="00742695"/>
    <w:rsid w:val="00742A51"/>
    <w:rsid w:val="00743468"/>
    <w:rsid w:val="007434A0"/>
    <w:rsid w:val="007436B1"/>
    <w:rsid w:val="007436D5"/>
    <w:rsid w:val="00743867"/>
    <w:rsid w:val="00744055"/>
    <w:rsid w:val="0074443A"/>
    <w:rsid w:val="0074475B"/>
    <w:rsid w:val="00744E4F"/>
    <w:rsid w:val="0074544C"/>
    <w:rsid w:val="0074576E"/>
    <w:rsid w:val="007458E7"/>
    <w:rsid w:val="00745E94"/>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C"/>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677"/>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3D"/>
    <w:rsid w:val="00777EE9"/>
    <w:rsid w:val="00780980"/>
    <w:rsid w:val="007809E1"/>
    <w:rsid w:val="00780A03"/>
    <w:rsid w:val="00780AF4"/>
    <w:rsid w:val="00780F3D"/>
    <w:rsid w:val="0078146E"/>
    <w:rsid w:val="0078165E"/>
    <w:rsid w:val="007816FD"/>
    <w:rsid w:val="00781B9A"/>
    <w:rsid w:val="00781BC7"/>
    <w:rsid w:val="00781DAD"/>
    <w:rsid w:val="0078243D"/>
    <w:rsid w:val="00782759"/>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35"/>
    <w:rsid w:val="00786272"/>
    <w:rsid w:val="007863FB"/>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AA2"/>
    <w:rsid w:val="007A2ADE"/>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AB"/>
    <w:rsid w:val="007C5DB6"/>
    <w:rsid w:val="007C64BC"/>
    <w:rsid w:val="007C6939"/>
    <w:rsid w:val="007C6941"/>
    <w:rsid w:val="007C6D8A"/>
    <w:rsid w:val="007C6E75"/>
    <w:rsid w:val="007C7578"/>
    <w:rsid w:val="007C779D"/>
    <w:rsid w:val="007C7EF3"/>
    <w:rsid w:val="007D020B"/>
    <w:rsid w:val="007D02A6"/>
    <w:rsid w:val="007D0645"/>
    <w:rsid w:val="007D098C"/>
    <w:rsid w:val="007D0CDE"/>
    <w:rsid w:val="007D11B6"/>
    <w:rsid w:val="007D1275"/>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9C0"/>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7C6"/>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680"/>
    <w:rsid w:val="007F2DBB"/>
    <w:rsid w:val="007F2ED4"/>
    <w:rsid w:val="007F3960"/>
    <w:rsid w:val="007F3EA7"/>
    <w:rsid w:val="007F3FB0"/>
    <w:rsid w:val="007F43A9"/>
    <w:rsid w:val="007F5301"/>
    <w:rsid w:val="007F54CD"/>
    <w:rsid w:val="007F5605"/>
    <w:rsid w:val="007F5608"/>
    <w:rsid w:val="007F5874"/>
    <w:rsid w:val="007F5D4A"/>
    <w:rsid w:val="007F6020"/>
    <w:rsid w:val="007F6042"/>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225"/>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9D8"/>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D1"/>
    <w:rsid w:val="008163D6"/>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67B"/>
    <w:rsid w:val="008237B2"/>
    <w:rsid w:val="0082391F"/>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9AA"/>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B0"/>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3DB6"/>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03"/>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CE9"/>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16A"/>
    <w:rsid w:val="008722B0"/>
    <w:rsid w:val="0087250F"/>
    <w:rsid w:val="00872C7C"/>
    <w:rsid w:val="00872D63"/>
    <w:rsid w:val="00872F39"/>
    <w:rsid w:val="00873463"/>
    <w:rsid w:val="008734E7"/>
    <w:rsid w:val="00873BF0"/>
    <w:rsid w:val="00873C85"/>
    <w:rsid w:val="008742CE"/>
    <w:rsid w:val="00874D45"/>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2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F74"/>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8B"/>
    <w:rsid w:val="008D05D2"/>
    <w:rsid w:val="008D069D"/>
    <w:rsid w:val="008D0A7A"/>
    <w:rsid w:val="008D0B27"/>
    <w:rsid w:val="008D13DC"/>
    <w:rsid w:val="008D149D"/>
    <w:rsid w:val="008D1AF0"/>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0D9"/>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316"/>
    <w:rsid w:val="008E538C"/>
    <w:rsid w:val="008E5412"/>
    <w:rsid w:val="008E5625"/>
    <w:rsid w:val="008E5B5F"/>
    <w:rsid w:val="008E5C97"/>
    <w:rsid w:val="008E5D3C"/>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25"/>
    <w:rsid w:val="008F4BFE"/>
    <w:rsid w:val="008F4E3F"/>
    <w:rsid w:val="008F5043"/>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8DA"/>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126"/>
    <w:rsid w:val="00925267"/>
    <w:rsid w:val="00925836"/>
    <w:rsid w:val="00925B66"/>
    <w:rsid w:val="00925DD1"/>
    <w:rsid w:val="009260EC"/>
    <w:rsid w:val="00926264"/>
    <w:rsid w:val="00926595"/>
    <w:rsid w:val="0092686F"/>
    <w:rsid w:val="0092698B"/>
    <w:rsid w:val="009269EB"/>
    <w:rsid w:val="009272F7"/>
    <w:rsid w:val="00927522"/>
    <w:rsid w:val="0092784B"/>
    <w:rsid w:val="009279AF"/>
    <w:rsid w:val="0093011E"/>
    <w:rsid w:val="009301E4"/>
    <w:rsid w:val="00930305"/>
    <w:rsid w:val="0093063D"/>
    <w:rsid w:val="00930890"/>
    <w:rsid w:val="00930A2E"/>
    <w:rsid w:val="00930EB3"/>
    <w:rsid w:val="0093135E"/>
    <w:rsid w:val="00931DF8"/>
    <w:rsid w:val="00932109"/>
    <w:rsid w:val="009322AC"/>
    <w:rsid w:val="009324B1"/>
    <w:rsid w:val="009326B1"/>
    <w:rsid w:val="009327B5"/>
    <w:rsid w:val="00932A20"/>
    <w:rsid w:val="00933D61"/>
    <w:rsid w:val="00933DE4"/>
    <w:rsid w:val="00934044"/>
    <w:rsid w:val="00934FFD"/>
    <w:rsid w:val="0093508F"/>
    <w:rsid w:val="009359C0"/>
    <w:rsid w:val="00935B52"/>
    <w:rsid w:val="009360F7"/>
    <w:rsid w:val="0093634D"/>
    <w:rsid w:val="00936D07"/>
    <w:rsid w:val="009370A6"/>
    <w:rsid w:val="009373C5"/>
    <w:rsid w:val="00937AC7"/>
    <w:rsid w:val="00937D15"/>
    <w:rsid w:val="00940A5D"/>
    <w:rsid w:val="00940BCB"/>
    <w:rsid w:val="00940C8C"/>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7C6"/>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477"/>
    <w:rsid w:val="009537A7"/>
    <w:rsid w:val="00953B1F"/>
    <w:rsid w:val="00953C21"/>
    <w:rsid w:val="009548C3"/>
    <w:rsid w:val="009548F5"/>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B5"/>
    <w:rsid w:val="00962A05"/>
    <w:rsid w:val="0096392B"/>
    <w:rsid w:val="0096397B"/>
    <w:rsid w:val="00963F73"/>
    <w:rsid w:val="00964E3C"/>
    <w:rsid w:val="00964E69"/>
    <w:rsid w:val="0096504D"/>
    <w:rsid w:val="009654F0"/>
    <w:rsid w:val="009659EA"/>
    <w:rsid w:val="0096691D"/>
    <w:rsid w:val="00966CF4"/>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E7"/>
    <w:rsid w:val="00974B9F"/>
    <w:rsid w:val="00974EBD"/>
    <w:rsid w:val="00974FB0"/>
    <w:rsid w:val="009751BA"/>
    <w:rsid w:val="0097539E"/>
    <w:rsid w:val="0097577E"/>
    <w:rsid w:val="0097584E"/>
    <w:rsid w:val="00976278"/>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EF"/>
    <w:rsid w:val="00992624"/>
    <w:rsid w:val="009927C4"/>
    <w:rsid w:val="00992A4E"/>
    <w:rsid w:val="00992DB6"/>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0E4D"/>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6F78"/>
    <w:rsid w:val="009D75A4"/>
    <w:rsid w:val="009D785E"/>
    <w:rsid w:val="009E04A9"/>
    <w:rsid w:val="009E04FB"/>
    <w:rsid w:val="009E0871"/>
    <w:rsid w:val="009E1012"/>
    <w:rsid w:val="009E1137"/>
    <w:rsid w:val="009E1188"/>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48A"/>
    <w:rsid w:val="009F7169"/>
    <w:rsid w:val="009F7883"/>
    <w:rsid w:val="009F79BE"/>
    <w:rsid w:val="009F7F58"/>
    <w:rsid w:val="00A0018E"/>
    <w:rsid w:val="00A00916"/>
    <w:rsid w:val="00A00B60"/>
    <w:rsid w:val="00A01006"/>
    <w:rsid w:val="00A01BC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CA7"/>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1AA"/>
    <w:rsid w:val="00A23243"/>
    <w:rsid w:val="00A23590"/>
    <w:rsid w:val="00A23919"/>
    <w:rsid w:val="00A23921"/>
    <w:rsid w:val="00A23E0D"/>
    <w:rsid w:val="00A24002"/>
    <w:rsid w:val="00A2470A"/>
    <w:rsid w:val="00A2481C"/>
    <w:rsid w:val="00A24CCF"/>
    <w:rsid w:val="00A24D9F"/>
    <w:rsid w:val="00A25296"/>
    <w:rsid w:val="00A253C6"/>
    <w:rsid w:val="00A253EF"/>
    <w:rsid w:val="00A2585A"/>
    <w:rsid w:val="00A25C9D"/>
    <w:rsid w:val="00A25E63"/>
    <w:rsid w:val="00A261E4"/>
    <w:rsid w:val="00A265D9"/>
    <w:rsid w:val="00A26883"/>
    <w:rsid w:val="00A26D60"/>
    <w:rsid w:val="00A26EE0"/>
    <w:rsid w:val="00A2702B"/>
    <w:rsid w:val="00A270D1"/>
    <w:rsid w:val="00A279DC"/>
    <w:rsid w:val="00A306D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27E"/>
    <w:rsid w:val="00A6636E"/>
    <w:rsid w:val="00A66851"/>
    <w:rsid w:val="00A669D6"/>
    <w:rsid w:val="00A6743F"/>
    <w:rsid w:val="00A677C1"/>
    <w:rsid w:val="00A67A8E"/>
    <w:rsid w:val="00A67AC6"/>
    <w:rsid w:val="00A70A35"/>
    <w:rsid w:val="00A70E5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73E"/>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DC4"/>
    <w:rsid w:val="00A84EBF"/>
    <w:rsid w:val="00A85237"/>
    <w:rsid w:val="00A8523D"/>
    <w:rsid w:val="00A8533A"/>
    <w:rsid w:val="00A85661"/>
    <w:rsid w:val="00A85FFF"/>
    <w:rsid w:val="00A862E6"/>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FA5"/>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603"/>
    <w:rsid w:val="00AC0CC3"/>
    <w:rsid w:val="00AC1281"/>
    <w:rsid w:val="00AC1554"/>
    <w:rsid w:val="00AC21BA"/>
    <w:rsid w:val="00AC22C7"/>
    <w:rsid w:val="00AC2D4E"/>
    <w:rsid w:val="00AC3084"/>
    <w:rsid w:val="00AC3431"/>
    <w:rsid w:val="00AC38E9"/>
    <w:rsid w:val="00AC425D"/>
    <w:rsid w:val="00AC44F3"/>
    <w:rsid w:val="00AC45D6"/>
    <w:rsid w:val="00AC4D1B"/>
    <w:rsid w:val="00AC4D53"/>
    <w:rsid w:val="00AC4D9E"/>
    <w:rsid w:val="00AC4E2E"/>
    <w:rsid w:val="00AC50C4"/>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A4"/>
    <w:rsid w:val="00AD6980"/>
    <w:rsid w:val="00AD69A7"/>
    <w:rsid w:val="00AD6C7F"/>
    <w:rsid w:val="00AD70C9"/>
    <w:rsid w:val="00AD732B"/>
    <w:rsid w:val="00AD75A6"/>
    <w:rsid w:val="00AD7927"/>
    <w:rsid w:val="00AD7E17"/>
    <w:rsid w:val="00AE0160"/>
    <w:rsid w:val="00AE0D23"/>
    <w:rsid w:val="00AE0E9E"/>
    <w:rsid w:val="00AE14B7"/>
    <w:rsid w:val="00AE19D1"/>
    <w:rsid w:val="00AE1D03"/>
    <w:rsid w:val="00AE2205"/>
    <w:rsid w:val="00AE232B"/>
    <w:rsid w:val="00AE26F5"/>
    <w:rsid w:val="00AE2968"/>
    <w:rsid w:val="00AE3004"/>
    <w:rsid w:val="00AE3627"/>
    <w:rsid w:val="00AE3839"/>
    <w:rsid w:val="00AE3AF4"/>
    <w:rsid w:val="00AE425D"/>
    <w:rsid w:val="00AE42D1"/>
    <w:rsid w:val="00AE4557"/>
    <w:rsid w:val="00AE4A1F"/>
    <w:rsid w:val="00AE4C55"/>
    <w:rsid w:val="00AE4DC4"/>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738"/>
    <w:rsid w:val="00AF3C80"/>
    <w:rsid w:val="00AF3C8C"/>
    <w:rsid w:val="00AF4095"/>
    <w:rsid w:val="00AF41FC"/>
    <w:rsid w:val="00AF4447"/>
    <w:rsid w:val="00AF457C"/>
    <w:rsid w:val="00AF4ABD"/>
    <w:rsid w:val="00AF5363"/>
    <w:rsid w:val="00AF5A51"/>
    <w:rsid w:val="00AF5E18"/>
    <w:rsid w:val="00AF5F78"/>
    <w:rsid w:val="00AF63A9"/>
    <w:rsid w:val="00AF6591"/>
    <w:rsid w:val="00AF66F1"/>
    <w:rsid w:val="00AF6A76"/>
    <w:rsid w:val="00AF6B1B"/>
    <w:rsid w:val="00AF7363"/>
    <w:rsid w:val="00AF738A"/>
    <w:rsid w:val="00AF7759"/>
    <w:rsid w:val="00AF7F09"/>
    <w:rsid w:val="00AF7F0E"/>
    <w:rsid w:val="00B002BA"/>
    <w:rsid w:val="00B00306"/>
    <w:rsid w:val="00B00609"/>
    <w:rsid w:val="00B00D62"/>
    <w:rsid w:val="00B010D3"/>
    <w:rsid w:val="00B0136C"/>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3BD"/>
    <w:rsid w:val="00B063E3"/>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010"/>
    <w:rsid w:val="00B12603"/>
    <w:rsid w:val="00B12A8C"/>
    <w:rsid w:val="00B13003"/>
    <w:rsid w:val="00B137BE"/>
    <w:rsid w:val="00B13829"/>
    <w:rsid w:val="00B13F1F"/>
    <w:rsid w:val="00B14251"/>
    <w:rsid w:val="00B147CC"/>
    <w:rsid w:val="00B15141"/>
    <w:rsid w:val="00B151C6"/>
    <w:rsid w:val="00B15916"/>
    <w:rsid w:val="00B16815"/>
    <w:rsid w:val="00B16AE3"/>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33"/>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7E9"/>
    <w:rsid w:val="00B538FF"/>
    <w:rsid w:val="00B53EF5"/>
    <w:rsid w:val="00B542BA"/>
    <w:rsid w:val="00B54989"/>
    <w:rsid w:val="00B54CC5"/>
    <w:rsid w:val="00B553CF"/>
    <w:rsid w:val="00B555B8"/>
    <w:rsid w:val="00B55ACA"/>
    <w:rsid w:val="00B55DBE"/>
    <w:rsid w:val="00B561BD"/>
    <w:rsid w:val="00B566E0"/>
    <w:rsid w:val="00B5685D"/>
    <w:rsid w:val="00B56E91"/>
    <w:rsid w:val="00B56F22"/>
    <w:rsid w:val="00B574BA"/>
    <w:rsid w:val="00B57861"/>
    <w:rsid w:val="00B60407"/>
    <w:rsid w:val="00B60538"/>
    <w:rsid w:val="00B6059C"/>
    <w:rsid w:val="00B609F0"/>
    <w:rsid w:val="00B60E6E"/>
    <w:rsid w:val="00B6112D"/>
    <w:rsid w:val="00B6156C"/>
    <w:rsid w:val="00B619AF"/>
    <w:rsid w:val="00B61B85"/>
    <w:rsid w:val="00B61CFF"/>
    <w:rsid w:val="00B61F08"/>
    <w:rsid w:val="00B61F70"/>
    <w:rsid w:val="00B6237B"/>
    <w:rsid w:val="00B62894"/>
    <w:rsid w:val="00B62A18"/>
    <w:rsid w:val="00B6300C"/>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1F2"/>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74B"/>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D2F"/>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014"/>
    <w:rsid w:val="00BC344E"/>
    <w:rsid w:val="00BC38B8"/>
    <w:rsid w:val="00BC3CF8"/>
    <w:rsid w:val="00BC4B9C"/>
    <w:rsid w:val="00BC5181"/>
    <w:rsid w:val="00BC56C1"/>
    <w:rsid w:val="00BC571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6C5"/>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350"/>
    <w:rsid w:val="00BD78B8"/>
    <w:rsid w:val="00BD7A82"/>
    <w:rsid w:val="00BD7F9E"/>
    <w:rsid w:val="00BE072F"/>
    <w:rsid w:val="00BE0C3B"/>
    <w:rsid w:val="00BE130D"/>
    <w:rsid w:val="00BE13B8"/>
    <w:rsid w:val="00BE197A"/>
    <w:rsid w:val="00BE1A06"/>
    <w:rsid w:val="00BE2E99"/>
    <w:rsid w:val="00BE34FD"/>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DB2"/>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997"/>
    <w:rsid w:val="00C20DD5"/>
    <w:rsid w:val="00C20F2A"/>
    <w:rsid w:val="00C226CE"/>
    <w:rsid w:val="00C232DD"/>
    <w:rsid w:val="00C23452"/>
    <w:rsid w:val="00C2423A"/>
    <w:rsid w:val="00C244D8"/>
    <w:rsid w:val="00C24789"/>
    <w:rsid w:val="00C24EE5"/>
    <w:rsid w:val="00C250CF"/>
    <w:rsid w:val="00C253B9"/>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1F7B"/>
    <w:rsid w:val="00C42130"/>
    <w:rsid w:val="00C42784"/>
    <w:rsid w:val="00C429E1"/>
    <w:rsid w:val="00C439F0"/>
    <w:rsid w:val="00C43CE7"/>
    <w:rsid w:val="00C44189"/>
    <w:rsid w:val="00C447FB"/>
    <w:rsid w:val="00C44F96"/>
    <w:rsid w:val="00C44FF2"/>
    <w:rsid w:val="00C4587D"/>
    <w:rsid w:val="00C45C66"/>
    <w:rsid w:val="00C46DD3"/>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D35"/>
    <w:rsid w:val="00C60EC1"/>
    <w:rsid w:val="00C613E1"/>
    <w:rsid w:val="00C61628"/>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24E"/>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5F"/>
    <w:rsid w:val="00CA3C6D"/>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845"/>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9A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090"/>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0E8"/>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F4F"/>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423"/>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AE5"/>
    <w:rsid w:val="00D65DD6"/>
    <w:rsid w:val="00D66008"/>
    <w:rsid w:val="00D66022"/>
    <w:rsid w:val="00D66065"/>
    <w:rsid w:val="00D66C66"/>
    <w:rsid w:val="00D66DAA"/>
    <w:rsid w:val="00D671EF"/>
    <w:rsid w:val="00D67888"/>
    <w:rsid w:val="00D7010A"/>
    <w:rsid w:val="00D7040B"/>
    <w:rsid w:val="00D7066F"/>
    <w:rsid w:val="00D70B5B"/>
    <w:rsid w:val="00D70C48"/>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DA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B5B"/>
    <w:rsid w:val="00DD2FE5"/>
    <w:rsid w:val="00DD32DF"/>
    <w:rsid w:val="00DD3401"/>
    <w:rsid w:val="00DD3430"/>
    <w:rsid w:val="00DD3480"/>
    <w:rsid w:val="00DD3565"/>
    <w:rsid w:val="00DD49D3"/>
    <w:rsid w:val="00DD59AB"/>
    <w:rsid w:val="00DD5FFE"/>
    <w:rsid w:val="00DD6396"/>
    <w:rsid w:val="00DD6C70"/>
    <w:rsid w:val="00DD6DA2"/>
    <w:rsid w:val="00DD6F1A"/>
    <w:rsid w:val="00DD761C"/>
    <w:rsid w:val="00DE0171"/>
    <w:rsid w:val="00DE0333"/>
    <w:rsid w:val="00DE0558"/>
    <w:rsid w:val="00DE067E"/>
    <w:rsid w:val="00DE088E"/>
    <w:rsid w:val="00DE0B96"/>
    <w:rsid w:val="00DE128B"/>
    <w:rsid w:val="00DE15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1FD"/>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1B5"/>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DFE"/>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743"/>
    <w:rsid w:val="00E40A86"/>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CF"/>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B52"/>
    <w:rsid w:val="00E62C6B"/>
    <w:rsid w:val="00E62DDA"/>
    <w:rsid w:val="00E630F7"/>
    <w:rsid w:val="00E636D5"/>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8B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7C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DF9"/>
    <w:rsid w:val="00ED6100"/>
    <w:rsid w:val="00ED6786"/>
    <w:rsid w:val="00ED6802"/>
    <w:rsid w:val="00ED6E20"/>
    <w:rsid w:val="00ED6E4E"/>
    <w:rsid w:val="00ED7BAF"/>
    <w:rsid w:val="00EE0318"/>
    <w:rsid w:val="00EE08BC"/>
    <w:rsid w:val="00EE0935"/>
    <w:rsid w:val="00EE09EA"/>
    <w:rsid w:val="00EE0A49"/>
    <w:rsid w:val="00EE1177"/>
    <w:rsid w:val="00EE15CA"/>
    <w:rsid w:val="00EE18BB"/>
    <w:rsid w:val="00EE1938"/>
    <w:rsid w:val="00EE1CDA"/>
    <w:rsid w:val="00EE24B7"/>
    <w:rsid w:val="00EE286B"/>
    <w:rsid w:val="00EE2AAB"/>
    <w:rsid w:val="00EE3196"/>
    <w:rsid w:val="00EE3203"/>
    <w:rsid w:val="00EE3318"/>
    <w:rsid w:val="00EE33A6"/>
    <w:rsid w:val="00EE3DCB"/>
    <w:rsid w:val="00EE45AD"/>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4A7"/>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2D4D"/>
    <w:rsid w:val="00F13242"/>
    <w:rsid w:val="00F1403E"/>
    <w:rsid w:val="00F140E6"/>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B3"/>
    <w:rsid w:val="00F218EF"/>
    <w:rsid w:val="00F21DC3"/>
    <w:rsid w:val="00F21F61"/>
    <w:rsid w:val="00F21FB3"/>
    <w:rsid w:val="00F22444"/>
    <w:rsid w:val="00F22C96"/>
    <w:rsid w:val="00F22D40"/>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71A"/>
    <w:rsid w:val="00F27E0C"/>
    <w:rsid w:val="00F27F00"/>
    <w:rsid w:val="00F3002F"/>
    <w:rsid w:val="00F30353"/>
    <w:rsid w:val="00F3075E"/>
    <w:rsid w:val="00F308B1"/>
    <w:rsid w:val="00F308C0"/>
    <w:rsid w:val="00F318E7"/>
    <w:rsid w:val="00F31F17"/>
    <w:rsid w:val="00F3236F"/>
    <w:rsid w:val="00F32374"/>
    <w:rsid w:val="00F32DD1"/>
    <w:rsid w:val="00F32F0E"/>
    <w:rsid w:val="00F32F3E"/>
    <w:rsid w:val="00F3333E"/>
    <w:rsid w:val="00F3383E"/>
    <w:rsid w:val="00F34286"/>
    <w:rsid w:val="00F342E5"/>
    <w:rsid w:val="00F346BC"/>
    <w:rsid w:val="00F34B90"/>
    <w:rsid w:val="00F3521B"/>
    <w:rsid w:val="00F35561"/>
    <w:rsid w:val="00F35865"/>
    <w:rsid w:val="00F35E92"/>
    <w:rsid w:val="00F360BA"/>
    <w:rsid w:val="00F366CE"/>
    <w:rsid w:val="00F369FF"/>
    <w:rsid w:val="00F377A2"/>
    <w:rsid w:val="00F37922"/>
    <w:rsid w:val="00F37AEF"/>
    <w:rsid w:val="00F37D39"/>
    <w:rsid w:val="00F37DC6"/>
    <w:rsid w:val="00F41D1F"/>
    <w:rsid w:val="00F41D83"/>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4AB"/>
    <w:rsid w:val="00F74664"/>
    <w:rsid w:val="00F74791"/>
    <w:rsid w:val="00F747FD"/>
    <w:rsid w:val="00F74835"/>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5BA"/>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243"/>
    <w:rsid w:val="00FA656D"/>
    <w:rsid w:val="00FA65C9"/>
    <w:rsid w:val="00FA6686"/>
    <w:rsid w:val="00FA6A75"/>
    <w:rsid w:val="00FA6A8C"/>
    <w:rsid w:val="00FA757E"/>
    <w:rsid w:val="00FA7A20"/>
    <w:rsid w:val="00FA7AA6"/>
    <w:rsid w:val="00FA7C04"/>
    <w:rsid w:val="00FB0443"/>
    <w:rsid w:val="00FB0540"/>
    <w:rsid w:val="00FB09BB"/>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7A4"/>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65B"/>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93"/>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0F"/>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6951A0"/>
    <w:rPr>
      <w:i/>
      <w:iCs/>
    </w:rPr>
  </w:style>
  <w:style w:type="table" w:styleId="ListTable1Light-Accent3">
    <w:name w:val="List Table 1 Light Accent 3"/>
    <w:basedOn w:val="TableNormal"/>
    <w:uiPriority w:val="46"/>
    <w:rsid w:val="004D2F9D"/>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3">
    <w:name w:val="List Table 2 Accent 3"/>
    <w:basedOn w:val="TableNormal"/>
    <w:uiPriority w:val="47"/>
    <w:rsid w:val="001B530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3">
    <w:name w:val="List Table 6 Colorful Accent 3"/>
    <w:basedOn w:val="TableNormal"/>
    <w:uiPriority w:val="51"/>
    <w:rsid w:val="006232D2"/>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67234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016784">
      <w:bodyDiv w:val="1"/>
      <w:marLeft w:val="0"/>
      <w:marRight w:val="0"/>
      <w:marTop w:val="0"/>
      <w:marBottom w:val="0"/>
      <w:divBdr>
        <w:top w:val="none" w:sz="0" w:space="0" w:color="auto"/>
        <w:left w:val="none" w:sz="0" w:space="0" w:color="auto"/>
        <w:bottom w:val="none" w:sz="0" w:space="0" w:color="auto"/>
        <w:right w:val="none" w:sz="0" w:space="0" w:color="auto"/>
      </w:divBdr>
    </w:div>
    <w:div w:id="36248001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25992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833091">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68573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6663480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HR33RHYHUWRF-4-2259</_dlc_DocId>
    <_dlc_DocIdUrl xmlns="c06861ca-3f08-4d07-bff7-bb15bac121f4">
      <Url>https://projects.qualcomm.com/sites/pentari/_layouts/15/DocIdRedir.aspx?ID=HR33RHYHUWRF-4-2259</Url>
      <Description>HR33RHYHUWRF-4-2259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06861ca-3f08-4d07-bff7-bb15bac121f4"/>
    <ds:schemaRef ds:uri="http://www.w3.org/XML/1998/namespace"/>
    <ds:schemaRef ds:uri="http://purl.org/dc/dcmitype/"/>
  </ds:schemaRefs>
</ds:datastoreItem>
</file>

<file path=customXml/itemProps5.xml><?xml version="1.0" encoding="utf-8"?>
<ds:datastoreItem xmlns:ds="http://schemas.openxmlformats.org/officeDocument/2006/customXml" ds:itemID="{784A0F68-5AF0-400B-B285-F86431B21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4</Pages>
  <Words>1247</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14</cp:revision>
  <cp:lastPrinted>2014-11-07T05:38:00Z</cp:lastPrinted>
  <dcterms:created xsi:type="dcterms:W3CDTF">2017-03-24T23:21:00Z</dcterms:created>
  <dcterms:modified xsi:type="dcterms:W3CDTF">2017-03-25T05:09:00Z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292084eb-ef57-4e3f-a852-db51b3a821b8</vt:lpwstr>
  </property>
</Properties>
</file>