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2A6C" w:rsidRDefault="004B42A1">
      <w:pPr>
        <w:pStyle w:val="TdocHeader2"/>
        <w:jc w:val="left"/>
        <w:rPr>
          <w:rFonts w:eastAsia="Times New Roman" w:cs="Arial"/>
          <w:bCs/>
          <w:sz w:val="20"/>
          <w:szCs w:val="18"/>
          <w:lang w:val="en-US" w:eastAsia="zh-CN"/>
        </w:rPr>
      </w:pPr>
      <w:r>
        <w:rPr>
          <w:rFonts w:eastAsia="Times New Roman" w:cs="Arial"/>
          <w:bCs/>
          <w:sz w:val="20"/>
          <w:szCs w:val="18"/>
          <w:lang w:val="en-US" w:eastAsia="zh-CN"/>
        </w:rPr>
        <w:t xml:space="preserve">3GPP TSG RAN WG1 Meeting #88bis                         </w:t>
      </w:r>
      <w:r w:rsidR="00BF6989">
        <w:rPr>
          <w:rFonts w:eastAsia="Times New Roman" w:cs="Arial"/>
          <w:bCs/>
          <w:sz w:val="20"/>
          <w:szCs w:val="18"/>
          <w:lang w:val="en-US" w:eastAsia="zh-CN"/>
        </w:rPr>
        <w:t xml:space="preserve">                      </w:t>
      </w:r>
      <w:r w:rsidR="00BF6989">
        <w:rPr>
          <w:rFonts w:eastAsia="Times New Roman" w:cs="Arial"/>
          <w:bCs/>
          <w:sz w:val="20"/>
          <w:szCs w:val="18"/>
          <w:lang w:val="en-US" w:eastAsia="zh-CN"/>
        </w:rPr>
        <w:tab/>
        <w:t>R1-1704818</w:t>
      </w:r>
    </w:p>
    <w:p w:rsidR="00CF2A6C" w:rsidRDefault="004B42A1">
      <w:pPr>
        <w:pStyle w:val="TdocHeader2"/>
        <w:rPr>
          <w:sz w:val="20"/>
          <w:lang w:val="en-US"/>
        </w:rPr>
      </w:pPr>
      <w:r>
        <w:rPr>
          <w:rFonts w:eastAsia="Times New Roman" w:cs="Arial"/>
          <w:bCs/>
          <w:sz w:val="20"/>
          <w:szCs w:val="18"/>
          <w:lang w:val="en-US" w:eastAsia="zh-CN"/>
        </w:rPr>
        <w:t>Spokane, Washington, 3</w:t>
      </w:r>
      <w:r>
        <w:rPr>
          <w:rFonts w:eastAsia="Times New Roman" w:cs="Arial"/>
          <w:bCs/>
          <w:sz w:val="20"/>
          <w:szCs w:val="18"/>
          <w:vertAlign w:val="superscript"/>
          <w:lang w:val="en-US" w:eastAsia="zh-CN"/>
        </w:rPr>
        <w:t>th</w:t>
      </w:r>
      <w:r>
        <w:rPr>
          <w:rFonts w:eastAsia="Times New Roman" w:cs="Arial"/>
          <w:bCs/>
          <w:sz w:val="20"/>
          <w:szCs w:val="18"/>
          <w:lang w:val="en-US" w:eastAsia="zh-CN"/>
        </w:rPr>
        <w:t xml:space="preserve"> – 7</w:t>
      </w:r>
      <w:r>
        <w:rPr>
          <w:rFonts w:eastAsia="Times New Roman" w:cs="Arial"/>
          <w:bCs/>
          <w:sz w:val="20"/>
          <w:szCs w:val="18"/>
          <w:vertAlign w:val="superscript"/>
          <w:lang w:val="en-US" w:eastAsia="zh-CN"/>
        </w:rPr>
        <w:t>th</w:t>
      </w:r>
      <w:r>
        <w:rPr>
          <w:rFonts w:eastAsia="Times New Roman" w:cs="Arial"/>
          <w:bCs/>
          <w:sz w:val="20"/>
          <w:szCs w:val="18"/>
          <w:lang w:val="en-US" w:eastAsia="zh-CN"/>
        </w:rPr>
        <w:t xml:space="preserve"> April 2017</w:t>
      </w:r>
    </w:p>
    <w:p w:rsidR="00CF2A6C" w:rsidRDefault="00CF2A6C">
      <w:pPr>
        <w:pStyle w:val="TdocHeader2"/>
        <w:rPr>
          <w:sz w:val="20"/>
          <w:lang w:val="en-US"/>
        </w:rPr>
      </w:pPr>
    </w:p>
    <w:p w:rsidR="00CF2A6C" w:rsidRDefault="004B42A1">
      <w:pPr>
        <w:pStyle w:val="TdocHeader2"/>
        <w:rPr>
          <w:sz w:val="20"/>
          <w:lang w:val="en-US"/>
        </w:rPr>
      </w:pPr>
      <w:r>
        <w:rPr>
          <w:sz w:val="20"/>
          <w:lang w:val="en-US"/>
        </w:rPr>
        <w:t xml:space="preserve">Source: </w:t>
      </w:r>
      <w:r>
        <w:rPr>
          <w:sz w:val="20"/>
          <w:lang w:val="en-US"/>
        </w:rPr>
        <w:tab/>
        <w:t xml:space="preserve">Hughes Network Systems, </w:t>
      </w:r>
    </w:p>
    <w:p w:rsidR="00CF2A6C" w:rsidRDefault="004B42A1">
      <w:pPr>
        <w:pStyle w:val="TdocHeader2"/>
        <w:rPr>
          <w:sz w:val="20"/>
          <w:lang w:val="en-US"/>
        </w:rPr>
      </w:pPr>
      <w:r>
        <w:rPr>
          <w:sz w:val="20"/>
          <w:lang w:val="en-US"/>
        </w:rPr>
        <w:t>Title:</w:t>
      </w:r>
      <w:bookmarkStart w:id="0" w:name="Title"/>
      <w:bookmarkEnd w:id="0"/>
      <w:r>
        <w:rPr>
          <w:sz w:val="20"/>
          <w:lang w:val="en-US"/>
        </w:rPr>
        <w:tab/>
        <w:t>Asynchronous Scrambled Coded Multiple Access (A-SCMA)</w:t>
      </w:r>
    </w:p>
    <w:p w:rsidR="00CF2A6C" w:rsidRDefault="004B42A1">
      <w:pPr>
        <w:pStyle w:val="TdocHeader2"/>
        <w:rPr>
          <w:sz w:val="20"/>
          <w:lang w:val="en-US"/>
        </w:rPr>
      </w:pPr>
      <w:r>
        <w:rPr>
          <w:sz w:val="20"/>
          <w:lang w:val="en-US"/>
        </w:rPr>
        <w:t>Agenda Item:</w:t>
      </w:r>
      <w:r>
        <w:rPr>
          <w:sz w:val="20"/>
          <w:lang w:val="en-US"/>
        </w:rPr>
        <w:tab/>
      </w:r>
      <w:r w:rsidR="00777734">
        <w:rPr>
          <w:sz w:val="20"/>
          <w:lang w:val="en-US"/>
        </w:rPr>
        <w:t>8.1.10</w:t>
      </w:r>
      <w:bookmarkStart w:id="1" w:name="_GoBack"/>
      <w:bookmarkEnd w:id="1"/>
    </w:p>
    <w:p w:rsidR="00CF2A6C" w:rsidRDefault="004B42A1">
      <w:pPr>
        <w:pStyle w:val="TdocHeader2"/>
        <w:rPr>
          <w:sz w:val="20"/>
          <w:lang w:val="en-US"/>
        </w:rPr>
      </w:pPr>
      <w:r>
        <w:rPr>
          <w:sz w:val="20"/>
          <w:lang w:val="en-US"/>
        </w:rPr>
        <w:t>Document for:</w:t>
      </w:r>
      <w:r>
        <w:rPr>
          <w:sz w:val="20"/>
          <w:lang w:val="en-US"/>
        </w:rPr>
        <w:tab/>
        <w:t>Discussion</w:t>
      </w:r>
    </w:p>
    <w:p w:rsidR="00CF2A6C" w:rsidRDefault="004B42A1">
      <w:pPr>
        <w:pStyle w:val="TdocHeader2"/>
        <w:rPr>
          <w:sz w:val="20"/>
          <w:lang w:val="en-US"/>
        </w:rPr>
      </w:pPr>
      <w:r>
        <w:rPr>
          <w:sz w:val="20"/>
          <w:lang w:val="en-US"/>
        </w:rPr>
        <w:t>Contact Info:</w:t>
      </w:r>
      <w:r w:rsidR="00F15DC9">
        <w:rPr>
          <w:sz w:val="20"/>
          <w:lang w:val="en-US"/>
        </w:rPr>
        <w:tab/>
        <w:t xml:space="preserve">Mustafa Eroz, </w:t>
      </w:r>
      <w:hyperlink r:id="rId5" w:history="1">
        <w:r w:rsidR="00F15DC9" w:rsidRPr="00B95578">
          <w:rPr>
            <w:rStyle w:val="Hyperlink"/>
            <w:sz w:val="20"/>
            <w:lang w:val="en-US"/>
          </w:rPr>
          <w:t>mustafa.eroz@hughes.com</w:t>
        </w:r>
      </w:hyperlink>
      <w:r w:rsidR="00F15DC9">
        <w:rPr>
          <w:sz w:val="20"/>
          <w:lang w:val="en-US"/>
        </w:rPr>
        <w:t>, 1 301 428 5671</w:t>
      </w:r>
    </w:p>
    <w:p w:rsidR="00CF2A6C" w:rsidRDefault="00CF2A6C">
      <w:pPr>
        <w:pStyle w:val="TdocHeader2"/>
        <w:rPr>
          <w:sz w:val="20"/>
          <w:lang w:val="en-US"/>
        </w:rPr>
      </w:pPr>
    </w:p>
    <w:p w:rsidR="00CF2A6C" w:rsidRDefault="004B42A1">
      <w:pPr>
        <w:pStyle w:val="Heading1"/>
        <w:numPr>
          <w:ilvl w:val="0"/>
          <w:numId w:val="2"/>
        </w:numPr>
        <w:textAlignment w:val="auto"/>
        <w:rPr>
          <w:lang w:val="en-US"/>
        </w:rPr>
      </w:pPr>
      <w:bookmarkStart w:id="2" w:name="_Ref298777854"/>
      <w:bookmarkEnd w:id="2"/>
      <w:r>
        <w:rPr>
          <w:lang w:val="en-US"/>
        </w:rPr>
        <w:t>Introduction</w:t>
      </w:r>
    </w:p>
    <w:p w:rsidR="00CF2A6C" w:rsidRDefault="004B42A1">
      <w:pPr>
        <w:jc w:val="both"/>
        <w:rPr>
          <w:sz w:val="24"/>
          <w:szCs w:val="24"/>
        </w:rPr>
      </w:pPr>
      <w:r>
        <w:rPr>
          <w:sz w:val="24"/>
          <w:szCs w:val="24"/>
        </w:rPr>
        <w:t>In 3GPP RAN #75, it was agreed that the work on non-orthogonal multiple access (NOMA) for NR will start again with RAN1 #90 [1]. As a preview, this document describes a new scheme, called Asynchronous Scrambled Coded Multiple Access (A-SCMA), which allows true asynchronous multiple access with an unprecedented spectral efficiency, on the order of 4 bits/symbol, at a modest SNR.</w:t>
      </w:r>
    </w:p>
    <w:p w:rsidR="00CF2A6C" w:rsidRDefault="00CF2A6C">
      <w:pPr>
        <w:jc w:val="both"/>
        <w:rPr>
          <w:sz w:val="24"/>
          <w:szCs w:val="24"/>
        </w:rPr>
      </w:pPr>
    </w:p>
    <w:p w:rsidR="00CF2A6C" w:rsidRDefault="004B42A1">
      <w:pPr>
        <w:pStyle w:val="Heading1"/>
        <w:numPr>
          <w:ilvl w:val="0"/>
          <w:numId w:val="2"/>
        </w:numPr>
        <w:textAlignment w:val="auto"/>
        <w:rPr>
          <w:lang w:val="en-US"/>
        </w:rPr>
      </w:pPr>
      <w:r>
        <w:rPr>
          <w:lang w:val="en-US"/>
        </w:rPr>
        <w:t>Discussion</w:t>
      </w:r>
    </w:p>
    <w:p w:rsidR="00CF2A6C" w:rsidRDefault="004B42A1">
      <w:pPr>
        <w:jc w:val="both"/>
        <w:rPr>
          <w:sz w:val="24"/>
          <w:szCs w:val="24"/>
        </w:rPr>
      </w:pPr>
      <w:r>
        <w:rPr>
          <w:sz w:val="24"/>
          <w:szCs w:val="24"/>
        </w:rPr>
        <w:t xml:space="preserve">NOMA is expected to be an important technology enabler for 5G NR, especially for </w:t>
      </w:r>
      <w:proofErr w:type="spellStart"/>
      <w:r>
        <w:rPr>
          <w:sz w:val="24"/>
          <w:szCs w:val="24"/>
        </w:rPr>
        <w:t>mMTC</w:t>
      </w:r>
      <w:proofErr w:type="spellEnd"/>
      <w:r>
        <w:rPr>
          <w:sz w:val="24"/>
          <w:szCs w:val="24"/>
        </w:rPr>
        <w:t xml:space="preserve"> where a massive number of devices are envisioned to share a limited amount of resources instantaneously but sporadically. A-SCMA, with its grant-free and asynchronous random access capability, ideally fits this use case. A generic, block diagram is shown in Figure 1.</w:t>
      </w:r>
    </w:p>
    <w:p w:rsidR="00CF2A6C" w:rsidRDefault="00CF2A6C">
      <w:pPr>
        <w:jc w:val="both"/>
        <w:rPr>
          <w:sz w:val="24"/>
          <w:szCs w:val="24"/>
        </w:rPr>
      </w:pPr>
    </w:p>
    <w:p w:rsidR="00CF2A6C" w:rsidRDefault="00CF2A6C">
      <w:pPr>
        <w:jc w:val="both"/>
        <w:rPr>
          <w:sz w:val="24"/>
          <w:szCs w:val="24"/>
        </w:rPr>
      </w:pPr>
    </w:p>
    <w:p w:rsidR="00CF2A6C" w:rsidRDefault="004B42A1">
      <w:pPr>
        <w:jc w:val="both"/>
        <w:rPr>
          <w:sz w:val="24"/>
          <w:szCs w:val="24"/>
        </w:rPr>
      </w:pPr>
      <w:r w:rsidRPr="004B42A1">
        <w:rPr>
          <w:noProof/>
        </w:rPr>
        <w:drawing>
          <wp:inline distT="0" distB="0" distL="0" distR="0">
            <wp:extent cx="5943600" cy="154876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3600" cy="1548769"/>
                    </a:xfrm>
                    <a:prstGeom prst="rect">
                      <a:avLst/>
                    </a:prstGeom>
                    <a:noFill/>
                    <a:ln>
                      <a:noFill/>
                    </a:ln>
                  </pic:spPr>
                </pic:pic>
              </a:graphicData>
            </a:graphic>
          </wp:inline>
        </w:drawing>
      </w:r>
    </w:p>
    <w:p w:rsidR="00CF2A6C" w:rsidRDefault="004B42A1">
      <w:pPr>
        <w:jc w:val="center"/>
        <w:rPr>
          <w:sz w:val="24"/>
          <w:szCs w:val="24"/>
        </w:rPr>
      </w:pPr>
      <w:r>
        <w:rPr>
          <w:sz w:val="24"/>
          <w:szCs w:val="24"/>
        </w:rPr>
        <w:t>Figure 1. Block diagram of A-SCMA</w:t>
      </w:r>
    </w:p>
    <w:p w:rsidR="00CF2A6C" w:rsidRDefault="004B42A1">
      <w:pPr>
        <w:jc w:val="both"/>
        <w:rPr>
          <w:sz w:val="24"/>
          <w:szCs w:val="24"/>
        </w:rPr>
      </w:pPr>
      <w:r>
        <w:rPr>
          <w:sz w:val="24"/>
          <w:szCs w:val="24"/>
        </w:rPr>
        <w:t xml:space="preserve">Each user encodes its data with a low rate encoder. Optional, additional spreading can also be used. Each encoded bit stream is then scrambled, where essentially the same PN sequence with different seeds can be used for different users. Single carrier with QPSK modulation is used, </w:t>
      </w:r>
      <w:r>
        <w:rPr>
          <w:sz w:val="24"/>
          <w:szCs w:val="24"/>
        </w:rPr>
        <w:lastRenderedPageBreak/>
        <w:t xml:space="preserve">even though other waveforms can easily be adopted as well. Each user transmits its encoded data asynchronously, without any need to cooperate with other users. </w:t>
      </w:r>
    </w:p>
    <w:p w:rsidR="00CF2A6C" w:rsidRDefault="004B42A1">
      <w:pPr>
        <w:jc w:val="both"/>
        <w:rPr>
          <w:sz w:val="24"/>
          <w:szCs w:val="24"/>
        </w:rPr>
      </w:pPr>
      <w:r>
        <w:rPr>
          <w:sz w:val="24"/>
          <w:szCs w:val="24"/>
        </w:rPr>
        <w:t xml:space="preserve">At the receiver, a simplified multi-user detector is used iteratively with FEC decoder. An exemplary performance result is shown in Figure 2 over AWGN channel. To simulate the random arrivals, Poisson distribution is assumed with mean arrival rate of </w:t>
      </w:r>
      <w:r>
        <w:rPr>
          <w:rFonts w:ascii="Arial" w:hAnsi="Arial" w:cs="Arial"/>
          <w:sz w:val="24"/>
          <w:szCs w:val="24"/>
        </w:rPr>
        <w:t xml:space="preserve">λ </w:t>
      </w:r>
      <w:r>
        <w:rPr>
          <w:rFonts w:cs="Arial"/>
          <w:sz w:val="24"/>
          <w:szCs w:val="24"/>
        </w:rPr>
        <w:t>users/burst duration</w:t>
      </w:r>
      <w:r>
        <w:rPr>
          <w:sz w:val="24"/>
          <w:szCs w:val="24"/>
        </w:rPr>
        <w:t>. Each user is assumed to have uniformly distributed SNR in the interval (0 dB, 6 dB). Figure 2 shows the performance results both with x4 spreading (SA-SCMA S=4) and also without spreading (A-SCMA). Combined with a code rate of R=1/9, average aggregate spectral efficiency on the order of 4 bits/symbol is demonstrated, which far exceeds any random multiple access technique reported in literature.</w:t>
      </w:r>
    </w:p>
    <w:p w:rsidR="00CF2A6C" w:rsidRDefault="004B42A1">
      <w:pPr>
        <w:jc w:val="both"/>
      </w:pPr>
      <w:r>
        <w:rPr>
          <w:noProof/>
        </w:rPr>
        <w:drawing>
          <wp:anchor distT="0" distB="0" distL="0" distR="0" simplePos="0" relativeHeight="2" behindDoc="0" locked="0" layoutInCell="1" allowOverlap="1">
            <wp:simplePos x="0" y="0"/>
            <wp:positionH relativeFrom="column">
              <wp:align>center</wp:align>
            </wp:positionH>
            <wp:positionV relativeFrom="paragraph">
              <wp:posOffset>635</wp:posOffset>
            </wp:positionV>
            <wp:extent cx="5842000" cy="4381500"/>
            <wp:effectExtent l="0" t="0" r="0" b="0"/>
            <wp:wrapSquare wrapText="largest"/>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7"/>
                    <a:stretch>
                      <a:fillRect/>
                    </a:stretch>
                  </pic:blipFill>
                  <pic:spPr bwMode="auto">
                    <a:xfrm>
                      <a:off x="0" y="0"/>
                      <a:ext cx="5842000" cy="4381500"/>
                    </a:xfrm>
                    <a:prstGeom prst="rect">
                      <a:avLst/>
                    </a:prstGeom>
                  </pic:spPr>
                </pic:pic>
              </a:graphicData>
            </a:graphic>
          </wp:anchor>
        </w:drawing>
      </w:r>
    </w:p>
    <w:p w:rsidR="00CF2A6C" w:rsidRDefault="004B42A1">
      <w:pPr>
        <w:jc w:val="both"/>
        <w:rPr>
          <w:sz w:val="24"/>
          <w:szCs w:val="24"/>
        </w:rPr>
      </w:pPr>
      <w:r>
        <w:rPr>
          <w:sz w:val="24"/>
          <w:szCs w:val="24"/>
        </w:rPr>
        <w:t xml:space="preserve">                                                   Figure 2. Exemplary A-SCMA simulation results</w:t>
      </w:r>
    </w:p>
    <w:p w:rsidR="00CF2A6C" w:rsidRDefault="00CF2A6C">
      <w:pPr>
        <w:spacing w:before="120" w:after="120" w:line="240" w:lineRule="auto"/>
        <w:jc w:val="both"/>
        <w:rPr>
          <w:sz w:val="24"/>
          <w:lang w:eastAsia="ko-KR"/>
        </w:rPr>
      </w:pPr>
    </w:p>
    <w:p w:rsidR="00CF2A6C" w:rsidRDefault="004B42A1">
      <w:pPr>
        <w:pStyle w:val="Heading1"/>
        <w:numPr>
          <w:ilvl w:val="0"/>
          <w:numId w:val="2"/>
        </w:numPr>
        <w:textAlignment w:val="auto"/>
        <w:rPr>
          <w:lang w:val="en-US"/>
        </w:rPr>
      </w:pPr>
      <w:r>
        <w:rPr>
          <w:lang w:val="en-US"/>
        </w:rPr>
        <w:lastRenderedPageBreak/>
        <w:t>Summary</w:t>
      </w:r>
    </w:p>
    <w:p w:rsidR="00CF2A6C" w:rsidRDefault="004B42A1">
      <w:pPr>
        <w:spacing w:after="120"/>
        <w:jc w:val="both"/>
        <w:rPr>
          <w:sz w:val="24"/>
          <w:szCs w:val="24"/>
        </w:rPr>
      </w:pPr>
      <w:r>
        <w:rPr>
          <w:sz w:val="24"/>
          <w:szCs w:val="24"/>
        </w:rPr>
        <w:t xml:space="preserve">This contribution describes asynchronous scrambled coded multiple access (A-SCMA), a new non-orthogonal multiple access technique. </w:t>
      </w:r>
    </w:p>
    <w:p w:rsidR="00CF2A6C" w:rsidRDefault="004B42A1">
      <w:pPr>
        <w:spacing w:before="120" w:after="120" w:line="240" w:lineRule="auto"/>
        <w:jc w:val="both"/>
        <w:rPr>
          <w:i/>
          <w:sz w:val="24"/>
          <w:szCs w:val="24"/>
        </w:rPr>
      </w:pPr>
      <w:r>
        <w:rPr>
          <w:b/>
          <w:i/>
          <w:sz w:val="24"/>
          <w:szCs w:val="24"/>
        </w:rPr>
        <w:t>Observation 1:</w:t>
      </w:r>
      <w:r>
        <w:rPr>
          <w:i/>
          <w:sz w:val="24"/>
          <w:szCs w:val="24"/>
        </w:rPr>
        <w:t xml:space="preserve"> A-SCMA is an ideally suited NOMA technique for 5G NR with its simple transmission protocol, simplified multi-user detector, and very high spectral efficiency.</w:t>
      </w:r>
    </w:p>
    <w:p w:rsidR="00CF2A6C" w:rsidRDefault="004B42A1">
      <w:pPr>
        <w:spacing w:before="120" w:after="120" w:line="240" w:lineRule="auto"/>
        <w:jc w:val="both"/>
        <w:rPr>
          <w:sz w:val="24"/>
          <w:szCs w:val="24"/>
        </w:rPr>
      </w:pPr>
      <w:r>
        <w:rPr>
          <w:b/>
          <w:i/>
          <w:sz w:val="24"/>
          <w:szCs w:val="24"/>
        </w:rPr>
        <w:t>Proposal 1:</w:t>
      </w:r>
      <w:r>
        <w:rPr>
          <w:i/>
          <w:sz w:val="24"/>
          <w:szCs w:val="24"/>
        </w:rPr>
        <w:t xml:space="preserve"> NR considers A-SCMA for NR NOMA.</w:t>
      </w:r>
    </w:p>
    <w:p w:rsidR="00CF2A6C" w:rsidRDefault="004B42A1">
      <w:pPr>
        <w:pStyle w:val="Heading1"/>
        <w:numPr>
          <w:ilvl w:val="0"/>
          <w:numId w:val="2"/>
        </w:numPr>
        <w:textAlignment w:val="auto"/>
        <w:rPr>
          <w:lang w:val="en-US"/>
        </w:rPr>
      </w:pPr>
      <w:r>
        <w:rPr>
          <w:lang w:val="en-US"/>
        </w:rPr>
        <w:t>References</w:t>
      </w:r>
    </w:p>
    <w:p w:rsidR="00CF2A6C" w:rsidRDefault="004B42A1">
      <w:pPr>
        <w:jc w:val="both"/>
      </w:pPr>
      <w:r>
        <w:rPr>
          <w:sz w:val="24"/>
        </w:rPr>
        <w:t xml:space="preserve">[1] 3GPP TSG RAN#75, RP-170829, “Study on non-orthogonal multiple access for NR” Dubrovnik, Croatia, Mar. 2017. </w:t>
      </w:r>
    </w:p>
    <w:sectPr w:rsidR="00CF2A6C">
      <w:pgSz w:w="12240" w:h="15840"/>
      <w:pgMar w:top="1440" w:right="1440" w:bottom="1440" w:left="1440" w:header="0" w:footer="0" w:gutter="0"/>
      <w:cols w:space="720"/>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Droid Sans Fallback">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946036"/>
    <w:multiLevelType w:val="multilevel"/>
    <w:tmpl w:val="67AC88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44470CDC"/>
    <w:multiLevelType w:val="multilevel"/>
    <w:tmpl w:val="FEB028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CF2A6C"/>
    <w:rsid w:val="004B42A1"/>
    <w:rsid w:val="00777734"/>
    <w:rsid w:val="00BF6989"/>
    <w:rsid w:val="00CF2A6C"/>
    <w:rsid w:val="00F15DC9"/>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0D2B49-7A54-4FDB-8B59-6689F4299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09F4"/>
    <w:pPr>
      <w:spacing w:after="160" w:line="259" w:lineRule="auto"/>
    </w:pPr>
    <w:rPr>
      <w:color w:val="00000A"/>
      <w:sz w:val="22"/>
    </w:rPr>
  </w:style>
  <w:style w:type="paragraph" w:styleId="Heading1">
    <w:name w:val="heading 1"/>
    <w:basedOn w:val="Heading"/>
    <w:next w:val="Normal"/>
    <w:link w:val="Heading1Char"/>
    <w:qFormat/>
    <w:rsid w:val="00C96F92"/>
    <w:pPr>
      <w:keepLines/>
      <w:numPr>
        <w:numId w:val="1"/>
      </w:numPr>
      <w:pBdr>
        <w:top w:val="single" w:sz="12" w:space="3" w:color="00000A"/>
      </w:pBdr>
      <w:spacing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uiPriority w:val="9"/>
    <w:qFormat/>
    <w:rsid w:val="00C96F92"/>
    <w:pPr>
      <w:numPr>
        <w:ilvl w:val="1"/>
      </w:numPr>
      <w:spacing w:before="180"/>
      <w:outlineLvl w:val="1"/>
    </w:pPr>
    <w:rPr>
      <w:sz w:val="32"/>
      <w:szCs w:val="32"/>
    </w:rPr>
  </w:style>
  <w:style w:type="paragraph" w:styleId="Heading3">
    <w:name w:val="heading 3"/>
    <w:basedOn w:val="Heading2"/>
    <w:next w:val="Normal"/>
    <w:link w:val="Heading3Char"/>
    <w:qFormat/>
    <w:rsid w:val="00C96F92"/>
    <w:pPr>
      <w:numPr>
        <w:ilvl w:val="2"/>
      </w:numPr>
      <w:spacing w:before="120"/>
      <w:outlineLvl w:val="2"/>
    </w:pPr>
    <w:rPr>
      <w:sz w:val="28"/>
      <w:szCs w:val="28"/>
    </w:rPr>
  </w:style>
  <w:style w:type="paragraph" w:styleId="Heading4">
    <w:name w:val="heading 4"/>
    <w:basedOn w:val="Heading3"/>
    <w:next w:val="Normal"/>
    <w:link w:val="Heading4Char"/>
    <w:qFormat/>
    <w:rsid w:val="00C96F92"/>
    <w:pPr>
      <w:numPr>
        <w:ilvl w:val="3"/>
      </w:numPr>
      <w:outlineLvl w:val="3"/>
    </w:pPr>
    <w:rPr>
      <w:sz w:val="24"/>
      <w:szCs w:val="24"/>
    </w:rPr>
  </w:style>
  <w:style w:type="paragraph" w:styleId="Heading5">
    <w:name w:val="heading 5"/>
    <w:basedOn w:val="Heading4"/>
    <w:next w:val="Normal"/>
    <w:link w:val="Heading5Char"/>
    <w:qFormat/>
    <w:rsid w:val="00C96F92"/>
    <w:pPr>
      <w:numPr>
        <w:ilvl w:val="4"/>
      </w:numPr>
      <w:outlineLvl w:val="4"/>
    </w:pPr>
    <w:rPr>
      <w:sz w:val="22"/>
      <w:szCs w:val="22"/>
    </w:rPr>
  </w:style>
  <w:style w:type="paragraph" w:styleId="Heading6">
    <w:name w:val="heading 6"/>
    <w:basedOn w:val="Normal"/>
    <w:next w:val="Normal"/>
    <w:link w:val="Heading6Char"/>
    <w:qFormat/>
    <w:rsid w:val="00C96F92"/>
    <w:pPr>
      <w:keepNext/>
      <w:keepLines/>
      <w:numPr>
        <w:ilvl w:val="5"/>
        <w:numId w:val="1"/>
      </w:numPr>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C96F92"/>
    <w:pPr>
      <w:keepNext/>
      <w:keepLines/>
      <w:numPr>
        <w:ilvl w:val="6"/>
        <w:numId w:val="1"/>
      </w:numPr>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C96F92"/>
    <w:pPr>
      <w:numPr>
        <w:ilvl w:val="7"/>
      </w:numPr>
      <w:outlineLvl w:val="7"/>
    </w:pPr>
  </w:style>
  <w:style w:type="paragraph" w:styleId="Heading9">
    <w:name w:val="heading 9"/>
    <w:basedOn w:val="Heading8"/>
    <w:next w:val="Normal"/>
    <w:link w:val="Heading9Char"/>
    <w:qFormat/>
    <w:rsid w:val="00C96F9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C96F92"/>
    <w:rPr>
      <w:rFonts w:ascii="Arial" w:eastAsia="Times New Roman" w:hAnsi="Arial" w:cs="Arial"/>
      <w:sz w:val="36"/>
      <w:szCs w:val="36"/>
      <w:lang w:val="en-GB" w:eastAsia="zh-CN"/>
    </w:rPr>
  </w:style>
  <w:style w:type="character" w:customStyle="1" w:styleId="Heading2Char">
    <w:name w:val="Heading 2 Char"/>
    <w:basedOn w:val="DefaultParagraphFont"/>
    <w:link w:val="Heading2"/>
    <w:uiPriority w:val="9"/>
    <w:qFormat/>
    <w:rsid w:val="00C96F92"/>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sid w:val="00C96F92"/>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sid w:val="00C96F92"/>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sid w:val="00C96F92"/>
    <w:rPr>
      <w:rFonts w:ascii="Arial" w:eastAsia="Times New Roman" w:hAnsi="Arial" w:cs="Arial"/>
      <w:lang w:val="en-GB" w:eastAsia="zh-CN"/>
    </w:rPr>
  </w:style>
  <w:style w:type="character" w:customStyle="1" w:styleId="Heading6Char">
    <w:name w:val="Heading 6 Char"/>
    <w:basedOn w:val="DefaultParagraphFont"/>
    <w:link w:val="Heading6"/>
    <w:qFormat/>
    <w:rsid w:val="00C96F92"/>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sid w:val="00C96F92"/>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sid w:val="00C96F92"/>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sid w:val="00C96F92"/>
    <w:rPr>
      <w:rFonts w:ascii="Arial" w:eastAsia="Times New Roman" w:hAnsi="Arial" w:cs="Arial"/>
      <w:sz w:val="20"/>
      <w:szCs w:val="20"/>
      <w:lang w:val="en-GB" w:eastAsia="zh-CN"/>
    </w:rPr>
  </w:style>
  <w:style w:type="character" w:customStyle="1" w:styleId="HeaderChar">
    <w:name w:val="Header Char"/>
    <w:basedOn w:val="DefaultParagraphFont"/>
    <w:link w:val="Header"/>
    <w:qFormat/>
    <w:rsid w:val="00C96F92"/>
  </w:style>
  <w:style w:type="character" w:customStyle="1" w:styleId="BalloonTextChar">
    <w:name w:val="Balloon Text Char"/>
    <w:basedOn w:val="DefaultParagraphFont"/>
    <w:link w:val="BalloonText"/>
    <w:uiPriority w:val="99"/>
    <w:semiHidden/>
    <w:qFormat/>
    <w:rsid w:val="00C463FA"/>
    <w:rPr>
      <w:rFonts w:ascii="Tahoma" w:hAnsi="Tahoma" w:cs="Tahoma"/>
      <w:sz w:val="16"/>
      <w:szCs w:val="16"/>
    </w:rPr>
  </w:style>
  <w:style w:type="paragraph" w:customStyle="1" w:styleId="Heading">
    <w:name w:val="Heading"/>
    <w:basedOn w:val="Normal"/>
    <w:next w:val="BodyText"/>
    <w:qFormat/>
    <w:rsid w:val="00C609F4"/>
    <w:pPr>
      <w:keepNext/>
      <w:spacing w:before="240" w:after="120"/>
    </w:pPr>
    <w:rPr>
      <w:rFonts w:ascii="Liberation Sans" w:eastAsia="Droid Sans Fallback" w:hAnsi="Liberation Sans" w:cs="Lohit Devanagari"/>
      <w:sz w:val="28"/>
      <w:szCs w:val="28"/>
    </w:rPr>
  </w:style>
  <w:style w:type="paragraph" w:styleId="BodyText">
    <w:name w:val="Body Text"/>
    <w:basedOn w:val="Normal"/>
    <w:rsid w:val="00C609F4"/>
    <w:pPr>
      <w:spacing w:after="140" w:line="288" w:lineRule="auto"/>
    </w:pPr>
  </w:style>
  <w:style w:type="paragraph" w:styleId="List">
    <w:name w:val="List"/>
    <w:basedOn w:val="BodyText"/>
    <w:rsid w:val="00C609F4"/>
    <w:rPr>
      <w:rFonts w:cs="Lohit Devanagari"/>
    </w:rPr>
  </w:style>
  <w:style w:type="paragraph" w:styleId="Caption">
    <w:name w:val="caption"/>
    <w:basedOn w:val="Normal"/>
    <w:qFormat/>
    <w:rsid w:val="00C609F4"/>
    <w:pPr>
      <w:suppressLineNumbers/>
      <w:spacing w:before="120" w:after="120"/>
    </w:pPr>
    <w:rPr>
      <w:rFonts w:cs="Lohit Devanagari"/>
      <w:i/>
      <w:iCs/>
      <w:sz w:val="24"/>
      <w:szCs w:val="24"/>
    </w:rPr>
  </w:style>
  <w:style w:type="paragraph" w:customStyle="1" w:styleId="Index">
    <w:name w:val="Index"/>
    <w:basedOn w:val="Normal"/>
    <w:qFormat/>
    <w:rsid w:val="00C609F4"/>
    <w:pPr>
      <w:suppressLineNumbers/>
    </w:pPr>
    <w:rPr>
      <w:rFonts w:cs="Lohit Devanagari"/>
    </w:rPr>
  </w:style>
  <w:style w:type="paragraph" w:customStyle="1" w:styleId="TdocHeader2">
    <w:name w:val="Tdoc_Header_2"/>
    <w:basedOn w:val="Normal"/>
    <w:qFormat/>
    <w:rsid w:val="00C96F9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Header">
    <w:name w:val="header"/>
    <w:basedOn w:val="Normal"/>
    <w:link w:val="HeaderChar"/>
    <w:unhideWhenUsed/>
    <w:rsid w:val="00C96F92"/>
    <w:pPr>
      <w:tabs>
        <w:tab w:val="center" w:pos="4680"/>
        <w:tab w:val="right" w:pos="9360"/>
      </w:tabs>
      <w:spacing w:after="0" w:line="240" w:lineRule="auto"/>
    </w:pPr>
  </w:style>
  <w:style w:type="paragraph" w:styleId="BalloonText">
    <w:name w:val="Balloon Text"/>
    <w:basedOn w:val="Normal"/>
    <w:link w:val="BalloonTextChar"/>
    <w:uiPriority w:val="99"/>
    <w:semiHidden/>
    <w:unhideWhenUsed/>
    <w:qFormat/>
    <w:rsid w:val="00C463FA"/>
    <w:pPr>
      <w:spacing w:after="0" w:line="240" w:lineRule="auto"/>
    </w:pPr>
    <w:rPr>
      <w:rFonts w:ascii="Tahoma" w:hAnsi="Tahoma" w:cs="Tahoma"/>
      <w:sz w:val="16"/>
      <w:szCs w:val="16"/>
    </w:rPr>
  </w:style>
  <w:style w:type="table" w:styleId="TableGrid">
    <w:name w:val="Table Grid"/>
    <w:basedOn w:val="TableNormal"/>
    <w:uiPriority w:val="39"/>
    <w:rsid w:val="00310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15DC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mailto:mustafa.eroz@hughes.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246</TotalTime>
  <Pages>3</Pages>
  <Words>430</Words>
  <Characters>2456</Characters>
  <Application>Microsoft Office Word</Application>
  <DocSecurity>0</DocSecurity>
  <Lines>20</Lines>
  <Paragraphs>5</Paragraphs>
  <ScaleCrop>false</ScaleCrop>
  <Company>Echostar</Company>
  <LinksUpToDate>false</LinksUpToDate>
  <CharactersWithSpaces>2881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Eroz, Mustafa</dc:creator>
  <dc:description/>
  <cp:lastModifiedBy>Eroz, Mustafa</cp:lastModifiedBy>
  <cp:revision>12</cp:revision>
  <dcterms:created xsi:type="dcterms:W3CDTF">2017-03-14T14:21:00Z</dcterms:created>
  <dcterms:modified xsi:type="dcterms:W3CDTF">2017-03-22T20:33:00Z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Echostar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