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F05FE" w14:textId="59ACCE7B" w:rsidR="00DD7EA1" w:rsidRPr="00327997" w:rsidRDefault="00DD7EA1" w:rsidP="00DD7EA1">
      <w:pPr>
        <w:pStyle w:val="3GPPHeader"/>
        <w:rPr>
          <w:highlight w:val="yellow"/>
        </w:rPr>
      </w:pPr>
      <w:r w:rsidRPr="00327997">
        <w:t>3GPP TSG-RAN WG1</w:t>
      </w:r>
      <w:r>
        <w:t xml:space="preserve"> #88</w:t>
      </w:r>
      <w:r w:rsidRPr="00327997">
        <w:tab/>
        <w:t>R1-</w:t>
      </w:r>
      <w:r w:rsidR="006E6712" w:rsidRPr="006E6712">
        <w:t>1703224</w:t>
      </w:r>
    </w:p>
    <w:p w14:paraId="6765E18C" w14:textId="77777777" w:rsidR="00DD7EA1" w:rsidRPr="006124FC" w:rsidRDefault="00DD7EA1" w:rsidP="00DD7EA1">
      <w:pPr>
        <w:pStyle w:val="3GPPHeader"/>
        <w:rPr>
          <w:lang w:val="en-US"/>
        </w:rPr>
      </w:pPr>
      <w:r w:rsidRPr="006124FC">
        <w:rPr>
          <w:lang w:val="en-US"/>
        </w:rPr>
        <w:t>Athens, Greece, 13</w:t>
      </w:r>
      <w:r w:rsidRPr="006124FC">
        <w:rPr>
          <w:vertAlign w:val="superscript"/>
          <w:lang w:val="en-US"/>
        </w:rPr>
        <w:t>th</w:t>
      </w:r>
      <w:r w:rsidRPr="006124FC">
        <w:rPr>
          <w:lang w:val="en-US"/>
        </w:rPr>
        <w:t xml:space="preserve"> – 17</w:t>
      </w:r>
      <w:r w:rsidRPr="006124FC">
        <w:rPr>
          <w:vertAlign w:val="superscript"/>
          <w:lang w:val="en-US"/>
        </w:rPr>
        <w:t>th</w:t>
      </w:r>
      <w:r w:rsidRPr="006124FC">
        <w:rPr>
          <w:lang w:val="en-US"/>
        </w:rPr>
        <w:t xml:space="preserve"> February, 2017</w:t>
      </w:r>
    </w:p>
    <w:p w14:paraId="36E840AF" w14:textId="77777777" w:rsidR="00E90E49" w:rsidRPr="00DD7EA1" w:rsidRDefault="00E90E49" w:rsidP="00357380">
      <w:pPr>
        <w:pStyle w:val="3GPPHeader"/>
        <w:rPr>
          <w:lang w:val="en-US"/>
        </w:rPr>
      </w:pPr>
    </w:p>
    <w:p w14:paraId="07065058" w14:textId="77777777" w:rsidR="00E90E49" w:rsidRPr="00327997" w:rsidRDefault="003D3C45" w:rsidP="00327997">
      <w:pPr>
        <w:pStyle w:val="3GPPHeader"/>
      </w:pPr>
      <w:r w:rsidRPr="00327997">
        <w:t>Source:</w:t>
      </w:r>
      <w:r w:rsidR="00E90E49" w:rsidRPr="00327997">
        <w:tab/>
      </w:r>
      <w:r w:rsidR="00F64C2B" w:rsidRPr="00327997">
        <w:t>Ericsson</w:t>
      </w:r>
    </w:p>
    <w:p w14:paraId="1845007C" w14:textId="30C398CA" w:rsidR="00E90E49" w:rsidRPr="00327997" w:rsidRDefault="003D3C45" w:rsidP="00327997">
      <w:pPr>
        <w:pStyle w:val="3GPPHeader"/>
      </w:pPr>
      <w:r w:rsidRPr="00327997">
        <w:t>Title:</w:t>
      </w:r>
      <w:r w:rsidR="00E90E49" w:rsidRPr="00327997">
        <w:tab/>
      </w:r>
      <w:r w:rsidR="006A7828">
        <w:t>On codebook based UL MIMO transmission with non-precoded SRS</w:t>
      </w:r>
    </w:p>
    <w:p w14:paraId="2A305796" w14:textId="5799B859" w:rsidR="00952A24" w:rsidRPr="00327997" w:rsidRDefault="00952A24" w:rsidP="00327997">
      <w:pPr>
        <w:pStyle w:val="3GPPHeader"/>
      </w:pPr>
      <w:r w:rsidRPr="00327997">
        <w:t>Agenda Item:</w:t>
      </w:r>
      <w:r w:rsidRPr="00327997">
        <w:tab/>
      </w:r>
      <w:r w:rsidR="00DD7EA1">
        <w:t>8.1.2.1.3</w:t>
      </w:r>
    </w:p>
    <w:p w14:paraId="1B9CD45C" w14:textId="1D31CFF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A8B901B" w14:textId="77777777" w:rsidR="00E90E49" w:rsidRPr="00CE0424" w:rsidRDefault="007F75D5" w:rsidP="00CE0424">
      <w:pPr>
        <w:pStyle w:val="Heading1"/>
      </w:pPr>
      <w:r>
        <w:t>Introduction</w:t>
      </w:r>
    </w:p>
    <w:p w14:paraId="0F9BFCC8" w14:textId="77777777" w:rsidR="007149E6" w:rsidRDefault="007149E6" w:rsidP="007149E6">
      <w:pPr>
        <w:pStyle w:val="BodyText"/>
      </w:pPr>
      <w:r>
        <w:t>In RAN1#87ah, the following agreements were made:</w:t>
      </w:r>
    </w:p>
    <w:p w14:paraId="6E3D34D5" w14:textId="77777777" w:rsidR="007149E6" w:rsidRDefault="007149E6" w:rsidP="007149E6">
      <w:pPr>
        <w:overflowPunct/>
        <w:autoSpaceDE/>
        <w:autoSpaceDN/>
        <w:adjustRightInd/>
        <w:spacing w:after="0"/>
        <w:ind w:left="1440" w:hanging="1440"/>
        <w:jc w:val="left"/>
        <w:textAlignment w:val="auto"/>
      </w:pPr>
      <w:r w:rsidRPr="00581567">
        <w:rPr>
          <w:rFonts w:ascii="Times" w:eastAsia="MS Mincho" w:hAnsi="Times"/>
          <w:b/>
          <w:highlight w:val="green"/>
          <w:u w:val="single"/>
          <w:lang w:eastAsia="ja-JP"/>
        </w:rPr>
        <w:t>Agreements:</w:t>
      </w:r>
    </w:p>
    <w:p w14:paraId="3D20C7B7" w14:textId="77777777" w:rsidR="007149E6" w:rsidRPr="009E6A37" w:rsidRDefault="007149E6" w:rsidP="007149E6">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Support at least the following UL transmission schemes for data in NR</w:t>
      </w:r>
    </w:p>
    <w:p w14:paraId="2D9A8688" w14:textId="77777777" w:rsidR="007149E6" w:rsidRPr="009E6A37" w:rsidRDefault="007149E6" w:rsidP="007149E6">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Scheme A: Codebook based UL transmission</w:t>
      </w:r>
    </w:p>
    <w:p w14:paraId="1C27DB16" w14:textId="77777777" w:rsidR="007149E6" w:rsidRPr="009E6A37" w:rsidRDefault="007149E6" w:rsidP="007149E6">
      <w:pPr>
        <w:numPr>
          <w:ilvl w:val="2"/>
          <w:numId w:val="24"/>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X (FFS: Value of X).</w:t>
      </w:r>
    </w:p>
    <w:p w14:paraId="400CA000" w14:textId="77777777" w:rsidR="007149E6" w:rsidRPr="009E6A37" w:rsidRDefault="007149E6" w:rsidP="007149E6">
      <w:pPr>
        <w:numPr>
          <w:ilvl w:val="2"/>
          <w:numId w:val="24"/>
        </w:numPr>
        <w:overflowPunct/>
        <w:autoSpaceDE/>
        <w:autoSpaceDN/>
        <w:adjustRightInd/>
        <w:spacing w:after="0"/>
        <w:jc w:val="left"/>
        <w:textAlignment w:val="auto"/>
        <w:rPr>
          <w:rFonts w:eastAsia="MS Mincho"/>
          <w:lang w:val="en-US"/>
        </w:rPr>
      </w:pPr>
      <w:r w:rsidRPr="009E6A37">
        <w:rPr>
          <w:rFonts w:eastAsia="MS Mincho"/>
          <w:lang w:val="en-US"/>
        </w:rPr>
        <w:t xml:space="preserve">Study codebook design including single-stage and multi-stage, e.g., W1W2 structure, codebook </w:t>
      </w:r>
    </w:p>
    <w:p w14:paraId="3F630501" w14:textId="77777777" w:rsidR="007149E6" w:rsidRPr="009E6A37" w:rsidRDefault="007149E6" w:rsidP="007149E6">
      <w:pPr>
        <w:numPr>
          <w:ilvl w:val="2"/>
          <w:numId w:val="24"/>
        </w:numPr>
        <w:overflowPunct/>
        <w:autoSpaceDE/>
        <w:autoSpaceDN/>
        <w:adjustRightInd/>
        <w:spacing w:after="0"/>
        <w:jc w:val="left"/>
        <w:textAlignment w:val="auto"/>
        <w:rPr>
          <w:rFonts w:eastAsia="MS Mincho"/>
          <w:lang w:val="en-US"/>
        </w:rPr>
      </w:pPr>
      <w:r w:rsidRPr="009E6A37">
        <w:rPr>
          <w:rFonts w:eastAsia="MS Mincho"/>
          <w:lang w:val="en-US"/>
        </w:rPr>
        <w:t>Study the following DL signaling, e.g.,</w:t>
      </w:r>
    </w:p>
    <w:p w14:paraId="54C3CB82" w14:textId="77777777" w:rsidR="007149E6" w:rsidRPr="009E6A37" w:rsidRDefault="007149E6" w:rsidP="007149E6">
      <w:pPr>
        <w:numPr>
          <w:ilvl w:val="3"/>
          <w:numId w:val="24"/>
        </w:numPr>
        <w:overflowPunct/>
        <w:autoSpaceDE/>
        <w:autoSpaceDN/>
        <w:adjustRightInd/>
        <w:spacing w:after="0"/>
        <w:jc w:val="left"/>
        <w:textAlignment w:val="auto"/>
        <w:rPr>
          <w:rFonts w:eastAsia="MS Mincho"/>
          <w:lang w:val="en-US"/>
        </w:rPr>
      </w:pPr>
      <w:r w:rsidRPr="009E6A37">
        <w:rPr>
          <w:rFonts w:eastAsia="MS Mincho"/>
          <w:lang w:val="en-US"/>
        </w:rPr>
        <w:t>One level DCI</w:t>
      </w:r>
    </w:p>
    <w:p w14:paraId="76631363" w14:textId="77777777" w:rsidR="007149E6" w:rsidRPr="009E6A37" w:rsidRDefault="007149E6" w:rsidP="007149E6">
      <w:pPr>
        <w:numPr>
          <w:ilvl w:val="3"/>
          <w:numId w:val="24"/>
        </w:numPr>
        <w:overflowPunct/>
        <w:autoSpaceDE/>
        <w:autoSpaceDN/>
        <w:adjustRightInd/>
        <w:spacing w:after="0"/>
        <w:jc w:val="left"/>
        <w:textAlignment w:val="auto"/>
        <w:rPr>
          <w:rFonts w:eastAsia="MS Mincho"/>
          <w:lang w:val="en-US"/>
        </w:rPr>
      </w:pPr>
      <w:r w:rsidRPr="009E6A37">
        <w:rPr>
          <w:rFonts w:eastAsia="MS Mincho"/>
          <w:lang w:val="en-US"/>
        </w:rPr>
        <w:t>Two level DCI</w:t>
      </w:r>
    </w:p>
    <w:p w14:paraId="51EBC303" w14:textId="77777777" w:rsidR="007149E6" w:rsidRPr="009E6A37" w:rsidRDefault="007149E6" w:rsidP="007149E6">
      <w:pPr>
        <w:numPr>
          <w:ilvl w:val="3"/>
          <w:numId w:val="24"/>
        </w:numPr>
        <w:overflowPunct/>
        <w:autoSpaceDE/>
        <w:autoSpaceDN/>
        <w:adjustRightInd/>
        <w:spacing w:after="0"/>
        <w:jc w:val="left"/>
        <w:textAlignment w:val="auto"/>
        <w:rPr>
          <w:rFonts w:eastAsia="MS Mincho"/>
          <w:lang w:val="en-US"/>
        </w:rPr>
      </w:pPr>
      <w:r w:rsidRPr="009E6A37">
        <w:rPr>
          <w:rFonts w:eastAsia="MS Mincho"/>
          <w:lang w:val="en-US"/>
        </w:rPr>
        <w:t>MAC CE</w:t>
      </w:r>
    </w:p>
    <w:p w14:paraId="5CA52247" w14:textId="77777777" w:rsidR="007149E6" w:rsidRPr="009E6A37" w:rsidRDefault="007149E6" w:rsidP="007149E6">
      <w:pPr>
        <w:numPr>
          <w:ilvl w:val="3"/>
          <w:numId w:val="24"/>
        </w:numPr>
        <w:overflowPunct/>
        <w:autoSpaceDE/>
        <w:autoSpaceDN/>
        <w:adjustRightInd/>
        <w:spacing w:after="0"/>
        <w:jc w:val="left"/>
        <w:textAlignment w:val="auto"/>
        <w:rPr>
          <w:rFonts w:eastAsia="MS Mincho"/>
          <w:lang w:val="en-US"/>
        </w:rPr>
      </w:pPr>
      <w:r w:rsidRPr="009E6A37">
        <w:rPr>
          <w:rFonts w:eastAsia="MS Mincho"/>
          <w:lang w:val="en-US"/>
        </w:rPr>
        <w:t>DCI associated with PDSCH (like UCI associated with PUSCH in LTE)</w:t>
      </w:r>
    </w:p>
    <w:p w14:paraId="4620F5FA" w14:textId="77777777" w:rsidR="007149E6" w:rsidRPr="009E6A37" w:rsidRDefault="007149E6" w:rsidP="007149E6">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Scheme B: Non-codebook based UL transmission</w:t>
      </w:r>
    </w:p>
    <w:p w14:paraId="79895F25" w14:textId="77777777" w:rsidR="007149E6" w:rsidRPr="009E6A37" w:rsidRDefault="007149E6" w:rsidP="007149E6">
      <w:pPr>
        <w:numPr>
          <w:ilvl w:val="2"/>
          <w:numId w:val="24"/>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Y (FFS: Value of Y).</w:t>
      </w:r>
    </w:p>
    <w:p w14:paraId="2613FACA" w14:textId="77777777" w:rsidR="007149E6" w:rsidRPr="009E6A37" w:rsidRDefault="007149E6" w:rsidP="007149E6">
      <w:pPr>
        <w:numPr>
          <w:ilvl w:val="2"/>
          <w:numId w:val="24"/>
        </w:numPr>
        <w:overflowPunct/>
        <w:autoSpaceDE/>
        <w:autoSpaceDN/>
        <w:adjustRightInd/>
        <w:spacing w:after="0"/>
        <w:jc w:val="left"/>
        <w:textAlignment w:val="auto"/>
        <w:rPr>
          <w:rFonts w:eastAsia="MS Mincho"/>
          <w:lang w:val="en-US"/>
        </w:rPr>
      </w:pPr>
      <w:r w:rsidRPr="009E6A37">
        <w:rPr>
          <w:rFonts w:eastAsia="MS Mincho"/>
          <w:lang w:val="en-US"/>
        </w:rPr>
        <w:t>Support the indication of DL measurement RS for UE to calculate candidate precoder</w:t>
      </w:r>
    </w:p>
    <w:p w14:paraId="6788E408" w14:textId="77777777" w:rsidR="007149E6" w:rsidRPr="009E6A37" w:rsidRDefault="007149E6" w:rsidP="007149E6">
      <w:pPr>
        <w:numPr>
          <w:ilvl w:val="2"/>
          <w:numId w:val="24"/>
        </w:numPr>
        <w:overflowPunct/>
        <w:autoSpaceDE/>
        <w:autoSpaceDN/>
        <w:adjustRightInd/>
        <w:spacing w:after="0"/>
        <w:jc w:val="left"/>
        <w:textAlignment w:val="auto"/>
        <w:rPr>
          <w:rFonts w:eastAsia="MS Mincho"/>
          <w:lang w:val="en-US"/>
        </w:rPr>
      </w:pPr>
      <w:r w:rsidRPr="009E6A37">
        <w:rPr>
          <w:rFonts w:eastAsia="MS Mincho"/>
          <w:lang w:val="en-US"/>
        </w:rPr>
        <w:t>Study the mechanisms for UL precoder determination, e.g. precoded SRS based, non-precoded SRS based, hybrid precoded and non-precoded SRS based</w:t>
      </w:r>
    </w:p>
    <w:p w14:paraId="09A10025" w14:textId="77777777" w:rsidR="007149E6" w:rsidRPr="009E6A37" w:rsidRDefault="007149E6" w:rsidP="007149E6">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Diversity-based transmission schemes</w:t>
      </w:r>
    </w:p>
    <w:p w14:paraId="008F3AE0" w14:textId="77777777" w:rsidR="007149E6" w:rsidRPr="009E6A37" w:rsidRDefault="007149E6" w:rsidP="007149E6">
      <w:pPr>
        <w:numPr>
          <w:ilvl w:val="2"/>
          <w:numId w:val="24"/>
        </w:numPr>
        <w:overflowPunct/>
        <w:autoSpaceDE/>
        <w:autoSpaceDN/>
        <w:adjustRightInd/>
        <w:spacing w:after="0"/>
        <w:jc w:val="left"/>
        <w:textAlignment w:val="auto"/>
        <w:rPr>
          <w:rFonts w:eastAsia="MS Mincho"/>
          <w:lang w:val="en-US"/>
        </w:rPr>
      </w:pPr>
      <w:r w:rsidRPr="009E6A37">
        <w:rPr>
          <w:rFonts w:eastAsia="MS Mincho"/>
          <w:lang w:val="en-US"/>
        </w:rPr>
        <w:t>FFS: Whether the scheme has specification impact or not</w:t>
      </w:r>
    </w:p>
    <w:p w14:paraId="11D25608" w14:textId="77777777" w:rsidR="007149E6" w:rsidRPr="009E6A37" w:rsidRDefault="007149E6" w:rsidP="007149E6">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FFS: Merging of the schemes</w:t>
      </w:r>
    </w:p>
    <w:p w14:paraId="4D3B1C4A" w14:textId="77777777" w:rsidR="007149E6" w:rsidRPr="009E6A37" w:rsidRDefault="007149E6" w:rsidP="007149E6">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Support rank determination by gNB</w:t>
      </w:r>
    </w:p>
    <w:p w14:paraId="6FB92EBD" w14:textId="77777777" w:rsidR="007149E6" w:rsidRPr="009E6A37" w:rsidRDefault="007149E6" w:rsidP="007149E6">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Support PRB bundling for CP-OFDM</w:t>
      </w:r>
    </w:p>
    <w:p w14:paraId="2E4307BD" w14:textId="77777777" w:rsidR="007149E6" w:rsidRPr="009E6A37" w:rsidRDefault="007149E6" w:rsidP="007149E6">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configurability of PRG size for CP-OFDM</w:t>
      </w:r>
    </w:p>
    <w:p w14:paraId="5C8CB9E5" w14:textId="77777777" w:rsidR="007149E6" w:rsidRPr="009E6A37" w:rsidRDefault="007149E6" w:rsidP="007149E6">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the PRG size</w:t>
      </w:r>
    </w:p>
    <w:p w14:paraId="1DC47709" w14:textId="77777777" w:rsidR="007149E6" w:rsidRDefault="007149E6" w:rsidP="007149E6">
      <w:pPr>
        <w:pStyle w:val="BodyText"/>
        <w:numPr>
          <w:ilvl w:val="0"/>
          <w:numId w:val="24"/>
        </w:numPr>
      </w:pPr>
      <w:r w:rsidRPr="009E6A37">
        <w:rPr>
          <w:rFonts w:eastAsia="MS Mincho"/>
          <w:lang w:val="en-US"/>
        </w:rPr>
        <w:t>FFS: Single port transmission is supported for the UE capable for multiple antenna port transmission.</w:t>
      </w:r>
    </w:p>
    <w:p w14:paraId="15175CE1" w14:textId="77777777" w:rsidR="007149E6" w:rsidRDefault="007149E6" w:rsidP="007149E6">
      <w:pPr>
        <w:pStyle w:val="BodyText"/>
      </w:pPr>
    </w:p>
    <w:p w14:paraId="3C52D797" w14:textId="77777777" w:rsidR="007149E6" w:rsidRPr="00581567" w:rsidRDefault="007149E6" w:rsidP="007149E6">
      <w:pPr>
        <w:overflowPunct/>
        <w:autoSpaceDE/>
        <w:autoSpaceDN/>
        <w:adjustRightInd/>
        <w:spacing w:after="0"/>
        <w:ind w:left="1440" w:hanging="1440"/>
        <w:jc w:val="left"/>
        <w:textAlignment w:val="auto"/>
        <w:rPr>
          <w:rFonts w:ascii="Times" w:eastAsia="MS Mincho" w:hAnsi="Times"/>
          <w:b/>
          <w:u w:val="single"/>
          <w:lang w:eastAsia="ja-JP"/>
        </w:rPr>
      </w:pPr>
      <w:r w:rsidRPr="00581567">
        <w:rPr>
          <w:rFonts w:ascii="Times" w:eastAsia="MS Mincho" w:hAnsi="Times"/>
          <w:b/>
          <w:highlight w:val="green"/>
          <w:u w:val="single"/>
          <w:lang w:eastAsia="ja-JP"/>
        </w:rPr>
        <w:t>Agreements:</w:t>
      </w:r>
    </w:p>
    <w:p w14:paraId="51258A01" w14:textId="77777777" w:rsidR="007149E6" w:rsidRPr="00581567" w:rsidRDefault="007149E6" w:rsidP="007149E6">
      <w:pPr>
        <w:numPr>
          <w:ilvl w:val="0"/>
          <w:numId w:val="22"/>
        </w:numPr>
        <w:overflowPunct/>
        <w:autoSpaceDE/>
        <w:autoSpaceDN/>
        <w:adjustRightInd/>
        <w:spacing w:after="0"/>
        <w:jc w:val="left"/>
        <w:textAlignment w:val="auto"/>
        <w:rPr>
          <w:rFonts w:ascii="Times" w:eastAsia="MS Mincho" w:hAnsi="Times"/>
          <w:lang w:val="en-US" w:eastAsia="ja-JP"/>
        </w:rPr>
      </w:pPr>
      <w:r w:rsidRPr="00581567">
        <w:rPr>
          <w:rFonts w:ascii="Times" w:eastAsia="MS Mincho" w:hAnsi="Times"/>
          <w:lang w:val="en-US" w:eastAsia="ja-JP"/>
        </w:rPr>
        <w:t>NR SRS design should not assume a particular antenna configuration at UE and should support dynamic port/antenna/resource selection by gNB and UE</w:t>
      </w:r>
    </w:p>
    <w:p w14:paraId="282C3383" w14:textId="77777777" w:rsidR="007149E6" w:rsidRPr="00581567" w:rsidRDefault="007149E6" w:rsidP="007149E6">
      <w:pPr>
        <w:numPr>
          <w:ilvl w:val="1"/>
          <w:numId w:val="22"/>
        </w:numPr>
        <w:overflowPunct/>
        <w:autoSpaceDE/>
        <w:autoSpaceDN/>
        <w:adjustRightInd/>
        <w:spacing w:after="0"/>
        <w:jc w:val="left"/>
        <w:textAlignment w:val="auto"/>
        <w:rPr>
          <w:rFonts w:ascii="Times" w:eastAsia="MS Mincho" w:hAnsi="Times"/>
          <w:lang w:val="en-US" w:eastAsia="ja-JP"/>
        </w:rPr>
      </w:pPr>
      <w:r w:rsidRPr="00581567">
        <w:rPr>
          <w:rFonts w:ascii="Times" w:eastAsia="MS Mincho" w:hAnsi="Times"/>
          <w:lang w:val="en-US" w:eastAsia="ja-JP"/>
        </w:rPr>
        <w:t>In the case of UE selection, it can be disabled/enabled by gNB (if the UE selection is not transparent). FFS whether or not the selection is transparent</w:t>
      </w:r>
    </w:p>
    <w:p w14:paraId="42C0F8B0" w14:textId="77777777" w:rsidR="007149E6" w:rsidRPr="00581567" w:rsidRDefault="007149E6" w:rsidP="007149E6">
      <w:pPr>
        <w:numPr>
          <w:ilvl w:val="2"/>
          <w:numId w:val="22"/>
        </w:numPr>
        <w:overflowPunct/>
        <w:autoSpaceDE/>
        <w:autoSpaceDN/>
        <w:adjustRightInd/>
        <w:spacing w:after="0"/>
        <w:jc w:val="left"/>
        <w:textAlignment w:val="auto"/>
        <w:rPr>
          <w:rFonts w:ascii="Times" w:eastAsia="MS Mincho" w:hAnsi="Times"/>
          <w:lang w:val="en-US" w:eastAsia="ja-JP"/>
        </w:rPr>
      </w:pPr>
      <w:r w:rsidRPr="00581567">
        <w:rPr>
          <w:rFonts w:ascii="Times" w:eastAsia="MS Mincho" w:hAnsi="Times"/>
          <w:lang w:val="en-US" w:eastAsia="ja-JP"/>
        </w:rPr>
        <w:t>E.g., UE with 4 ports can be configured with 2 ports SRS by gNB</w:t>
      </w:r>
    </w:p>
    <w:p w14:paraId="00115873" w14:textId="77777777" w:rsidR="007149E6" w:rsidRPr="00581567" w:rsidRDefault="007149E6" w:rsidP="007149E6">
      <w:pPr>
        <w:numPr>
          <w:ilvl w:val="2"/>
          <w:numId w:val="22"/>
        </w:numPr>
        <w:overflowPunct/>
        <w:autoSpaceDE/>
        <w:autoSpaceDN/>
        <w:adjustRightInd/>
        <w:spacing w:after="0"/>
        <w:jc w:val="left"/>
        <w:textAlignment w:val="auto"/>
        <w:rPr>
          <w:rFonts w:ascii="Times" w:eastAsia="MS Mincho" w:hAnsi="Times"/>
          <w:lang w:val="en-US" w:eastAsia="ja-JP"/>
        </w:rPr>
      </w:pPr>
      <w:r w:rsidRPr="00581567">
        <w:rPr>
          <w:rFonts w:ascii="Times" w:eastAsia="MS Mincho" w:hAnsi="Times"/>
          <w:lang w:val="en-US" w:eastAsia="ja-JP"/>
        </w:rPr>
        <w:t>E.g., UE sends 2 ports SRS even though configured with 4 ports SRS by gNB</w:t>
      </w:r>
    </w:p>
    <w:p w14:paraId="347AE575" w14:textId="77777777" w:rsidR="007149E6" w:rsidRPr="00E52D2E" w:rsidRDefault="007149E6" w:rsidP="007149E6">
      <w:pPr>
        <w:overflowPunct/>
        <w:autoSpaceDE/>
        <w:autoSpaceDN/>
        <w:adjustRightInd/>
        <w:spacing w:after="0"/>
        <w:ind w:left="1440" w:hanging="1440"/>
        <w:jc w:val="left"/>
        <w:textAlignment w:val="auto"/>
        <w:rPr>
          <w:rFonts w:ascii="Times" w:eastAsia="MS Mincho" w:hAnsi="Times"/>
          <w:b/>
          <w:u w:val="single"/>
          <w:lang w:eastAsia="en-US"/>
        </w:rPr>
      </w:pPr>
      <w:r w:rsidRPr="00E52D2E">
        <w:rPr>
          <w:rFonts w:ascii="Times" w:eastAsia="MS Mincho" w:hAnsi="Times"/>
          <w:b/>
          <w:highlight w:val="green"/>
          <w:u w:val="single"/>
          <w:lang w:eastAsia="en-US"/>
        </w:rPr>
        <w:t>Agreements</w:t>
      </w:r>
      <w:r w:rsidRPr="00E52D2E">
        <w:rPr>
          <w:rFonts w:ascii="Times" w:eastAsia="MS Mincho" w:hAnsi="Times"/>
          <w:b/>
          <w:u w:val="single"/>
          <w:lang w:eastAsia="en-US"/>
        </w:rPr>
        <w:t>:</w:t>
      </w:r>
    </w:p>
    <w:p w14:paraId="69C17D63" w14:textId="77777777" w:rsidR="007149E6" w:rsidRPr="00E52D2E" w:rsidRDefault="007149E6" w:rsidP="007149E6">
      <w:pPr>
        <w:numPr>
          <w:ilvl w:val="0"/>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 xml:space="preserve">NR supports periodic and semi-persistent NR-SRS transmission. </w:t>
      </w:r>
    </w:p>
    <w:p w14:paraId="3EF43C2C"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 xml:space="preserve">Note </w:t>
      </w:r>
      <w:r w:rsidRPr="00E52D2E">
        <w:rPr>
          <w:rFonts w:ascii="Times" w:eastAsia="MS Mincho" w:hAnsi="Times"/>
          <w:lang w:val="en-US" w:eastAsia="en-US"/>
        </w:rPr>
        <w:t xml:space="preserve">aperiodic SRS transmission has been agreed </w:t>
      </w:r>
    </w:p>
    <w:p w14:paraId="3AB52B77" w14:textId="77777777" w:rsidR="007149E6" w:rsidRPr="00E52D2E" w:rsidRDefault="007149E6" w:rsidP="007149E6">
      <w:pPr>
        <w:numPr>
          <w:ilvl w:val="0"/>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val="en-US" w:eastAsia="en-US"/>
        </w:rPr>
        <w:t xml:space="preserve">Out of </w:t>
      </w:r>
      <w:r w:rsidRPr="00E52D2E">
        <w:rPr>
          <w:rFonts w:ascii="Times" w:eastAsia="MS Mincho" w:hAnsi="Times"/>
          <w:bCs/>
          <w:i/>
          <w:iCs/>
          <w:lang w:val="en-US" w:eastAsia="en-US"/>
        </w:rPr>
        <w:t>K</w:t>
      </w:r>
      <w:r w:rsidRPr="00E52D2E">
        <w:rPr>
          <w:rFonts w:ascii="Times" w:eastAsia="MS Mincho" w:hAnsi="Times"/>
          <w:lang w:val="en-US" w:eastAsia="en-US"/>
        </w:rPr>
        <w:t xml:space="preserve"> ≥ 1 configured NR-SRS resources:</w:t>
      </w:r>
    </w:p>
    <w:p w14:paraId="53515902"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val="en-US" w:eastAsia="en-US"/>
        </w:rPr>
        <w:t xml:space="preserve">For aperiodic transmission, the UE can be configured to transmit a subset of or all </w:t>
      </w:r>
      <w:r w:rsidRPr="00E52D2E">
        <w:rPr>
          <w:rFonts w:ascii="Times" w:eastAsia="MS Mincho" w:hAnsi="Times"/>
          <w:bCs/>
          <w:i/>
          <w:iCs/>
          <w:lang w:val="en-US" w:eastAsia="en-US"/>
        </w:rPr>
        <w:t>K</w:t>
      </w:r>
      <w:r w:rsidRPr="00E52D2E">
        <w:rPr>
          <w:rFonts w:ascii="Times" w:eastAsia="MS Mincho" w:hAnsi="Times"/>
          <w:lang w:val="en-US" w:eastAsia="en-US"/>
        </w:rPr>
        <w:t xml:space="preserve"> NR-SRS resources with no precoding, the same or different precoding</w:t>
      </w:r>
    </w:p>
    <w:p w14:paraId="72D08754"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val="en-US" w:eastAsia="en-US"/>
        </w:rPr>
        <w:t xml:space="preserve">For periodic and semi-persistent transmission, the UE can be configured to transmit </w:t>
      </w:r>
      <w:r w:rsidRPr="00E52D2E">
        <w:rPr>
          <w:rFonts w:ascii="Times" w:eastAsia="MS Mincho" w:hAnsi="Times"/>
          <w:bCs/>
          <w:i/>
          <w:iCs/>
          <w:lang w:val="en-US" w:eastAsia="en-US"/>
        </w:rPr>
        <w:t>K</w:t>
      </w:r>
      <w:r w:rsidRPr="00E52D2E">
        <w:rPr>
          <w:rFonts w:ascii="Times" w:eastAsia="MS Mincho" w:hAnsi="Times"/>
          <w:lang w:val="en-US" w:eastAsia="en-US"/>
        </w:rPr>
        <w:t xml:space="preserve"> NR-SRS resources with no precoding, the same or different precoding</w:t>
      </w:r>
    </w:p>
    <w:p w14:paraId="44E4870B" w14:textId="77777777" w:rsidR="007149E6" w:rsidRPr="00E52D2E" w:rsidRDefault="007149E6" w:rsidP="007149E6">
      <w:pPr>
        <w:numPr>
          <w:ilvl w:val="0"/>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val="en-US" w:eastAsia="en-US"/>
        </w:rPr>
        <w:lastRenderedPageBreak/>
        <w:t>FFS details related position &amp; timing of SRS transmission (including configurable)</w:t>
      </w:r>
    </w:p>
    <w:p w14:paraId="0E1D8FA2" w14:textId="77777777" w:rsidR="007149E6" w:rsidRPr="00E52D2E" w:rsidRDefault="007149E6" w:rsidP="007149E6">
      <w:pPr>
        <w:numPr>
          <w:ilvl w:val="0"/>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 xml:space="preserve">NR supports SRS transmission including </w:t>
      </w:r>
    </w:p>
    <w:p w14:paraId="1F1BFD24"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Number of SRS ports are 1, 2, 4, FFS 3, 8 (possibly other values)</w:t>
      </w:r>
    </w:p>
    <w:p w14:paraId="0FCB05E7"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Comb levels are 2 and 4</w:t>
      </w:r>
    </w:p>
    <w:p w14:paraId="7AAE2EC1"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Configurable frequency hopping (details FFS)</w:t>
      </w:r>
    </w:p>
    <w:p w14:paraId="07449907" w14:textId="77777777" w:rsidR="007149E6" w:rsidRPr="00E52D2E" w:rsidRDefault="007149E6" w:rsidP="007149E6">
      <w:pPr>
        <w:numPr>
          <w:ilvl w:val="0"/>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Clarify the following agreed configurations are applicable to each NR-SRS resource from K configured NR-SRS resources:</w:t>
      </w:r>
    </w:p>
    <w:p w14:paraId="6DAF5F35"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NR-SRS bandwidth</w:t>
      </w:r>
    </w:p>
    <w:p w14:paraId="7BE460E6"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Number of CP-OFDM/DFT-S-OFDM symbols</w:t>
      </w:r>
    </w:p>
    <w:p w14:paraId="03664015" w14:textId="77777777" w:rsidR="007149E6" w:rsidRPr="00E52D2E" w:rsidRDefault="007149E6" w:rsidP="007149E6">
      <w:pPr>
        <w:numPr>
          <w:ilvl w:val="1"/>
          <w:numId w:val="23"/>
        </w:numPr>
        <w:overflowPunct/>
        <w:autoSpaceDE/>
        <w:autoSpaceDN/>
        <w:adjustRightInd/>
        <w:spacing w:after="0"/>
        <w:jc w:val="left"/>
        <w:textAlignment w:val="auto"/>
        <w:rPr>
          <w:rFonts w:ascii="Times" w:eastAsia="MS Mincho" w:hAnsi="Times"/>
          <w:lang w:val="en-US" w:eastAsia="en-US"/>
        </w:rPr>
      </w:pPr>
      <w:r w:rsidRPr="00E52D2E">
        <w:rPr>
          <w:rFonts w:ascii="Times" w:eastAsia="MS Mincho" w:hAnsi="Times"/>
          <w:lang w:eastAsia="en-US"/>
        </w:rPr>
        <w:t>Number of SRS ports</w:t>
      </w:r>
    </w:p>
    <w:p w14:paraId="2B458B95" w14:textId="77777777" w:rsidR="007149E6" w:rsidRPr="001B60F4" w:rsidRDefault="007149E6" w:rsidP="001B60F4">
      <w:pPr>
        <w:numPr>
          <w:ilvl w:val="1"/>
          <w:numId w:val="23"/>
        </w:numPr>
        <w:overflowPunct/>
        <w:autoSpaceDE/>
        <w:autoSpaceDN/>
        <w:adjustRightInd/>
        <w:spacing w:after="0"/>
        <w:jc w:val="left"/>
        <w:textAlignment w:val="auto"/>
      </w:pPr>
      <w:r w:rsidRPr="007149E6">
        <w:rPr>
          <w:rFonts w:ascii="Times" w:eastAsia="MS Mincho" w:hAnsi="Times"/>
          <w:lang w:eastAsia="en-US"/>
        </w:rPr>
        <w:t>Comb level</w:t>
      </w:r>
    </w:p>
    <w:p w14:paraId="16F68744" w14:textId="4C3086FA" w:rsidR="00BF7642" w:rsidRDefault="00BF7642" w:rsidP="001B60F4">
      <w:pPr>
        <w:overflowPunct/>
        <w:autoSpaceDE/>
        <w:autoSpaceDN/>
        <w:adjustRightInd/>
        <w:spacing w:after="0"/>
        <w:ind w:left="1440"/>
        <w:jc w:val="left"/>
        <w:textAlignment w:val="auto"/>
      </w:pPr>
    </w:p>
    <w:p w14:paraId="2565F864" w14:textId="7C4F3CB9" w:rsidR="00216219" w:rsidRDefault="00BF7642" w:rsidP="00BF7642">
      <w:pPr>
        <w:pStyle w:val="BodyText"/>
      </w:pPr>
      <w:r>
        <w:t xml:space="preserve">In this </w:t>
      </w:r>
      <w:r w:rsidR="00CB48E8">
        <w:t>con</w:t>
      </w:r>
      <w:r w:rsidR="00367C5A">
        <w:t xml:space="preserve">tribution, </w:t>
      </w:r>
      <w:r w:rsidR="006E6712">
        <w:t xml:space="preserve">we discuss codebook design for non-precoded SRS ports and address the question of how many SRS ports are needed. In our companion contribution </w:t>
      </w:r>
      <w:r w:rsidR="006E6712">
        <w:fldChar w:fldCharType="begin"/>
      </w:r>
      <w:r w:rsidR="006E6712">
        <w:instrText xml:space="preserve"> REF _Ref474167551 \r \h </w:instrText>
      </w:r>
      <w:r w:rsidR="006E6712">
        <w:fldChar w:fldCharType="separate"/>
      </w:r>
      <w:r w:rsidR="006E6712">
        <w:t>[1]</w:t>
      </w:r>
      <w:r w:rsidR="006E6712">
        <w:fldChar w:fldCharType="end"/>
      </w:r>
      <w:r w:rsidR="006E6712">
        <w:t>, we discuss corresponding codebook designs for precoded SRS ports</w:t>
      </w:r>
      <w:r w:rsidR="00581567">
        <w:t xml:space="preserve"> as well as hybrid non-precoded/precoded SRS ports.</w:t>
      </w:r>
    </w:p>
    <w:p w14:paraId="1E5FDC61" w14:textId="56B0B520" w:rsidR="00D56A73" w:rsidRPr="00CE0424" w:rsidRDefault="00216219" w:rsidP="00BF7642">
      <w:pPr>
        <w:pStyle w:val="BodyText"/>
      </w:pPr>
      <w:r>
        <w:t>It should be noted that non-precoded SRS ports correspond to Scheme A in the above agreement while Scheme B could be implemented with precoded SRS ports.</w:t>
      </w:r>
    </w:p>
    <w:p w14:paraId="5E963FF1" w14:textId="77777777" w:rsidR="004000E8" w:rsidRDefault="004000E8" w:rsidP="00CE0424">
      <w:pPr>
        <w:pStyle w:val="Heading1"/>
      </w:pPr>
      <w:bookmarkStart w:id="0" w:name="_Ref178064866"/>
      <w:r w:rsidRPr="00CE0424">
        <w:t>Discussion</w:t>
      </w:r>
      <w:bookmarkEnd w:id="0"/>
    </w:p>
    <w:p w14:paraId="451FDE10" w14:textId="2A4B6128" w:rsidR="00213102" w:rsidRDefault="00055C1F" w:rsidP="003A0E41">
      <w:r>
        <w:t>W</w:t>
      </w:r>
      <w:r w:rsidR="008B6A36">
        <w:t xml:space="preserve">e define the </w:t>
      </w:r>
      <w:r>
        <w:t>non</w:t>
      </w:r>
      <w:r w:rsidR="008B6A36">
        <w:t xml:space="preserve">-precoded SRS transmission scheme such that </w:t>
      </w:r>
      <w:r w:rsidR="00341B17">
        <w:t xml:space="preserve">the set of radio chains used by </w:t>
      </w:r>
      <w:r w:rsidR="008B6A36">
        <w:t xml:space="preserve">each SRS port </w:t>
      </w:r>
      <w:r w:rsidR="00341B17">
        <w:t>are disjoint</w:t>
      </w:r>
      <w:r w:rsidR="008B6A36">
        <w:t xml:space="preserve"> </w:t>
      </w:r>
      <w:r w:rsidR="00341B17">
        <w:t xml:space="preserve">between SRS ports </w:t>
      </w:r>
      <w:r w:rsidR="008B6A36">
        <w:t>(note that each SRS port can be connected to one or more radio chains</w:t>
      </w:r>
      <w:r w:rsidR="00341B17">
        <w:t>, hence the use of a “set”</w:t>
      </w:r>
      <w:r w:rsidR="008B6A36">
        <w:t>). Precoding over non-precoded SRS-ports can hence be done without sacrificing output power due to un-even power amplifier load.</w:t>
      </w:r>
      <w:r w:rsidR="00341B17">
        <w:t xml:space="preserve"> This is the framework assumed for LTE UL MIMO, although there was a constraint on cubic metric (CM) preserving codebook design. Hence, for LTE codebook, each antenna port (i.e. SRS port) carries only one of the transmitted layers </w:t>
      </w:r>
      <w:r w:rsidR="006B0CFA">
        <w:t>since</w:t>
      </w:r>
      <w:r w:rsidR="00341B17">
        <w:t xml:space="preserve"> mixing layers would destroy the CM property of the signal.</w:t>
      </w:r>
      <w:r w:rsidR="006B0CFA">
        <w:t xml:space="preserve"> However, since it has been agreed that NR will use CP-OFDM for multi-layer UL transmission, the single-carrier property of the signal is anyway broken and thus, a CM preserving codebook design may not</w:t>
      </w:r>
      <w:r w:rsidR="0078427E">
        <w:t xml:space="preserve"> be</w:t>
      </w:r>
      <w:r w:rsidR="006B0CFA">
        <w:t xml:space="preserve"> warranted.</w:t>
      </w:r>
    </w:p>
    <w:p w14:paraId="0CB2AF06" w14:textId="0F8221A2" w:rsidR="006B0CFA" w:rsidRDefault="006B0CFA" w:rsidP="004A1C55">
      <w:pPr>
        <w:pStyle w:val="Observation"/>
      </w:pPr>
      <w:bookmarkStart w:id="1" w:name="_Toc471396141"/>
      <w:r>
        <w:t>CM preserving design criterion of LTE UL codebook needs to be revisited for NR UL codebook for non-precoded SRS transmission since CP-OFDM waveform is used</w:t>
      </w:r>
      <w:bookmarkEnd w:id="1"/>
    </w:p>
    <w:p w14:paraId="0157754E" w14:textId="30D085A0" w:rsidR="00341B17" w:rsidRDefault="00213102" w:rsidP="003A0E41">
      <w:r>
        <w:t xml:space="preserve">The antenna array topology at UEs is expected to be </w:t>
      </w:r>
      <w:r w:rsidR="00603473">
        <w:t xml:space="preserve">arbitrary </w:t>
      </w:r>
      <w:r>
        <w:t>in respect of antenna element radiation patterns, polarization properties, antenna element separations and pointing directions. For UE implementations, especially at higher frequencies, it is expected that the different antenna arrangements within a UE (where each antenna arrangement</w:t>
      </w:r>
      <w:r w:rsidR="006B0CFA">
        <w:t xml:space="preserve">, </w:t>
      </w:r>
      <w:r>
        <w:t>e.g. a single antenna element or a panel</w:t>
      </w:r>
      <w:r w:rsidR="006B0CFA">
        <w:t>,</w:t>
      </w:r>
      <w:r>
        <w:t xml:space="preserve"> is assumed to be connected to one baseband port) will experience channels with low or no correlation, for example due to radiation patterns pointing in different directions, large separation between the antenna arrangements</w:t>
      </w:r>
      <w:r w:rsidR="006B0CFA">
        <w:t xml:space="preserve"> or </w:t>
      </w:r>
      <w:r>
        <w:t xml:space="preserve">orthogonal polarizations. </w:t>
      </w:r>
    </w:p>
    <w:p w14:paraId="7296D9A9" w14:textId="2A0AFCF3" w:rsidR="003A0E41" w:rsidRDefault="00213102" w:rsidP="003A0E41">
      <w:r>
        <w:t>Hence</w:t>
      </w:r>
      <w:r w:rsidR="006B0CFA">
        <w:t>,</w:t>
      </w:r>
      <w:r>
        <w:t xml:space="preserve"> it is desired to create a codebook with precoders that spans the space of uncorrelated channels in a good way</w:t>
      </w:r>
      <w:r w:rsidR="00341B17">
        <w:t xml:space="preserve"> and the DL codebooks which are based on a uniform linear array of antenna elements or subarrays</w:t>
      </w:r>
      <w:r w:rsidR="006B0CFA">
        <w:t>,</w:t>
      </w:r>
      <w:r w:rsidR="00341B17">
        <w:t xml:space="preserve"> with equal antenna elements</w:t>
      </w:r>
      <w:r w:rsidR="006B0CFA">
        <w:t>,</w:t>
      </w:r>
      <w:r w:rsidR="00341B17">
        <w:t xml:space="preserve"> </w:t>
      </w:r>
      <w:r w:rsidR="006B0CFA">
        <w:t>cannot</w:t>
      </w:r>
      <w:r w:rsidR="00341B17">
        <w:t xml:space="preserve"> be applied for terminals. </w:t>
      </w:r>
    </w:p>
    <w:p w14:paraId="20291E09" w14:textId="6A7691B6" w:rsidR="00FC48BD" w:rsidRDefault="00341B17" w:rsidP="00FC48BD">
      <w:pPr>
        <w:pStyle w:val="Observation"/>
      </w:pPr>
      <w:bookmarkStart w:id="2" w:name="_Toc471396142"/>
      <w:r>
        <w:t>To support full UE antenna implementation freedom, c</w:t>
      </w:r>
      <w:r w:rsidR="00FC48BD">
        <w:t xml:space="preserve">odebook for non-precoded SRS should be designed </w:t>
      </w:r>
      <w:r w:rsidR="001755D4">
        <w:t>under assumption of no channel correlation</w:t>
      </w:r>
      <w:bookmarkEnd w:id="2"/>
    </w:p>
    <w:p w14:paraId="236741A0" w14:textId="77777777" w:rsidR="0043003E" w:rsidRDefault="0043003E" w:rsidP="004A1C55">
      <w:pPr>
        <w:pStyle w:val="Observation"/>
        <w:numPr>
          <w:ilvl w:val="0"/>
          <w:numId w:val="0"/>
        </w:numPr>
        <w:ind w:left="1701"/>
      </w:pPr>
    </w:p>
    <w:p w14:paraId="6471F9A3" w14:textId="5B1D4500" w:rsidR="00FC48BD" w:rsidRDefault="00FC48BD" w:rsidP="00FC48BD">
      <w:pPr>
        <w:pStyle w:val="Proposal"/>
      </w:pPr>
      <w:bookmarkStart w:id="3" w:name="_Toc474169152"/>
      <w:bookmarkStart w:id="4" w:name="_Toc471396063"/>
      <w:bookmarkStart w:id="5" w:name="_Toc471396126"/>
      <w:bookmarkStart w:id="6" w:name="_Toc471396146"/>
      <w:r>
        <w:t>Design a codebook that aims to sp</w:t>
      </w:r>
      <w:r w:rsidR="00FB48BA">
        <w:t>an the full space</w:t>
      </w:r>
      <w:bookmarkEnd w:id="3"/>
      <w:r w:rsidR="00FB48BA">
        <w:t xml:space="preserve"> </w:t>
      </w:r>
      <w:bookmarkEnd w:id="4"/>
      <w:bookmarkEnd w:id="5"/>
      <w:bookmarkEnd w:id="6"/>
    </w:p>
    <w:p w14:paraId="4C5235C7" w14:textId="2334B307" w:rsidR="00E25582" w:rsidRDefault="00AA54E0" w:rsidP="00D80E98">
      <w:r>
        <w:t>Due to the assumption that different antenna</w:t>
      </w:r>
      <w:r w:rsidR="001755D4">
        <w:t>s</w:t>
      </w:r>
      <w:r>
        <w:t xml:space="preserve"> </w:t>
      </w:r>
      <w:r w:rsidR="000847D5">
        <w:t>at a</w:t>
      </w:r>
      <w:r>
        <w:t xml:space="preserve"> UE</w:t>
      </w:r>
      <w:r w:rsidR="000847D5">
        <w:t xml:space="preserve"> </w:t>
      </w:r>
      <w:r>
        <w:t xml:space="preserve">are expected </w:t>
      </w:r>
      <w:r w:rsidR="00140977">
        <w:t>to have low</w:t>
      </w:r>
      <w:r>
        <w:t xml:space="preserve"> correlation to each other we do not see a need for a two-step codebook</w:t>
      </w:r>
      <w:r w:rsidR="004007D5">
        <w:t xml:space="preserve">, </w:t>
      </w:r>
      <w:r w:rsidR="00341B17">
        <w:t>W=</w:t>
      </w:r>
      <w:r w:rsidR="004007D5">
        <w:t>W</w:t>
      </w:r>
      <w:r w:rsidR="004007D5" w:rsidRPr="004A1C55">
        <w:rPr>
          <w:vertAlign w:val="subscript"/>
        </w:rPr>
        <w:t>1</w:t>
      </w:r>
      <w:r w:rsidR="004007D5">
        <w:t>W</w:t>
      </w:r>
      <w:r w:rsidR="004007D5" w:rsidRPr="004A1C55">
        <w:rPr>
          <w:vertAlign w:val="subscript"/>
        </w:rPr>
        <w:t>2</w:t>
      </w:r>
      <w:r w:rsidR="004007D5">
        <w:t xml:space="preserve"> (as defined in DL for LTE)</w:t>
      </w:r>
      <w:r w:rsidR="00341B17">
        <w:t xml:space="preserve"> since this structure is specifically tailored to separate wideband (and potentially slowly varying) and subband behaviour.</w:t>
      </w:r>
      <w:r>
        <w:t xml:space="preserve"> </w:t>
      </w:r>
    </w:p>
    <w:p w14:paraId="7B33BB93" w14:textId="0D91A3C5" w:rsidR="00D80E98" w:rsidRDefault="0043003E" w:rsidP="004A1C55">
      <w:pPr>
        <w:pStyle w:val="Observation"/>
      </w:pPr>
      <w:bookmarkStart w:id="7" w:name="_Toc471396143"/>
      <w:bookmarkStart w:id="8" w:name="_Toc471396144"/>
      <w:bookmarkEnd w:id="7"/>
      <w:r>
        <w:t>A two-step codebook as W=W</w:t>
      </w:r>
      <w:r w:rsidRPr="002602C9">
        <w:rPr>
          <w:vertAlign w:val="subscript"/>
        </w:rPr>
        <w:t>1</w:t>
      </w:r>
      <w:r>
        <w:t>W</w:t>
      </w:r>
      <w:r w:rsidRPr="002602C9">
        <w:rPr>
          <w:vertAlign w:val="subscript"/>
        </w:rPr>
        <w:t>2</w:t>
      </w:r>
      <w:r>
        <w:t xml:space="preserve"> as in DL is not suitable for UL transmission in NR.</w:t>
      </w:r>
      <w:bookmarkEnd w:id="8"/>
    </w:p>
    <w:p w14:paraId="32E198F7" w14:textId="67FF768B" w:rsidR="00556005" w:rsidRDefault="00556005" w:rsidP="004A1C55">
      <w:pPr>
        <w:pStyle w:val="Heading1"/>
      </w:pPr>
      <w:r>
        <w:lastRenderedPageBreak/>
        <w:t>On the need for SRS Port Configuration process</w:t>
      </w:r>
    </w:p>
    <w:p w14:paraId="7ADD19DF" w14:textId="24A3EFDF" w:rsidR="00BD2953" w:rsidRDefault="00F412E1" w:rsidP="00E24477">
      <w:r>
        <w:t xml:space="preserve">One difference between UL and DL transmission is that individual antenna ports at the UE have a larger probability of being blocked by nearby objects (for instance the hand or body of the user), and so, some antenna ports at the UE may experience a substantially larger path loss than others. </w:t>
      </w:r>
      <w:r w:rsidR="00B80EC4">
        <w:t xml:space="preserve">For optimal precoding performance, this blocking needs to be taken into account so that UL TX power is not wasted on weak antenna ports. In LTE UL, this is achieved by including antenna sub-selection components in the codebook, i.e. including precoders where some rows are set to zero. However, </w:t>
      </w:r>
      <w:r w:rsidR="0067793D">
        <w:t xml:space="preserve">as antenna blocking </w:t>
      </w:r>
      <w:r w:rsidR="00BD2953">
        <w:t>can be</w:t>
      </w:r>
      <w:r w:rsidR="0067793D">
        <w:t xml:space="preserve"> more of a slow fading mechanism, it may be suboptimal to handle it via the short-term CSI f</w:t>
      </w:r>
      <w:r w:rsidR="00BD2953">
        <w:t>eedback as this may lead to unnecessarily large CSI feedback overhead. Furthermore, if an SRS antenna port is blocked, it may be unnecessary to frequently transmit an SRS on that port</w:t>
      </w:r>
      <w:r w:rsidR="00462E5E">
        <w:t xml:space="preserve"> as it should not impact precoding and link adaption. </w:t>
      </w:r>
      <w:r w:rsidR="00BD2953">
        <w:t>Instead,</w:t>
      </w:r>
      <w:r w:rsidR="00462E5E">
        <w:t xml:space="preserve"> UE TX power and SRS resources could be saved by</w:t>
      </w:r>
      <w:r w:rsidR="00BD2953">
        <w:t xml:space="preserve"> sound</w:t>
      </w:r>
      <w:r w:rsidR="00462E5E">
        <w:t>ing the blocked port</w:t>
      </w:r>
      <w:r w:rsidR="00BD2953">
        <w:t xml:space="preserve"> more </w:t>
      </w:r>
      <w:r w:rsidR="00462E5E">
        <w:t>infrequently, for the purpose of observing when the port becomes unblocked again.</w:t>
      </w:r>
    </w:p>
    <w:p w14:paraId="4469659F" w14:textId="696CBF24" w:rsidR="00462E5E" w:rsidRDefault="00462E5E" w:rsidP="004A1C55">
      <w:pPr>
        <w:pStyle w:val="Observation"/>
      </w:pPr>
      <w:bookmarkStart w:id="9" w:name="_Toc471396145"/>
      <w:r>
        <w:t>Potential for saving CSI feedback overhead, UE TX power and SRS resources if antenna port blocking is handled on a slower timescale than the dynamic CSI feedback</w:t>
      </w:r>
      <w:bookmarkEnd w:id="9"/>
    </w:p>
    <w:p w14:paraId="54B9BF28" w14:textId="1EDE524B" w:rsidR="00462E5E" w:rsidRDefault="00462E5E">
      <w:r>
        <w:t>We therefore see the need for an SRS port configuration process, initiated by the network, to handle these relatively slow changes, e.g. cycle time in the order of 100 ms. The purpose is for the network to assign a certain number of SRS ports available for the UE and which baseband ports on the UE, if any, that shall not be used for transmission. For example, in case on antenna arrangement connected to a baseband port is blocked, the network can</w:t>
      </w:r>
      <w:r w:rsidR="005F2228">
        <w:t xml:space="preserve"> temporarily</w:t>
      </w:r>
      <w:r>
        <w:t xml:space="preserve"> turn off the SRS transmission from that baseband port. This means that CSI feedback overhead can be saved a</w:t>
      </w:r>
      <w:r w:rsidR="00F43AF1">
        <w:t>s a</w:t>
      </w:r>
      <w:r>
        <w:t xml:space="preserve"> codebook for a smaller number of ports </w:t>
      </w:r>
      <w:r w:rsidR="00F43AF1">
        <w:t xml:space="preserve">can be used. </w:t>
      </w:r>
    </w:p>
    <w:p w14:paraId="5207C031" w14:textId="314D37FE" w:rsidR="00E52D2E" w:rsidRDefault="00E52D2E">
      <w:r>
        <w:t>The support of such a process was agreed in RAN1#88ah, however RAN1 needs to further study the details and the exact mechanism, including how such information is signalled.</w:t>
      </w:r>
    </w:p>
    <w:p w14:paraId="026748A8" w14:textId="5DE9734D" w:rsidR="00BD2953" w:rsidRDefault="00BD2953" w:rsidP="004A1C55">
      <w:pPr>
        <w:pStyle w:val="Proposal"/>
      </w:pPr>
      <w:bookmarkStart w:id="10" w:name="_Toc471396064"/>
      <w:bookmarkStart w:id="11" w:name="_Toc471396127"/>
      <w:bookmarkStart w:id="12" w:name="_Toc471396147"/>
      <w:bookmarkStart w:id="13" w:name="_Toc474169153"/>
      <w:r>
        <w:t>Study</w:t>
      </w:r>
      <w:r w:rsidR="00222F79">
        <w:t xml:space="preserve"> further</w:t>
      </w:r>
      <w:r>
        <w:t xml:space="preserve"> </w:t>
      </w:r>
      <w:r w:rsidR="00222F79">
        <w:t xml:space="preserve">the </w:t>
      </w:r>
      <w:r w:rsidR="00462E5E">
        <w:t xml:space="preserve">mechanism of an </w:t>
      </w:r>
      <w:r>
        <w:t>SRS port configuration process for</w:t>
      </w:r>
      <w:r w:rsidR="00462E5E">
        <w:t xml:space="preserve"> optimizing the number of SRS ports</w:t>
      </w:r>
      <w:bookmarkEnd w:id="10"/>
      <w:bookmarkEnd w:id="11"/>
      <w:bookmarkEnd w:id="12"/>
      <w:r w:rsidR="00462E5E">
        <w:t xml:space="preserve"> </w:t>
      </w:r>
      <w:bookmarkStart w:id="14" w:name="_GoBack"/>
      <w:bookmarkEnd w:id="13"/>
      <w:bookmarkEnd w:id="14"/>
    </w:p>
    <w:p w14:paraId="1CDEFB43" w14:textId="57F39F00" w:rsidR="00D80E98" w:rsidRPr="001B60F4" w:rsidRDefault="00E24477">
      <w:pPr>
        <w:rPr>
          <w:rFonts w:eastAsia="MS Mincho"/>
          <w:lang w:eastAsia="ja-JP"/>
        </w:rPr>
      </w:pPr>
      <w:r>
        <w:t>It was agreed in RAN1#</w:t>
      </w:r>
      <w:r w:rsidR="00E52D2E">
        <w:t>88ah</w:t>
      </w:r>
      <w:r>
        <w:t xml:space="preserve"> that the number of non-precoded SRS </w:t>
      </w:r>
      <w:r w:rsidRPr="00674D2E">
        <w:rPr>
          <w:rFonts w:eastAsia="MS Mincho"/>
          <w:lang w:val="en-US" w:eastAsia="ja-JP"/>
        </w:rPr>
        <w:t>ports</w:t>
      </w:r>
      <w:r>
        <w:rPr>
          <w:rFonts w:eastAsia="MS Mincho"/>
          <w:lang w:val="en-US" w:eastAsia="ja-JP"/>
        </w:rPr>
        <w:t xml:space="preserve"> shall be reconfigurable and take the numbers </w:t>
      </w:r>
      <w:r>
        <w:rPr>
          <w:rFonts w:eastAsia="MS Mincho" w:hint="eastAsia"/>
          <w:lang w:val="en-US" w:eastAsia="ja-JP"/>
        </w:rPr>
        <w:t xml:space="preserve">1, </w:t>
      </w:r>
      <w:r w:rsidRPr="00674D2E">
        <w:rPr>
          <w:rFonts w:eastAsia="MS Mincho"/>
          <w:lang w:val="en-US" w:eastAsia="ja-JP"/>
        </w:rPr>
        <w:t>2, 4, or [</w:t>
      </w:r>
      <w:r w:rsidR="00E52D2E">
        <w:rPr>
          <w:rFonts w:eastAsia="MS Mincho"/>
          <w:lang w:val="en-US" w:eastAsia="ja-JP"/>
        </w:rPr>
        <w:t>3,</w:t>
      </w:r>
      <w:r w:rsidRPr="00674D2E">
        <w:rPr>
          <w:rFonts w:eastAsia="MS Mincho"/>
          <w:lang w:val="en-US" w:eastAsia="ja-JP"/>
        </w:rPr>
        <w:t>8]</w:t>
      </w:r>
      <w:r>
        <w:rPr>
          <w:rFonts w:eastAsia="MS Mincho"/>
          <w:lang w:val="en-US" w:eastAsia="ja-JP"/>
        </w:rPr>
        <w:t>, other numbers for FFS</w:t>
      </w:r>
      <w:r w:rsidRPr="00674D2E">
        <w:rPr>
          <w:rFonts w:eastAsia="MS Mincho"/>
          <w:lang w:val="en-US" w:eastAsia="ja-JP"/>
        </w:rPr>
        <w:t xml:space="preserve">. </w:t>
      </w:r>
      <w:r>
        <w:rPr>
          <w:rFonts w:eastAsia="MS Mincho"/>
          <w:lang w:val="en-US" w:eastAsia="ja-JP"/>
        </w:rPr>
        <w:t xml:space="preserve">As UE output power will be a scarce resource it is important that </w:t>
      </w:r>
      <w:r w:rsidR="00F43AF1">
        <w:rPr>
          <w:rFonts w:eastAsia="MS Mincho"/>
          <w:lang w:val="en-US" w:eastAsia="ja-JP"/>
        </w:rPr>
        <w:t>power is not wasted on blocked radio chains</w:t>
      </w:r>
      <w:r>
        <w:rPr>
          <w:rFonts w:eastAsia="MS Mincho"/>
          <w:lang w:val="en-US" w:eastAsia="ja-JP"/>
        </w:rPr>
        <w:t xml:space="preserve">. For example, </w:t>
      </w:r>
      <w:r w:rsidR="008519E6">
        <w:rPr>
          <w:rFonts w:eastAsia="MS Mincho"/>
          <w:lang w:val="en-US" w:eastAsia="ja-JP"/>
        </w:rPr>
        <w:t>in case of blocking one out of 4</w:t>
      </w:r>
      <w:r>
        <w:rPr>
          <w:rFonts w:eastAsia="MS Mincho"/>
          <w:lang w:val="en-US" w:eastAsia="ja-JP"/>
        </w:rPr>
        <w:t xml:space="preserve"> antennas it</w:t>
      </w:r>
      <w:r w:rsidR="008519E6">
        <w:rPr>
          <w:rFonts w:eastAsia="MS Mincho"/>
          <w:lang w:val="en-US" w:eastAsia="ja-JP"/>
        </w:rPr>
        <w:t xml:space="preserve"> shall be possible to transmit 3</w:t>
      </w:r>
      <w:r>
        <w:rPr>
          <w:rFonts w:eastAsia="MS Mincho"/>
          <w:lang w:val="en-US" w:eastAsia="ja-JP"/>
        </w:rPr>
        <w:t xml:space="preserve"> SRS</w:t>
      </w:r>
      <w:r w:rsidR="00EB26F0">
        <w:rPr>
          <w:rFonts w:eastAsia="MS Mincho"/>
          <w:lang w:val="en-US" w:eastAsia="ja-JP"/>
        </w:rPr>
        <w:t xml:space="preserve"> ports</w:t>
      </w:r>
      <w:r>
        <w:rPr>
          <w:rFonts w:eastAsia="MS Mincho"/>
          <w:lang w:val="en-US" w:eastAsia="ja-JP"/>
        </w:rPr>
        <w:t xml:space="preserve">. </w:t>
      </w:r>
      <w:r w:rsidR="008519E6">
        <w:rPr>
          <w:rFonts w:eastAsia="MS Mincho"/>
          <w:lang w:val="en-US" w:eastAsia="ja-JP"/>
        </w:rPr>
        <w:t>Hence we propose to use 1, 2, 3, 4, 6 and 8 ports to enable adaptation of the number of ports to the current situation.</w:t>
      </w:r>
      <w:r w:rsidR="00D80E98">
        <w:rPr>
          <w:rFonts w:eastAsia="MS Mincho"/>
          <w:lang w:val="en-US" w:eastAsia="ja-JP"/>
        </w:rPr>
        <w:t xml:space="preserve"> </w:t>
      </w:r>
      <w:r w:rsidR="0043003E">
        <w:rPr>
          <w:rFonts w:eastAsia="MS Mincho"/>
          <w:lang w:val="en-US" w:eastAsia="ja-JP"/>
        </w:rPr>
        <w:t>Furthermore, “advanced CSI”-type of feedback with non-constant modulus codebook is likely not warranted for the uplink.</w:t>
      </w:r>
      <w:r w:rsidR="00B06D66" w:rsidRPr="00B06D66">
        <w:t xml:space="preserve"> </w:t>
      </w:r>
      <w:r w:rsidR="00AF60CB">
        <w:t>L</w:t>
      </w:r>
      <w:r w:rsidR="00B06D66" w:rsidRPr="00B06D66">
        <w:rPr>
          <w:rFonts w:eastAsia="MS Mincho"/>
          <w:lang w:val="en-US" w:eastAsia="ja-JP"/>
        </w:rPr>
        <w:t>arge angular spread</w:t>
      </w:r>
      <w:r w:rsidR="00AF60CB">
        <w:rPr>
          <w:rFonts w:eastAsia="MS Mincho"/>
          <w:lang w:val="en-US" w:eastAsia="ja-JP"/>
        </w:rPr>
        <w:t xml:space="preserve"> is common</w:t>
      </w:r>
      <w:r w:rsidR="00B06D66" w:rsidRPr="00B06D66">
        <w:rPr>
          <w:rFonts w:eastAsia="MS Mincho"/>
          <w:lang w:val="en-US" w:eastAsia="ja-JP"/>
        </w:rPr>
        <w:t xml:space="preserve"> </w:t>
      </w:r>
      <w:r w:rsidR="00AF60CB">
        <w:rPr>
          <w:rFonts w:eastAsia="MS Mincho"/>
          <w:lang w:val="en-US" w:eastAsia="ja-JP"/>
        </w:rPr>
        <w:t>for UE due to rich scattering environment. Large angular spread causes frequency selective channels. Hence, a frequency selective UL precoding is expected to increase the beamforming gain for UEs significantly compared to non-frequency selective precoding</w:t>
      </w:r>
      <w:r w:rsidR="00B06D66" w:rsidRPr="00B06D66">
        <w:rPr>
          <w:rFonts w:eastAsia="MS Mincho"/>
          <w:lang w:val="en-US" w:eastAsia="ja-JP"/>
        </w:rPr>
        <w:t>.</w:t>
      </w:r>
      <w:r w:rsidR="00DF4F05">
        <w:rPr>
          <w:rFonts w:eastAsia="MS Mincho"/>
          <w:lang w:val="en-US" w:eastAsia="ja-JP"/>
        </w:rPr>
        <w:t xml:space="preserve"> Hence, we propose to study the benefit of frequency selective precoding.</w:t>
      </w:r>
      <w:r w:rsidR="00B06D66">
        <w:rPr>
          <w:rFonts w:eastAsia="MS Mincho"/>
          <w:lang w:val="en-US" w:eastAsia="ja-JP"/>
        </w:rPr>
        <w:t xml:space="preserve"> </w:t>
      </w:r>
    </w:p>
    <w:p w14:paraId="2F0E441F" w14:textId="77777777" w:rsidR="0043003E" w:rsidRDefault="0043003E" w:rsidP="004A1C55">
      <w:pPr>
        <w:pStyle w:val="Proposal"/>
        <w:numPr>
          <w:ilvl w:val="0"/>
          <w:numId w:val="0"/>
        </w:numPr>
        <w:ind w:left="1701"/>
      </w:pPr>
      <w:bookmarkStart w:id="15" w:name="_Toc471396067"/>
      <w:bookmarkStart w:id="16" w:name="_Toc471396130"/>
      <w:bookmarkStart w:id="17" w:name="_Toc471396150"/>
    </w:p>
    <w:p w14:paraId="42845C61" w14:textId="256EE510" w:rsidR="0043003E" w:rsidRPr="007353A1" w:rsidRDefault="00EB26F0" w:rsidP="004A1C55">
      <w:pPr>
        <w:pStyle w:val="Proposal"/>
      </w:pPr>
      <w:bookmarkStart w:id="18" w:name="_Toc474169154"/>
      <w:r>
        <w:t>Strive for a scalable codebook design that can s</w:t>
      </w:r>
      <w:r w:rsidR="0030386F">
        <w:t>upport precoding over 2, 3, 4, 6, and 8 non-precoded SRS-ports.</w:t>
      </w:r>
      <w:bookmarkEnd w:id="15"/>
      <w:bookmarkEnd w:id="16"/>
      <w:bookmarkEnd w:id="17"/>
      <w:bookmarkEnd w:id="18"/>
    </w:p>
    <w:p w14:paraId="27853881" w14:textId="537C5327" w:rsidR="00CB48E8" w:rsidRDefault="0043003E" w:rsidP="004A1C55">
      <w:pPr>
        <w:pStyle w:val="Proposal"/>
      </w:pPr>
      <w:bookmarkStart w:id="19" w:name="_Toc474169155"/>
      <w:r>
        <w:t>UL MIMO precoders for non-precoded SRS shall be constant modulus</w:t>
      </w:r>
      <w:bookmarkEnd w:id="19"/>
    </w:p>
    <w:p w14:paraId="533F3FD2" w14:textId="77777777" w:rsidR="00FB1F8A" w:rsidRPr="001B60F4" w:rsidRDefault="00FB1F8A" w:rsidP="00FB1F8A">
      <w:pPr>
        <w:pStyle w:val="Proposal"/>
        <w:numPr>
          <w:ilvl w:val="0"/>
          <w:numId w:val="0"/>
        </w:numPr>
        <w:ind w:left="1701" w:hanging="1701"/>
        <w:rPr>
          <w:b w:val="0"/>
        </w:rPr>
      </w:pPr>
    </w:p>
    <w:p w14:paraId="3CD56CA1" w14:textId="77777777" w:rsidR="00C01F33" w:rsidRPr="00CE0424" w:rsidRDefault="00C01F33" w:rsidP="003A0E41">
      <w:pPr>
        <w:pStyle w:val="Heading1"/>
      </w:pPr>
      <w:r w:rsidRPr="00CE0424">
        <w:t>Conclusion</w:t>
      </w:r>
      <w:r w:rsidR="00AE2FEB">
        <w:t>s</w:t>
      </w:r>
    </w:p>
    <w:p w14:paraId="32DCA03C" w14:textId="2BD9B077" w:rsidR="0043003E" w:rsidRDefault="0043003E" w:rsidP="0043003E">
      <w:pPr>
        <w:pStyle w:val="BodyText"/>
      </w:pPr>
      <w:r>
        <w:t>In this contribution we made the following observations:</w:t>
      </w:r>
    </w:p>
    <w:p w14:paraId="42FC6B4A" w14:textId="0071B476" w:rsidR="0043003E" w:rsidRDefault="0043003E">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71396141" w:history="1">
        <w:r w:rsidRPr="00DA6F70">
          <w:rPr>
            <w:rStyle w:val="Hyperlink"/>
          </w:rPr>
          <w:t>Observation 1</w:t>
        </w:r>
        <w:r>
          <w:rPr>
            <w:rFonts w:asciiTheme="minorHAnsi" w:eastAsiaTheme="minorEastAsia" w:hAnsiTheme="minorHAnsi" w:cstheme="minorBidi"/>
            <w:b w:val="0"/>
            <w:sz w:val="22"/>
            <w:lang w:eastAsia="en-US"/>
          </w:rPr>
          <w:tab/>
        </w:r>
        <w:r w:rsidRPr="00DA6F70">
          <w:rPr>
            <w:rStyle w:val="Hyperlink"/>
          </w:rPr>
          <w:t>CM preserving design criterion of LTE UL codebook needs to be revisited for NR UL codebook for non-precoded SRS transmission since CP-OFDM waveform is used</w:t>
        </w:r>
      </w:hyperlink>
    </w:p>
    <w:p w14:paraId="68ACC06F" w14:textId="100D81CF" w:rsidR="0043003E" w:rsidRDefault="00E065A5">
      <w:pPr>
        <w:pStyle w:val="TOC1"/>
        <w:rPr>
          <w:rFonts w:asciiTheme="minorHAnsi" w:eastAsiaTheme="minorEastAsia" w:hAnsiTheme="minorHAnsi" w:cstheme="minorBidi"/>
          <w:b w:val="0"/>
          <w:sz w:val="22"/>
          <w:lang w:eastAsia="en-US"/>
        </w:rPr>
      </w:pPr>
      <w:hyperlink w:anchor="_Toc471396142" w:history="1">
        <w:r w:rsidR="0043003E" w:rsidRPr="00DA6F70">
          <w:rPr>
            <w:rStyle w:val="Hyperlink"/>
          </w:rPr>
          <w:t>Observation 2</w:t>
        </w:r>
        <w:r w:rsidR="0043003E">
          <w:rPr>
            <w:rFonts w:asciiTheme="minorHAnsi" w:eastAsiaTheme="minorEastAsia" w:hAnsiTheme="minorHAnsi" w:cstheme="minorBidi"/>
            <w:b w:val="0"/>
            <w:sz w:val="22"/>
            <w:lang w:eastAsia="en-US"/>
          </w:rPr>
          <w:tab/>
        </w:r>
        <w:r w:rsidR="0043003E" w:rsidRPr="00DA6F70">
          <w:rPr>
            <w:rStyle w:val="Hyperlink"/>
          </w:rPr>
          <w:t>To support full UE antenna implementation freedom, codebook for non-precoded SRS should be designed under assumption of no channel correlation</w:t>
        </w:r>
      </w:hyperlink>
    </w:p>
    <w:p w14:paraId="465F5843" w14:textId="48009D2A" w:rsidR="0043003E" w:rsidRDefault="00E065A5">
      <w:pPr>
        <w:pStyle w:val="TOC1"/>
        <w:rPr>
          <w:rFonts w:asciiTheme="minorHAnsi" w:eastAsiaTheme="minorEastAsia" w:hAnsiTheme="minorHAnsi" w:cstheme="minorBidi"/>
          <w:b w:val="0"/>
          <w:sz w:val="22"/>
          <w:lang w:eastAsia="en-US"/>
        </w:rPr>
      </w:pPr>
      <w:hyperlink w:anchor="_Toc471396144" w:history="1">
        <w:r w:rsidR="0043003E" w:rsidRPr="00DA6F70">
          <w:rPr>
            <w:rStyle w:val="Hyperlink"/>
          </w:rPr>
          <w:t>Observation 3</w:t>
        </w:r>
        <w:r w:rsidR="0043003E">
          <w:rPr>
            <w:rFonts w:asciiTheme="minorHAnsi" w:eastAsiaTheme="minorEastAsia" w:hAnsiTheme="minorHAnsi" w:cstheme="minorBidi"/>
            <w:b w:val="0"/>
            <w:sz w:val="22"/>
            <w:lang w:eastAsia="en-US"/>
          </w:rPr>
          <w:tab/>
        </w:r>
        <w:r w:rsidR="0043003E" w:rsidRPr="00DA6F70">
          <w:rPr>
            <w:rStyle w:val="Hyperlink"/>
          </w:rPr>
          <w:t>A two-step codebook as W=W</w:t>
        </w:r>
        <w:r w:rsidR="0043003E" w:rsidRPr="00DA6F70">
          <w:rPr>
            <w:rStyle w:val="Hyperlink"/>
            <w:vertAlign w:val="subscript"/>
          </w:rPr>
          <w:t>1</w:t>
        </w:r>
        <w:r w:rsidR="0043003E" w:rsidRPr="00DA6F70">
          <w:rPr>
            <w:rStyle w:val="Hyperlink"/>
          </w:rPr>
          <w:t>W</w:t>
        </w:r>
        <w:r w:rsidR="0043003E" w:rsidRPr="00DA6F70">
          <w:rPr>
            <w:rStyle w:val="Hyperlink"/>
            <w:vertAlign w:val="subscript"/>
          </w:rPr>
          <w:t>2</w:t>
        </w:r>
        <w:r w:rsidR="0043003E" w:rsidRPr="00DA6F70">
          <w:rPr>
            <w:rStyle w:val="Hyperlink"/>
          </w:rPr>
          <w:t xml:space="preserve"> as in DL is not suitable for UL transmission in NR.</w:t>
        </w:r>
      </w:hyperlink>
    </w:p>
    <w:p w14:paraId="52C9D86E" w14:textId="1FFCE9E1" w:rsidR="0043003E" w:rsidRDefault="00E065A5">
      <w:pPr>
        <w:pStyle w:val="TOC1"/>
        <w:rPr>
          <w:rStyle w:val="Hyperlink"/>
        </w:rPr>
      </w:pPr>
      <w:hyperlink w:anchor="_Toc471396145" w:history="1">
        <w:r w:rsidR="0043003E" w:rsidRPr="00DA6F70">
          <w:rPr>
            <w:rStyle w:val="Hyperlink"/>
          </w:rPr>
          <w:t>Observation 4</w:t>
        </w:r>
        <w:r w:rsidR="0043003E">
          <w:rPr>
            <w:rFonts w:asciiTheme="minorHAnsi" w:eastAsiaTheme="minorEastAsia" w:hAnsiTheme="minorHAnsi" w:cstheme="minorBidi"/>
            <w:b w:val="0"/>
            <w:sz w:val="22"/>
            <w:lang w:eastAsia="en-US"/>
          </w:rPr>
          <w:tab/>
        </w:r>
        <w:r w:rsidR="0043003E" w:rsidRPr="00DA6F70">
          <w:rPr>
            <w:rStyle w:val="Hyperlink"/>
          </w:rPr>
          <w:t>Potential for saving CSI feedback overhead, UE TX power and SRS resources if antenna port blocking is handled on a slower timescale than the dynamic CSI feedback</w:t>
        </w:r>
      </w:hyperlink>
    </w:p>
    <w:p w14:paraId="44A52E09" w14:textId="39DD34B5" w:rsidR="0043003E" w:rsidRDefault="0043003E" w:rsidP="004A1C55">
      <w:pPr>
        <w:rPr>
          <w:rFonts w:eastAsiaTheme="minorEastAsia"/>
          <w:lang w:eastAsia="en-US"/>
        </w:rPr>
      </w:pPr>
    </w:p>
    <w:p w14:paraId="54FBDD43" w14:textId="6A4B96EA" w:rsidR="0043003E" w:rsidRDefault="0043003E" w:rsidP="004A1C55">
      <w:pPr>
        <w:rPr>
          <w:b/>
          <w:bCs/>
        </w:rPr>
      </w:pPr>
      <w:r>
        <w:t>Based on these observations, we have made the following proposals:</w:t>
      </w:r>
      <w:r>
        <w:rPr>
          <w:bCs/>
          <w:noProof/>
          <w:szCs w:val="22"/>
          <w:lang w:val="en-US"/>
        </w:rPr>
        <w:fldChar w:fldCharType="end"/>
      </w:r>
    </w:p>
    <w:p w14:paraId="42D1556A" w14:textId="77777777" w:rsidR="00E52D2E" w:rsidRDefault="0043003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52D2E">
        <w:t>Proposal 1</w:t>
      </w:r>
      <w:r w:rsidR="00E52D2E">
        <w:rPr>
          <w:rFonts w:asciiTheme="minorHAnsi" w:eastAsiaTheme="minorEastAsia" w:hAnsiTheme="minorHAnsi" w:cstheme="minorBidi"/>
          <w:b w:val="0"/>
          <w:sz w:val="22"/>
          <w:lang w:eastAsia="en-US"/>
        </w:rPr>
        <w:tab/>
      </w:r>
      <w:r w:rsidR="00E52D2E">
        <w:t>Design a codebook that aims to span the full space</w:t>
      </w:r>
    </w:p>
    <w:p w14:paraId="73C68E0F" w14:textId="77777777" w:rsidR="00E52D2E" w:rsidRDefault="00E52D2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Study further the mechanism of an SRS port configuration process for optimizing the number of SRS ports </w:t>
      </w:r>
    </w:p>
    <w:p w14:paraId="2344CB63" w14:textId="77777777" w:rsidR="00E52D2E" w:rsidRDefault="00E52D2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Strive for a scalable codebook design that can support precoding over 2, 3, 4, 6, and 8 non-precoded SRS-ports.</w:t>
      </w:r>
    </w:p>
    <w:p w14:paraId="213B6B36" w14:textId="77777777" w:rsidR="00E52D2E" w:rsidRDefault="00E52D2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UL MIMO precoders for non-precoded SRS shall be constant modulus</w:t>
      </w:r>
    </w:p>
    <w:p w14:paraId="6648B957" w14:textId="4219DB0C" w:rsidR="0043003E" w:rsidRPr="00790B99" w:rsidRDefault="0043003E" w:rsidP="0043003E">
      <w:pPr>
        <w:pStyle w:val="BodyText"/>
        <w:rPr>
          <w:b/>
          <w:bCs/>
        </w:rPr>
      </w:pPr>
      <w:r>
        <w:rPr>
          <w:b/>
          <w:bCs/>
        </w:rPr>
        <w:fldChar w:fldCharType="end"/>
      </w:r>
    </w:p>
    <w:p w14:paraId="356E3A13" w14:textId="77777777" w:rsidR="00C01F33" w:rsidRPr="00790B99" w:rsidRDefault="00C01F33" w:rsidP="00E5689D">
      <w:pPr>
        <w:pStyle w:val="BodyText"/>
        <w:rPr>
          <w:b/>
          <w:bCs/>
        </w:rPr>
      </w:pPr>
    </w:p>
    <w:p w14:paraId="60B6B4EE" w14:textId="77777777" w:rsidR="00F507D1" w:rsidRPr="00CE0424" w:rsidRDefault="00F507D1" w:rsidP="00CE0424">
      <w:pPr>
        <w:pStyle w:val="Heading1"/>
      </w:pPr>
      <w:bookmarkStart w:id="20" w:name="_In-sequence_SDU_delivery"/>
      <w:bookmarkEnd w:id="20"/>
      <w:r w:rsidRPr="00CE0424">
        <w:t>References</w:t>
      </w:r>
    </w:p>
    <w:p w14:paraId="5C47F9FB" w14:textId="7B890645" w:rsidR="003A7EF3" w:rsidRPr="001B60F4" w:rsidRDefault="006E6712" w:rsidP="001B60F4">
      <w:pPr>
        <w:pStyle w:val="BodyText"/>
        <w:numPr>
          <w:ilvl w:val="0"/>
          <w:numId w:val="27"/>
        </w:numPr>
      </w:pPr>
      <w:bookmarkStart w:id="21" w:name="_Ref474167551"/>
      <w:r w:rsidRPr="006E6712">
        <w:t>R1-1703225</w:t>
      </w:r>
      <w:r>
        <w:t>, “</w:t>
      </w:r>
      <w:r w:rsidRPr="006E6712">
        <w:t>UL MIMO Codebook for Precoded SRS</w:t>
      </w:r>
      <w:r>
        <w:t>”, Ericsson, RAN1#88 Athens</w:t>
      </w:r>
      <w:bookmarkEnd w:id="21"/>
    </w:p>
    <w:sectPr w:rsidR="003A7EF3" w:rsidRPr="001B60F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2443" w14:textId="77777777" w:rsidR="00E065A5" w:rsidRDefault="00E065A5">
      <w:r>
        <w:separator/>
      </w:r>
    </w:p>
  </w:endnote>
  <w:endnote w:type="continuationSeparator" w:id="0">
    <w:p w14:paraId="2D189770" w14:textId="77777777" w:rsidR="00E065A5" w:rsidRDefault="00E0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6D59" w14:textId="66D6ADA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60F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60F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DAF4D" w14:textId="77777777" w:rsidR="00E065A5" w:rsidRDefault="00E065A5">
      <w:r>
        <w:separator/>
      </w:r>
    </w:p>
  </w:footnote>
  <w:footnote w:type="continuationSeparator" w:id="0">
    <w:p w14:paraId="3E2ACA0D" w14:textId="77777777" w:rsidR="00E065A5" w:rsidRDefault="00E06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56E7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F3410"/>
    <w:multiLevelType w:val="hybridMultilevel"/>
    <w:tmpl w:val="0974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762B2"/>
    <w:multiLevelType w:val="hybridMultilevel"/>
    <w:tmpl w:val="CD364C14"/>
    <w:lvl w:ilvl="0" w:tplc="884C39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77663"/>
    <w:multiLevelType w:val="hybridMultilevel"/>
    <w:tmpl w:val="0974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B0C09"/>
    <w:multiLevelType w:val="hybridMultilevel"/>
    <w:tmpl w:val="FC9C96B6"/>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AB1846"/>
    <w:multiLevelType w:val="hybridMultilevel"/>
    <w:tmpl w:val="D79E764A"/>
    <w:lvl w:ilvl="0" w:tplc="92ECD49C">
      <w:start w:val="1"/>
      <w:numFmt w:val="bullet"/>
      <w:lvlText w:val="–"/>
      <w:lvlJc w:val="left"/>
      <w:pPr>
        <w:tabs>
          <w:tab w:val="num" w:pos="720"/>
        </w:tabs>
        <w:ind w:left="720" w:hanging="360"/>
      </w:pPr>
      <w:rPr>
        <w:rFonts w:ascii="Ericsson Capital TT" w:hAnsi="Ericsson Capital TT" w:hint="default"/>
      </w:rPr>
    </w:lvl>
    <w:lvl w:ilvl="1" w:tplc="202ED090">
      <w:start w:val="1"/>
      <w:numFmt w:val="bullet"/>
      <w:lvlText w:val="–"/>
      <w:lvlJc w:val="left"/>
      <w:pPr>
        <w:tabs>
          <w:tab w:val="num" w:pos="1440"/>
        </w:tabs>
        <w:ind w:left="1440" w:hanging="360"/>
      </w:pPr>
      <w:rPr>
        <w:rFonts w:ascii="Ericsson Capital TT" w:hAnsi="Ericsson Capital TT" w:hint="default"/>
      </w:rPr>
    </w:lvl>
    <w:lvl w:ilvl="2" w:tplc="E2C43586">
      <w:numFmt w:val="bullet"/>
      <w:lvlText w:val="›"/>
      <w:lvlJc w:val="left"/>
      <w:pPr>
        <w:tabs>
          <w:tab w:val="num" w:pos="2160"/>
        </w:tabs>
        <w:ind w:left="2160" w:hanging="360"/>
      </w:pPr>
      <w:rPr>
        <w:rFonts w:ascii="Ericsson Capital TT" w:hAnsi="Ericsson Capital TT" w:hint="default"/>
      </w:rPr>
    </w:lvl>
    <w:lvl w:ilvl="3" w:tplc="A294BA9A">
      <w:numFmt w:val="bullet"/>
      <w:lvlText w:val="-"/>
      <w:lvlJc w:val="left"/>
      <w:pPr>
        <w:tabs>
          <w:tab w:val="num" w:pos="2880"/>
        </w:tabs>
        <w:ind w:left="2880" w:hanging="360"/>
      </w:pPr>
      <w:rPr>
        <w:rFonts w:ascii="Ericsson Capital TT" w:hAnsi="Ericsson Capital TT" w:hint="default"/>
      </w:rPr>
    </w:lvl>
    <w:lvl w:ilvl="4" w:tplc="43CE9EC2" w:tentative="1">
      <w:start w:val="1"/>
      <w:numFmt w:val="bullet"/>
      <w:lvlText w:val="–"/>
      <w:lvlJc w:val="left"/>
      <w:pPr>
        <w:tabs>
          <w:tab w:val="num" w:pos="3600"/>
        </w:tabs>
        <w:ind w:left="3600" w:hanging="360"/>
      </w:pPr>
      <w:rPr>
        <w:rFonts w:ascii="Ericsson Capital TT" w:hAnsi="Ericsson Capital TT" w:hint="default"/>
      </w:rPr>
    </w:lvl>
    <w:lvl w:ilvl="5" w:tplc="1074768E" w:tentative="1">
      <w:start w:val="1"/>
      <w:numFmt w:val="bullet"/>
      <w:lvlText w:val="–"/>
      <w:lvlJc w:val="left"/>
      <w:pPr>
        <w:tabs>
          <w:tab w:val="num" w:pos="4320"/>
        </w:tabs>
        <w:ind w:left="4320" w:hanging="360"/>
      </w:pPr>
      <w:rPr>
        <w:rFonts w:ascii="Ericsson Capital TT" w:hAnsi="Ericsson Capital TT" w:hint="default"/>
      </w:rPr>
    </w:lvl>
    <w:lvl w:ilvl="6" w:tplc="83B2B83C" w:tentative="1">
      <w:start w:val="1"/>
      <w:numFmt w:val="bullet"/>
      <w:lvlText w:val="–"/>
      <w:lvlJc w:val="left"/>
      <w:pPr>
        <w:tabs>
          <w:tab w:val="num" w:pos="5040"/>
        </w:tabs>
        <w:ind w:left="5040" w:hanging="360"/>
      </w:pPr>
      <w:rPr>
        <w:rFonts w:ascii="Ericsson Capital TT" w:hAnsi="Ericsson Capital TT" w:hint="default"/>
      </w:rPr>
    </w:lvl>
    <w:lvl w:ilvl="7" w:tplc="895E3FCC" w:tentative="1">
      <w:start w:val="1"/>
      <w:numFmt w:val="bullet"/>
      <w:lvlText w:val="–"/>
      <w:lvlJc w:val="left"/>
      <w:pPr>
        <w:tabs>
          <w:tab w:val="num" w:pos="5760"/>
        </w:tabs>
        <w:ind w:left="5760" w:hanging="360"/>
      </w:pPr>
      <w:rPr>
        <w:rFonts w:ascii="Ericsson Capital TT" w:hAnsi="Ericsson Capital TT" w:hint="default"/>
      </w:rPr>
    </w:lvl>
    <w:lvl w:ilvl="8" w:tplc="FE20D8E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5"/>
  </w:num>
  <w:num w:numId="3">
    <w:abstractNumId w:val="11"/>
  </w:num>
  <w:num w:numId="4">
    <w:abstractNumId w:val="12"/>
  </w:num>
  <w:num w:numId="5">
    <w:abstractNumId w:val="7"/>
  </w:num>
  <w:num w:numId="6">
    <w:abstractNumId w:val="13"/>
  </w:num>
  <w:num w:numId="7">
    <w:abstractNumId w:val="20"/>
  </w:num>
  <w:num w:numId="8">
    <w:abstractNumId w:val="8"/>
  </w:num>
  <w:num w:numId="9">
    <w:abstractNumId w:val="6"/>
  </w:num>
  <w:num w:numId="10">
    <w:abstractNumId w:val="2"/>
  </w:num>
  <w:num w:numId="11">
    <w:abstractNumId w:val="1"/>
  </w:num>
  <w:num w:numId="12">
    <w:abstractNumId w:val="0"/>
  </w:num>
  <w:num w:numId="13">
    <w:abstractNumId w:val="17"/>
  </w:num>
  <w:num w:numId="14">
    <w:abstractNumId w:val="9"/>
  </w:num>
  <w:num w:numId="15">
    <w:abstractNumId w:val="22"/>
  </w:num>
  <w:num w:numId="16">
    <w:abstractNumId w:val="23"/>
  </w:num>
  <w:num w:numId="17">
    <w:abstractNumId w:val="24"/>
  </w:num>
  <w:num w:numId="18">
    <w:abstractNumId w:val="4"/>
  </w:num>
  <w:num w:numId="19">
    <w:abstractNumId w:val="17"/>
    <w:lvlOverride w:ilvl="0">
      <w:startOverride w:val="1"/>
    </w:lvlOverride>
  </w:num>
  <w:num w:numId="20">
    <w:abstractNumId w:val="11"/>
    <w:lvlOverride w:ilvl="0">
      <w:startOverride w:val="1"/>
    </w:lvlOverride>
  </w:num>
  <w:num w:numId="21">
    <w:abstractNumId w:val="18"/>
  </w:num>
  <w:num w:numId="22">
    <w:abstractNumId w:val="14"/>
  </w:num>
  <w:num w:numId="23">
    <w:abstractNumId w:val="5"/>
  </w:num>
  <w:num w:numId="24">
    <w:abstractNumId w:val="21"/>
  </w:num>
  <w:num w:numId="25">
    <w:abstractNumId w:val="16"/>
  </w:num>
  <w:num w:numId="26">
    <w:abstractNumId w:val="19"/>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08EE"/>
    <w:rsid w:val="00002A37"/>
    <w:rsid w:val="00003F5E"/>
    <w:rsid w:val="00006446"/>
    <w:rsid w:val="00006896"/>
    <w:rsid w:val="00007CDC"/>
    <w:rsid w:val="00011B28"/>
    <w:rsid w:val="00015D15"/>
    <w:rsid w:val="0002564D"/>
    <w:rsid w:val="00025ECA"/>
    <w:rsid w:val="00027324"/>
    <w:rsid w:val="00030B30"/>
    <w:rsid w:val="000325B8"/>
    <w:rsid w:val="000338EE"/>
    <w:rsid w:val="00034C15"/>
    <w:rsid w:val="00036BA1"/>
    <w:rsid w:val="00042009"/>
    <w:rsid w:val="000422E2"/>
    <w:rsid w:val="00042F22"/>
    <w:rsid w:val="000444EF"/>
    <w:rsid w:val="00052A07"/>
    <w:rsid w:val="000534E3"/>
    <w:rsid w:val="00055C1F"/>
    <w:rsid w:val="0005606A"/>
    <w:rsid w:val="00057117"/>
    <w:rsid w:val="000616E7"/>
    <w:rsid w:val="0006487E"/>
    <w:rsid w:val="00065E1A"/>
    <w:rsid w:val="00077E5F"/>
    <w:rsid w:val="0008036A"/>
    <w:rsid w:val="00081AE6"/>
    <w:rsid w:val="000847D5"/>
    <w:rsid w:val="000855EB"/>
    <w:rsid w:val="00085B52"/>
    <w:rsid w:val="000866F2"/>
    <w:rsid w:val="0009009F"/>
    <w:rsid w:val="00091557"/>
    <w:rsid w:val="000924C1"/>
    <w:rsid w:val="000924F0"/>
    <w:rsid w:val="000929B8"/>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77"/>
    <w:rsid w:val="00151E23"/>
    <w:rsid w:val="001526E0"/>
    <w:rsid w:val="0015373E"/>
    <w:rsid w:val="001551B5"/>
    <w:rsid w:val="001659C1"/>
    <w:rsid w:val="00173A8E"/>
    <w:rsid w:val="00173B26"/>
    <w:rsid w:val="001755D4"/>
    <w:rsid w:val="0018143F"/>
    <w:rsid w:val="00190AC1"/>
    <w:rsid w:val="0019341A"/>
    <w:rsid w:val="00197DF9"/>
    <w:rsid w:val="001A1987"/>
    <w:rsid w:val="001A2564"/>
    <w:rsid w:val="001A6173"/>
    <w:rsid w:val="001A6CBA"/>
    <w:rsid w:val="001B048D"/>
    <w:rsid w:val="001B0D97"/>
    <w:rsid w:val="001B5A5D"/>
    <w:rsid w:val="001B60F4"/>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3102"/>
    <w:rsid w:val="00214DA8"/>
    <w:rsid w:val="00215423"/>
    <w:rsid w:val="002158FA"/>
    <w:rsid w:val="00216219"/>
    <w:rsid w:val="00220600"/>
    <w:rsid w:val="00220DD8"/>
    <w:rsid w:val="002224DB"/>
    <w:rsid w:val="00222F79"/>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5AAE"/>
    <w:rsid w:val="00266214"/>
    <w:rsid w:val="00267C83"/>
    <w:rsid w:val="0027144F"/>
    <w:rsid w:val="00271813"/>
    <w:rsid w:val="00271F3A"/>
    <w:rsid w:val="00273278"/>
    <w:rsid w:val="002737F4"/>
    <w:rsid w:val="002805F5"/>
    <w:rsid w:val="00280751"/>
    <w:rsid w:val="0028280A"/>
    <w:rsid w:val="00286ACD"/>
    <w:rsid w:val="00287838"/>
    <w:rsid w:val="002907B5"/>
    <w:rsid w:val="00291FD9"/>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86F"/>
    <w:rsid w:val="0030501F"/>
    <w:rsid w:val="00306909"/>
    <w:rsid w:val="00307BA1"/>
    <w:rsid w:val="00311702"/>
    <w:rsid w:val="00311E82"/>
    <w:rsid w:val="00313FD6"/>
    <w:rsid w:val="003143BD"/>
    <w:rsid w:val="003203ED"/>
    <w:rsid w:val="0032173E"/>
    <w:rsid w:val="00322C9F"/>
    <w:rsid w:val="00324D23"/>
    <w:rsid w:val="00327997"/>
    <w:rsid w:val="00331751"/>
    <w:rsid w:val="00331B7B"/>
    <w:rsid w:val="00334579"/>
    <w:rsid w:val="00335858"/>
    <w:rsid w:val="00336BDA"/>
    <w:rsid w:val="00341B17"/>
    <w:rsid w:val="00342BD7"/>
    <w:rsid w:val="00346DB5"/>
    <w:rsid w:val="003477B1"/>
    <w:rsid w:val="00357380"/>
    <w:rsid w:val="003602D9"/>
    <w:rsid w:val="003604CE"/>
    <w:rsid w:val="003640E8"/>
    <w:rsid w:val="00366D98"/>
    <w:rsid w:val="00367C5A"/>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89"/>
    <w:rsid w:val="003F6BBE"/>
    <w:rsid w:val="004000E8"/>
    <w:rsid w:val="004007D5"/>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003E"/>
    <w:rsid w:val="00437447"/>
    <w:rsid w:val="00441782"/>
    <w:rsid w:val="00441A92"/>
    <w:rsid w:val="00444F56"/>
    <w:rsid w:val="00446488"/>
    <w:rsid w:val="00450E70"/>
    <w:rsid w:val="004517AA"/>
    <w:rsid w:val="00452CAC"/>
    <w:rsid w:val="004545FF"/>
    <w:rsid w:val="00454977"/>
    <w:rsid w:val="00457565"/>
    <w:rsid w:val="00457B71"/>
    <w:rsid w:val="00462E5E"/>
    <w:rsid w:val="004669E2"/>
    <w:rsid w:val="00470C31"/>
    <w:rsid w:val="004734D0"/>
    <w:rsid w:val="0047556B"/>
    <w:rsid w:val="00477768"/>
    <w:rsid w:val="00482D47"/>
    <w:rsid w:val="00492BC5"/>
    <w:rsid w:val="004964F1"/>
    <w:rsid w:val="004A16BC"/>
    <w:rsid w:val="004A1C55"/>
    <w:rsid w:val="004A2B94"/>
    <w:rsid w:val="004A3A12"/>
    <w:rsid w:val="004B7C0C"/>
    <w:rsid w:val="004C3898"/>
    <w:rsid w:val="004D36B1"/>
    <w:rsid w:val="004D7EBD"/>
    <w:rsid w:val="004E2680"/>
    <w:rsid w:val="004E28F9"/>
    <w:rsid w:val="004E462E"/>
    <w:rsid w:val="004E56DC"/>
    <w:rsid w:val="004E76F4"/>
    <w:rsid w:val="004F0B4E"/>
    <w:rsid w:val="004F0B6C"/>
    <w:rsid w:val="004F0BBD"/>
    <w:rsid w:val="004F2078"/>
    <w:rsid w:val="004F4DA3"/>
    <w:rsid w:val="0050267E"/>
    <w:rsid w:val="00506557"/>
    <w:rsid w:val="0050677A"/>
    <w:rsid w:val="00510867"/>
    <w:rsid w:val="005108D8"/>
    <w:rsid w:val="005116F9"/>
    <w:rsid w:val="005153A7"/>
    <w:rsid w:val="005201AA"/>
    <w:rsid w:val="005219CF"/>
    <w:rsid w:val="00530A9F"/>
    <w:rsid w:val="00534B59"/>
    <w:rsid w:val="00536759"/>
    <w:rsid w:val="00537C62"/>
    <w:rsid w:val="00546970"/>
    <w:rsid w:val="00554192"/>
    <w:rsid w:val="00554E19"/>
    <w:rsid w:val="00556005"/>
    <w:rsid w:val="0056121F"/>
    <w:rsid w:val="00572505"/>
    <w:rsid w:val="00575DA6"/>
    <w:rsid w:val="00577FC3"/>
    <w:rsid w:val="00581567"/>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68F"/>
    <w:rsid w:val="005E385F"/>
    <w:rsid w:val="005E5B81"/>
    <w:rsid w:val="005F2228"/>
    <w:rsid w:val="005F2CB1"/>
    <w:rsid w:val="005F3025"/>
    <w:rsid w:val="005F5798"/>
    <w:rsid w:val="005F618C"/>
    <w:rsid w:val="005F70BD"/>
    <w:rsid w:val="0060283C"/>
    <w:rsid w:val="00603473"/>
    <w:rsid w:val="00604F14"/>
    <w:rsid w:val="00611B83"/>
    <w:rsid w:val="00612BF0"/>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23"/>
    <w:rsid w:val="006613A6"/>
    <w:rsid w:val="006627A2"/>
    <w:rsid w:val="006634E6"/>
    <w:rsid w:val="006655EE"/>
    <w:rsid w:val="00667EE7"/>
    <w:rsid w:val="00670922"/>
    <w:rsid w:val="00670BE1"/>
    <w:rsid w:val="0067218F"/>
    <w:rsid w:val="006741F2"/>
    <w:rsid w:val="00674CC3"/>
    <w:rsid w:val="00675C72"/>
    <w:rsid w:val="006771F9"/>
    <w:rsid w:val="006776D7"/>
    <w:rsid w:val="0067793D"/>
    <w:rsid w:val="00681003"/>
    <w:rsid w:val="006817C9"/>
    <w:rsid w:val="00683ECE"/>
    <w:rsid w:val="00695FC2"/>
    <w:rsid w:val="00696949"/>
    <w:rsid w:val="00697052"/>
    <w:rsid w:val="006A46FB"/>
    <w:rsid w:val="006A5E28"/>
    <w:rsid w:val="006A6585"/>
    <w:rsid w:val="006A697B"/>
    <w:rsid w:val="006A7828"/>
    <w:rsid w:val="006A7AFF"/>
    <w:rsid w:val="006B0CFA"/>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3D3"/>
    <w:rsid w:val="006E6712"/>
    <w:rsid w:val="006E673D"/>
    <w:rsid w:val="006E7D3B"/>
    <w:rsid w:val="006F1B70"/>
    <w:rsid w:val="006F341D"/>
    <w:rsid w:val="006F3CDE"/>
    <w:rsid w:val="006F58D4"/>
    <w:rsid w:val="00700CAF"/>
    <w:rsid w:val="0070346E"/>
    <w:rsid w:val="007037A2"/>
    <w:rsid w:val="00704EDB"/>
    <w:rsid w:val="00706101"/>
    <w:rsid w:val="00706A31"/>
    <w:rsid w:val="00707072"/>
    <w:rsid w:val="00707D61"/>
    <w:rsid w:val="00712287"/>
    <w:rsid w:val="00712772"/>
    <w:rsid w:val="007148D3"/>
    <w:rsid w:val="007149E6"/>
    <w:rsid w:val="00715B9A"/>
    <w:rsid w:val="00726EA6"/>
    <w:rsid w:val="00727208"/>
    <w:rsid w:val="00727680"/>
    <w:rsid w:val="007348B1"/>
    <w:rsid w:val="007353A1"/>
    <w:rsid w:val="007362A6"/>
    <w:rsid w:val="00736D7D"/>
    <w:rsid w:val="00740E58"/>
    <w:rsid w:val="007445A0"/>
    <w:rsid w:val="0074524B"/>
    <w:rsid w:val="00747D8B"/>
    <w:rsid w:val="00751228"/>
    <w:rsid w:val="007571E1"/>
    <w:rsid w:val="007604B2"/>
    <w:rsid w:val="00765281"/>
    <w:rsid w:val="00766BAD"/>
    <w:rsid w:val="00767CBF"/>
    <w:rsid w:val="00771887"/>
    <w:rsid w:val="007755F2"/>
    <w:rsid w:val="00775CA4"/>
    <w:rsid w:val="00776971"/>
    <w:rsid w:val="00777D37"/>
    <w:rsid w:val="0078177E"/>
    <w:rsid w:val="0078304C"/>
    <w:rsid w:val="00783673"/>
    <w:rsid w:val="0078427E"/>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AB9"/>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9E6"/>
    <w:rsid w:val="00856911"/>
    <w:rsid w:val="00861AE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10"/>
    <w:rsid w:val="008A77D8"/>
    <w:rsid w:val="008B0483"/>
    <w:rsid w:val="008B120C"/>
    <w:rsid w:val="008B51A0"/>
    <w:rsid w:val="008B592A"/>
    <w:rsid w:val="008B6A36"/>
    <w:rsid w:val="008B7B5C"/>
    <w:rsid w:val="008C0C99"/>
    <w:rsid w:val="008C2017"/>
    <w:rsid w:val="008C4958"/>
    <w:rsid w:val="008C4BAA"/>
    <w:rsid w:val="008C6AE8"/>
    <w:rsid w:val="008C7573"/>
    <w:rsid w:val="008D34F1"/>
    <w:rsid w:val="008D39D8"/>
    <w:rsid w:val="008D3FFA"/>
    <w:rsid w:val="008D6D1A"/>
    <w:rsid w:val="008E065E"/>
    <w:rsid w:val="008E0927"/>
    <w:rsid w:val="008E1909"/>
    <w:rsid w:val="008F1EAB"/>
    <w:rsid w:val="008F33DC"/>
    <w:rsid w:val="008F477F"/>
    <w:rsid w:val="00902350"/>
    <w:rsid w:val="0090336B"/>
    <w:rsid w:val="009053AA"/>
    <w:rsid w:val="0090555C"/>
    <w:rsid w:val="00906939"/>
    <w:rsid w:val="00910B7D"/>
    <w:rsid w:val="00911DFB"/>
    <w:rsid w:val="00913348"/>
    <w:rsid w:val="009139D9"/>
    <w:rsid w:val="00914AD8"/>
    <w:rsid w:val="00914C4F"/>
    <w:rsid w:val="00916079"/>
    <w:rsid w:val="00917CE9"/>
    <w:rsid w:val="00920BF2"/>
    <w:rsid w:val="00922010"/>
    <w:rsid w:val="009223A5"/>
    <w:rsid w:val="00931BD9"/>
    <w:rsid w:val="00935739"/>
    <w:rsid w:val="009368F3"/>
    <w:rsid w:val="00941636"/>
    <w:rsid w:val="00943742"/>
    <w:rsid w:val="00945C05"/>
    <w:rsid w:val="00946945"/>
    <w:rsid w:val="00947713"/>
    <w:rsid w:val="00950A74"/>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54E0"/>
    <w:rsid w:val="00AA56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60CB"/>
    <w:rsid w:val="00AF7688"/>
    <w:rsid w:val="00B006FE"/>
    <w:rsid w:val="00B007CB"/>
    <w:rsid w:val="00B02AA9"/>
    <w:rsid w:val="00B02FA3"/>
    <w:rsid w:val="00B03374"/>
    <w:rsid w:val="00B05084"/>
    <w:rsid w:val="00B06D66"/>
    <w:rsid w:val="00B157F9"/>
    <w:rsid w:val="00B20256"/>
    <w:rsid w:val="00B20D09"/>
    <w:rsid w:val="00B20E29"/>
    <w:rsid w:val="00B2763F"/>
    <w:rsid w:val="00B27AAC"/>
    <w:rsid w:val="00B30929"/>
    <w:rsid w:val="00B372AA"/>
    <w:rsid w:val="00B40445"/>
    <w:rsid w:val="00B41888"/>
    <w:rsid w:val="00B45A52"/>
    <w:rsid w:val="00B46175"/>
    <w:rsid w:val="00B664C7"/>
    <w:rsid w:val="00B739F6"/>
    <w:rsid w:val="00B80EC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953"/>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3C96"/>
    <w:rsid w:val="00C040F7"/>
    <w:rsid w:val="00C044AB"/>
    <w:rsid w:val="00C05522"/>
    <w:rsid w:val="00C05706"/>
    <w:rsid w:val="00C07377"/>
    <w:rsid w:val="00C10478"/>
    <w:rsid w:val="00C12107"/>
    <w:rsid w:val="00C14D4B"/>
    <w:rsid w:val="00C154BB"/>
    <w:rsid w:val="00C255DB"/>
    <w:rsid w:val="00C279B5"/>
    <w:rsid w:val="00C27C45"/>
    <w:rsid w:val="00C3719D"/>
    <w:rsid w:val="00C52BEE"/>
    <w:rsid w:val="00C54995"/>
    <w:rsid w:val="00C54D41"/>
    <w:rsid w:val="00C60783"/>
    <w:rsid w:val="00C64672"/>
    <w:rsid w:val="00C65799"/>
    <w:rsid w:val="00C70697"/>
    <w:rsid w:val="00C72EF4"/>
    <w:rsid w:val="00C75D2F"/>
    <w:rsid w:val="00C767BE"/>
    <w:rsid w:val="00C76E3C"/>
    <w:rsid w:val="00C77067"/>
    <w:rsid w:val="00C81024"/>
    <w:rsid w:val="00C81568"/>
    <w:rsid w:val="00C9027A"/>
    <w:rsid w:val="00C9068E"/>
    <w:rsid w:val="00C93C4B"/>
    <w:rsid w:val="00C944AB"/>
    <w:rsid w:val="00C95B40"/>
    <w:rsid w:val="00CA1068"/>
    <w:rsid w:val="00CA1ED8"/>
    <w:rsid w:val="00CA2417"/>
    <w:rsid w:val="00CB1F63"/>
    <w:rsid w:val="00CB48E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1C4"/>
    <w:rsid w:val="00D0349B"/>
    <w:rsid w:val="00D0381D"/>
    <w:rsid w:val="00D10249"/>
    <w:rsid w:val="00D115C3"/>
    <w:rsid w:val="00D11897"/>
    <w:rsid w:val="00D13135"/>
    <w:rsid w:val="00D13E4E"/>
    <w:rsid w:val="00D239A7"/>
    <w:rsid w:val="00D23F47"/>
    <w:rsid w:val="00D35394"/>
    <w:rsid w:val="00D36E71"/>
    <w:rsid w:val="00D37D87"/>
    <w:rsid w:val="00D37DC3"/>
    <w:rsid w:val="00D40B33"/>
    <w:rsid w:val="00D4318F"/>
    <w:rsid w:val="00D438BF"/>
    <w:rsid w:val="00D440F8"/>
    <w:rsid w:val="00D546FF"/>
    <w:rsid w:val="00D55AD5"/>
    <w:rsid w:val="00D56A73"/>
    <w:rsid w:val="00D576CA"/>
    <w:rsid w:val="00D61AF5"/>
    <w:rsid w:val="00D652B5"/>
    <w:rsid w:val="00D66155"/>
    <w:rsid w:val="00D708B0"/>
    <w:rsid w:val="00D772B2"/>
    <w:rsid w:val="00D77B1D"/>
    <w:rsid w:val="00D8021F"/>
    <w:rsid w:val="00D80383"/>
    <w:rsid w:val="00D80E98"/>
    <w:rsid w:val="00D823C6"/>
    <w:rsid w:val="00D86CA3"/>
    <w:rsid w:val="00D871CE"/>
    <w:rsid w:val="00D9196D"/>
    <w:rsid w:val="00D92982"/>
    <w:rsid w:val="00DA305E"/>
    <w:rsid w:val="00DA5417"/>
    <w:rsid w:val="00DA56E8"/>
    <w:rsid w:val="00DB0A9F"/>
    <w:rsid w:val="00DB377D"/>
    <w:rsid w:val="00DC2D36"/>
    <w:rsid w:val="00DC53EF"/>
    <w:rsid w:val="00DD7EA1"/>
    <w:rsid w:val="00DE5608"/>
    <w:rsid w:val="00DE58D0"/>
    <w:rsid w:val="00DE654F"/>
    <w:rsid w:val="00DF0B6E"/>
    <w:rsid w:val="00DF15E0"/>
    <w:rsid w:val="00DF37A0"/>
    <w:rsid w:val="00DF4F05"/>
    <w:rsid w:val="00E065A5"/>
    <w:rsid w:val="00E110E7"/>
    <w:rsid w:val="00E11B20"/>
    <w:rsid w:val="00E17FA2"/>
    <w:rsid w:val="00E22330"/>
    <w:rsid w:val="00E24477"/>
    <w:rsid w:val="00E25582"/>
    <w:rsid w:val="00E30B5A"/>
    <w:rsid w:val="00E3123D"/>
    <w:rsid w:val="00E31461"/>
    <w:rsid w:val="00E31D43"/>
    <w:rsid w:val="00E32608"/>
    <w:rsid w:val="00E340BF"/>
    <w:rsid w:val="00E34188"/>
    <w:rsid w:val="00E34B6E"/>
    <w:rsid w:val="00E35559"/>
    <w:rsid w:val="00E3723A"/>
    <w:rsid w:val="00E37860"/>
    <w:rsid w:val="00E446F1"/>
    <w:rsid w:val="00E46886"/>
    <w:rsid w:val="00E47AEF"/>
    <w:rsid w:val="00E52D2E"/>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F97"/>
    <w:rsid w:val="00EA37F2"/>
    <w:rsid w:val="00EA4B16"/>
    <w:rsid w:val="00EA7A41"/>
    <w:rsid w:val="00EB077B"/>
    <w:rsid w:val="00EB26F0"/>
    <w:rsid w:val="00EB2B2C"/>
    <w:rsid w:val="00EB4EA2"/>
    <w:rsid w:val="00EC02DC"/>
    <w:rsid w:val="00EC27C6"/>
    <w:rsid w:val="00EC4207"/>
    <w:rsid w:val="00EC5653"/>
    <w:rsid w:val="00EC71CE"/>
    <w:rsid w:val="00EC77A7"/>
    <w:rsid w:val="00ED1006"/>
    <w:rsid w:val="00EE59C8"/>
    <w:rsid w:val="00EF18FE"/>
    <w:rsid w:val="00EF5787"/>
    <w:rsid w:val="00EF60D0"/>
    <w:rsid w:val="00F03DBA"/>
    <w:rsid w:val="00F0528D"/>
    <w:rsid w:val="00F06C67"/>
    <w:rsid w:val="00F06DFD"/>
    <w:rsid w:val="00F071D1"/>
    <w:rsid w:val="00F07533"/>
    <w:rsid w:val="00F10629"/>
    <w:rsid w:val="00F114A0"/>
    <w:rsid w:val="00F15FA5"/>
    <w:rsid w:val="00F209B7"/>
    <w:rsid w:val="00F226DB"/>
    <w:rsid w:val="00F2376F"/>
    <w:rsid w:val="00F243D8"/>
    <w:rsid w:val="00F30828"/>
    <w:rsid w:val="00F313D6"/>
    <w:rsid w:val="00F40F0C"/>
    <w:rsid w:val="00F412E1"/>
    <w:rsid w:val="00F43AF1"/>
    <w:rsid w:val="00F43AFD"/>
    <w:rsid w:val="00F4766C"/>
    <w:rsid w:val="00F5060E"/>
    <w:rsid w:val="00F507D1"/>
    <w:rsid w:val="00F519CE"/>
    <w:rsid w:val="00F51ADA"/>
    <w:rsid w:val="00F607C5"/>
    <w:rsid w:val="00F60B0C"/>
    <w:rsid w:val="00F60DEA"/>
    <w:rsid w:val="00F6302A"/>
    <w:rsid w:val="00F647E1"/>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73A"/>
    <w:rsid w:val="00F953C8"/>
    <w:rsid w:val="00F96985"/>
    <w:rsid w:val="00F96B09"/>
    <w:rsid w:val="00F97838"/>
    <w:rsid w:val="00FA2BB3"/>
    <w:rsid w:val="00FA71CD"/>
    <w:rsid w:val="00FB1F8A"/>
    <w:rsid w:val="00FB48BA"/>
    <w:rsid w:val="00FB4C80"/>
    <w:rsid w:val="00FB6A6A"/>
    <w:rsid w:val="00FC48BD"/>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A381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78427E"/>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045">
      <w:bodyDiv w:val="1"/>
      <w:marLeft w:val="0"/>
      <w:marRight w:val="0"/>
      <w:marTop w:val="0"/>
      <w:marBottom w:val="0"/>
      <w:divBdr>
        <w:top w:val="none" w:sz="0" w:space="0" w:color="auto"/>
        <w:left w:val="none" w:sz="0" w:space="0" w:color="auto"/>
        <w:bottom w:val="none" w:sz="0" w:space="0" w:color="auto"/>
        <w:right w:val="none" w:sz="0" w:space="0" w:color="auto"/>
      </w:divBdr>
      <w:divsChild>
        <w:div w:id="1052075893">
          <w:marLeft w:val="835"/>
          <w:marRight w:val="0"/>
          <w:marTop w:val="91"/>
          <w:marBottom w:val="0"/>
          <w:divBdr>
            <w:top w:val="none" w:sz="0" w:space="0" w:color="auto"/>
            <w:left w:val="none" w:sz="0" w:space="0" w:color="auto"/>
            <w:bottom w:val="none" w:sz="0" w:space="0" w:color="auto"/>
            <w:right w:val="none" w:sz="0" w:space="0" w:color="auto"/>
          </w:divBdr>
        </w:div>
        <w:div w:id="406151666">
          <w:marLeft w:val="835"/>
          <w:marRight w:val="0"/>
          <w:marTop w:val="91"/>
          <w:marBottom w:val="0"/>
          <w:divBdr>
            <w:top w:val="none" w:sz="0" w:space="0" w:color="auto"/>
            <w:left w:val="none" w:sz="0" w:space="0" w:color="auto"/>
            <w:bottom w:val="none" w:sz="0" w:space="0" w:color="auto"/>
            <w:right w:val="none" w:sz="0" w:space="0" w:color="auto"/>
          </w:divBdr>
        </w:div>
        <w:div w:id="1218737064">
          <w:marLeft w:val="835"/>
          <w:marRight w:val="0"/>
          <w:marTop w:val="91"/>
          <w:marBottom w:val="0"/>
          <w:divBdr>
            <w:top w:val="none" w:sz="0" w:space="0" w:color="auto"/>
            <w:left w:val="none" w:sz="0" w:space="0" w:color="auto"/>
            <w:bottom w:val="none" w:sz="0" w:space="0" w:color="auto"/>
            <w:right w:val="none" w:sz="0" w:space="0" w:color="auto"/>
          </w:divBdr>
        </w:div>
        <w:div w:id="870612484">
          <w:marLeft w:val="1411"/>
          <w:marRight w:val="0"/>
          <w:marTop w:val="91"/>
          <w:marBottom w:val="0"/>
          <w:divBdr>
            <w:top w:val="none" w:sz="0" w:space="0" w:color="auto"/>
            <w:left w:val="none" w:sz="0" w:space="0" w:color="auto"/>
            <w:bottom w:val="none" w:sz="0" w:space="0" w:color="auto"/>
            <w:right w:val="none" w:sz="0" w:space="0" w:color="auto"/>
          </w:divBdr>
        </w:div>
        <w:div w:id="1721975179">
          <w:marLeft w:val="1411"/>
          <w:marRight w:val="0"/>
          <w:marTop w:val="91"/>
          <w:marBottom w:val="0"/>
          <w:divBdr>
            <w:top w:val="none" w:sz="0" w:space="0" w:color="auto"/>
            <w:left w:val="none" w:sz="0" w:space="0" w:color="auto"/>
            <w:bottom w:val="none" w:sz="0" w:space="0" w:color="auto"/>
            <w:right w:val="none" w:sz="0" w:space="0" w:color="auto"/>
          </w:divBdr>
        </w:div>
        <w:div w:id="226500830">
          <w:marLeft w:val="835"/>
          <w:marRight w:val="0"/>
          <w:marTop w:val="91"/>
          <w:marBottom w:val="0"/>
          <w:divBdr>
            <w:top w:val="none" w:sz="0" w:space="0" w:color="auto"/>
            <w:left w:val="none" w:sz="0" w:space="0" w:color="auto"/>
            <w:bottom w:val="none" w:sz="0" w:space="0" w:color="auto"/>
            <w:right w:val="none" w:sz="0" w:space="0" w:color="auto"/>
          </w:divBdr>
        </w:div>
        <w:div w:id="1031419081">
          <w:marLeft w:val="835"/>
          <w:marRight w:val="0"/>
          <w:marTop w:val="91"/>
          <w:marBottom w:val="0"/>
          <w:divBdr>
            <w:top w:val="none" w:sz="0" w:space="0" w:color="auto"/>
            <w:left w:val="none" w:sz="0" w:space="0" w:color="auto"/>
            <w:bottom w:val="none" w:sz="0" w:space="0" w:color="auto"/>
            <w:right w:val="none" w:sz="0" w:space="0" w:color="auto"/>
          </w:divBdr>
        </w:div>
        <w:div w:id="843399350">
          <w:marLeft w:val="1411"/>
          <w:marRight w:val="0"/>
          <w:marTop w:val="91"/>
          <w:marBottom w:val="0"/>
          <w:divBdr>
            <w:top w:val="none" w:sz="0" w:space="0" w:color="auto"/>
            <w:left w:val="none" w:sz="0" w:space="0" w:color="auto"/>
            <w:bottom w:val="none" w:sz="0" w:space="0" w:color="auto"/>
            <w:right w:val="none" w:sz="0" w:space="0" w:color="auto"/>
          </w:divBdr>
        </w:div>
        <w:div w:id="916324415">
          <w:marLeft w:val="1973"/>
          <w:marRight w:val="0"/>
          <w:marTop w:val="91"/>
          <w:marBottom w:val="0"/>
          <w:divBdr>
            <w:top w:val="none" w:sz="0" w:space="0" w:color="auto"/>
            <w:left w:val="none" w:sz="0" w:space="0" w:color="auto"/>
            <w:bottom w:val="none" w:sz="0" w:space="0" w:color="auto"/>
            <w:right w:val="none" w:sz="0" w:space="0" w:color="auto"/>
          </w:divBdr>
        </w:div>
        <w:div w:id="218708736">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43550-F1D0-42A5-86F7-4957F7FA5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341</TotalTime>
  <Pages>4</Pages>
  <Words>1698</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22</cp:revision>
  <cp:lastPrinted>2008-01-31T15:09:00Z</cp:lastPrinted>
  <dcterms:created xsi:type="dcterms:W3CDTF">2017-01-05T13:26:00Z</dcterms:created>
  <dcterms:modified xsi:type="dcterms:W3CDTF">2017-02-06T18:16:00Z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