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C4DDB" w14:textId="5314890F" w:rsidR="00D125E9" w:rsidRPr="00327997" w:rsidRDefault="00D125E9" w:rsidP="00D125E9">
      <w:pPr>
        <w:pStyle w:val="3GPPHeader"/>
        <w:rPr>
          <w:highlight w:val="yellow"/>
        </w:rPr>
      </w:pPr>
      <w:bookmarkStart w:id="0" w:name="_GoBack"/>
      <w:bookmarkEnd w:id="0"/>
      <w:r w:rsidRPr="00327997">
        <w:t>3GPP TSG-RAN WG1</w:t>
      </w:r>
      <w:r>
        <w:t xml:space="preserve"> #88</w:t>
      </w:r>
      <w:r w:rsidRPr="00327997">
        <w:tab/>
        <w:t>R1-</w:t>
      </w:r>
      <w:r w:rsidR="00B76B52" w:rsidRPr="00B76B52">
        <w:t>1702686</w:t>
      </w:r>
    </w:p>
    <w:p w14:paraId="0F1395B7" w14:textId="77777777" w:rsidR="00D125E9" w:rsidRPr="006124FC" w:rsidRDefault="00D125E9" w:rsidP="00D125E9">
      <w:pPr>
        <w:pStyle w:val="3GPPHeader"/>
      </w:pPr>
      <w:r w:rsidRPr="006124FC">
        <w:t>Athens, Greece, 13</w:t>
      </w:r>
      <w:r w:rsidRPr="006124FC">
        <w:rPr>
          <w:vertAlign w:val="superscript"/>
        </w:rPr>
        <w:t>th</w:t>
      </w:r>
      <w:r w:rsidRPr="006124FC">
        <w:t xml:space="preserve"> – 17</w:t>
      </w:r>
      <w:r w:rsidRPr="006124FC">
        <w:rPr>
          <w:vertAlign w:val="superscript"/>
        </w:rPr>
        <w:t>th</w:t>
      </w:r>
      <w:r w:rsidRPr="006124FC">
        <w:t xml:space="preserve"> February, 2017</w:t>
      </w:r>
    </w:p>
    <w:p w14:paraId="7D634812" w14:textId="77777777" w:rsidR="00D125E9" w:rsidRPr="006124FC" w:rsidRDefault="00D125E9" w:rsidP="00D125E9">
      <w:pPr>
        <w:pStyle w:val="3GPPHeader"/>
      </w:pPr>
    </w:p>
    <w:p w14:paraId="64D0DC63" w14:textId="77777777" w:rsidR="00D125E9" w:rsidRPr="006124FC" w:rsidRDefault="00D125E9" w:rsidP="00D125E9">
      <w:pPr>
        <w:pStyle w:val="3GPPHeader"/>
      </w:pPr>
      <w:r w:rsidRPr="006124FC">
        <w:t>Source:</w:t>
      </w:r>
      <w:r w:rsidRPr="006124FC">
        <w:tab/>
        <w:t>Ericsson</w:t>
      </w:r>
    </w:p>
    <w:p w14:paraId="3BA3B9ED" w14:textId="1D45108C" w:rsidR="00D125E9" w:rsidRPr="006124FC" w:rsidRDefault="00D125E9" w:rsidP="00D125E9">
      <w:pPr>
        <w:pStyle w:val="3GPPHeader"/>
      </w:pPr>
      <w:r w:rsidRPr="006124FC">
        <w:t>Title:</w:t>
      </w:r>
      <w:r w:rsidRPr="006124FC">
        <w:tab/>
      </w:r>
      <w:r w:rsidR="00395560">
        <w:t>Category 2</w:t>
      </w:r>
      <w:r w:rsidR="00B76B52">
        <w:t xml:space="preserve"> </w:t>
      </w:r>
      <w:r w:rsidR="00395560">
        <w:t>&amp;</w:t>
      </w:r>
      <w:r w:rsidR="00B76B52">
        <w:t xml:space="preserve"> </w:t>
      </w:r>
      <w:r w:rsidR="00395560">
        <w:t xml:space="preserve">3 </w:t>
      </w:r>
      <w:r>
        <w:t>Type II CSI Codebook</w:t>
      </w:r>
    </w:p>
    <w:p w14:paraId="13208B86" w14:textId="1FD63A27" w:rsidR="00D125E9" w:rsidRPr="006124FC" w:rsidRDefault="00D125E9" w:rsidP="00D125E9">
      <w:pPr>
        <w:pStyle w:val="3GPPHeader"/>
      </w:pPr>
      <w:r w:rsidRPr="006124FC">
        <w:t>Agenda Item:</w:t>
      </w:r>
      <w:r w:rsidRPr="006124FC">
        <w:tab/>
      </w:r>
      <w:r>
        <w:t>8.1.2.3.3</w:t>
      </w:r>
    </w:p>
    <w:p w14:paraId="62953FA9" w14:textId="647FCA73" w:rsidR="00D125E9" w:rsidRDefault="00D125E9" w:rsidP="00D125E9">
      <w:pPr>
        <w:pStyle w:val="3GPPHeader"/>
      </w:pPr>
      <w:r w:rsidRPr="00327997">
        <w:t>Document for:</w:t>
      </w:r>
      <w:r w:rsidRPr="00327997">
        <w:tab/>
      </w:r>
      <w:r>
        <w:t>Discussion and</w:t>
      </w:r>
      <w:r w:rsidRPr="009C6832">
        <w:t xml:space="preserve"> Decision</w:t>
      </w:r>
    </w:p>
    <w:p w14:paraId="625CA431" w14:textId="2C5017F8" w:rsidR="00E90E49" w:rsidRDefault="00E90E49" w:rsidP="00D125E9">
      <w:pPr>
        <w:pStyle w:val="Heading1"/>
      </w:pPr>
      <w:r w:rsidRPr="003F2585">
        <w:t>Introduction</w:t>
      </w:r>
    </w:p>
    <w:p w14:paraId="17B45173" w14:textId="513E32DD" w:rsidR="00F65255" w:rsidRDefault="00F65255" w:rsidP="00F65255">
      <w:pPr>
        <w:rPr>
          <w:lang w:val="en-GB" w:eastAsia="zh-CN"/>
        </w:rPr>
      </w:pPr>
      <w:r>
        <w:rPr>
          <w:lang w:val="en-GB" w:eastAsia="zh-CN"/>
        </w:rPr>
        <w:t>In RAN1#87ah, an agreement on a number of Type II CSI feedback schemes for further study was made:</w:t>
      </w:r>
    </w:p>
    <w:p w14:paraId="29ED7EFA" w14:textId="77777777" w:rsidR="00F65255" w:rsidRPr="00F65255" w:rsidRDefault="00F65255" w:rsidP="00F65255">
      <w:pPr>
        <w:snapToGrid w:val="0"/>
        <w:spacing w:after="0" w:line="240" w:lineRule="auto"/>
        <w:ind w:left="1440" w:hanging="1440"/>
        <w:rPr>
          <w:rFonts w:ascii="Times" w:eastAsia="MS Mincho" w:hAnsi="Times" w:cs="Times New Roman"/>
          <w:sz w:val="20"/>
          <w:szCs w:val="24"/>
          <w:lang w:val="en-GB" w:eastAsia="ja-JP"/>
        </w:rPr>
      </w:pPr>
      <w:r w:rsidRPr="00F65255">
        <w:rPr>
          <w:rFonts w:ascii="Times" w:eastAsia="MS Mincho" w:hAnsi="Times" w:cs="Times New Roman"/>
          <w:b/>
          <w:sz w:val="20"/>
          <w:szCs w:val="24"/>
          <w:highlight w:val="green"/>
          <w:u w:val="single"/>
          <w:lang w:val="en-GB" w:eastAsia="ja-JP"/>
        </w:rPr>
        <w:t>Agreements:</w:t>
      </w:r>
    </w:p>
    <w:p w14:paraId="172D1264"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The following two categories of Type II CSI are considered:</w:t>
      </w:r>
    </w:p>
    <w:p w14:paraId="37274A70"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1: Precoder feedback</w:t>
      </w:r>
    </w:p>
    <w:p w14:paraId="795F88CB"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2: Covariance matrix feedback</w:t>
      </w:r>
    </w:p>
    <w:p w14:paraId="610FD957" w14:textId="77777777" w:rsidR="00F65255" w:rsidRPr="00F65255" w:rsidRDefault="00F65255" w:rsidP="004A021C">
      <w:pPr>
        <w:numPr>
          <w:ilvl w:val="1"/>
          <w:numId w:val="29"/>
        </w:numPr>
        <w:snapToGrid w:val="0"/>
        <w:spacing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Category 3: Hybrid CSI feedback i.e. Type II CSI codebook can be used in conjunction with LTE-Class-B-type-like CSI feedback (e.g. based on port selection/combination codebook)</w:t>
      </w:r>
    </w:p>
    <w:p w14:paraId="5A3223D9" w14:textId="1A3E3F79" w:rsidR="00F65255" w:rsidRDefault="00F65255" w:rsidP="00F65255">
      <w:pPr>
        <w:rPr>
          <w:lang w:val="en-GB" w:eastAsia="zh-CN"/>
        </w:rPr>
      </w:pPr>
      <w:r>
        <w:rPr>
          <w:lang w:val="en-GB" w:eastAsia="zh-CN"/>
        </w:rPr>
        <w:t xml:space="preserve">Thus, in addition to extensions of the LTE Rel-14 advanced CSI feedback mechanism (Category 1 above), two other categories of schemes are considered. A number of </w:t>
      </w:r>
      <w:r w:rsidR="00D624C4">
        <w:rPr>
          <w:lang w:val="en-GB" w:eastAsia="zh-CN"/>
        </w:rPr>
        <w:t>candidates</w:t>
      </w:r>
      <w:r>
        <w:rPr>
          <w:lang w:val="en-GB" w:eastAsia="zh-CN"/>
        </w:rPr>
        <w:t xml:space="preserve"> for the two categories</w:t>
      </w:r>
      <w:r w:rsidR="00D624C4">
        <w:rPr>
          <w:lang w:val="en-GB" w:eastAsia="zh-CN"/>
        </w:rPr>
        <w:t xml:space="preserve"> was also listed in the agreement:</w:t>
      </w:r>
    </w:p>
    <w:p w14:paraId="7F426A1C"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For Category 2, study the following candidates:</w:t>
      </w:r>
    </w:p>
    <w:p w14:paraId="31EDB5B9" w14:textId="77777777" w:rsidR="00F65255" w:rsidRPr="00F65255" w:rsidRDefault="00F65255" w:rsidP="00F65255">
      <w:pPr>
        <w:numPr>
          <w:ilvl w:val="1"/>
          <w:numId w:val="29"/>
        </w:numPr>
        <w:spacing w:after="0" w:line="240" w:lineRule="auto"/>
        <w:contextualSpacing/>
        <w:rPr>
          <w:rFonts w:ascii="Times" w:eastAsia="Malgun Gothic" w:hAnsi="Times" w:cs="Times New Roman"/>
          <w:sz w:val="20"/>
          <w:szCs w:val="24"/>
          <w:lang w:val="en-GB"/>
        </w:rPr>
      </w:pPr>
      <w:r w:rsidRPr="00F65255">
        <w:rPr>
          <w:rFonts w:ascii="Times" w:eastAsia="Batang" w:hAnsi="Times" w:cs="Times New Roman"/>
          <w:sz w:val="20"/>
          <w:szCs w:val="24"/>
          <w:lang w:val="en-GB"/>
        </w:rPr>
        <w:t xml:space="preserve">Scheme 2-1: </w:t>
      </w:r>
      <w:r w:rsidRPr="00F65255">
        <w:rPr>
          <w:rFonts w:ascii="Times" w:eastAsia="Malgun Gothic" w:hAnsi="Times" w:cs="Times New Roman"/>
          <w:bCs/>
          <w:iCs/>
          <w:spacing w:val="6"/>
          <w:sz w:val="20"/>
          <w:szCs w:val="24"/>
          <w:lang w:val="en-GB"/>
        </w:rPr>
        <w:t>UE feedbacks the best M orthogonal DFT basis vectors along with corresponding covariance matrix entities</w:t>
      </w:r>
    </w:p>
    <w:p w14:paraId="0761564C" w14:textId="4C14E3DA" w:rsidR="00F65255" w:rsidRPr="00F65255" w:rsidRDefault="00F65255" w:rsidP="00F65255">
      <w:pPr>
        <w:snapToGrid w:val="0"/>
        <w:spacing w:after="0" w:line="240" w:lineRule="auto"/>
        <w:ind w:left="1440" w:hanging="1440"/>
        <w:rPr>
          <w:rFonts w:ascii="Times" w:eastAsia="Batang" w:hAnsi="Times" w:cs="Times New Roman"/>
          <w:sz w:val="20"/>
          <w:szCs w:val="24"/>
          <w:lang w:val="en-GB"/>
        </w:rPr>
      </w:pPr>
      <w:r w:rsidRPr="00F65255">
        <w:rPr>
          <w:rFonts w:ascii="Times" w:eastAsia="Batang" w:hAnsi="Times" w:cs="Times New Roman"/>
          <w:noProof/>
          <w:sz w:val="20"/>
          <w:szCs w:val="24"/>
        </w:rPr>
        <w:drawing>
          <wp:inline distT="0" distB="0" distL="0" distR="0" wp14:anchorId="72FA169D" wp14:editId="53DFCEFF">
            <wp:extent cx="612457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4575" cy="752475"/>
                    </a:xfrm>
                    <a:prstGeom prst="rect">
                      <a:avLst/>
                    </a:prstGeom>
                    <a:noFill/>
                    <a:ln>
                      <a:noFill/>
                    </a:ln>
                  </pic:spPr>
                </pic:pic>
              </a:graphicData>
            </a:graphic>
          </wp:inline>
        </w:drawing>
      </w:r>
    </w:p>
    <w:p w14:paraId="3C385E27"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 xml:space="preserve">Scheme 2-2: Use the same codebook as Category 1 to quantize M (≥1) dominant eigenvectors of the (sample) covariance matrix </w:t>
      </w:r>
    </w:p>
    <w:p w14:paraId="5980CF04"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Other candidates are not precluded</w:t>
      </w:r>
    </w:p>
    <w:p w14:paraId="3D92A5EB" w14:textId="77777777" w:rsidR="00F65255" w:rsidRPr="00F65255" w:rsidRDefault="00F65255" w:rsidP="00F65255">
      <w:pPr>
        <w:numPr>
          <w:ilvl w:val="0"/>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For Category 3, study the following candidates:</w:t>
      </w:r>
    </w:p>
    <w:p w14:paraId="3DF3FD91"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W1: Long term CSI W1 can be acquired by the following approaches</w:t>
      </w:r>
    </w:p>
    <w:p w14:paraId="54536B4E" w14:textId="77777777" w:rsidR="00F65255" w:rsidRPr="00F65255" w:rsidRDefault="00F65255" w:rsidP="00F65255">
      <w:pPr>
        <w:numPr>
          <w:ilvl w:val="2"/>
          <w:numId w:val="29"/>
        </w:numPr>
        <w:snapToGrid w:val="0"/>
        <w:spacing w:after="0" w:line="240" w:lineRule="auto"/>
        <w:rPr>
          <w:rFonts w:ascii="Times" w:eastAsia="MS Gothic" w:hAnsi="Times" w:cs="Times New Roman"/>
          <w:sz w:val="20"/>
          <w:szCs w:val="24"/>
          <w:lang w:val="en-GB"/>
        </w:rPr>
      </w:pPr>
      <w:r w:rsidRPr="00F65255">
        <w:rPr>
          <w:rFonts w:ascii="Times" w:eastAsia="Batang" w:hAnsi="Times" w:cs="Times New Roman"/>
          <w:sz w:val="20"/>
          <w:szCs w:val="24"/>
          <w:lang w:val="en-GB"/>
        </w:rPr>
        <w:t xml:space="preserve">W1 codebook in Category 1 e.g </w:t>
      </w:r>
      <w:r w:rsidRPr="00F65255">
        <w:rPr>
          <w:rFonts w:ascii="Times" w:eastAsia="SimSun" w:hAnsi="Times" w:cs="Times New Roman"/>
          <w:sz w:val="20"/>
          <w:szCs w:val="24"/>
          <w:lang w:val="en-GB"/>
        </w:rPr>
        <w:t>orthogonal DFT beams selected from configured beam groups</w:t>
      </w:r>
    </w:p>
    <w:p w14:paraId="1F48820E"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Beam selection based on beamformed CSI-RS (e.g. DFT beams based)</w:t>
      </w:r>
    </w:p>
    <w:p w14:paraId="3BB20A15"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Channel reciprocity</w:t>
      </w:r>
    </w:p>
    <w:p w14:paraId="3839ADE8"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NOTE that RSRP-like report may be used instead of CQI</w:t>
      </w:r>
    </w:p>
    <w:p w14:paraId="17D174CD"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Some restrictions should be considered in Beam/Beam group based feedback</w:t>
      </w:r>
    </w:p>
    <w:p w14:paraId="597A95F1"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E.g. To avoid two or more selected DFT beams corresponding to one path, the direction difference should be sufficient for any two selected beams.</w:t>
      </w:r>
    </w:p>
    <w:p w14:paraId="4ED7249A"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Other restriction is not precluded</w:t>
      </w:r>
    </w:p>
    <w:p w14:paraId="2EA410EC"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FFS:  Criteria for beam selection</w:t>
      </w:r>
    </w:p>
    <w:p w14:paraId="6729F391"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Both CQI and RSRP-like reporting should be studied.</w:t>
      </w:r>
    </w:p>
    <w:p w14:paraId="4F71E69B" w14:textId="77777777" w:rsidR="00F65255" w:rsidRPr="00F65255" w:rsidRDefault="00F65255" w:rsidP="00F65255">
      <w:pPr>
        <w:numPr>
          <w:ilvl w:val="1"/>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 xml:space="preserve">FFS : How to determine the number of reported beams </w:t>
      </w:r>
    </w:p>
    <w:p w14:paraId="5FA8957C" w14:textId="77777777" w:rsidR="00F65255" w:rsidRPr="00F65255" w:rsidRDefault="00F65255" w:rsidP="00F65255">
      <w:pPr>
        <w:numPr>
          <w:ilvl w:val="2"/>
          <w:numId w:val="29"/>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Both Configured by gNB and determined by UE can be considered</w:t>
      </w:r>
    </w:p>
    <w:p w14:paraId="617B9355" w14:textId="77777777" w:rsidR="00F65255" w:rsidRPr="00F65255" w:rsidRDefault="00F65255" w:rsidP="00F65255">
      <w:pPr>
        <w:numPr>
          <w:ilvl w:val="2"/>
          <w:numId w:val="30"/>
        </w:numPr>
        <w:snapToGrid w:val="0"/>
        <w:spacing w:after="0" w:line="240" w:lineRule="auto"/>
        <w:rPr>
          <w:rFonts w:ascii="Times" w:eastAsia="Batang" w:hAnsi="Times" w:cs="Times New Roman"/>
          <w:sz w:val="20"/>
          <w:szCs w:val="24"/>
          <w:lang w:val="en-GB"/>
        </w:rPr>
      </w:pPr>
      <w:r w:rsidRPr="00F65255">
        <w:rPr>
          <w:rFonts w:ascii="Times" w:eastAsia="Batang" w:hAnsi="Times" w:cs="Times New Roman"/>
          <w:sz w:val="20"/>
          <w:szCs w:val="24"/>
          <w:lang w:val="en-GB"/>
        </w:rPr>
        <w:t>W2:  Full CSI feedback based on beamformed CSI-RS and ports selection/combination codebook (Class-B-like codebook). (NOTE: W1 and W2 are derived from different set of CSI-RS resources)</w:t>
      </w:r>
    </w:p>
    <w:p w14:paraId="027AFD27" w14:textId="39BD7456" w:rsidR="00F65255" w:rsidRPr="00F65255" w:rsidRDefault="00D624C4" w:rsidP="00F65255">
      <w:pPr>
        <w:rPr>
          <w:lang w:val="en-GB" w:eastAsia="zh-CN"/>
        </w:rPr>
      </w:pPr>
      <w:r>
        <w:rPr>
          <w:lang w:val="en-GB" w:eastAsia="zh-CN"/>
        </w:rPr>
        <w:lastRenderedPageBreak/>
        <w:t>In this contribution, we discuss the needed to support these additional categories of schemes in addition to Category 1.</w:t>
      </w:r>
    </w:p>
    <w:p w14:paraId="1CC4BA1E" w14:textId="02D41655" w:rsidR="00670139" w:rsidRDefault="00D624C4" w:rsidP="00670139">
      <w:pPr>
        <w:pStyle w:val="Heading1"/>
      </w:pPr>
      <w:r>
        <w:t>Covariance matrix feedback (Category 2)</w:t>
      </w:r>
    </w:p>
    <w:p w14:paraId="1D6966CA" w14:textId="554A0089" w:rsidR="00D624C4" w:rsidRDefault="00D624C4" w:rsidP="00D624C4">
      <w:pPr>
        <w:rPr>
          <w:lang w:val="en-GB" w:eastAsia="zh-CN"/>
        </w:rPr>
      </w:pPr>
      <w:r>
        <w:rPr>
          <w:lang w:val="en-GB" w:eastAsia="zh-CN"/>
        </w:rPr>
        <w:t>With covariance matrix feedback, the long-term and wideband channel properties are fed back to the gNB. Typically, this</w:t>
      </w:r>
      <w:r w:rsidR="00F7441C">
        <w:rPr>
          <w:lang w:val="en-GB" w:eastAsia="zh-CN"/>
        </w:rPr>
        <w:t xml:space="preserve"> results in a feedback of a high rank matrix defining a larger-dimensional channel subspace spanning the UEs channel realization across the frequency band. The size of the subspace spanned by the </w:t>
      </w:r>
      <w:r w:rsidR="00946F3F">
        <w:rPr>
          <w:lang w:val="en-GB" w:eastAsia="zh-CN"/>
        </w:rPr>
        <w:t>covariance</w:t>
      </w:r>
      <w:r w:rsidR="00F7441C">
        <w:rPr>
          <w:lang w:val="en-GB" w:eastAsia="zh-CN"/>
        </w:rPr>
        <w:t xml:space="preserve"> matrix depends on the angular spread of the propagation channel. </w:t>
      </w:r>
      <w:r w:rsidR="00292DB5">
        <w:rPr>
          <w:lang w:val="en-GB" w:eastAsia="zh-CN"/>
        </w:rPr>
        <w:t>If for instance</w:t>
      </w:r>
      <w:r w:rsidR="00F7441C">
        <w:rPr>
          <w:lang w:val="en-GB" w:eastAsia="zh-CN"/>
        </w:rPr>
        <w:t xml:space="preserve"> the channel is pure LOS, the subspace only spans two dimensions (corresponding to the LOS path </w:t>
      </w:r>
      <w:r w:rsidR="00292DB5">
        <w:rPr>
          <w:lang w:val="en-GB" w:eastAsia="zh-CN"/>
        </w:rPr>
        <w:t xml:space="preserve">on each polarization). To illustrate the typical rank of a wideband </w:t>
      </w:r>
      <w:r w:rsidR="00946F3F">
        <w:rPr>
          <w:lang w:val="en-GB" w:eastAsia="zh-CN"/>
        </w:rPr>
        <w:t>covariance</w:t>
      </w:r>
      <w:r w:rsidR="00292DB5">
        <w:rPr>
          <w:lang w:val="en-GB" w:eastAsia="zh-CN"/>
        </w:rPr>
        <w:t xml:space="preserve"> matrix, we present a plot of the C.D.F. of the fraction of the total channel energy that is captured in the </w:t>
      </w:r>
      <m:oMath>
        <m:r>
          <w:rPr>
            <w:rFonts w:ascii="Cambria Math" w:hAnsi="Cambria Math"/>
            <w:lang w:val="en-GB" w:eastAsia="zh-CN"/>
          </w:rPr>
          <m:t>N=</m:t>
        </m:r>
        <m:d>
          <m:dPr>
            <m:begChr m:val="{"/>
            <m:endChr m:val="}"/>
            <m:ctrlPr>
              <w:rPr>
                <w:rFonts w:ascii="Cambria Math" w:hAnsi="Cambria Math"/>
                <w:i/>
                <w:lang w:val="en-GB" w:eastAsia="zh-CN"/>
              </w:rPr>
            </m:ctrlPr>
          </m:dPr>
          <m:e>
            <m:r>
              <w:rPr>
                <w:rFonts w:ascii="Cambria Math" w:hAnsi="Cambria Math"/>
                <w:lang w:val="en-GB" w:eastAsia="zh-CN"/>
              </w:rPr>
              <m:t>2,4,6,8</m:t>
            </m:r>
          </m:e>
        </m:d>
      </m:oMath>
      <w:r w:rsidR="00292DB5">
        <w:rPr>
          <w:rFonts w:eastAsiaTheme="minorEastAsia"/>
          <w:lang w:val="en-GB" w:eastAsia="zh-CN"/>
        </w:rPr>
        <w:t xml:space="preserve"> principal eigenvectors of the </w:t>
      </w:r>
      <w:r w:rsidR="00946F3F">
        <w:rPr>
          <w:rFonts w:eastAsiaTheme="minorEastAsia"/>
          <w:lang w:val="en-GB" w:eastAsia="zh-CN"/>
        </w:rPr>
        <w:t>covariance</w:t>
      </w:r>
      <w:r w:rsidR="00292DB5">
        <w:rPr>
          <w:rFonts w:eastAsiaTheme="minorEastAsia"/>
          <w:lang w:val="en-GB" w:eastAsia="zh-CN"/>
        </w:rPr>
        <w:t xml:space="preserve"> matrix in the 3GPP 3D UMi channel model with 32TX and 2RX in </w:t>
      </w:r>
      <w:r w:rsidR="00292DB5">
        <w:rPr>
          <w:rFonts w:eastAsiaTheme="minorEastAsia"/>
          <w:lang w:val="en-GB" w:eastAsia="zh-CN"/>
        </w:rPr>
        <w:fldChar w:fldCharType="begin"/>
      </w:r>
      <w:r w:rsidR="00292DB5">
        <w:rPr>
          <w:rFonts w:eastAsiaTheme="minorEastAsia"/>
          <w:lang w:val="en-GB" w:eastAsia="zh-CN"/>
        </w:rPr>
        <w:instrText xml:space="preserve"> REF _Ref471918635 \h </w:instrText>
      </w:r>
      <w:r w:rsidR="00292DB5">
        <w:rPr>
          <w:rFonts w:eastAsiaTheme="minorEastAsia"/>
          <w:lang w:val="en-GB" w:eastAsia="zh-CN"/>
        </w:rPr>
      </w:r>
      <w:r w:rsidR="00292DB5">
        <w:rPr>
          <w:rFonts w:eastAsiaTheme="minorEastAsia"/>
          <w:lang w:val="en-GB" w:eastAsia="zh-CN"/>
        </w:rPr>
        <w:fldChar w:fldCharType="separate"/>
      </w:r>
      <w:r w:rsidR="00292DB5">
        <w:t xml:space="preserve">Figure </w:t>
      </w:r>
      <w:r w:rsidR="00292DB5">
        <w:rPr>
          <w:noProof/>
        </w:rPr>
        <w:t>1</w:t>
      </w:r>
      <w:r w:rsidR="00292DB5">
        <w:rPr>
          <w:rFonts w:eastAsiaTheme="minorEastAsia"/>
          <w:lang w:val="en-GB" w:eastAsia="zh-CN"/>
        </w:rPr>
        <w:fldChar w:fldCharType="end"/>
      </w:r>
      <w:r w:rsidR="00292DB5">
        <w:rPr>
          <w:rFonts w:eastAsiaTheme="minorEastAsia"/>
          <w:lang w:val="en-GB" w:eastAsia="zh-CN"/>
        </w:rPr>
        <w:t xml:space="preserve">. As seen, for almost every UE, 90% or more of the channel energy is captured in the 6 principal eigenvectors of the wideband </w:t>
      </w:r>
      <w:r w:rsidR="00946F3F">
        <w:rPr>
          <w:rFonts w:eastAsiaTheme="minorEastAsia"/>
          <w:lang w:val="en-GB" w:eastAsia="zh-CN"/>
        </w:rPr>
        <w:t>covariance</w:t>
      </w:r>
      <w:r w:rsidR="00292DB5">
        <w:rPr>
          <w:rFonts w:eastAsiaTheme="minorEastAsia"/>
          <w:lang w:val="en-GB" w:eastAsia="zh-CN"/>
        </w:rPr>
        <w:t xml:space="preserve"> matrix.  </w:t>
      </w:r>
    </w:p>
    <w:p w14:paraId="71265AB0" w14:textId="77777777" w:rsidR="00F7441C" w:rsidRDefault="00F7441C" w:rsidP="004A021C">
      <w:pPr>
        <w:pStyle w:val="BodyText"/>
        <w:keepNext/>
        <w:ind w:left="1134"/>
        <w:jc w:val="center"/>
      </w:pPr>
      <w:r w:rsidRPr="00B97859">
        <w:rPr>
          <w:noProof/>
        </w:rPr>
        <w:drawing>
          <wp:inline distT="0" distB="0" distL="0" distR="0" wp14:anchorId="19C7F386" wp14:editId="3BB96890">
            <wp:extent cx="5114925" cy="3692726"/>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27161" cy="3701559"/>
                    </a:xfrm>
                    <a:prstGeom prst="rect">
                      <a:avLst/>
                    </a:prstGeom>
                  </pic:spPr>
                </pic:pic>
              </a:graphicData>
            </a:graphic>
          </wp:inline>
        </w:drawing>
      </w:r>
    </w:p>
    <w:p w14:paraId="6771F4C4" w14:textId="4AEFFBFC" w:rsidR="00F7441C" w:rsidRDefault="00F7441C" w:rsidP="004A021C">
      <w:pPr>
        <w:pStyle w:val="Caption"/>
        <w:jc w:val="left"/>
      </w:pPr>
      <w:bookmarkStart w:id="1" w:name="_Ref471918635"/>
      <w:r>
        <w:t xml:space="preserve">Figure </w:t>
      </w:r>
      <w:r w:rsidR="00E42F2E">
        <w:fldChar w:fldCharType="begin"/>
      </w:r>
      <w:r w:rsidR="00E42F2E">
        <w:instrText xml:space="preserve"> SEQ Figure \* ARABIC </w:instrText>
      </w:r>
      <w:r w:rsidR="00E42F2E">
        <w:fldChar w:fldCharType="separate"/>
      </w:r>
      <w:r w:rsidR="00ED3D32">
        <w:rPr>
          <w:noProof/>
        </w:rPr>
        <w:t>1</w:t>
      </w:r>
      <w:r w:rsidR="00E42F2E">
        <w:rPr>
          <w:noProof/>
        </w:rPr>
        <w:fldChar w:fldCharType="end"/>
      </w:r>
      <w:bookmarkEnd w:id="1"/>
      <w:r>
        <w:t>: Fraction of channel energy captured in a number of the strongest wideband layers, for 3GPP 3D UMi channel model using 1x16 TX antenna array and 2RX UEs</w:t>
      </w:r>
    </w:p>
    <w:p w14:paraId="7E0655A7" w14:textId="63042F5B" w:rsidR="00F7441C" w:rsidRDefault="00292DB5" w:rsidP="00D624C4">
      <w:pPr>
        <w:rPr>
          <w:lang w:eastAsia="zh-CN"/>
        </w:rPr>
      </w:pPr>
      <w:r>
        <w:rPr>
          <w:lang w:eastAsia="zh-CN"/>
        </w:rPr>
        <w:t xml:space="preserve">Thus, in this example, the fed back </w:t>
      </w:r>
      <w:r w:rsidR="00946F3F">
        <w:rPr>
          <w:lang w:eastAsia="zh-CN"/>
        </w:rPr>
        <w:t>covariance</w:t>
      </w:r>
      <w:r>
        <w:rPr>
          <w:lang w:eastAsia="zh-CN"/>
        </w:rPr>
        <w:t xml:space="preserve"> matrix would define a ~6-dimensional channel subspace, but as the UEs are only equipped with 2RX, the channel is maximum rank-2 for a certain TFRE. Thus, the gNB does not know where in this ~6-dimensional “long-term” subspace the 2-dimensional “short-term” channel is located. If the gNB</w:t>
      </w:r>
      <w:r w:rsidR="0020297D">
        <w:rPr>
          <w:lang w:eastAsia="zh-CN"/>
        </w:rPr>
        <w:t xml:space="preserve"> only has this long-term CSI available, the best transmission strategy is to </w:t>
      </w:r>
      <w:r w:rsidR="0020297D">
        <w:rPr>
          <w:lang w:eastAsia="zh-CN"/>
        </w:rPr>
        <w:lastRenderedPageBreak/>
        <w:t>transmit along the 2 principal eigenvectors to</w:t>
      </w:r>
      <w:r w:rsidR="0099103F">
        <w:rPr>
          <w:lang w:eastAsia="zh-CN"/>
        </w:rPr>
        <w:t xml:space="preserve"> form a beam to the UE, but use the entire correlation matrix to form a null towards co-scheduled UEs.</w:t>
      </w:r>
      <w:r w:rsidR="00946F3F">
        <w:rPr>
          <w:lang w:eastAsia="zh-CN"/>
        </w:rPr>
        <w:t xml:space="preserve"> </w:t>
      </w:r>
    </w:p>
    <w:p w14:paraId="59A55013" w14:textId="34AC1D22" w:rsidR="0099103F" w:rsidRDefault="00946F3F" w:rsidP="00D624C4">
      <w:pPr>
        <w:rPr>
          <w:lang w:eastAsia="zh-CN"/>
        </w:rPr>
      </w:pPr>
      <w:r>
        <w:rPr>
          <w:lang w:eastAsia="zh-CN"/>
        </w:rPr>
        <w:t xml:space="preserve">We have performed simulations to evaluate the performance of wideband covariance matrix feedback, for the case where it is used as a standalone feature, i.e. it is not combined with any short-term CSI. The fed back covariance matrix is used to generate SLNR precoder weights, as discussed in the previous paragraph. Performance is compared to Type I </w:t>
      </w:r>
      <w:r w:rsidR="00D84507">
        <w:rPr>
          <w:lang w:eastAsia="zh-CN"/>
        </w:rPr>
        <w:t xml:space="preserve">CSI </w:t>
      </w:r>
      <w:r>
        <w:rPr>
          <w:lang w:eastAsia="zh-CN"/>
        </w:rPr>
        <w:t>feedback based on Rel-13 Class A codebook as well as the proposed Category 1 Type II CSI feedback based on precoder matrix feedback. Simulations are performed using 8x4 antenna array with 32 ports in 3GPP 3D UMi scenario using FTP1 traffic model with 100kB packet size and performance is evaluated at 70%</w:t>
      </w:r>
      <w:r w:rsidR="00B76B52">
        <w:rPr>
          <w:lang w:eastAsia="zh-CN"/>
        </w:rPr>
        <w:t xml:space="preserve"> </w:t>
      </w:r>
      <w:r>
        <w:rPr>
          <w:lang w:eastAsia="zh-CN"/>
        </w:rPr>
        <w:t xml:space="preserve">RU of the baseline system. Other assumptions are according to the Appendix. The results are presented in </w:t>
      </w:r>
      <w:r>
        <w:rPr>
          <w:lang w:eastAsia="zh-CN"/>
        </w:rPr>
        <w:fldChar w:fldCharType="begin"/>
      </w:r>
      <w:r>
        <w:rPr>
          <w:lang w:eastAsia="zh-CN"/>
        </w:rPr>
        <w:instrText xml:space="preserve"> REF _Ref473892781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below.</w:t>
      </w:r>
      <w:r w:rsidR="004A7BCF">
        <w:rPr>
          <w:lang w:eastAsia="zh-CN"/>
        </w:rPr>
        <w:t xml:space="preserve"> As seen, the wideband covariance matrix feedback scheme gives only a small gain of 5% mean user throughput and actually a loss of 9% in cell edge throughput compared to the Type I CSI feedback scheme. This should be compared to the large performance gains observed for the Type II Category 1 scheme. Thus, using only long-term Type II CSI does not seem to bring any performance benefit: the long-term CSI must be combined with short-term CSI to be of any use. Consequently, covariance matrix feedback (Category 2) should not be considered as a standalone feature but it may, on the other hand, be considered as a piece of larger scheme for acquiring long-term CSI for hybrid CSI feedback (Category 3).</w:t>
      </w:r>
    </w:p>
    <w:p w14:paraId="7569FA9F" w14:textId="77777777" w:rsidR="00946F3F" w:rsidRPr="00761F9C" w:rsidRDefault="00946F3F" w:rsidP="00946F3F">
      <w:pPr>
        <w:rPr>
          <w:lang w:val="en-GB" w:eastAsia="zh-CN"/>
        </w:rPr>
      </w:pPr>
    </w:p>
    <w:tbl>
      <w:tblPr>
        <w:tblStyle w:val="TableGrid"/>
        <w:tblW w:w="0" w:type="auto"/>
        <w:tblLook w:val="04A0" w:firstRow="1" w:lastRow="0" w:firstColumn="1" w:lastColumn="0" w:noHBand="0" w:noVBand="1"/>
      </w:tblPr>
      <w:tblGrid>
        <w:gridCol w:w="4673"/>
        <w:gridCol w:w="1701"/>
        <w:gridCol w:w="2552"/>
      </w:tblGrid>
      <w:tr w:rsidR="00946F3F" w:rsidRPr="00F74F06" w14:paraId="4E3CBE6E" w14:textId="77777777" w:rsidTr="00CB1071">
        <w:trPr>
          <w:trHeight w:val="300"/>
        </w:trPr>
        <w:tc>
          <w:tcPr>
            <w:tcW w:w="4673" w:type="dxa"/>
            <w:noWrap/>
            <w:hideMark/>
          </w:tcPr>
          <w:p w14:paraId="7DC0A729" w14:textId="77777777" w:rsidR="00946F3F" w:rsidRPr="00F74F06" w:rsidRDefault="00946F3F" w:rsidP="00CB1071">
            <w:pPr>
              <w:rPr>
                <w:b/>
                <w:lang w:eastAsia="zh-CN"/>
              </w:rPr>
            </w:pPr>
            <w:r w:rsidRPr="00F74F06">
              <w:rPr>
                <w:b/>
                <w:lang w:eastAsia="zh-CN"/>
              </w:rPr>
              <w:t>Scheme</w:t>
            </w:r>
          </w:p>
        </w:tc>
        <w:tc>
          <w:tcPr>
            <w:tcW w:w="1701" w:type="dxa"/>
            <w:noWrap/>
            <w:hideMark/>
          </w:tcPr>
          <w:p w14:paraId="62D9C468" w14:textId="77777777" w:rsidR="00946F3F" w:rsidRPr="00F74F06" w:rsidRDefault="00946F3F" w:rsidP="00CB1071">
            <w:pPr>
              <w:rPr>
                <w:lang w:eastAsia="zh-CN"/>
              </w:rPr>
            </w:pPr>
            <w:r w:rsidRPr="00F74F06">
              <w:rPr>
                <w:lang w:eastAsia="zh-CN"/>
              </w:rPr>
              <w:t>Cell edge gain [%]</w:t>
            </w:r>
          </w:p>
        </w:tc>
        <w:tc>
          <w:tcPr>
            <w:tcW w:w="2552" w:type="dxa"/>
            <w:noWrap/>
            <w:hideMark/>
          </w:tcPr>
          <w:p w14:paraId="5750B501" w14:textId="77777777" w:rsidR="00946F3F" w:rsidRPr="00F74F06" w:rsidRDefault="00946F3F" w:rsidP="00CB1071">
            <w:pPr>
              <w:rPr>
                <w:lang w:eastAsia="zh-CN"/>
              </w:rPr>
            </w:pPr>
            <w:r w:rsidRPr="00F74F06">
              <w:rPr>
                <w:lang w:eastAsia="zh-CN"/>
              </w:rPr>
              <w:t>Normalized user throughput gain [%]</w:t>
            </w:r>
          </w:p>
        </w:tc>
      </w:tr>
      <w:tr w:rsidR="00946F3F" w:rsidRPr="00F74F06" w14:paraId="780D569B" w14:textId="77777777" w:rsidTr="00CB1071">
        <w:trPr>
          <w:trHeight w:val="300"/>
        </w:trPr>
        <w:tc>
          <w:tcPr>
            <w:tcW w:w="4673" w:type="dxa"/>
            <w:noWrap/>
            <w:hideMark/>
          </w:tcPr>
          <w:p w14:paraId="57CA54BF" w14:textId="560B1744" w:rsidR="00946F3F" w:rsidRPr="00F74F06" w:rsidRDefault="00946F3F" w:rsidP="00946F3F">
            <w:pPr>
              <w:rPr>
                <w:lang w:eastAsia="zh-CN"/>
              </w:rPr>
            </w:pPr>
            <w:r>
              <w:rPr>
                <w:lang w:eastAsia="zh-CN"/>
              </w:rPr>
              <w:t>32TX Type I CSI feedback (Rel-13 Class A CB)</w:t>
            </w:r>
          </w:p>
        </w:tc>
        <w:tc>
          <w:tcPr>
            <w:tcW w:w="1701" w:type="dxa"/>
            <w:noWrap/>
            <w:hideMark/>
          </w:tcPr>
          <w:p w14:paraId="08220A1E" w14:textId="77777777" w:rsidR="00946F3F" w:rsidRPr="00F74F06" w:rsidRDefault="00946F3F" w:rsidP="00CB1071">
            <w:pPr>
              <w:rPr>
                <w:lang w:eastAsia="zh-CN"/>
              </w:rPr>
            </w:pPr>
            <w:r w:rsidRPr="00F74F06">
              <w:rPr>
                <w:lang w:eastAsia="zh-CN"/>
              </w:rPr>
              <w:t>0</w:t>
            </w:r>
          </w:p>
        </w:tc>
        <w:tc>
          <w:tcPr>
            <w:tcW w:w="2552" w:type="dxa"/>
            <w:noWrap/>
            <w:hideMark/>
          </w:tcPr>
          <w:p w14:paraId="1CEAD580" w14:textId="77777777" w:rsidR="00946F3F" w:rsidRPr="00F74F06" w:rsidRDefault="00946F3F" w:rsidP="00CB1071">
            <w:pPr>
              <w:rPr>
                <w:lang w:eastAsia="zh-CN"/>
              </w:rPr>
            </w:pPr>
            <w:r w:rsidRPr="00F74F06">
              <w:rPr>
                <w:lang w:eastAsia="zh-CN"/>
              </w:rPr>
              <w:t>0</w:t>
            </w:r>
          </w:p>
        </w:tc>
      </w:tr>
      <w:tr w:rsidR="00946F3F" w:rsidRPr="00F74F06" w14:paraId="576707F0" w14:textId="77777777" w:rsidTr="00CB1071">
        <w:trPr>
          <w:trHeight w:val="300"/>
        </w:trPr>
        <w:tc>
          <w:tcPr>
            <w:tcW w:w="4673" w:type="dxa"/>
            <w:noWrap/>
            <w:hideMark/>
          </w:tcPr>
          <w:p w14:paraId="32C0609C" w14:textId="38944115" w:rsidR="00946F3F" w:rsidRPr="00F74F06" w:rsidRDefault="00946F3F" w:rsidP="00946F3F">
            <w:pPr>
              <w:rPr>
                <w:lang w:eastAsia="zh-CN"/>
              </w:rPr>
            </w:pPr>
            <w:r>
              <w:rPr>
                <w:lang w:eastAsia="zh-CN"/>
              </w:rPr>
              <w:t>32TX Wideband covariance feedback (Category 2)</w:t>
            </w:r>
          </w:p>
          <w:p w14:paraId="19471485" w14:textId="541E9FFE" w:rsidR="00946F3F" w:rsidRPr="00F74F06" w:rsidRDefault="00946F3F" w:rsidP="00CB1071">
            <w:pPr>
              <w:rPr>
                <w:lang w:eastAsia="zh-CN"/>
              </w:rPr>
            </w:pPr>
          </w:p>
        </w:tc>
        <w:tc>
          <w:tcPr>
            <w:tcW w:w="1701" w:type="dxa"/>
            <w:noWrap/>
            <w:hideMark/>
          </w:tcPr>
          <w:p w14:paraId="56EAEF9B" w14:textId="76E99672" w:rsidR="00946F3F" w:rsidRPr="00F74F06" w:rsidRDefault="00946F3F" w:rsidP="00CB1071">
            <w:pPr>
              <w:rPr>
                <w:lang w:eastAsia="zh-CN"/>
              </w:rPr>
            </w:pPr>
            <w:r>
              <w:rPr>
                <w:lang w:eastAsia="zh-CN"/>
              </w:rPr>
              <w:t>-9</w:t>
            </w:r>
          </w:p>
        </w:tc>
        <w:tc>
          <w:tcPr>
            <w:tcW w:w="2552" w:type="dxa"/>
            <w:noWrap/>
            <w:hideMark/>
          </w:tcPr>
          <w:p w14:paraId="0DF6FD7B" w14:textId="559EFC6D" w:rsidR="00946F3F" w:rsidRPr="00F74F06" w:rsidRDefault="00946F3F" w:rsidP="00CB1071">
            <w:pPr>
              <w:keepNext/>
              <w:rPr>
                <w:lang w:eastAsia="zh-CN"/>
              </w:rPr>
            </w:pPr>
            <w:r>
              <w:rPr>
                <w:lang w:eastAsia="zh-CN"/>
              </w:rPr>
              <w:t>5</w:t>
            </w:r>
          </w:p>
        </w:tc>
      </w:tr>
      <w:tr w:rsidR="00946F3F" w:rsidRPr="00F74F06" w14:paraId="5748C1A2" w14:textId="77777777" w:rsidTr="00CB1071">
        <w:trPr>
          <w:trHeight w:val="300"/>
        </w:trPr>
        <w:tc>
          <w:tcPr>
            <w:tcW w:w="4673" w:type="dxa"/>
            <w:noWrap/>
          </w:tcPr>
          <w:p w14:paraId="3A4B7907" w14:textId="14A71334" w:rsidR="00946F3F" w:rsidRDefault="00946F3F" w:rsidP="00946F3F">
            <w:pPr>
              <w:rPr>
                <w:lang w:eastAsia="zh-CN"/>
              </w:rPr>
            </w:pPr>
            <w:r>
              <w:rPr>
                <w:lang w:eastAsia="zh-CN"/>
              </w:rPr>
              <w:t xml:space="preserve">32TX Type II Category 1 feedback, 4 beams, Subband Amplitude </w:t>
            </w:r>
          </w:p>
        </w:tc>
        <w:tc>
          <w:tcPr>
            <w:tcW w:w="1701" w:type="dxa"/>
            <w:noWrap/>
          </w:tcPr>
          <w:p w14:paraId="7C6EE319" w14:textId="2D2D2523" w:rsidR="00946F3F" w:rsidRDefault="00946F3F" w:rsidP="00CB1071">
            <w:pPr>
              <w:rPr>
                <w:lang w:eastAsia="zh-CN"/>
              </w:rPr>
            </w:pPr>
            <w:r>
              <w:rPr>
                <w:lang w:eastAsia="zh-CN"/>
              </w:rPr>
              <w:t>87</w:t>
            </w:r>
          </w:p>
        </w:tc>
        <w:tc>
          <w:tcPr>
            <w:tcW w:w="2552" w:type="dxa"/>
            <w:noWrap/>
          </w:tcPr>
          <w:p w14:paraId="450B22F4" w14:textId="3EE23FE7" w:rsidR="00946F3F" w:rsidRDefault="00946F3F" w:rsidP="00CB1071">
            <w:pPr>
              <w:keepNext/>
              <w:rPr>
                <w:lang w:eastAsia="zh-CN"/>
              </w:rPr>
            </w:pPr>
            <w:r>
              <w:rPr>
                <w:lang w:eastAsia="zh-CN"/>
              </w:rPr>
              <w:t>39</w:t>
            </w:r>
          </w:p>
        </w:tc>
      </w:tr>
    </w:tbl>
    <w:p w14:paraId="26A85B21" w14:textId="2AFEC670" w:rsidR="00946F3F" w:rsidRDefault="00946F3F" w:rsidP="00946F3F">
      <w:pPr>
        <w:pStyle w:val="Caption"/>
      </w:pPr>
      <w:bookmarkStart w:id="2" w:name="_Ref473892781"/>
      <w:r>
        <w:t xml:space="preserve">Figure </w:t>
      </w:r>
      <w:r w:rsidR="00E42F2E">
        <w:fldChar w:fldCharType="begin"/>
      </w:r>
      <w:r w:rsidR="00E42F2E">
        <w:instrText xml:space="preserve"> SEQ Figure \* ARABIC </w:instrText>
      </w:r>
      <w:r w:rsidR="00E42F2E">
        <w:fldChar w:fldCharType="separate"/>
      </w:r>
      <w:r w:rsidR="00ED3D32">
        <w:rPr>
          <w:noProof/>
        </w:rPr>
        <w:t>2</w:t>
      </w:r>
      <w:r w:rsidR="00E42F2E">
        <w:rPr>
          <w:noProof/>
        </w:rPr>
        <w:fldChar w:fldCharType="end"/>
      </w:r>
      <w:bookmarkEnd w:id="2"/>
      <w:r>
        <w:t>: Performance of wideband covariance feedback</w:t>
      </w:r>
    </w:p>
    <w:p w14:paraId="4DEEB9CC" w14:textId="49E673B3" w:rsidR="00946F3F" w:rsidRDefault="00DB1E26" w:rsidP="00D624C4">
      <w:pPr>
        <w:rPr>
          <w:lang w:eastAsia="zh-CN"/>
        </w:rPr>
      </w:pPr>
      <w:r>
        <w:rPr>
          <w:lang w:eastAsia="zh-CN"/>
        </w:rPr>
        <w:t xml:space="preserve">Thus, covariance matrix feedback is only useful when used in a hybrid CSI feedback fashion, where principal eigenvectors of the covariance matrix is used to beamform a “Class B”-type CSI-RS. The question arises whether a special mode for covariance matrix feedback is needed, when the principal eigenvectors could instead be fed back directly, as the gNB anyway does not need to know the weaker eigenvectors. In fact, since </w:t>
      </w:r>
      <w:r>
        <w:rPr>
          <w:rFonts w:eastAsiaTheme="minorEastAsia"/>
          <w:lang w:eastAsia="zh-CN"/>
        </w:rPr>
        <w:t xml:space="preserve">a size </w:t>
      </w:r>
      <m:oMath>
        <m:r>
          <w:rPr>
            <w:rFonts w:ascii="Cambria Math" w:hAnsi="Cambria Math"/>
            <w:lang w:eastAsia="zh-CN"/>
          </w:rPr>
          <m:t xml:space="preserve">M×M </m:t>
        </m:r>
      </m:oMath>
      <w:r>
        <w:rPr>
          <w:rFonts w:eastAsiaTheme="minorEastAsia"/>
          <w:lang w:eastAsia="zh-CN"/>
        </w:rPr>
        <w:t xml:space="preserve">covariance matrix requires feedback of </w:t>
      </w:r>
      <m:oMath>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r>
          <w:rPr>
            <w:rFonts w:ascii="Cambria Math" w:eastAsiaTheme="minorEastAsia" w:hAnsi="Cambria Math"/>
            <w:lang w:eastAsia="zh-CN"/>
          </w:rPr>
          <m:t>+M)/2</m:t>
        </m:r>
      </m:oMath>
      <w:r w:rsidR="00D9456B">
        <w:rPr>
          <w:rFonts w:eastAsiaTheme="minorEastAsia"/>
          <w:lang w:eastAsia="zh-CN"/>
        </w:rPr>
        <w:t xml:space="preserve"> values due to Hermitian structure and feedback of </w:t>
      </w:r>
      <m:oMath>
        <m:r>
          <w:rPr>
            <w:rFonts w:ascii="Cambria Math" w:eastAsiaTheme="minorEastAsia" w:hAnsi="Cambria Math"/>
            <w:lang w:eastAsia="zh-CN"/>
          </w:rPr>
          <m:t>N</m:t>
        </m:r>
      </m:oMath>
      <w:r w:rsidR="00D9456B">
        <w:rPr>
          <w:rFonts w:eastAsiaTheme="minorEastAsia"/>
          <w:lang w:eastAsia="zh-CN"/>
        </w:rPr>
        <w:t xml:space="preserve"> principal eigenvectors require </w:t>
      </w:r>
      <m:oMath>
        <m:r>
          <w:rPr>
            <w:rFonts w:ascii="Cambria Math" w:eastAsiaTheme="minorEastAsia" w:hAnsi="Cambria Math"/>
            <w:lang w:eastAsia="zh-CN"/>
          </w:rPr>
          <m:t>NM</m:t>
        </m:r>
      </m:oMath>
      <w:r w:rsidR="00D9456B">
        <w:rPr>
          <w:rFonts w:eastAsiaTheme="minorEastAsia"/>
          <w:lang w:eastAsia="zh-CN"/>
        </w:rPr>
        <w:t xml:space="preserve"> values, it is more efficient to feed back the eigenvectors directly if </w:t>
      </w:r>
      <m:oMath>
        <m:r>
          <w:rPr>
            <w:rFonts w:ascii="Cambria Math" w:eastAsiaTheme="minorEastAsia" w:hAnsi="Cambria Math"/>
            <w:lang w:eastAsia="zh-CN"/>
          </w:rPr>
          <m:t>N≤M/2</m:t>
        </m:r>
      </m:oMath>
      <w:r w:rsidR="00D9456B">
        <w:rPr>
          <w:rFonts w:eastAsiaTheme="minorEastAsia"/>
          <w:lang w:eastAsia="zh-CN"/>
        </w:rPr>
        <w:t>.</w:t>
      </w:r>
    </w:p>
    <w:p w14:paraId="5E2327F6" w14:textId="77777777" w:rsidR="00DB1E26" w:rsidRDefault="00DB1E26" w:rsidP="004A021C">
      <w:pPr>
        <w:spacing w:after="0"/>
        <w:rPr>
          <w:rFonts w:ascii="Calibri" w:hAnsi="Calibri" w:cs="Times New Roman"/>
          <w:b/>
          <w:bCs/>
        </w:rPr>
      </w:pPr>
      <w:r>
        <w:rPr>
          <w:b/>
          <w:bCs/>
        </w:rPr>
        <w:t>Observations:</w:t>
      </w:r>
    </w:p>
    <w:p w14:paraId="05C0FC5C" w14:textId="17E4DAB1" w:rsidR="00DB1E26" w:rsidRDefault="00DB1E26" w:rsidP="00DB1E26">
      <w:pPr>
        <w:pStyle w:val="ListParagraph"/>
        <w:numPr>
          <w:ilvl w:val="0"/>
          <w:numId w:val="32"/>
        </w:numPr>
        <w:spacing w:after="0" w:line="240" w:lineRule="auto"/>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579E0FCA" w14:textId="77777777" w:rsidR="00DB1E26" w:rsidRDefault="00DB1E26" w:rsidP="00DB1E26">
      <w:pPr>
        <w:pStyle w:val="ListParagraph"/>
        <w:numPr>
          <w:ilvl w:val="0"/>
          <w:numId w:val="32"/>
        </w:numPr>
        <w:spacing w:after="0" w:line="240" w:lineRule="auto"/>
        <w:contextualSpacing w:val="0"/>
        <w:rPr>
          <w:b/>
          <w:bCs/>
        </w:rPr>
      </w:pPr>
      <w:r>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65D0A554" w14:textId="77777777" w:rsidR="00DB1E26" w:rsidRDefault="00DB1E26" w:rsidP="00DB1E26">
      <w:pPr>
        <w:pStyle w:val="ListParagraph"/>
        <w:numPr>
          <w:ilvl w:val="1"/>
          <w:numId w:val="32"/>
        </w:numPr>
        <w:spacing w:after="0" w:line="240" w:lineRule="auto"/>
        <w:contextualSpacing w:val="0"/>
        <w:rPr>
          <w:b/>
          <w:bCs/>
        </w:rPr>
      </w:pPr>
      <w:r>
        <w:t xml:space="preserve">Thus, only the </w:t>
      </w:r>
      <m:oMath>
        <m:r>
          <w:rPr>
            <w:rFonts w:ascii="Cambria Math" w:hAnsi="Cambria Math"/>
          </w:rPr>
          <m:t>N</m:t>
        </m:r>
      </m:oMath>
      <w:r>
        <w:t xml:space="preserve"> strongest eigenvectors rather than all </w:t>
      </w:r>
      <m:oMath>
        <m:r>
          <w:rPr>
            <w:rFonts w:ascii="Cambria Math" w:hAnsi="Cambria Math"/>
          </w:rPr>
          <m:t>M</m:t>
        </m:r>
      </m:oMath>
      <w:r>
        <w:t xml:space="preserve"> are needed</w:t>
      </w:r>
    </w:p>
    <w:p w14:paraId="10636567" w14:textId="77777777" w:rsidR="00DB1E26" w:rsidRDefault="00DB1E26" w:rsidP="00DB1E26">
      <w:pPr>
        <w:pStyle w:val="ListParagraph"/>
        <w:numPr>
          <w:ilvl w:val="0"/>
          <w:numId w:val="32"/>
        </w:numPr>
        <w:spacing w:after="0" w:line="240" w:lineRule="auto"/>
        <w:contextualSpacing w:val="0"/>
        <w:rPr>
          <w:b/>
          <w:bCs/>
        </w:rPr>
      </w:pPr>
      <w:r>
        <w:lastRenderedPageBreak/>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5035EABF" w14:textId="5051E556" w:rsidR="00DB1E26" w:rsidRDefault="00DB1E26" w:rsidP="00DB1E26">
      <w:pPr>
        <w:rPr>
          <w:b/>
          <w:bCs/>
        </w:rPr>
      </w:pPr>
    </w:p>
    <w:p w14:paraId="6DA1CD04" w14:textId="1AFA76A8" w:rsidR="00D624C4" w:rsidRDefault="00D9456B" w:rsidP="00D624C4">
      <w:pPr>
        <w:rPr>
          <w:lang w:val="en-GB" w:eastAsia="zh-CN"/>
        </w:rPr>
      </w:pPr>
      <w:r>
        <w:rPr>
          <w:bCs/>
        </w:rPr>
        <w:t xml:space="preserve">In most proposals, DFT projection of the covariance matrix on a number of the strongest beams </w:t>
      </w:r>
      <m:oMath>
        <m:r>
          <w:rPr>
            <w:rFonts w:ascii="Cambria Math" w:hAnsi="Cambria Math"/>
          </w:rPr>
          <m:t>L</m:t>
        </m:r>
      </m:oMath>
      <w:r>
        <w:rPr>
          <w:rFonts w:eastAsiaTheme="minorEastAsia"/>
          <w:bCs/>
        </w:rPr>
        <w:t xml:space="preserve"> similar to Category 1 feedback is proposed. This actually means that feeding back the eigenvectors of such a DFT projected covariance matrix is equivalent to using the Category 1 codebook with subband amplitude, since W2 essentially quantizes the eigenvectors of the reduced space channel. Thus, to acquire the principal eigenvectors of the wideband covariance matrix, the gNB could trigger a Category 1 Type II report with a fixed higher rank (e.g. fixing the RI to 4 or 6) and a wideband frequency-granularity. Thus, no special feedback mode is needed for covariance feedback, which makes the specification </w:t>
      </w:r>
      <w:r w:rsidR="005F1C36">
        <w:rPr>
          <w:rFonts w:eastAsiaTheme="minorEastAsia"/>
          <w:bCs/>
        </w:rPr>
        <w:t>cleaner</w:t>
      </w:r>
      <w:r>
        <w:rPr>
          <w:rFonts w:eastAsiaTheme="minorEastAsia"/>
          <w:bCs/>
        </w:rPr>
        <w:t xml:space="preserve">. It should be noted, though, that the number of beams </w:t>
      </w:r>
      <m:oMath>
        <m:r>
          <w:rPr>
            <w:rFonts w:ascii="Cambria Math" w:eastAsiaTheme="minorEastAsia" w:hAnsi="Cambria Math"/>
          </w:rPr>
          <m:t>L</m:t>
        </m:r>
      </m:oMath>
      <w:r>
        <w:rPr>
          <w:rFonts w:eastAsiaTheme="minorEastAsia"/>
          <w:bCs/>
        </w:rPr>
        <w:t xml:space="preserve"> and the maximum rank in a wideband Category 1 report very well could be larger than for a subband Category 1 report, as the ov</w:t>
      </w:r>
      <w:r w:rsidR="005F1C36">
        <w:rPr>
          <w:rFonts w:eastAsiaTheme="minorEastAsia"/>
          <w:bCs/>
        </w:rPr>
        <w:t xml:space="preserve">erhead for a </w:t>
      </w:r>
      <w:r>
        <w:rPr>
          <w:rFonts w:eastAsiaTheme="minorEastAsia"/>
          <w:bCs/>
        </w:rPr>
        <w:t>wideband report will not be that large. We therefore make the following proposals:</w:t>
      </w:r>
    </w:p>
    <w:p w14:paraId="7DA4C523" w14:textId="5A87A6E2" w:rsidR="0099103F" w:rsidRDefault="0099103F" w:rsidP="00D624C4">
      <w:pPr>
        <w:rPr>
          <w:b/>
          <w:lang w:val="en-GB" w:eastAsia="zh-CN"/>
        </w:rPr>
      </w:pPr>
      <w:r w:rsidRPr="0099103F">
        <w:rPr>
          <w:b/>
          <w:lang w:val="en-GB" w:eastAsia="zh-CN"/>
        </w:rPr>
        <w:t>Proposals:</w:t>
      </w:r>
    </w:p>
    <w:p w14:paraId="211A1A79" w14:textId="656B6EC1" w:rsidR="0099103F" w:rsidRPr="0099103F" w:rsidRDefault="0099103F" w:rsidP="0099103F">
      <w:pPr>
        <w:pStyle w:val="ListParagraph"/>
        <w:numPr>
          <w:ilvl w:val="0"/>
          <w:numId w:val="31"/>
        </w:numPr>
        <w:rPr>
          <w:b/>
          <w:lang w:val="en-GB" w:eastAsia="zh-CN"/>
        </w:rPr>
      </w:pPr>
      <w:r>
        <w:rPr>
          <w:lang w:val="en-GB" w:eastAsia="zh-CN"/>
        </w:rPr>
        <w:t>Covariance matrix feedback (Category 2) is not considered as a standalone feature for Type II CSI feedback, but may be considered as one method of determining long-term CSI used in hybrid Type II feedback (Category 3)</w:t>
      </w:r>
    </w:p>
    <w:p w14:paraId="674648F8" w14:textId="1F2DF698" w:rsidR="0099103F" w:rsidRPr="0099103F" w:rsidRDefault="0099103F" w:rsidP="0099103F">
      <w:pPr>
        <w:pStyle w:val="ListParagraph"/>
        <w:numPr>
          <w:ilvl w:val="1"/>
          <w:numId w:val="31"/>
        </w:numPr>
        <w:rPr>
          <w:b/>
          <w:lang w:val="en-GB" w:eastAsia="zh-CN"/>
        </w:rPr>
      </w:pPr>
      <w:r>
        <w:rPr>
          <w:lang w:val="en-GB" w:eastAsia="zh-CN"/>
        </w:rPr>
        <w:t>In that case, covariance matrix feedback is implemented as a special case of Category I precoder feedback where the M principal eigenvectors of the covariance matrix are fed back using a Category 1 report configured with</w:t>
      </w:r>
    </w:p>
    <w:p w14:paraId="5607E87F" w14:textId="6B8DCA56" w:rsidR="0099103F" w:rsidRPr="0099103F" w:rsidRDefault="0099103F" w:rsidP="0099103F">
      <w:pPr>
        <w:pStyle w:val="ListParagraph"/>
        <w:numPr>
          <w:ilvl w:val="2"/>
          <w:numId w:val="31"/>
        </w:numPr>
        <w:rPr>
          <w:b/>
          <w:lang w:val="en-GB" w:eastAsia="zh-CN"/>
        </w:rPr>
      </w:pPr>
      <w:r>
        <w:rPr>
          <w:lang w:val="en-GB" w:eastAsia="zh-CN"/>
        </w:rPr>
        <w:t>A fixed RI (RI=M) corresponding to rank-4 or higher</w:t>
      </w:r>
    </w:p>
    <w:p w14:paraId="39983303" w14:textId="6EBA27A3" w:rsidR="0099103F" w:rsidRPr="00E473BF" w:rsidRDefault="0099103F" w:rsidP="0099103F">
      <w:pPr>
        <w:pStyle w:val="ListParagraph"/>
        <w:numPr>
          <w:ilvl w:val="2"/>
          <w:numId w:val="31"/>
        </w:numPr>
        <w:rPr>
          <w:b/>
          <w:lang w:val="en-GB" w:eastAsia="zh-CN"/>
        </w:rPr>
      </w:pPr>
      <w:r>
        <w:rPr>
          <w:lang w:val="en-GB" w:eastAsia="zh-CN"/>
        </w:rPr>
        <w:t>A wideband frequency-granularity</w:t>
      </w:r>
    </w:p>
    <w:p w14:paraId="768F90FF" w14:textId="140F8CCC" w:rsidR="00E473BF" w:rsidRDefault="00E473BF" w:rsidP="00E473BF">
      <w:pPr>
        <w:pStyle w:val="Heading1"/>
      </w:pPr>
      <w:r>
        <w:t>Evaluation results</w:t>
      </w:r>
    </w:p>
    <w:p w14:paraId="399D1650" w14:textId="506747C2" w:rsidR="00B306F4" w:rsidRDefault="00B306F4" w:rsidP="00E473BF">
      <w:pPr>
        <w:rPr>
          <w:lang w:val="en-GB" w:eastAsia="zh-CN"/>
        </w:rPr>
      </w:pPr>
      <w:r>
        <w:rPr>
          <w:lang w:val="en-GB" w:eastAsia="zh-CN"/>
        </w:rPr>
        <w:t>To evaluate the benefit of hybrid Type II CSI feedback, we have performed simulations comparing three schemes:</w:t>
      </w:r>
    </w:p>
    <w:p w14:paraId="2538CA80" w14:textId="3484D69A" w:rsidR="00B306F4" w:rsidRPr="00B306F4" w:rsidRDefault="00B306F4" w:rsidP="00B306F4">
      <w:pPr>
        <w:pStyle w:val="ListParagraph"/>
        <w:numPr>
          <w:ilvl w:val="0"/>
          <w:numId w:val="31"/>
        </w:numPr>
        <w:rPr>
          <w:lang w:val="en-GB" w:eastAsia="zh-CN"/>
        </w:rPr>
      </w:pPr>
      <w:r>
        <w:rPr>
          <w:lang w:val="en-GB" w:eastAsia="zh-CN"/>
        </w:rPr>
        <w:t xml:space="preserve">Category 1 precoder feedback with </w:t>
      </w:r>
      <m:oMath>
        <m:r>
          <w:rPr>
            <w:rFonts w:ascii="Cambria Math" w:hAnsi="Cambria Math"/>
            <w:lang w:val="en-GB" w:eastAsia="zh-CN"/>
          </w:rPr>
          <m:t>L=2,4</m:t>
        </m:r>
      </m:oMath>
      <w:r>
        <w:rPr>
          <w:rFonts w:eastAsiaTheme="minorEastAsia"/>
          <w:lang w:val="en-GB" w:eastAsia="zh-CN"/>
        </w:rPr>
        <w:t xml:space="preserve"> beams and subband amplitude</w:t>
      </w:r>
    </w:p>
    <w:p w14:paraId="6729A51D" w14:textId="2C1CBAF3" w:rsidR="00B306F4" w:rsidRPr="00B306F4" w:rsidRDefault="00B306F4" w:rsidP="00B306F4">
      <w:pPr>
        <w:pStyle w:val="ListParagraph"/>
        <w:numPr>
          <w:ilvl w:val="1"/>
          <w:numId w:val="31"/>
        </w:numPr>
        <w:rPr>
          <w:lang w:val="en-GB" w:eastAsia="zh-CN"/>
        </w:rPr>
      </w:pPr>
      <w:r>
        <w:rPr>
          <w:rFonts w:eastAsiaTheme="minorEastAsia"/>
          <w:lang w:val="en-GB" w:eastAsia="zh-CN"/>
        </w:rPr>
        <w:t>Corresponding to a W2 matrix with 4 or 8 rows</w:t>
      </w:r>
    </w:p>
    <w:p w14:paraId="553BF296" w14:textId="59BF2F50" w:rsidR="00B306F4" w:rsidRPr="00B306F4" w:rsidRDefault="00B306F4" w:rsidP="00B306F4">
      <w:pPr>
        <w:pStyle w:val="ListParagraph"/>
        <w:numPr>
          <w:ilvl w:val="0"/>
          <w:numId w:val="31"/>
        </w:numPr>
        <w:rPr>
          <w:lang w:val="en-GB" w:eastAsia="zh-CN"/>
        </w:rPr>
      </w:pPr>
      <w:r>
        <w:rPr>
          <w:rFonts w:eastAsiaTheme="minorEastAsia"/>
          <w:lang w:val="en-GB" w:eastAsia="zh-CN"/>
        </w:rPr>
        <w:t xml:space="preserve">Category 3 Hybrid CSI feedback with long-term CSI from Category 1 W1 feedback with </w:t>
      </w:r>
      <m:oMath>
        <m:r>
          <w:rPr>
            <w:rFonts w:ascii="Cambria Math" w:hAnsi="Cambria Math"/>
            <w:lang w:val="en-GB" w:eastAsia="zh-CN"/>
          </w:rPr>
          <m:t>L=2,4</m:t>
        </m:r>
      </m:oMath>
      <w:r>
        <w:rPr>
          <w:rFonts w:eastAsiaTheme="minorEastAsia"/>
          <w:lang w:val="en-GB" w:eastAsia="zh-CN"/>
        </w:rPr>
        <w:t xml:space="preserve"> beams</w:t>
      </w:r>
    </w:p>
    <w:p w14:paraId="300C833D" w14:textId="77777777" w:rsidR="00B306F4" w:rsidRPr="00B306F4" w:rsidRDefault="00B306F4" w:rsidP="00B306F4">
      <w:pPr>
        <w:pStyle w:val="ListParagraph"/>
        <w:numPr>
          <w:ilvl w:val="1"/>
          <w:numId w:val="31"/>
        </w:numPr>
        <w:rPr>
          <w:lang w:val="en-GB" w:eastAsia="zh-CN"/>
        </w:rPr>
      </w:pPr>
      <w:r>
        <w:rPr>
          <w:rFonts w:eastAsiaTheme="minorEastAsia"/>
          <w:lang w:val="en-GB" w:eastAsia="zh-CN"/>
        </w:rPr>
        <w:t>Corresponding to a W2 matrix with 4 or 8 rows</w:t>
      </w:r>
    </w:p>
    <w:p w14:paraId="07BE5394" w14:textId="112D06C5" w:rsidR="00B306F4" w:rsidRDefault="00B306F4" w:rsidP="00B306F4">
      <w:pPr>
        <w:pStyle w:val="ListParagraph"/>
        <w:numPr>
          <w:ilvl w:val="0"/>
          <w:numId w:val="31"/>
        </w:numPr>
        <w:rPr>
          <w:lang w:val="en-GB" w:eastAsia="zh-CN"/>
        </w:rPr>
      </w:pPr>
      <w:r>
        <w:rPr>
          <w:lang w:val="en-GB" w:eastAsia="zh-CN"/>
        </w:rPr>
        <w:t>Category 3 Hybrid CSI feedback with long-term CSI from Category 1 W1W2 report with</w:t>
      </w:r>
    </w:p>
    <w:p w14:paraId="29FF862E" w14:textId="2B6E7556" w:rsidR="00B306F4" w:rsidRPr="00B306F4" w:rsidRDefault="00B306F4" w:rsidP="00B306F4">
      <w:pPr>
        <w:pStyle w:val="ListParagraph"/>
        <w:numPr>
          <w:ilvl w:val="1"/>
          <w:numId w:val="31"/>
        </w:numPr>
        <w:rPr>
          <w:lang w:val="en-GB" w:eastAsia="zh-CN"/>
        </w:rPr>
      </w:pPr>
      <m:oMath>
        <m:r>
          <w:rPr>
            <w:rFonts w:ascii="Cambria Math" w:hAnsi="Cambria Math"/>
            <w:lang w:val="en-GB" w:eastAsia="zh-CN"/>
          </w:rPr>
          <m:t xml:space="preserve">L=4 </m:t>
        </m:r>
      </m:oMath>
      <w:r>
        <w:rPr>
          <w:rFonts w:eastAsiaTheme="minorEastAsia"/>
          <w:lang w:val="en-GB" w:eastAsia="zh-CN"/>
        </w:rPr>
        <w:t>beams and RI</w:t>
      </w:r>
      <w:r w:rsidR="006D369B">
        <w:rPr>
          <w:rFonts w:eastAsiaTheme="minorEastAsia"/>
          <w:lang w:val="en-GB" w:eastAsia="zh-CN"/>
        </w:rPr>
        <w:t xml:space="preserve"> </w:t>
      </w:r>
      <w:r>
        <w:rPr>
          <w:rFonts w:eastAsiaTheme="minorEastAsia"/>
          <w:lang w:val="en-GB" w:eastAsia="zh-CN"/>
        </w:rPr>
        <w:t>=</w:t>
      </w:r>
      <w:r w:rsidR="006D369B">
        <w:rPr>
          <w:rFonts w:eastAsiaTheme="minorEastAsia"/>
          <w:lang w:val="en-GB" w:eastAsia="zh-CN"/>
        </w:rPr>
        <w:t xml:space="preserve"> </w:t>
      </w:r>
      <w:r>
        <w:rPr>
          <w:rFonts w:eastAsiaTheme="minorEastAsia"/>
          <w:lang w:val="en-GB" w:eastAsia="zh-CN"/>
        </w:rPr>
        <w:t>4, corresponding to a W2 matrix with 4 rows</w:t>
      </w:r>
    </w:p>
    <w:p w14:paraId="7A720528" w14:textId="2A8D43FA" w:rsidR="00B306F4" w:rsidRPr="006D369B" w:rsidRDefault="00B306F4" w:rsidP="00B306F4">
      <w:pPr>
        <w:pStyle w:val="ListParagraph"/>
        <w:numPr>
          <w:ilvl w:val="1"/>
          <w:numId w:val="31"/>
        </w:numPr>
        <w:rPr>
          <w:lang w:val="en-GB" w:eastAsia="zh-CN"/>
        </w:rPr>
      </w:pPr>
      <m:oMath>
        <m:r>
          <w:rPr>
            <w:rFonts w:ascii="Cambria Math" w:hAnsi="Cambria Math"/>
            <w:lang w:val="en-GB" w:eastAsia="zh-CN"/>
          </w:rPr>
          <m:t>L=4</m:t>
        </m:r>
      </m:oMath>
      <w:r w:rsidR="006D369B">
        <w:rPr>
          <w:rFonts w:eastAsiaTheme="minorEastAsia"/>
          <w:lang w:val="en-GB" w:eastAsia="zh-CN"/>
        </w:rPr>
        <w:t xml:space="preserve"> </w:t>
      </w:r>
      <w:r w:rsidRPr="00B306F4">
        <w:rPr>
          <w:rFonts w:eastAsiaTheme="minorEastAsia"/>
          <w:lang w:val="en-GB" w:eastAsia="zh-CN"/>
        </w:rPr>
        <w:t>beams and RI =</w:t>
      </w:r>
      <w:r w:rsidR="006D369B">
        <w:rPr>
          <w:rFonts w:eastAsiaTheme="minorEastAsia"/>
          <w:lang w:val="en-GB" w:eastAsia="zh-CN"/>
        </w:rPr>
        <w:t xml:space="preserve"> 8</w:t>
      </w:r>
      <w:r w:rsidRPr="00B306F4">
        <w:rPr>
          <w:rFonts w:eastAsiaTheme="minorEastAsia"/>
          <w:lang w:val="en-GB" w:eastAsia="zh-CN"/>
        </w:rPr>
        <w:t xml:space="preserve">, </w:t>
      </w:r>
      <w:r>
        <w:rPr>
          <w:rFonts w:eastAsiaTheme="minorEastAsia"/>
          <w:lang w:val="en-GB" w:eastAsia="zh-CN"/>
        </w:rPr>
        <w:t>cor</w:t>
      </w:r>
      <w:r w:rsidR="006D369B">
        <w:rPr>
          <w:rFonts w:eastAsiaTheme="minorEastAsia"/>
          <w:lang w:val="en-GB" w:eastAsia="zh-CN"/>
        </w:rPr>
        <w:t>responding to a W2 matrix with 8</w:t>
      </w:r>
      <w:r>
        <w:rPr>
          <w:rFonts w:eastAsiaTheme="minorEastAsia"/>
          <w:lang w:val="en-GB" w:eastAsia="zh-CN"/>
        </w:rPr>
        <w:t xml:space="preserve"> rows</w:t>
      </w:r>
    </w:p>
    <w:p w14:paraId="087595D5" w14:textId="42C8FA07" w:rsidR="006D369B" w:rsidRPr="005F1C36" w:rsidRDefault="006D369B" w:rsidP="006D369B">
      <w:pPr>
        <w:pStyle w:val="ListParagraph"/>
        <w:numPr>
          <w:ilvl w:val="1"/>
          <w:numId w:val="31"/>
        </w:numPr>
        <w:rPr>
          <w:lang w:val="en-GB" w:eastAsia="zh-CN"/>
        </w:rPr>
      </w:pPr>
      <m:oMath>
        <m:r>
          <w:rPr>
            <w:rFonts w:ascii="Cambria Math" w:hAnsi="Cambria Math"/>
            <w:lang w:val="en-GB" w:eastAsia="zh-CN"/>
          </w:rPr>
          <m:t xml:space="preserve">L=8 </m:t>
        </m:r>
      </m:oMath>
      <w:r>
        <w:rPr>
          <w:rFonts w:eastAsiaTheme="minorEastAsia"/>
          <w:lang w:val="en-GB" w:eastAsia="zh-CN"/>
        </w:rPr>
        <w:t>beams and RI = 8, corresponding to a W2 matrix with 4 rows</w:t>
      </w:r>
    </w:p>
    <w:p w14:paraId="44A8C0B1" w14:textId="589DCDAC" w:rsidR="00CC22C6" w:rsidRDefault="00CC22C6" w:rsidP="005F1C36">
      <w:pPr>
        <w:rPr>
          <w:lang w:val="en-GB" w:eastAsia="zh-CN"/>
        </w:rPr>
      </w:pPr>
      <w:r>
        <w:rPr>
          <w:lang w:val="en-GB" w:eastAsia="zh-CN"/>
        </w:rPr>
        <w:t>For the hybrid schemes, W1/eigenvectors are reported with an 80ms periodicity, while W2 is reported with a 5ms periodicity. For Category 1, both W1 and W2 are reported with 5ms periodicity. Simulations have been performed in the 3GPP 3D UMi scenario using 8x4 antenna array and 32 antenna ports, using the FTP1 traffic model with 100kB packets. MU-MIMO based on SLNR processing on the reported precoders are used in all systems, and performance is evaluated at 70% RU of the baseline system.</w:t>
      </w:r>
    </w:p>
    <w:p w14:paraId="2BA01F28" w14:textId="28F16568" w:rsidR="005F1C36" w:rsidRPr="005F1C36" w:rsidRDefault="005F1C36" w:rsidP="005F1C36">
      <w:pPr>
        <w:rPr>
          <w:lang w:val="en-GB" w:eastAsia="zh-CN"/>
        </w:rPr>
      </w:pPr>
      <w:r>
        <w:rPr>
          <w:lang w:val="en-GB" w:eastAsia="zh-CN"/>
        </w:rPr>
        <w:t xml:space="preserve">As the </w:t>
      </w:r>
      <w:r w:rsidR="00FF1D9D">
        <w:rPr>
          <w:lang w:val="en-GB" w:eastAsia="zh-CN"/>
        </w:rPr>
        <w:t xml:space="preserve">feedback </w:t>
      </w:r>
      <w:r>
        <w:rPr>
          <w:lang w:val="en-GB" w:eastAsia="zh-CN"/>
        </w:rPr>
        <w:t>overhead is dominated by the</w:t>
      </w:r>
      <w:r w:rsidR="00FF1D9D">
        <w:rPr>
          <w:lang w:val="en-GB" w:eastAsia="zh-CN"/>
        </w:rPr>
        <w:t xml:space="preserve"> W2 overhead, it is fair to compare the systems corresponding to 4 and 8 rows in W2 separately.</w:t>
      </w:r>
      <w:r w:rsidR="00CC22C6">
        <w:rPr>
          <w:lang w:val="en-GB" w:eastAsia="zh-CN"/>
        </w:rPr>
        <w:t xml:space="preserve"> This is done in </w:t>
      </w:r>
      <w:r w:rsidR="00CC22C6">
        <w:rPr>
          <w:lang w:val="en-GB" w:eastAsia="zh-CN"/>
        </w:rPr>
        <w:fldChar w:fldCharType="begin"/>
      </w:r>
      <w:r w:rsidR="00CC22C6">
        <w:rPr>
          <w:lang w:val="en-GB" w:eastAsia="zh-CN"/>
        </w:rPr>
        <w:instrText xml:space="preserve"> REF _Ref474141579 \h </w:instrText>
      </w:r>
      <w:r w:rsidR="00CC22C6">
        <w:rPr>
          <w:lang w:val="en-GB" w:eastAsia="zh-CN"/>
        </w:rPr>
      </w:r>
      <w:r w:rsidR="00CC22C6">
        <w:rPr>
          <w:lang w:val="en-GB" w:eastAsia="zh-CN"/>
        </w:rPr>
        <w:fldChar w:fldCharType="separate"/>
      </w:r>
      <w:r w:rsidR="00CC22C6">
        <w:t xml:space="preserve">Figure </w:t>
      </w:r>
      <w:r w:rsidR="00CC22C6">
        <w:rPr>
          <w:noProof/>
        </w:rPr>
        <w:t>3</w:t>
      </w:r>
      <w:r w:rsidR="00CC22C6">
        <w:rPr>
          <w:lang w:val="en-GB" w:eastAsia="zh-CN"/>
        </w:rPr>
        <w:fldChar w:fldCharType="end"/>
      </w:r>
      <w:r w:rsidR="00CC22C6">
        <w:rPr>
          <w:lang w:val="en-GB" w:eastAsia="zh-CN"/>
        </w:rPr>
        <w:t xml:space="preserve"> below. For both 4</w:t>
      </w:r>
      <w:r w:rsidR="00004D49">
        <w:rPr>
          <w:lang w:val="en-GB" w:eastAsia="zh-CN"/>
        </w:rPr>
        <w:t xml:space="preserve"> and 8 row W2, the Category 1 systems using precoder feedback performs the best. This is not surprising, since the main benefit of utilizing a hybrid approach is to reduce CSI-RS overhead compared to a “Class A”-like systems. However, since for Type II CSI, many beamformed ports (4-8) are needed, the savings in CSI-RS overhead is limited and the overhead can even be increased compared to “Class A” if there are many UEs in the cell.  As was observed in the eFD-MIMO work item for LTE, the performance benefit of hybrid CSI reporting for 32TX is limited even when only 2 beamformed ports are used. Furthermore, since many beams are comprised in a W1 report for Type II CSI, W1 is likely to become stale faster than for Type I CSI as the strength of the weaker beams in the channel typically is affected by the fast fading to a larger extent than the strongest beam. We further observe that, for the hybrid systems using a size-4 W2, better performance is seen if the 4 principal eigenvectors from the </w:t>
      </w:r>
      <m:oMath>
        <m:r>
          <w:rPr>
            <w:rFonts w:ascii="Cambria Math" w:hAnsi="Cambria Math"/>
            <w:lang w:val="en-GB" w:eastAsia="zh-CN"/>
          </w:rPr>
          <m:t>L=8</m:t>
        </m:r>
      </m:oMath>
      <w:r w:rsidR="00004D49">
        <w:rPr>
          <w:rFonts w:eastAsiaTheme="minorEastAsia"/>
          <w:lang w:val="en-GB" w:eastAsia="zh-CN"/>
        </w:rPr>
        <w:t xml:space="preserve"> beam space covariance matrix is reported instead of just reporting a </w:t>
      </w:r>
      <m:oMath>
        <m:r>
          <w:rPr>
            <w:rFonts w:ascii="Cambria Math" w:eastAsiaTheme="minorEastAsia" w:hAnsi="Cambria Math"/>
            <w:lang w:val="en-GB" w:eastAsia="zh-CN"/>
          </w:rPr>
          <m:t>L=4</m:t>
        </m:r>
      </m:oMath>
      <w:r w:rsidR="00004D49">
        <w:rPr>
          <w:rFonts w:eastAsiaTheme="minorEastAsia"/>
          <w:lang w:val="en-GB" w:eastAsia="zh-CN"/>
        </w:rPr>
        <w:t xml:space="preserve"> W1. This makes sense, as the eigenvectors form a sparser representation of the channel than the DFT beams</w:t>
      </w:r>
      <w:r w:rsidR="00185DCA">
        <w:rPr>
          <w:rFonts w:eastAsiaTheme="minorEastAsia"/>
          <w:lang w:val="en-GB" w:eastAsia="zh-CN"/>
        </w:rPr>
        <w:t xml:space="preserve"> in W1</w:t>
      </w:r>
      <w:r w:rsidR="00004D49">
        <w:rPr>
          <w:rFonts w:eastAsiaTheme="minorEastAsia"/>
          <w:lang w:val="en-GB" w:eastAsia="zh-CN"/>
        </w:rPr>
        <w:t>. However, the overhead</w:t>
      </w:r>
      <w:r w:rsidR="00185DCA">
        <w:rPr>
          <w:rFonts w:eastAsiaTheme="minorEastAsia"/>
          <w:lang w:val="en-GB" w:eastAsia="zh-CN"/>
        </w:rPr>
        <w:t xml:space="preserve"> of the former report is of course larger, but since the eigenvectors are reported on a wideband basis and with a large periodicity, this is not an issue. Another observation is that performance does not seem to increase when</w:t>
      </w:r>
      <w:r w:rsidR="00B76B52">
        <w:rPr>
          <w:rFonts w:eastAsiaTheme="minorEastAsia"/>
          <w:lang w:val="en-GB" w:eastAsia="zh-CN"/>
        </w:rPr>
        <w:t xml:space="preserve"> using more than 4 beamformed ports for hybrid Type II feedback, likely due to increased CSI-RS overhead.</w:t>
      </w:r>
    </w:p>
    <w:p w14:paraId="5881B8C2" w14:textId="1FC6D096" w:rsidR="00ED3D32" w:rsidRDefault="00D84507" w:rsidP="00ED3D32">
      <w:pPr>
        <w:keepNext/>
      </w:pPr>
      <w:r w:rsidRPr="00D84507">
        <w:rPr>
          <w:noProof/>
        </w:rPr>
        <w:drawing>
          <wp:inline distT="0" distB="0" distL="0" distR="0" wp14:anchorId="593FFFD6" wp14:editId="4042C33F">
            <wp:extent cx="6108192" cy="354787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192" cy="3547872"/>
                    </a:xfrm>
                    <a:prstGeom prst="rect">
                      <a:avLst/>
                    </a:prstGeom>
                    <a:noFill/>
                    <a:ln>
                      <a:noFill/>
                    </a:ln>
                  </pic:spPr>
                </pic:pic>
              </a:graphicData>
            </a:graphic>
          </wp:inline>
        </w:drawing>
      </w:r>
      <w:r w:rsidRPr="00D84507" w:rsidDel="00D84507">
        <w:t xml:space="preserve"> </w:t>
      </w:r>
    </w:p>
    <w:p w14:paraId="349374DB" w14:textId="4D3BE9C1" w:rsidR="00B306F4" w:rsidRDefault="00ED3D32" w:rsidP="004A021C">
      <w:pPr>
        <w:pStyle w:val="Caption"/>
      </w:pPr>
      <w:bookmarkStart w:id="3" w:name="_Ref474141579"/>
      <w:r>
        <w:t xml:space="preserve">Figure </w:t>
      </w:r>
      <w:r w:rsidR="00E42F2E">
        <w:fldChar w:fldCharType="begin"/>
      </w:r>
      <w:r w:rsidR="00E42F2E">
        <w:instrText xml:space="preserve"> SEQ Figure \* ARABIC </w:instrText>
      </w:r>
      <w:r w:rsidR="00E42F2E">
        <w:fldChar w:fldCharType="separate"/>
      </w:r>
      <w:r>
        <w:rPr>
          <w:noProof/>
        </w:rPr>
        <w:t>3</w:t>
      </w:r>
      <w:r w:rsidR="00E42F2E">
        <w:rPr>
          <w:noProof/>
        </w:rPr>
        <w:fldChar w:fldCharType="end"/>
      </w:r>
      <w:bookmarkEnd w:id="3"/>
      <w:r>
        <w:t>: Performance of hybrid Type II CSI feedback schemes for 32TX system</w:t>
      </w:r>
    </w:p>
    <w:p w14:paraId="0E837C90" w14:textId="778541E9" w:rsidR="00FF1D9D" w:rsidRPr="00FF1D9D" w:rsidRDefault="00FF1D9D" w:rsidP="004A021C">
      <w:pPr>
        <w:keepNext/>
        <w:spacing w:after="0"/>
        <w:rPr>
          <w:b/>
        </w:rPr>
      </w:pPr>
      <w:r w:rsidRPr="00FF1D9D">
        <w:rPr>
          <w:b/>
        </w:rPr>
        <w:t>Observations:</w:t>
      </w:r>
    </w:p>
    <w:p w14:paraId="5A5F1E5F" w14:textId="2046E8BF" w:rsidR="00FF1D9D" w:rsidRDefault="00FF1D9D" w:rsidP="004A021C">
      <w:pPr>
        <w:pStyle w:val="ListParagraph"/>
        <w:keepNext/>
        <w:numPr>
          <w:ilvl w:val="0"/>
          <w:numId w:val="33"/>
        </w:numPr>
      </w:pPr>
      <w:r>
        <w:t>Precoder feedback (Category 1) performs better than hybrid CSI feedback</w:t>
      </w:r>
    </w:p>
    <w:p w14:paraId="5B5B98FD" w14:textId="634B652D" w:rsidR="00FF1D9D" w:rsidRDefault="00FF1D9D" w:rsidP="00FF1D9D">
      <w:pPr>
        <w:pStyle w:val="ListParagraph"/>
        <w:numPr>
          <w:ilvl w:val="1"/>
          <w:numId w:val="33"/>
        </w:numPr>
      </w:pPr>
      <w:r>
        <w:t>If “Class B”-like CSI-RS use many ports (4-8), there is no CSI-RS overhead reduction compared to “Class A”-like CSI-RS when there are many UEs in the cell</w:t>
      </w:r>
    </w:p>
    <w:p w14:paraId="5E755912" w14:textId="5E00650B" w:rsidR="00FF1D9D" w:rsidRDefault="00CC22C6" w:rsidP="00FF1D9D">
      <w:pPr>
        <w:pStyle w:val="ListParagraph"/>
        <w:numPr>
          <w:ilvl w:val="1"/>
          <w:numId w:val="33"/>
        </w:numPr>
      </w:pPr>
      <w:r>
        <w:t>A W1 report comprising many beams can quickly become stale</w:t>
      </w:r>
    </w:p>
    <w:p w14:paraId="50313D0C" w14:textId="4E7CEFF5" w:rsidR="00CC22C6" w:rsidRDefault="00CC22C6" w:rsidP="00CC22C6">
      <w:pPr>
        <w:pStyle w:val="ListParagraph"/>
        <w:numPr>
          <w:ilvl w:val="0"/>
          <w:numId w:val="33"/>
        </w:numPr>
      </w:pPr>
      <w:r>
        <w:t>Using more than 4 beamformed ports for hybrid CSI feedback does not increase performance</w:t>
      </w:r>
    </w:p>
    <w:p w14:paraId="2A0E78F9" w14:textId="7444FC7D" w:rsidR="00CC22C6" w:rsidRPr="00B76B52" w:rsidRDefault="00CC22C6" w:rsidP="00CC22C6">
      <w:pPr>
        <w:pStyle w:val="ListParagraph"/>
        <w:numPr>
          <w:ilvl w:val="0"/>
          <w:numId w:val="33"/>
        </w:numPr>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15EB6D5E" w14:textId="736CA33D" w:rsidR="00B76B52" w:rsidRDefault="00B76B52" w:rsidP="00B76B52">
      <w:r>
        <w:t>Although Category 1 precoder feedback seems to outperform hybrid Type II feedback, the latter may still be supported in order to allow for more flexibility at the gNB, or to allow for Type II feedback with more than 32 TXRUs. We therefore make the following proposal:</w:t>
      </w:r>
    </w:p>
    <w:p w14:paraId="1C7F4A55" w14:textId="6C56D54E" w:rsidR="00B76B52" w:rsidRDefault="00B76B52" w:rsidP="004A021C">
      <w:pPr>
        <w:spacing w:after="0"/>
        <w:rPr>
          <w:b/>
        </w:rPr>
      </w:pPr>
      <w:r w:rsidRPr="00B76B52">
        <w:rPr>
          <w:b/>
        </w:rPr>
        <w:t>Proposal:</w:t>
      </w:r>
    </w:p>
    <w:p w14:paraId="5A41F60A" w14:textId="0A032490" w:rsidR="00B76B52" w:rsidRPr="00B76B52" w:rsidRDefault="00B76B52" w:rsidP="00B76B52">
      <w:pPr>
        <w:pStyle w:val="ListParagraph"/>
        <w:numPr>
          <w:ilvl w:val="0"/>
          <w:numId w:val="34"/>
        </w:numPr>
        <w:rPr>
          <w:b/>
        </w:rPr>
      </w:pPr>
      <w:r>
        <w:t>Support “Class B”-like Type II feedback with W2-only reporting</w:t>
      </w:r>
    </w:p>
    <w:p w14:paraId="051AF1FF" w14:textId="1B6FD373" w:rsidR="00C01F33" w:rsidRDefault="00C01F33" w:rsidP="00B306F4">
      <w:pPr>
        <w:pStyle w:val="Heading1"/>
      </w:pPr>
      <w:r w:rsidRPr="001A05FA">
        <w:t>Conclusion</w:t>
      </w:r>
      <w:r w:rsidR="00C3353A" w:rsidRPr="001A05FA">
        <w:t>s</w:t>
      </w:r>
    </w:p>
    <w:p w14:paraId="2C0FB0EE" w14:textId="49CF35F3" w:rsidR="00B76B52" w:rsidRDefault="00B76B52" w:rsidP="00B76B52">
      <w:pPr>
        <w:rPr>
          <w:lang w:val="en-GB" w:eastAsia="zh-CN"/>
        </w:rPr>
      </w:pPr>
      <w:r>
        <w:rPr>
          <w:lang w:val="en-GB" w:eastAsia="zh-CN"/>
        </w:rPr>
        <w:t>In this paper, we have discussed Category 2 &amp; 3 Type II CSI feedback and their relation to Category 1. We have made the following observations:</w:t>
      </w:r>
    </w:p>
    <w:p w14:paraId="7AA3EB55" w14:textId="77777777" w:rsidR="00B76B52" w:rsidRDefault="00B76B52" w:rsidP="004A021C">
      <w:pPr>
        <w:spacing w:after="0"/>
        <w:rPr>
          <w:rFonts w:ascii="Calibri" w:hAnsi="Calibri" w:cs="Times New Roman"/>
          <w:b/>
          <w:bCs/>
        </w:rPr>
      </w:pPr>
      <w:r>
        <w:rPr>
          <w:b/>
          <w:bCs/>
        </w:rPr>
        <w:t>Observations:</w:t>
      </w:r>
    </w:p>
    <w:p w14:paraId="7D8816AF" w14:textId="77777777" w:rsidR="00B76B52" w:rsidRDefault="00B76B52" w:rsidP="00B76B52">
      <w:pPr>
        <w:pStyle w:val="ListParagraph"/>
        <w:numPr>
          <w:ilvl w:val="0"/>
          <w:numId w:val="32"/>
        </w:numPr>
        <w:spacing w:after="0" w:line="240" w:lineRule="auto"/>
        <w:contextualSpacing w:val="0"/>
        <w:rPr>
          <w:b/>
          <w:bCs/>
        </w:rPr>
      </w:pPr>
      <w:r>
        <w:t xml:space="preserve">Feeding back the full </w:t>
      </w:r>
      <m:oMath>
        <m:r>
          <w:rPr>
            <w:rFonts w:ascii="Cambria Math" w:hAnsi="Cambria Math"/>
          </w:rPr>
          <m:t xml:space="preserve">M×M </m:t>
        </m:r>
      </m:oMath>
      <w:r>
        <w:t xml:space="preserve">covariance matrix or feeding back the corresponding </w:t>
      </w:r>
      <m:oMath>
        <m:r>
          <w:rPr>
            <w:rFonts w:ascii="Cambria Math" w:hAnsi="Cambria Math"/>
          </w:rPr>
          <m:t xml:space="preserve">M </m:t>
        </m:r>
      </m:oMath>
      <w:r>
        <w:t>eigenvectors and eigenvalues of the covariance matrix is equivalent</w:t>
      </w:r>
    </w:p>
    <w:p w14:paraId="68DB2CAF" w14:textId="77777777" w:rsidR="00B76B52" w:rsidRDefault="00B76B52" w:rsidP="00B76B52">
      <w:pPr>
        <w:pStyle w:val="ListParagraph"/>
        <w:numPr>
          <w:ilvl w:val="0"/>
          <w:numId w:val="32"/>
        </w:numPr>
        <w:spacing w:after="0" w:line="240" w:lineRule="auto"/>
        <w:contextualSpacing w:val="0"/>
        <w:rPr>
          <w:b/>
          <w:bCs/>
        </w:rPr>
      </w:pPr>
      <w:r>
        <w:t xml:space="preserve">Covariance matrix feedback is only useful when combined with short-term CSI, and a number </w:t>
      </w:r>
      <m:oMath>
        <m:r>
          <w:rPr>
            <w:rFonts w:ascii="Cambria Math" w:hAnsi="Cambria Math"/>
          </w:rPr>
          <m:t>N&lt;M</m:t>
        </m:r>
      </m:oMath>
      <w:r>
        <w:t xml:space="preserve"> of the principal eigenvectors is used to beamform a second set of CSI-RS</w:t>
      </w:r>
    </w:p>
    <w:p w14:paraId="3B4E322E" w14:textId="77777777" w:rsidR="00B76B52" w:rsidRDefault="00B76B52" w:rsidP="00B76B52">
      <w:pPr>
        <w:pStyle w:val="ListParagraph"/>
        <w:numPr>
          <w:ilvl w:val="1"/>
          <w:numId w:val="32"/>
        </w:numPr>
        <w:spacing w:after="0" w:line="240" w:lineRule="auto"/>
        <w:contextualSpacing w:val="0"/>
        <w:rPr>
          <w:b/>
          <w:bCs/>
        </w:rPr>
      </w:pPr>
      <w:r>
        <w:t xml:space="preserve">Thus, only the </w:t>
      </w:r>
      <m:oMath>
        <m:r>
          <w:rPr>
            <w:rFonts w:ascii="Cambria Math" w:hAnsi="Cambria Math"/>
          </w:rPr>
          <m:t>N</m:t>
        </m:r>
      </m:oMath>
      <w:r>
        <w:t xml:space="preserve"> strongest eigenvectors rather than all </w:t>
      </w:r>
      <m:oMath>
        <m:r>
          <w:rPr>
            <w:rFonts w:ascii="Cambria Math" w:hAnsi="Cambria Math"/>
          </w:rPr>
          <m:t>M</m:t>
        </m:r>
      </m:oMath>
      <w:r>
        <w:t xml:space="preserve"> are needed</w:t>
      </w:r>
    </w:p>
    <w:p w14:paraId="41E7EB2C" w14:textId="5C9AFBC4" w:rsidR="00B76B52" w:rsidRPr="00B76B52" w:rsidRDefault="00B76B52" w:rsidP="00B76B52">
      <w:pPr>
        <w:pStyle w:val="ListParagraph"/>
        <w:numPr>
          <w:ilvl w:val="0"/>
          <w:numId w:val="32"/>
        </w:numPr>
        <w:spacing w:after="0" w:line="240" w:lineRule="auto"/>
        <w:contextualSpacing w:val="0"/>
        <w:rPr>
          <w:b/>
          <w:bCs/>
        </w:rPr>
      </w:pPr>
      <w:r>
        <w:t xml:space="preserve">If </w:t>
      </w:r>
      <m:oMath>
        <m:r>
          <w:rPr>
            <w:rFonts w:ascii="Cambria Math" w:hAnsi="Cambria Math"/>
          </w:rPr>
          <m:t>N≤M/2</m:t>
        </m:r>
      </m:oMath>
      <w:r>
        <w:t xml:space="preserve">, it is more efficient to feed back the </w:t>
      </w:r>
      <m:oMath>
        <m:r>
          <w:rPr>
            <w:rFonts w:ascii="Cambria Math" w:hAnsi="Cambria Math"/>
          </w:rPr>
          <m:t>N</m:t>
        </m:r>
      </m:oMath>
      <w:r>
        <w:t xml:space="preserve"> eigenvectors directly rather than feeding back the full covariance matrix</w:t>
      </w:r>
    </w:p>
    <w:p w14:paraId="5C1228AB" w14:textId="77777777" w:rsidR="00B76B52" w:rsidRDefault="00B76B52" w:rsidP="00B76B52">
      <w:pPr>
        <w:pStyle w:val="ListParagraph"/>
        <w:numPr>
          <w:ilvl w:val="0"/>
          <w:numId w:val="32"/>
        </w:numPr>
      </w:pPr>
      <w:r>
        <w:t>Precoder feedback (Category 1) performs better than hybrid CSI feedback</w:t>
      </w:r>
    </w:p>
    <w:p w14:paraId="3FAF1F42" w14:textId="77777777" w:rsidR="00B76B52" w:rsidRDefault="00B76B52" w:rsidP="00B76B52">
      <w:pPr>
        <w:pStyle w:val="ListParagraph"/>
        <w:numPr>
          <w:ilvl w:val="1"/>
          <w:numId w:val="32"/>
        </w:numPr>
      </w:pPr>
      <w:r>
        <w:t>If “Class B”-like CSI-RS use many ports (4-8), there is no CSI-RS overhead reduction compared to “Class A”-like CSI-RS when there are many UEs in the cell</w:t>
      </w:r>
    </w:p>
    <w:p w14:paraId="3C4F04F0" w14:textId="77777777" w:rsidR="00B76B52" w:rsidRDefault="00B76B52" w:rsidP="00B76B52">
      <w:pPr>
        <w:pStyle w:val="ListParagraph"/>
        <w:numPr>
          <w:ilvl w:val="1"/>
          <w:numId w:val="32"/>
        </w:numPr>
      </w:pPr>
      <w:r>
        <w:t>A W1 report comprising many beams can quickly become stale</w:t>
      </w:r>
    </w:p>
    <w:p w14:paraId="3E7D3C7C" w14:textId="77777777" w:rsidR="00B76B52" w:rsidRDefault="00B76B52" w:rsidP="00B76B52">
      <w:pPr>
        <w:pStyle w:val="ListParagraph"/>
        <w:numPr>
          <w:ilvl w:val="0"/>
          <w:numId w:val="32"/>
        </w:numPr>
      </w:pPr>
      <w:r>
        <w:t>Using more than 4 beamformed ports for hybrid CSI feedback does not increase performance</w:t>
      </w:r>
    </w:p>
    <w:p w14:paraId="65863DF5" w14:textId="77777777" w:rsidR="00B76B52" w:rsidRPr="00B76B52" w:rsidRDefault="00B76B52" w:rsidP="00B76B52">
      <w:pPr>
        <w:pStyle w:val="ListParagraph"/>
        <w:numPr>
          <w:ilvl w:val="0"/>
          <w:numId w:val="32"/>
        </w:numPr>
      </w:pPr>
      <w:r>
        <w:t xml:space="preserve">Better to beamform “Class B”-like CSI-RS with 4 principal eigenvectors from </w:t>
      </w:r>
      <m:oMath>
        <m:r>
          <w:rPr>
            <w:rFonts w:ascii="Cambria Math" w:hAnsi="Cambria Math"/>
          </w:rPr>
          <m:t>L=8</m:t>
        </m:r>
      </m:oMath>
      <w:r>
        <w:rPr>
          <w:rFonts w:eastAsiaTheme="minorEastAsia"/>
        </w:rPr>
        <w:t xml:space="preserve"> W1 than to beamform directly with </w:t>
      </w:r>
      <m:oMath>
        <m:r>
          <w:rPr>
            <w:rFonts w:ascii="Cambria Math" w:eastAsiaTheme="minorEastAsia" w:hAnsi="Cambria Math"/>
          </w:rPr>
          <m:t>L=4</m:t>
        </m:r>
      </m:oMath>
      <w:r>
        <w:rPr>
          <w:rFonts w:eastAsiaTheme="minorEastAsia"/>
        </w:rPr>
        <w:t xml:space="preserve"> W1</w:t>
      </w:r>
    </w:p>
    <w:p w14:paraId="41BE2B2C" w14:textId="77777777" w:rsidR="00B76B52" w:rsidRDefault="00B76B52" w:rsidP="004A021C">
      <w:pPr>
        <w:spacing w:after="0"/>
        <w:rPr>
          <w:b/>
          <w:lang w:val="en-GB" w:eastAsia="zh-CN"/>
        </w:rPr>
      </w:pPr>
      <w:r w:rsidRPr="0099103F">
        <w:rPr>
          <w:b/>
          <w:lang w:val="en-GB" w:eastAsia="zh-CN"/>
        </w:rPr>
        <w:t>Proposals:</w:t>
      </w:r>
    </w:p>
    <w:p w14:paraId="378B176B" w14:textId="77777777" w:rsidR="00B76B52" w:rsidRPr="0099103F" w:rsidRDefault="00B76B52" w:rsidP="00B76B52">
      <w:pPr>
        <w:pStyle w:val="ListParagraph"/>
        <w:numPr>
          <w:ilvl w:val="0"/>
          <w:numId w:val="31"/>
        </w:numPr>
        <w:rPr>
          <w:b/>
          <w:lang w:val="en-GB" w:eastAsia="zh-CN"/>
        </w:rPr>
      </w:pPr>
      <w:r>
        <w:rPr>
          <w:lang w:val="en-GB" w:eastAsia="zh-CN"/>
        </w:rPr>
        <w:t>Covariance matrix feedback (Category 2) is not considered as a standalone feature for Type II CSI feedback, but may be considered as one method of determining long-term CSI used in hybrid Type II feedback (Category 3)</w:t>
      </w:r>
    </w:p>
    <w:p w14:paraId="6E0E34F1" w14:textId="77777777" w:rsidR="00B76B52" w:rsidRPr="0099103F" w:rsidRDefault="00B76B52" w:rsidP="00B76B52">
      <w:pPr>
        <w:pStyle w:val="ListParagraph"/>
        <w:numPr>
          <w:ilvl w:val="1"/>
          <w:numId w:val="31"/>
        </w:numPr>
        <w:rPr>
          <w:b/>
          <w:lang w:val="en-GB" w:eastAsia="zh-CN"/>
        </w:rPr>
      </w:pPr>
      <w:r>
        <w:rPr>
          <w:lang w:val="en-GB" w:eastAsia="zh-CN"/>
        </w:rPr>
        <w:t>In that case, covariance matrix feedback is implemented as a special case of Category I precoder feedback where the M principal eigenvectors of the covariance matrix are fed back using a Category 1 report configured with</w:t>
      </w:r>
    </w:p>
    <w:p w14:paraId="3211EFEC" w14:textId="77777777" w:rsidR="00B76B52" w:rsidRPr="0099103F" w:rsidRDefault="00B76B52" w:rsidP="00B76B52">
      <w:pPr>
        <w:pStyle w:val="ListParagraph"/>
        <w:numPr>
          <w:ilvl w:val="2"/>
          <w:numId w:val="31"/>
        </w:numPr>
        <w:rPr>
          <w:b/>
          <w:lang w:val="en-GB" w:eastAsia="zh-CN"/>
        </w:rPr>
      </w:pPr>
      <w:r>
        <w:rPr>
          <w:lang w:val="en-GB" w:eastAsia="zh-CN"/>
        </w:rPr>
        <w:t>A fixed RI (RI=M) corresponding to rank-4 or higher</w:t>
      </w:r>
    </w:p>
    <w:p w14:paraId="752DF9A3" w14:textId="319CA2A8" w:rsidR="00B76B52" w:rsidRPr="00B76B52" w:rsidRDefault="00B76B52" w:rsidP="00B76B52">
      <w:pPr>
        <w:pStyle w:val="ListParagraph"/>
        <w:numPr>
          <w:ilvl w:val="2"/>
          <w:numId w:val="31"/>
        </w:numPr>
        <w:rPr>
          <w:b/>
          <w:lang w:val="en-GB" w:eastAsia="zh-CN"/>
        </w:rPr>
      </w:pPr>
      <w:r>
        <w:rPr>
          <w:lang w:val="en-GB" w:eastAsia="zh-CN"/>
        </w:rPr>
        <w:t>A wideband frequency-granularity</w:t>
      </w:r>
    </w:p>
    <w:p w14:paraId="6118C91E" w14:textId="47B9755F" w:rsidR="00B76B52" w:rsidRPr="00B76B52" w:rsidRDefault="00B76B52" w:rsidP="00F34798">
      <w:pPr>
        <w:pStyle w:val="ListParagraph"/>
        <w:numPr>
          <w:ilvl w:val="0"/>
          <w:numId w:val="31"/>
        </w:numPr>
        <w:rPr>
          <w:b/>
          <w:lang w:val="en-GB" w:eastAsia="zh-CN"/>
        </w:rPr>
      </w:pPr>
      <w:r>
        <w:t>Support “Class B”-like Type II feedback with W2-only reporting</w:t>
      </w:r>
    </w:p>
    <w:p w14:paraId="40B98617" w14:textId="42D27389" w:rsidR="00B76B52" w:rsidRDefault="00B76B52" w:rsidP="00B76B52">
      <w:pPr>
        <w:spacing w:after="0" w:line="240" w:lineRule="auto"/>
        <w:ind w:left="360"/>
        <w:rPr>
          <w:b/>
          <w:bCs/>
        </w:rPr>
      </w:pPr>
    </w:p>
    <w:p w14:paraId="1EA72F21" w14:textId="77777777" w:rsidR="00B76B52" w:rsidRPr="00B76B52" w:rsidRDefault="00B76B52" w:rsidP="00B76B52">
      <w:pPr>
        <w:spacing w:after="0" w:line="240" w:lineRule="auto"/>
        <w:ind w:left="360"/>
        <w:rPr>
          <w:b/>
          <w:bCs/>
        </w:rPr>
      </w:pPr>
    </w:p>
    <w:p w14:paraId="4E5364D3" w14:textId="164E87CD" w:rsidR="00B76B52" w:rsidRPr="00B76B52" w:rsidRDefault="00CE7585" w:rsidP="00B76B52">
      <w:pPr>
        <w:pStyle w:val="Heading1"/>
        <w:rPr>
          <w:lang w:eastAsia="ja-JP"/>
        </w:rPr>
      </w:pPr>
      <w:bookmarkStart w:id="4" w:name="_Toc462402223"/>
      <w:r w:rsidRPr="001069B2">
        <w:rPr>
          <w:lang w:eastAsia="ja-JP"/>
        </w:rPr>
        <w:t>Appendix</w:t>
      </w:r>
      <w:bookmarkEnd w:id="4"/>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5" w:name="_Toc462402224"/>
      <w:r w:rsidRPr="001069B2">
        <w:rPr>
          <w:lang w:eastAsia="ja-JP"/>
        </w:rPr>
        <w:t>Simulation parameters</w:t>
      </w:r>
      <w:bookmarkEnd w:id="5"/>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54BDBE36" w:rsidR="00F74F1C" w:rsidRPr="001C5E5B" w:rsidRDefault="00F74F1C" w:rsidP="00CB1071">
            <w:pPr>
              <w:pStyle w:val="BodyText"/>
              <w:keepNext/>
              <w:spacing w:after="0"/>
            </w:pPr>
            <w:r w:rsidRPr="008F5FBD">
              <w:t xml:space="preserve">32 TX: </w:t>
            </w:r>
            <w:r w:rsidR="00CE7585" w:rsidRPr="008F5FBD">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7096C26A" w14:textId="77777777" w:rsidR="00CE7585" w:rsidRDefault="00CE7585" w:rsidP="0048619B">
            <w:pPr>
              <w:pStyle w:val="BodyText"/>
              <w:keepNext/>
              <w:spacing w:after="0"/>
            </w:pPr>
            <w:r w:rsidRPr="001069B2">
              <w:t>5 ms</w:t>
            </w:r>
          </w:p>
          <w:p w14:paraId="5B701687" w14:textId="7BAF2977" w:rsidR="00CB1071" w:rsidRPr="001069B2" w:rsidRDefault="00CB1071" w:rsidP="0048619B">
            <w:pPr>
              <w:pStyle w:val="BodyText"/>
              <w:keepNext/>
              <w:spacing w:after="0"/>
            </w:pPr>
            <w:r>
              <w:t>80 ms for hybrid reporting of W1/eigenvectors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124B9840" w:rsidR="000E0A89" w:rsidRPr="001C5E5B" w:rsidRDefault="00314595" w:rsidP="0048619B">
            <w:pPr>
              <w:pStyle w:val="BodyText"/>
              <w:keepNext/>
              <w:spacing w:after="0"/>
            </w:pPr>
            <w:r>
              <w:t xml:space="preserve">Type II </w:t>
            </w:r>
            <w:r w:rsidR="000E0A89" w:rsidRPr="008F5FBD">
              <w:t>CSI codebook (when used)</w:t>
            </w:r>
          </w:p>
        </w:tc>
        <w:tc>
          <w:tcPr>
            <w:tcW w:w="4560" w:type="dxa"/>
          </w:tcPr>
          <w:p w14:paraId="65B0F568" w14:textId="5F2D3A44" w:rsidR="000E0A89" w:rsidRPr="001C5E5B" w:rsidRDefault="00216964" w:rsidP="0048619B">
            <w:pPr>
              <w:pStyle w:val="BodyText"/>
              <w:keepNext/>
              <w:spacing w:after="0"/>
            </w:pPr>
            <w:r w:rsidRPr="001C5E5B">
              <w:t xml:space="preserve">Number of beams: </w:t>
            </w:r>
            <w:r w:rsidR="00CB1071">
              <w:t>2,4 or 8</w:t>
            </w:r>
          </w:p>
          <w:p w14:paraId="53D02F09" w14:textId="7FDB2E77" w:rsidR="000E0A89" w:rsidRPr="00E80064" w:rsidRDefault="000E0A89" w:rsidP="0048619B">
            <w:pPr>
              <w:pStyle w:val="BodyText"/>
              <w:keepNext/>
              <w:spacing w:after="0"/>
            </w:pPr>
            <w:r w:rsidRPr="00E80064">
              <w:t>Beam space rotation hypotheses per dimension: 4</w:t>
            </w:r>
          </w:p>
          <w:p w14:paraId="16928ECF" w14:textId="20EE2A2D" w:rsidR="000E0A89" w:rsidRPr="0072309D" w:rsidRDefault="000E0A89" w:rsidP="0048619B">
            <w:pPr>
              <w:pStyle w:val="BodyText"/>
              <w:keepNext/>
              <w:spacing w:after="0"/>
            </w:pPr>
            <w:r w:rsidRPr="0072309D">
              <w:t xml:space="preserve">Beam power: </w:t>
            </w:r>
            <w:r w:rsidR="008D4252" w:rsidRPr="0072309D">
              <w:t>8</w:t>
            </w:r>
            <w:r w:rsidR="005F1C36">
              <w:t xml:space="preserve"> states, per subband and poalrization</w:t>
            </w:r>
          </w:p>
          <w:p w14:paraId="75EBB77B" w14:textId="0C7B4953" w:rsidR="000E0A89" w:rsidRPr="0072309D" w:rsidRDefault="000E0A89" w:rsidP="000E0A89">
            <w:pPr>
              <w:pStyle w:val="BodyText"/>
              <w:keepNext/>
              <w:spacing w:after="0"/>
            </w:pPr>
            <w:r w:rsidRPr="0072309D">
              <w:t xml:space="preserve">Co-phasing: 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F65255"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02D3DB7F" w:rsidR="00CE7585" w:rsidRPr="004D3A59" w:rsidRDefault="00CE7585" w:rsidP="0048619B">
            <w:pPr>
              <w:pStyle w:val="BodyText"/>
              <w:keepNext/>
              <w:spacing w:after="0"/>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8F5FBD" w:rsidRDefault="00CE7585" w:rsidP="0048619B">
            <w:pPr>
              <w:pStyle w:val="BodyText"/>
              <w:keepNext/>
              <w:spacing w:after="0"/>
            </w:pPr>
            <w:r w:rsidRPr="008F5FBD">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8F5FBD" w:rsidRDefault="00CE7585" w:rsidP="0048619B">
            <w:pPr>
              <w:pStyle w:val="BodyText"/>
              <w:keepNext/>
              <w:spacing w:after="0"/>
            </w:pPr>
            <w:r w:rsidRPr="008F5FBD">
              <w:t xml:space="preserve">Overhead accounted for.  </w:t>
            </w:r>
          </w:p>
          <w:p w14:paraId="21BF2ECF" w14:textId="77777777" w:rsidR="00CE7585" w:rsidRPr="001C5E5B" w:rsidRDefault="00CE7585" w:rsidP="0048619B">
            <w:pPr>
              <w:pStyle w:val="BodyText"/>
              <w:keepNext/>
              <w:spacing w:after="0"/>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8F5FBD" w:rsidRDefault="00CE7585" w:rsidP="0048619B">
            <w:pPr>
              <w:pStyle w:val="BodyText"/>
              <w:keepNext/>
              <w:spacing w:after="0"/>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8F5FBD" w:rsidRDefault="00CE7585" w:rsidP="0048619B">
            <w:r w:rsidRPr="008F5FBD">
              <w:t>TM10, with non-shifted CRS</w:t>
            </w:r>
          </w:p>
        </w:tc>
      </w:tr>
    </w:tbl>
    <w:p w14:paraId="2EAF08BF" w14:textId="1DCF0A12" w:rsidR="00867C02" w:rsidRDefault="00867C02" w:rsidP="0007765E">
      <w:pPr>
        <w:pStyle w:val="BodyText"/>
        <w:rPr>
          <w:b/>
          <w:bCs/>
        </w:rPr>
      </w:pPr>
    </w:p>
    <w:sectPr w:rsidR="00867C02" w:rsidSect="002A56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2AACE" w14:textId="77777777" w:rsidR="00E42F2E" w:rsidRDefault="00E42F2E">
      <w:r>
        <w:separator/>
      </w:r>
    </w:p>
  </w:endnote>
  <w:endnote w:type="continuationSeparator" w:id="0">
    <w:p w14:paraId="10D96AC2" w14:textId="77777777" w:rsidR="00E42F2E" w:rsidRDefault="00E4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A2927" w14:textId="77777777" w:rsidR="006B37C0" w:rsidRDefault="006B3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36A2F292" w:rsidR="00CB1071" w:rsidRDefault="00CB10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3D8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3D89">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47B6A" w14:textId="77777777" w:rsidR="006B37C0" w:rsidRDefault="006B3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C34F" w14:textId="77777777" w:rsidR="00E42F2E" w:rsidRDefault="00E42F2E">
      <w:r>
        <w:separator/>
      </w:r>
    </w:p>
  </w:footnote>
  <w:footnote w:type="continuationSeparator" w:id="0">
    <w:p w14:paraId="3A038EF2" w14:textId="77777777" w:rsidR="00E42F2E" w:rsidRDefault="00E4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CB1071" w:rsidRDefault="00CB107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4C83F" w14:textId="77777777" w:rsidR="006B37C0" w:rsidRDefault="006B3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81140" w14:textId="77777777" w:rsidR="006B37C0" w:rsidRDefault="006B3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80E0F"/>
    <w:multiLevelType w:val="hybridMultilevel"/>
    <w:tmpl w:val="176E2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9510B6"/>
    <w:multiLevelType w:val="hybridMultilevel"/>
    <w:tmpl w:val="7E2272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B5C20"/>
    <w:multiLevelType w:val="hybridMultilevel"/>
    <w:tmpl w:val="F55ED2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EF4A65"/>
    <w:multiLevelType w:val="hybridMultilevel"/>
    <w:tmpl w:val="A6D4A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C6E35"/>
    <w:multiLevelType w:val="hybridMultilevel"/>
    <w:tmpl w:val="3FEEDE22"/>
    <w:lvl w:ilvl="0" w:tplc="17D0E28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hint="default"/>
      </w:rPr>
    </w:lvl>
    <w:lvl w:ilvl="4" w:tplc="2500F6EE">
      <w:start w:val="1"/>
      <w:numFmt w:val="bullet"/>
      <w:lvlText w:val="›"/>
      <w:lvlJc w:val="left"/>
      <w:pPr>
        <w:tabs>
          <w:tab w:val="num" w:pos="3240"/>
        </w:tabs>
        <w:ind w:left="3240" w:hanging="360"/>
      </w:pPr>
      <w:rPr>
        <w:rFonts w:ascii="Arial" w:hAnsi="Arial" w:hint="default"/>
      </w:rPr>
    </w:lvl>
    <w:lvl w:ilvl="5" w:tplc="D420549A" w:tentative="1">
      <w:start w:val="1"/>
      <w:numFmt w:val="bullet"/>
      <w:lvlText w:val="›"/>
      <w:lvlJc w:val="left"/>
      <w:pPr>
        <w:tabs>
          <w:tab w:val="num" w:pos="3960"/>
        </w:tabs>
        <w:ind w:left="3960" w:hanging="360"/>
      </w:pPr>
      <w:rPr>
        <w:rFonts w:ascii="Arial" w:hAnsi="Arial" w:hint="default"/>
      </w:rPr>
    </w:lvl>
    <w:lvl w:ilvl="6" w:tplc="1B82B7AE" w:tentative="1">
      <w:start w:val="1"/>
      <w:numFmt w:val="bullet"/>
      <w:lvlText w:val="›"/>
      <w:lvlJc w:val="left"/>
      <w:pPr>
        <w:tabs>
          <w:tab w:val="num" w:pos="4680"/>
        </w:tabs>
        <w:ind w:left="4680" w:hanging="360"/>
      </w:pPr>
      <w:rPr>
        <w:rFonts w:ascii="Arial" w:hAnsi="Arial" w:hint="default"/>
      </w:rPr>
    </w:lvl>
    <w:lvl w:ilvl="7" w:tplc="2422B180" w:tentative="1">
      <w:start w:val="1"/>
      <w:numFmt w:val="bullet"/>
      <w:lvlText w:val="›"/>
      <w:lvlJc w:val="left"/>
      <w:pPr>
        <w:tabs>
          <w:tab w:val="num" w:pos="5400"/>
        </w:tabs>
        <w:ind w:left="5400" w:hanging="360"/>
      </w:pPr>
      <w:rPr>
        <w:rFonts w:ascii="Arial" w:hAnsi="Arial" w:hint="default"/>
      </w:rPr>
    </w:lvl>
    <w:lvl w:ilvl="8" w:tplc="1B3E7EDC"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7"/>
  </w:num>
  <w:num w:numId="8">
    <w:abstractNumId w:val="6"/>
  </w:num>
  <w:num w:numId="9">
    <w:abstractNumId w:val="13"/>
  </w:num>
  <w:num w:numId="10">
    <w:abstractNumId w:val="4"/>
  </w:num>
  <w:num w:numId="11">
    <w:abstractNumId w:val="15"/>
  </w:num>
  <w:num w:numId="12">
    <w:abstractNumId w:val="27"/>
  </w:num>
  <w:num w:numId="13">
    <w:abstractNumId w:val="11"/>
  </w:num>
  <w:num w:numId="14">
    <w:abstractNumId w:val="26"/>
  </w:num>
  <w:num w:numId="15">
    <w:abstractNumId w:val="23"/>
  </w:num>
  <w:num w:numId="16">
    <w:abstractNumId w:val="25"/>
  </w:num>
  <w:num w:numId="17">
    <w:abstractNumId w:val="21"/>
  </w:num>
  <w:num w:numId="18">
    <w:abstractNumId w:val="16"/>
  </w:num>
  <w:num w:numId="19">
    <w:abstractNumId w:val="20"/>
  </w:num>
  <w:num w:numId="20">
    <w:abstractNumId w:val="3"/>
  </w:num>
  <w:num w:numId="21">
    <w:abstractNumId w:val="12"/>
  </w:num>
  <w:num w:numId="22">
    <w:abstractNumId w:val="0"/>
  </w:num>
  <w:num w:numId="23">
    <w:abstractNumId w:val="12"/>
  </w:num>
  <w:num w:numId="24">
    <w:abstractNumId w:val="1"/>
  </w:num>
  <w:num w:numId="25">
    <w:abstractNumId w:val="19"/>
  </w:num>
  <w:num w:numId="26">
    <w:abstractNumId w:val="12"/>
  </w:num>
  <w:num w:numId="27">
    <w:abstractNumId w:val="0"/>
  </w:num>
  <w:num w:numId="28">
    <w:abstractNumId w:val="28"/>
  </w:num>
  <w:num w:numId="29">
    <w:abstractNumId w:val="10"/>
  </w:num>
  <w:num w:numId="30">
    <w:abstractNumId w:val="18"/>
  </w:num>
  <w:num w:numId="31">
    <w:abstractNumId w:val="2"/>
  </w:num>
  <w:num w:numId="32">
    <w:abstractNumId w:val="24"/>
  </w:num>
  <w:num w:numId="33">
    <w:abstractNumId w:val="14"/>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4D49"/>
    <w:rsid w:val="000062B1"/>
    <w:rsid w:val="00006446"/>
    <w:rsid w:val="00006896"/>
    <w:rsid w:val="00007593"/>
    <w:rsid w:val="00007CDC"/>
    <w:rsid w:val="00010DDF"/>
    <w:rsid w:val="00011B28"/>
    <w:rsid w:val="00012DD2"/>
    <w:rsid w:val="00015615"/>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073"/>
    <w:rsid w:val="000534E3"/>
    <w:rsid w:val="00054EE6"/>
    <w:rsid w:val="0005606A"/>
    <w:rsid w:val="00056636"/>
    <w:rsid w:val="0005677F"/>
    <w:rsid w:val="00057117"/>
    <w:rsid w:val="00060A66"/>
    <w:rsid w:val="000616E7"/>
    <w:rsid w:val="0006487E"/>
    <w:rsid w:val="0006590A"/>
    <w:rsid w:val="00065E1A"/>
    <w:rsid w:val="00065E56"/>
    <w:rsid w:val="0007184A"/>
    <w:rsid w:val="000769E3"/>
    <w:rsid w:val="0007765E"/>
    <w:rsid w:val="00077E5F"/>
    <w:rsid w:val="0008036A"/>
    <w:rsid w:val="00081AE6"/>
    <w:rsid w:val="00083B5E"/>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6AAE"/>
    <w:rsid w:val="000B1978"/>
    <w:rsid w:val="000B2719"/>
    <w:rsid w:val="000B3A8F"/>
    <w:rsid w:val="000B4AB9"/>
    <w:rsid w:val="000B57B8"/>
    <w:rsid w:val="000B58C3"/>
    <w:rsid w:val="000B61E9"/>
    <w:rsid w:val="000C11BD"/>
    <w:rsid w:val="000C1459"/>
    <w:rsid w:val="000C165A"/>
    <w:rsid w:val="000C2E19"/>
    <w:rsid w:val="000D0791"/>
    <w:rsid w:val="000D0D07"/>
    <w:rsid w:val="000D4797"/>
    <w:rsid w:val="000D7C90"/>
    <w:rsid w:val="000E0527"/>
    <w:rsid w:val="000E0A89"/>
    <w:rsid w:val="000E1E92"/>
    <w:rsid w:val="000E2A70"/>
    <w:rsid w:val="000E6E09"/>
    <w:rsid w:val="000F06D6"/>
    <w:rsid w:val="000F0EB1"/>
    <w:rsid w:val="000F1106"/>
    <w:rsid w:val="000F2EB2"/>
    <w:rsid w:val="000F3BE9"/>
    <w:rsid w:val="000F3F6C"/>
    <w:rsid w:val="000F4916"/>
    <w:rsid w:val="000F6DF3"/>
    <w:rsid w:val="001005FF"/>
    <w:rsid w:val="00104A7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6913"/>
    <w:rsid w:val="001469BD"/>
    <w:rsid w:val="0014768F"/>
    <w:rsid w:val="0015064E"/>
    <w:rsid w:val="00151E23"/>
    <w:rsid w:val="001526E0"/>
    <w:rsid w:val="00153564"/>
    <w:rsid w:val="00153A82"/>
    <w:rsid w:val="001551B5"/>
    <w:rsid w:val="001558DF"/>
    <w:rsid w:val="001659C1"/>
    <w:rsid w:val="00167D93"/>
    <w:rsid w:val="00173A8E"/>
    <w:rsid w:val="001809DA"/>
    <w:rsid w:val="001811D0"/>
    <w:rsid w:val="0018143F"/>
    <w:rsid w:val="00185DCA"/>
    <w:rsid w:val="00190AC1"/>
    <w:rsid w:val="00191E67"/>
    <w:rsid w:val="00192532"/>
    <w:rsid w:val="0019341A"/>
    <w:rsid w:val="00197DF9"/>
    <w:rsid w:val="001A05FA"/>
    <w:rsid w:val="001A1987"/>
    <w:rsid w:val="001A2564"/>
    <w:rsid w:val="001A6173"/>
    <w:rsid w:val="001A6CBA"/>
    <w:rsid w:val="001B0D97"/>
    <w:rsid w:val="001B5A5D"/>
    <w:rsid w:val="001C10C5"/>
    <w:rsid w:val="001C1CE5"/>
    <w:rsid w:val="001C3D2A"/>
    <w:rsid w:val="001C5E5B"/>
    <w:rsid w:val="001C7D86"/>
    <w:rsid w:val="001D2BCC"/>
    <w:rsid w:val="001D46B5"/>
    <w:rsid w:val="001D51BA"/>
    <w:rsid w:val="001D6342"/>
    <w:rsid w:val="001D6D53"/>
    <w:rsid w:val="001E26C0"/>
    <w:rsid w:val="001E58E2"/>
    <w:rsid w:val="001E6D54"/>
    <w:rsid w:val="001E7616"/>
    <w:rsid w:val="001E7AED"/>
    <w:rsid w:val="001F3916"/>
    <w:rsid w:val="001F54C5"/>
    <w:rsid w:val="001F5EA0"/>
    <w:rsid w:val="001F65D0"/>
    <w:rsid w:val="001F662C"/>
    <w:rsid w:val="001F7074"/>
    <w:rsid w:val="00200490"/>
    <w:rsid w:val="00201F3A"/>
    <w:rsid w:val="0020297D"/>
    <w:rsid w:val="00203F96"/>
    <w:rsid w:val="002069B2"/>
    <w:rsid w:val="0020736B"/>
    <w:rsid w:val="00207FA3"/>
    <w:rsid w:val="00213976"/>
    <w:rsid w:val="00214DA8"/>
    <w:rsid w:val="00215423"/>
    <w:rsid w:val="002158FA"/>
    <w:rsid w:val="00216964"/>
    <w:rsid w:val="0021758B"/>
    <w:rsid w:val="00220600"/>
    <w:rsid w:val="002224DB"/>
    <w:rsid w:val="00223FCB"/>
    <w:rsid w:val="002252C3"/>
    <w:rsid w:val="0022588C"/>
    <w:rsid w:val="00225C54"/>
    <w:rsid w:val="00227D0C"/>
    <w:rsid w:val="00230765"/>
    <w:rsid w:val="002319E4"/>
    <w:rsid w:val="002328E3"/>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5CD7"/>
    <w:rsid w:val="00276F29"/>
    <w:rsid w:val="00277363"/>
    <w:rsid w:val="002805F5"/>
    <w:rsid w:val="00280751"/>
    <w:rsid w:val="002823D3"/>
    <w:rsid w:val="0028280A"/>
    <w:rsid w:val="0028438C"/>
    <w:rsid w:val="00286ACD"/>
    <w:rsid w:val="002876E3"/>
    <w:rsid w:val="00287838"/>
    <w:rsid w:val="002907B5"/>
    <w:rsid w:val="00290CB3"/>
    <w:rsid w:val="00292DB5"/>
    <w:rsid w:val="00292EB7"/>
    <w:rsid w:val="00296227"/>
    <w:rsid w:val="00296F44"/>
    <w:rsid w:val="0029777D"/>
    <w:rsid w:val="002A055E"/>
    <w:rsid w:val="002A1D4E"/>
    <w:rsid w:val="002A2869"/>
    <w:rsid w:val="002A37D5"/>
    <w:rsid w:val="002A5656"/>
    <w:rsid w:val="002A7741"/>
    <w:rsid w:val="002B15F8"/>
    <w:rsid w:val="002B1C8C"/>
    <w:rsid w:val="002B24D6"/>
    <w:rsid w:val="002B3B26"/>
    <w:rsid w:val="002B3FBB"/>
    <w:rsid w:val="002C013E"/>
    <w:rsid w:val="002C41E6"/>
    <w:rsid w:val="002C5220"/>
    <w:rsid w:val="002D071A"/>
    <w:rsid w:val="002D34B2"/>
    <w:rsid w:val="002D7637"/>
    <w:rsid w:val="002D799F"/>
    <w:rsid w:val="002E140D"/>
    <w:rsid w:val="002E17F2"/>
    <w:rsid w:val="002E3304"/>
    <w:rsid w:val="002E7CAE"/>
    <w:rsid w:val="002F1A7D"/>
    <w:rsid w:val="002F2771"/>
    <w:rsid w:val="002F37A9"/>
    <w:rsid w:val="002F4AB8"/>
    <w:rsid w:val="002F67D0"/>
    <w:rsid w:val="00301CE6"/>
    <w:rsid w:val="0030256B"/>
    <w:rsid w:val="003036B2"/>
    <w:rsid w:val="0030501F"/>
    <w:rsid w:val="0030729F"/>
    <w:rsid w:val="00307BA1"/>
    <w:rsid w:val="00307D44"/>
    <w:rsid w:val="00311702"/>
    <w:rsid w:val="00311E82"/>
    <w:rsid w:val="00313FD6"/>
    <w:rsid w:val="003143BD"/>
    <w:rsid w:val="00314595"/>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3F4"/>
    <w:rsid w:val="00370E47"/>
    <w:rsid w:val="003742AC"/>
    <w:rsid w:val="00376F95"/>
    <w:rsid w:val="00377CE1"/>
    <w:rsid w:val="00385BF0"/>
    <w:rsid w:val="00385DD3"/>
    <w:rsid w:val="0038655D"/>
    <w:rsid w:val="0039075B"/>
    <w:rsid w:val="0039291E"/>
    <w:rsid w:val="0039359C"/>
    <w:rsid w:val="003939FF"/>
    <w:rsid w:val="003950FF"/>
    <w:rsid w:val="00395560"/>
    <w:rsid w:val="00396529"/>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2901"/>
    <w:rsid w:val="003C76AC"/>
    <w:rsid w:val="003C7806"/>
    <w:rsid w:val="003D109F"/>
    <w:rsid w:val="003D1915"/>
    <w:rsid w:val="003D2478"/>
    <w:rsid w:val="003D2479"/>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6202"/>
    <w:rsid w:val="00427248"/>
    <w:rsid w:val="00427D3D"/>
    <w:rsid w:val="004307DE"/>
    <w:rsid w:val="00437447"/>
    <w:rsid w:val="0044163E"/>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70C31"/>
    <w:rsid w:val="004729B8"/>
    <w:rsid w:val="004734D0"/>
    <w:rsid w:val="0047556B"/>
    <w:rsid w:val="00476376"/>
    <w:rsid w:val="00477768"/>
    <w:rsid w:val="0048619B"/>
    <w:rsid w:val="00492BC5"/>
    <w:rsid w:val="004964F1"/>
    <w:rsid w:val="004A021C"/>
    <w:rsid w:val="004A16BC"/>
    <w:rsid w:val="004A2B94"/>
    <w:rsid w:val="004A6B3B"/>
    <w:rsid w:val="004A7BCF"/>
    <w:rsid w:val="004B3B58"/>
    <w:rsid w:val="004B4724"/>
    <w:rsid w:val="004B7C0C"/>
    <w:rsid w:val="004C3898"/>
    <w:rsid w:val="004C7BF7"/>
    <w:rsid w:val="004D156E"/>
    <w:rsid w:val="004D1D56"/>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23F"/>
    <w:rsid w:val="005458AF"/>
    <w:rsid w:val="00546970"/>
    <w:rsid w:val="005503F9"/>
    <w:rsid w:val="00554E19"/>
    <w:rsid w:val="0056121F"/>
    <w:rsid w:val="005621B9"/>
    <w:rsid w:val="00563104"/>
    <w:rsid w:val="00572505"/>
    <w:rsid w:val="00573A65"/>
    <w:rsid w:val="00582809"/>
    <w:rsid w:val="00583EBE"/>
    <w:rsid w:val="0058798C"/>
    <w:rsid w:val="005900FA"/>
    <w:rsid w:val="005935A4"/>
    <w:rsid w:val="005948C2"/>
    <w:rsid w:val="00594D23"/>
    <w:rsid w:val="00595DCA"/>
    <w:rsid w:val="00596B15"/>
    <w:rsid w:val="0059779B"/>
    <w:rsid w:val="005A209A"/>
    <w:rsid w:val="005A662D"/>
    <w:rsid w:val="005A7F37"/>
    <w:rsid w:val="005B35D7"/>
    <w:rsid w:val="005B392A"/>
    <w:rsid w:val="005B3AA3"/>
    <w:rsid w:val="005B6F83"/>
    <w:rsid w:val="005C0BC4"/>
    <w:rsid w:val="005C3E39"/>
    <w:rsid w:val="005C48A2"/>
    <w:rsid w:val="005C4B50"/>
    <w:rsid w:val="005C74FB"/>
    <w:rsid w:val="005D1602"/>
    <w:rsid w:val="005D6A5F"/>
    <w:rsid w:val="005D7F3F"/>
    <w:rsid w:val="005E00B4"/>
    <w:rsid w:val="005E1D0B"/>
    <w:rsid w:val="005E2F16"/>
    <w:rsid w:val="005E385F"/>
    <w:rsid w:val="005E5B81"/>
    <w:rsid w:val="005F0846"/>
    <w:rsid w:val="005F1C36"/>
    <w:rsid w:val="005F2CB1"/>
    <w:rsid w:val="005F3025"/>
    <w:rsid w:val="005F3069"/>
    <w:rsid w:val="005F4EBC"/>
    <w:rsid w:val="005F525A"/>
    <w:rsid w:val="005F618C"/>
    <w:rsid w:val="005F70BD"/>
    <w:rsid w:val="0060014B"/>
    <w:rsid w:val="00600C5A"/>
    <w:rsid w:val="0060283C"/>
    <w:rsid w:val="0060320A"/>
    <w:rsid w:val="00604F14"/>
    <w:rsid w:val="006076DD"/>
    <w:rsid w:val="00607AAB"/>
    <w:rsid w:val="00610825"/>
    <w:rsid w:val="00611B83"/>
    <w:rsid w:val="00613257"/>
    <w:rsid w:val="00615B2B"/>
    <w:rsid w:val="00615F46"/>
    <w:rsid w:val="00616A1D"/>
    <w:rsid w:val="00620A71"/>
    <w:rsid w:val="00620D80"/>
    <w:rsid w:val="006217C9"/>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37A5"/>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139"/>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03B"/>
    <w:rsid w:val="00696949"/>
    <w:rsid w:val="00697052"/>
    <w:rsid w:val="006A46FB"/>
    <w:rsid w:val="006A5E28"/>
    <w:rsid w:val="006A697B"/>
    <w:rsid w:val="006A7AFF"/>
    <w:rsid w:val="006B1816"/>
    <w:rsid w:val="006B2099"/>
    <w:rsid w:val="006B37C0"/>
    <w:rsid w:val="006B50CF"/>
    <w:rsid w:val="006B5DFF"/>
    <w:rsid w:val="006C03B8"/>
    <w:rsid w:val="006C110C"/>
    <w:rsid w:val="006C35E8"/>
    <w:rsid w:val="006C5EC9"/>
    <w:rsid w:val="006C6059"/>
    <w:rsid w:val="006C6326"/>
    <w:rsid w:val="006C7522"/>
    <w:rsid w:val="006D369B"/>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0298"/>
    <w:rsid w:val="007A1390"/>
    <w:rsid w:val="007A1CB3"/>
    <w:rsid w:val="007A306F"/>
    <w:rsid w:val="007A43A6"/>
    <w:rsid w:val="007A58A6"/>
    <w:rsid w:val="007A610C"/>
    <w:rsid w:val="007B1E03"/>
    <w:rsid w:val="007B2168"/>
    <w:rsid w:val="007B2555"/>
    <w:rsid w:val="007B26EC"/>
    <w:rsid w:val="007B35AF"/>
    <w:rsid w:val="007B3D2D"/>
    <w:rsid w:val="007B4C1E"/>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4D5F"/>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02F7"/>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2D9"/>
    <w:rsid w:val="008A77D8"/>
    <w:rsid w:val="008B0483"/>
    <w:rsid w:val="008B0B95"/>
    <w:rsid w:val="008B120C"/>
    <w:rsid w:val="008B17E5"/>
    <w:rsid w:val="008B51A0"/>
    <w:rsid w:val="008B5335"/>
    <w:rsid w:val="008B592A"/>
    <w:rsid w:val="008B7B5C"/>
    <w:rsid w:val="008C0C99"/>
    <w:rsid w:val="008C133A"/>
    <w:rsid w:val="008C2017"/>
    <w:rsid w:val="008C4958"/>
    <w:rsid w:val="008C4BAA"/>
    <w:rsid w:val="008C6AE8"/>
    <w:rsid w:val="008C70A6"/>
    <w:rsid w:val="008C7573"/>
    <w:rsid w:val="008D34F1"/>
    <w:rsid w:val="008D39D8"/>
    <w:rsid w:val="008D3E25"/>
    <w:rsid w:val="008D4252"/>
    <w:rsid w:val="008D6D1A"/>
    <w:rsid w:val="008E015A"/>
    <w:rsid w:val="008E065E"/>
    <w:rsid w:val="008E0927"/>
    <w:rsid w:val="008E1909"/>
    <w:rsid w:val="008F1EAB"/>
    <w:rsid w:val="008F33DC"/>
    <w:rsid w:val="008F3832"/>
    <w:rsid w:val="008F39A7"/>
    <w:rsid w:val="008F3BD4"/>
    <w:rsid w:val="008F477F"/>
    <w:rsid w:val="008F5FBD"/>
    <w:rsid w:val="008F7AD6"/>
    <w:rsid w:val="00902350"/>
    <w:rsid w:val="0090336B"/>
    <w:rsid w:val="009053AA"/>
    <w:rsid w:val="009064C3"/>
    <w:rsid w:val="00906939"/>
    <w:rsid w:val="00910B7D"/>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6F3F"/>
    <w:rsid w:val="00947713"/>
    <w:rsid w:val="00950DE7"/>
    <w:rsid w:val="00952A24"/>
    <w:rsid w:val="00953266"/>
    <w:rsid w:val="00953920"/>
    <w:rsid w:val="00953D47"/>
    <w:rsid w:val="00954F2A"/>
    <w:rsid w:val="009563C6"/>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03F"/>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3BFD"/>
    <w:rsid w:val="009C403E"/>
    <w:rsid w:val="009C46CA"/>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1E0"/>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C78DF"/>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3D89"/>
    <w:rsid w:val="00B24F4C"/>
    <w:rsid w:val="00B2763F"/>
    <w:rsid w:val="00B27AAC"/>
    <w:rsid w:val="00B306F4"/>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76B52"/>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531"/>
    <w:rsid w:val="00BB2A25"/>
    <w:rsid w:val="00BB51E9"/>
    <w:rsid w:val="00BC0FDC"/>
    <w:rsid w:val="00BC2CC6"/>
    <w:rsid w:val="00BC3053"/>
    <w:rsid w:val="00BC4D2E"/>
    <w:rsid w:val="00BD20B8"/>
    <w:rsid w:val="00BD410E"/>
    <w:rsid w:val="00BD48AC"/>
    <w:rsid w:val="00BD5F1A"/>
    <w:rsid w:val="00BE1234"/>
    <w:rsid w:val="00BE2FA6"/>
    <w:rsid w:val="00BE333F"/>
    <w:rsid w:val="00BE6AD3"/>
    <w:rsid w:val="00BE7406"/>
    <w:rsid w:val="00BE7603"/>
    <w:rsid w:val="00BE787F"/>
    <w:rsid w:val="00BF3184"/>
    <w:rsid w:val="00BF3279"/>
    <w:rsid w:val="00BF5040"/>
    <w:rsid w:val="00BF74C7"/>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3BD"/>
    <w:rsid w:val="00C3353A"/>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071"/>
    <w:rsid w:val="00CB1F63"/>
    <w:rsid w:val="00CB20D8"/>
    <w:rsid w:val="00CB3939"/>
    <w:rsid w:val="00CB41A7"/>
    <w:rsid w:val="00CB6A2D"/>
    <w:rsid w:val="00CB7170"/>
    <w:rsid w:val="00CC040E"/>
    <w:rsid w:val="00CC111F"/>
    <w:rsid w:val="00CC2011"/>
    <w:rsid w:val="00CC22C6"/>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CF7DB0"/>
    <w:rsid w:val="00D0349B"/>
    <w:rsid w:val="00D10249"/>
    <w:rsid w:val="00D10D8C"/>
    <w:rsid w:val="00D115C3"/>
    <w:rsid w:val="00D11897"/>
    <w:rsid w:val="00D125E9"/>
    <w:rsid w:val="00D13135"/>
    <w:rsid w:val="00D13E4E"/>
    <w:rsid w:val="00D174D2"/>
    <w:rsid w:val="00D2126C"/>
    <w:rsid w:val="00D23168"/>
    <w:rsid w:val="00D239A7"/>
    <w:rsid w:val="00D23F47"/>
    <w:rsid w:val="00D2446D"/>
    <w:rsid w:val="00D27704"/>
    <w:rsid w:val="00D36E71"/>
    <w:rsid w:val="00D37D87"/>
    <w:rsid w:val="00D404D1"/>
    <w:rsid w:val="00D40B33"/>
    <w:rsid w:val="00D4318F"/>
    <w:rsid w:val="00D438BF"/>
    <w:rsid w:val="00D440F8"/>
    <w:rsid w:val="00D47943"/>
    <w:rsid w:val="00D546FF"/>
    <w:rsid w:val="00D55AD5"/>
    <w:rsid w:val="00D56F65"/>
    <w:rsid w:val="00D576CA"/>
    <w:rsid w:val="00D61AF5"/>
    <w:rsid w:val="00D624C4"/>
    <w:rsid w:val="00D626B9"/>
    <w:rsid w:val="00D652B5"/>
    <w:rsid w:val="00D65B21"/>
    <w:rsid w:val="00D66155"/>
    <w:rsid w:val="00D7042C"/>
    <w:rsid w:val="00D708B0"/>
    <w:rsid w:val="00D77B1D"/>
    <w:rsid w:val="00D8021F"/>
    <w:rsid w:val="00D80383"/>
    <w:rsid w:val="00D823C6"/>
    <w:rsid w:val="00D84507"/>
    <w:rsid w:val="00D84A04"/>
    <w:rsid w:val="00D86706"/>
    <w:rsid w:val="00D86CA3"/>
    <w:rsid w:val="00D871CE"/>
    <w:rsid w:val="00D9196D"/>
    <w:rsid w:val="00D92982"/>
    <w:rsid w:val="00D92BAC"/>
    <w:rsid w:val="00D9456B"/>
    <w:rsid w:val="00D961D6"/>
    <w:rsid w:val="00D96656"/>
    <w:rsid w:val="00DA05C6"/>
    <w:rsid w:val="00DA11F5"/>
    <w:rsid w:val="00DA305E"/>
    <w:rsid w:val="00DA5417"/>
    <w:rsid w:val="00DA56E8"/>
    <w:rsid w:val="00DA6102"/>
    <w:rsid w:val="00DA6E71"/>
    <w:rsid w:val="00DA7BDC"/>
    <w:rsid w:val="00DB0A9F"/>
    <w:rsid w:val="00DB1E26"/>
    <w:rsid w:val="00DB377D"/>
    <w:rsid w:val="00DB5C01"/>
    <w:rsid w:val="00DB7A7D"/>
    <w:rsid w:val="00DC2D36"/>
    <w:rsid w:val="00DC2F53"/>
    <w:rsid w:val="00DC53EF"/>
    <w:rsid w:val="00DD46AB"/>
    <w:rsid w:val="00DD7BF7"/>
    <w:rsid w:val="00DE0DDE"/>
    <w:rsid w:val="00DE18DC"/>
    <w:rsid w:val="00DE5608"/>
    <w:rsid w:val="00DE58D0"/>
    <w:rsid w:val="00DE654F"/>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2F2E"/>
    <w:rsid w:val="00E4390C"/>
    <w:rsid w:val="00E446F1"/>
    <w:rsid w:val="00E45134"/>
    <w:rsid w:val="00E46886"/>
    <w:rsid w:val="00E473BF"/>
    <w:rsid w:val="00E47AEF"/>
    <w:rsid w:val="00E47FA8"/>
    <w:rsid w:val="00E50FB7"/>
    <w:rsid w:val="00E522AC"/>
    <w:rsid w:val="00E52A12"/>
    <w:rsid w:val="00E53B75"/>
    <w:rsid w:val="00E54E3B"/>
    <w:rsid w:val="00E5689D"/>
    <w:rsid w:val="00E57565"/>
    <w:rsid w:val="00E60888"/>
    <w:rsid w:val="00E63838"/>
    <w:rsid w:val="00E64434"/>
    <w:rsid w:val="00E6494E"/>
    <w:rsid w:val="00E656AA"/>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C1066"/>
    <w:rsid w:val="00EC27C6"/>
    <w:rsid w:val="00EC4207"/>
    <w:rsid w:val="00EC48C2"/>
    <w:rsid w:val="00EC5653"/>
    <w:rsid w:val="00EC59F5"/>
    <w:rsid w:val="00EC5E92"/>
    <w:rsid w:val="00EC70B1"/>
    <w:rsid w:val="00EC71CE"/>
    <w:rsid w:val="00ED1006"/>
    <w:rsid w:val="00ED3D32"/>
    <w:rsid w:val="00ED5292"/>
    <w:rsid w:val="00ED74D1"/>
    <w:rsid w:val="00EE1375"/>
    <w:rsid w:val="00EE1851"/>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56BEC"/>
    <w:rsid w:val="00F607C5"/>
    <w:rsid w:val="00F60DEA"/>
    <w:rsid w:val="00F6302A"/>
    <w:rsid w:val="00F64C2B"/>
    <w:rsid w:val="00F651BE"/>
    <w:rsid w:val="00F65255"/>
    <w:rsid w:val="00F66115"/>
    <w:rsid w:val="00F67F53"/>
    <w:rsid w:val="00F703BE"/>
    <w:rsid w:val="00F71F69"/>
    <w:rsid w:val="00F72B72"/>
    <w:rsid w:val="00F7441C"/>
    <w:rsid w:val="00F74BB9"/>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2864"/>
    <w:rsid w:val="00FC652C"/>
    <w:rsid w:val="00FC677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D9D"/>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6F8FCB87-04CA-4D8D-8071-872E731A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23D8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B23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D89"/>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2A5656"/>
    <w:rPr>
      <w:rFonts w:asciiTheme="minorHAnsi" w:eastAsiaTheme="minorHAnsi" w:hAnsiTheme="minorHAnsi" w:cstheme="minorBidi"/>
      <w:sz w:val="22"/>
      <w:szCs w:val="22"/>
    </w:rPr>
  </w:style>
  <w:style w:type="paragraph" w:customStyle="1" w:styleId="Body">
    <w:name w:val="Body"/>
    <w:basedOn w:val="Normal"/>
    <w:uiPriority w:val="99"/>
    <w:rsid w:val="00D404D1"/>
    <w:pPr>
      <w:ind w:left="450"/>
      <w:jc w:val="both"/>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6482">
      <w:bodyDiv w:val="1"/>
      <w:marLeft w:val="0"/>
      <w:marRight w:val="0"/>
      <w:marTop w:val="0"/>
      <w:marBottom w:val="0"/>
      <w:divBdr>
        <w:top w:val="none" w:sz="0" w:space="0" w:color="auto"/>
        <w:left w:val="none" w:sz="0" w:space="0" w:color="auto"/>
        <w:bottom w:val="none" w:sz="0" w:space="0" w:color="auto"/>
        <w:right w:val="none" w:sz="0" w:space="0" w:color="auto"/>
      </w:divBdr>
    </w:div>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B05CC-6211-455F-ADD8-5371ACC8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2197</Words>
  <Characters>13122</Characters>
  <Application>Microsoft Office Word</Application>
  <DocSecurity>0</DocSecurity>
  <Lines>285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cp:lastModifiedBy>Mark Harrison</cp:lastModifiedBy>
  <cp:revision>2</cp:revision>
  <dcterms:created xsi:type="dcterms:W3CDTF">2017-02-07T03:55:00Z</dcterms:created>
  <dcterms:modified xsi:type="dcterms:W3CDTF">2017-02-07T03:55:00Z</dcterms:modified>
</cp:coreProperties>
</file>