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21FE9F" w14:textId="3627D854" w:rsidR="00A3359C" w:rsidRPr="000A64D8" w:rsidRDefault="00A3359C" w:rsidP="00A3359C">
      <w:pPr>
        <w:tabs>
          <w:tab w:val="right" w:pos="10000"/>
        </w:tabs>
        <w:spacing w:after="0"/>
        <w:jc w:val="both"/>
        <w:rPr>
          <w:rFonts w:ascii="Arial" w:hAnsi="Arial" w:cs="Arial"/>
          <w:b/>
          <w:sz w:val="24"/>
          <w:szCs w:val="24"/>
        </w:rPr>
      </w:pPr>
      <w:r>
        <w:rPr>
          <w:rFonts w:ascii="Arial" w:hAnsi="Arial" w:cs="Arial"/>
          <w:b/>
          <w:bCs/>
          <w:sz w:val="24"/>
          <w:szCs w:val="24"/>
        </w:rPr>
        <w:t>3GPP TSG RAN WG1 #88</w:t>
      </w:r>
      <w:r w:rsidRPr="000A64D8">
        <w:rPr>
          <w:rFonts w:ascii="Arial" w:hAnsi="Arial" w:cs="Arial"/>
          <w:b/>
          <w:sz w:val="24"/>
          <w:szCs w:val="24"/>
        </w:rPr>
        <w:tab/>
      </w:r>
      <w:r w:rsidRPr="004C5B1B">
        <w:rPr>
          <w:rFonts w:ascii="Arial" w:hAnsi="Arial" w:cs="Arial"/>
          <w:b/>
          <w:sz w:val="24"/>
          <w:szCs w:val="24"/>
        </w:rPr>
        <w:t>R1-1</w:t>
      </w:r>
      <w:r>
        <w:rPr>
          <w:rFonts w:ascii="Arial" w:hAnsi="Arial" w:cs="Arial"/>
          <w:b/>
          <w:sz w:val="24"/>
          <w:szCs w:val="24"/>
        </w:rPr>
        <w:t>702612</w:t>
      </w:r>
    </w:p>
    <w:p w14:paraId="1C320A15" w14:textId="77777777" w:rsidR="00A3359C" w:rsidRPr="00FD021C" w:rsidRDefault="00A3359C" w:rsidP="00A3359C">
      <w:pPr>
        <w:tabs>
          <w:tab w:val="right" w:pos="9630"/>
        </w:tabs>
        <w:spacing w:after="0"/>
        <w:jc w:val="both"/>
        <w:rPr>
          <w:rFonts w:ascii="Arial" w:hAnsi="Arial" w:cs="Arial"/>
          <w:b/>
          <w:sz w:val="24"/>
          <w:szCs w:val="24"/>
        </w:rPr>
      </w:pPr>
      <w:r>
        <w:rPr>
          <w:rFonts w:ascii="Arial" w:hAnsi="Arial" w:cs="Arial"/>
          <w:b/>
          <w:sz w:val="24"/>
          <w:szCs w:val="24"/>
        </w:rPr>
        <w:t>February</w:t>
      </w:r>
      <w:r w:rsidRPr="00CC0D62">
        <w:rPr>
          <w:rFonts w:ascii="Arial" w:hAnsi="Arial" w:cs="Arial"/>
          <w:b/>
          <w:sz w:val="24"/>
          <w:szCs w:val="24"/>
        </w:rPr>
        <w:t xml:space="preserve"> 1</w:t>
      </w:r>
      <w:r>
        <w:rPr>
          <w:rFonts w:ascii="Arial" w:hAnsi="Arial" w:cs="Arial"/>
          <w:b/>
          <w:sz w:val="24"/>
          <w:szCs w:val="24"/>
        </w:rPr>
        <w:t>3</w:t>
      </w:r>
      <w:r w:rsidRPr="00CC0D62">
        <w:rPr>
          <w:rFonts w:ascii="Arial" w:hAnsi="Arial" w:cs="Arial"/>
          <w:b/>
          <w:sz w:val="24"/>
          <w:szCs w:val="24"/>
        </w:rPr>
        <w:t xml:space="preserve">th - </w:t>
      </w:r>
      <w:r>
        <w:rPr>
          <w:rFonts w:ascii="Arial" w:hAnsi="Arial" w:cs="Arial"/>
          <w:b/>
          <w:sz w:val="24"/>
          <w:szCs w:val="24"/>
        </w:rPr>
        <w:t>17</w:t>
      </w:r>
      <w:r w:rsidRPr="00CC0D62">
        <w:rPr>
          <w:rFonts w:ascii="Arial" w:hAnsi="Arial" w:cs="Arial"/>
          <w:b/>
          <w:sz w:val="24"/>
          <w:szCs w:val="24"/>
        </w:rPr>
        <w:t>th, 2017</w:t>
      </w:r>
    </w:p>
    <w:p w14:paraId="46B985E5" w14:textId="77777777" w:rsidR="00A3359C" w:rsidRPr="000A64D8" w:rsidRDefault="00A3359C" w:rsidP="00A3359C">
      <w:pPr>
        <w:spacing w:after="0"/>
        <w:jc w:val="both"/>
        <w:rPr>
          <w:rFonts w:ascii="Arial" w:hAnsi="Arial" w:cs="Arial"/>
          <w:b/>
          <w:sz w:val="24"/>
          <w:szCs w:val="24"/>
        </w:rPr>
      </w:pPr>
      <w:r>
        <w:rPr>
          <w:rFonts w:ascii="Arial" w:hAnsi="Arial" w:cs="Arial"/>
          <w:b/>
          <w:sz w:val="24"/>
          <w:szCs w:val="24"/>
        </w:rPr>
        <w:t>Athens</w:t>
      </w:r>
      <w:r w:rsidRPr="00CC0D62">
        <w:rPr>
          <w:rFonts w:ascii="Arial" w:hAnsi="Arial" w:cs="Arial"/>
          <w:b/>
          <w:sz w:val="24"/>
          <w:szCs w:val="24"/>
        </w:rPr>
        <w:t xml:space="preserve">, </w:t>
      </w:r>
      <w:r>
        <w:rPr>
          <w:rFonts w:ascii="Arial" w:hAnsi="Arial" w:cs="Arial"/>
          <w:b/>
          <w:sz w:val="24"/>
          <w:szCs w:val="24"/>
        </w:rPr>
        <w:t>Greece</w:t>
      </w:r>
    </w:p>
    <w:p w14:paraId="46F1330C" w14:textId="77777777" w:rsidR="0068226B" w:rsidRPr="000A64D8" w:rsidRDefault="0068226B" w:rsidP="00AC4496">
      <w:pPr>
        <w:pStyle w:val="Footer"/>
        <w:jc w:val="both"/>
        <w:rPr>
          <w:noProof w:val="0"/>
        </w:rPr>
      </w:pPr>
    </w:p>
    <w:p w14:paraId="46F1330D" w14:textId="58770F9A"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652B">
        <w:rPr>
          <w:rFonts w:ascii="Arial" w:hAnsi="Arial"/>
          <w:sz w:val="24"/>
        </w:rPr>
        <w:t>8.1.2.3.4</w:t>
      </w:r>
      <w:bookmarkStart w:id="1" w:name="_GoBack"/>
      <w:bookmarkEnd w:id="1"/>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EFB6ADF"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0652B">
        <w:rPr>
          <w:rFonts w:ascii="Arial" w:hAnsi="Arial"/>
          <w:sz w:val="22"/>
        </w:rPr>
        <w:t>CSI Acquisition for Reciprocity Based Operation</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F13312" w14:textId="62B81726" w:rsidR="00763545" w:rsidRDefault="00763545" w:rsidP="00B811B6">
      <w:pPr>
        <w:jc w:val="both"/>
        <w:rPr>
          <w:szCs w:val="22"/>
        </w:rPr>
      </w:pPr>
      <w:r w:rsidRPr="0034718C">
        <w:rPr>
          <w:szCs w:val="22"/>
        </w:rPr>
        <w:t>In RAN</w:t>
      </w:r>
      <w:r>
        <w:rPr>
          <w:szCs w:val="22"/>
        </w:rPr>
        <w:t>1</w:t>
      </w:r>
      <w:r w:rsidR="0000652B">
        <w:rPr>
          <w:szCs w:val="22"/>
        </w:rPr>
        <w:t xml:space="preserve"> </w:t>
      </w:r>
      <w:r w:rsidRPr="0034718C">
        <w:rPr>
          <w:szCs w:val="22"/>
        </w:rPr>
        <w:t>#</w:t>
      </w:r>
      <w:r w:rsidR="0000652B">
        <w:rPr>
          <w:szCs w:val="22"/>
        </w:rPr>
        <w:t>AH1_NR, a WF on reciprocity based CSI acquisition</w:t>
      </w:r>
      <w:r w:rsidR="00020E1B">
        <w:rPr>
          <w:szCs w:val="22"/>
        </w:rPr>
        <w:t xml:space="preserve"> [</w:t>
      </w:r>
      <w:r w:rsidR="0000652B">
        <w:rPr>
          <w:szCs w:val="22"/>
        </w:rPr>
        <w:t>1</w:t>
      </w:r>
      <w:r w:rsidR="00020E1B">
        <w:rPr>
          <w:szCs w:val="22"/>
        </w:rPr>
        <w:t>] w</w:t>
      </w:r>
      <w:r w:rsidR="0000652B">
        <w:rPr>
          <w:szCs w:val="22"/>
        </w:rPr>
        <w:t>as</w:t>
      </w:r>
      <w:r w:rsidR="00020E1B">
        <w:rPr>
          <w:szCs w:val="22"/>
        </w:rPr>
        <w:t xml:space="preserve"> discussed.  Some agreements are as follows</w:t>
      </w:r>
      <w:r w:rsidR="00B275A9">
        <w:rPr>
          <w:szCs w:val="22"/>
        </w:rPr>
        <w:t xml:space="preserve"> [</w:t>
      </w:r>
      <w:r w:rsidR="0000652B">
        <w:rPr>
          <w:szCs w:val="22"/>
        </w:rPr>
        <w:t>2</w:t>
      </w:r>
      <w:r w:rsidR="00B275A9">
        <w:rPr>
          <w:szCs w:val="22"/>
        </w:rPr>
        <w:t>].</w:t>
      </w:r>
    </w:p>
    <w:p w14:paraId="58EE13B1" w14:textId="77777777" w:rsidR="0000652B" w:rsidRPr="0000652B" w:rsidRDefault="0000652B" w:rsidP="0000652B">
      <w:pPr>
        <w:numPr>
          <w:ilvl w:val="0"/>
          <w:numId w:val="10"/>
        </w:numPr>
        <w:overflowPunct/>
        <w:autoSpaceDE/>
        <w:autoSpaceDN/>
        <w:adjustRightInd/>
        <w:spacing w:after="0"/>
        <w:jc w:val="both"/>
        <w:textAlignment w:val="auto"/>
        <w:rPr>
          <w:i/>
        </w:rPr>
      </w:pPr>
      <w:r w:rsidRPr="0000652B">
        <w:rPr>
          <w:i/>
        </w:rPr>
        <w:t xml:space="preserve">Study the following DL CSI feedback for different degree of channel reciprocity, </w:t>
      </w:r>
    </w:p>
    <w:p w14:paraId="40764F62" w14:textId="77777777" w:rsidR="0000652B" w:rsidRPr="0000652B" w:rsidRDefault="0000652B" w:rsidP="0082525E">
      <w:pPr>
        <w:numPr>
          <w:ilvl w:val="1"/>
          <w:numId w:val="10"/>
        </w:numPr>
        <w:overflowPunct/>
        <w:autoSpaceDE/>
        <w:autoSpaceDN/>
        <w:adjustRightInd/>
        <w:spacing w:after="0"/>
        <w:jc w:val="both"/>
        <w:textAlignment w:val="auto"/>
        <w:rPr>
          <w:i/>
        </w:rPr>
      </w:pPr>
      <w:r w:rsidRPr="0000652B">
        <w:rPr>
          <w:i/>
        </w:rPr>
        <w:t xml:space="preserve">For full channel reciprocity </w:t>
      </w:r>
    </w:p>
    <w:p w14:paraId="15D03387" w14:textId="77777777" w:rsidR="0000652B" w:rsidRPr="0000652B" w:rsidRDefault="0000652B" w:rsidP="0082525E">
      <w:pPr>
        <w:numPr>
          <w:ilvl w:val="2"/>
          <w:numId w:val="10"/>
        </w:numPr>
        <w:overflowPunct/>
        <w:autoSpaceDE/>
        <w:autoSpaceDN/>
        <w:adjustRightInd/>
        <w:spacing w:after="0"/>
        <w:jc w:val="both"/>
        <w:textAlignment w:val="auto"/>
        <w:rPr>
          <w:i/>
        </w:rPr>
      </w:pPr>
      <w:r w:rsidRPr="0000652B">
        <w:rPr>
          <w:i/>
        </w:rPr>
        <w:t>Explicit interference feedback: e.g., Interference covariance matrix, diagonal elements of interference covariance matrix</w:t>
      </w:r>
    </w:p>
    <w:p w14:paraId="6F557C1C" w14:textId="77777777" w:rsidR="0000652B" w:rsidRPr="0000652B" w:rsidRDefault="0000652B" w:rsidP="0082525E">
      <w:pPr>
        <w:numPr>
          <w:ilvl w:val="2"/>
          <w:numId w:val="10"/>
        </w:numPr>
        <w:overflowPunct/>
        <w:autoSpaceDE/>
        <w:autoSpaceDN/>
        <w:adjustRightInd/>
        <w:spacing w:after="0"/>
        <w:jc w:val="both"/>
        <w:textAlignment w:val="auto"/>
        <w:rPr>
          <w:i/>
        </w:rPr>
      </w:pPr>
      <w:r w:rsidRPr="0000652B">
        <w:rPr>
          <w:i/>
        </w:rPr>
        <w:t>Implicit interference feedback: e.g., Interference PMI feedback</w:t>
      </w:r>
    </w:p>
    <w:p w14:paraId="3D87359C" w14:textId="77777777" w:rsidR="0000652B" w:rsidRPr="0000652B" w:rsidRDefault="0000652B" w:rsidP="0082525E">
      <w:pPr>
        <w:numPr>
          <w:ilvl w:val="2"/>
          <w:numId w:val="10"/>
        </w:numPr>
        <w:overflowPunct/>
        <w:autoSpaceDE/>
        <w:autoSpaceDN/>
        <w:adjustRightInd/>
        <w:spacing w:after="0"/>
        <w:jc w:val="both"/>
        <w:textAlignment w:val="auto"/>
        <w:rPr>
          <w:i/>
        </w:rPr>
      </w:pPr>
      <w:r w:rsidRPr="0000652B">
        <w:rPr>
          <w:i/>
        </w:rPr>
        <w:t>Explicit channel feedback: e.g., CSI of multiple TRPs</w:t>
      </w:r>
    </w:p>
    <w:p w14:paraId="072069D5" w14:textId="77777777" w:rsidR="0000652B" w:rsidRPr="0000652B" w:rsidRDefault="0000652B" w:rsidP="0082525E">
      <w:pPr>
        <w:numPr>
          <w:ilvl w:val="1"/>
          <w:numId w:val="10"/>
        </w:numPr>
        <w:overflowPunct/>
        <w:autoSpaceDE/>
        <w:autoSpaceDN/>
        <w:adjustRightInd/>
        <w:spacing w:after="0"/>
        <w:jc w:val="both"/>
        <w:textAlignment w:val="auto"/>
        <w:rPr>
          <w:i/>
        </w:rPr>
      </w:pPr>
      <w:r w:rsidRPr="0000652B">
        <w:rPr>
          <w:i/>
        </w:rPr>
        <w:t xml:space="preserve">For partial channel reciprocity (e.g., more Rx ports than </w:t>
      </w:r>
      <w:proofErr w:type="spellStart"/>
      <w:r w:rsidRPr="0000652B">
        <w:rPr>
          <w:i/>
        </w:rPr>
        <w:t>Tx</w:t>
      </w:r>
      <w:proofErr w:type="spellEnd"/>
      <w:r w:rsidRPr="0000652B">
        <w:rPr>
          <w:i/>
        </w:rPr>
        <w:t xml:space="preserve"> ports at UE)</w:t>
      </w:r>
    </w:p>
    <w:p w14:paraId="0188C0C9" w14:textId="77777777" w:rsidR="0000652B" w:rsidRPr="0000652B" w:rsidRDefault="0000652B" w:rsidP="0082525E">
      <w:pPr>
        <w:numPr>
          <w:ilvl w:val="2"/>
          <w:numId w:val="10"/>
        </w:numPr>
        <w:overflowPunct/>
        <w:autoSpaceDE/>
        <w:autoSpaceDN/>
        <w:adjustRightInd/>
        <w:spacing w:after="0"/>
        <w:jc w:val="both"/>
        <w:textAlignment w:val="auto"/>
        <w:rPr>
          <w:i/>
        </w:rPr>
      </w:pPr>
      <w:r w:rsidRPr="0000652B">
        <w:rPr>
          <w:i/>
        </w:rPr>
        <w:t xml:space="preserve">Partial CSI feedback for eNB to acquire full CSI </w:t>
      </w:r>
    </w:p>
    <w:p w14:paraId="76589F88" w14:textId="77777777" w:rsidR="0000652B" w:rsidRPr="0000652B" w:rsidRDefault="0000652B" w:rsidP="0000652B">
      <w:pPr>
        <w:numPr>
          <w:ilvl w:val="0"/>
          <w:numId w:val="10"/>
        </w:numPr>
        <w:overflowPunct/>
        <w:autoSpaceDE/>
        <w:autoSpaceDN/>
        <w:adjustRightInd/>
        <w:spacing w:after="0"/>
        <w:jc w:val="both"/>
        <w:textAlignment w:val="auto"/>
        <w:rPr>
          <w:i/>
        </w:rPr>
      </w:pPr>
      <w:r w:rsidRPr="0000652B">
        <w:rPr>
          <w:i/>
        </w:rPr>
        <w:t>Study whether or not to support CSI-RS and SRS transmission in the same slot (e.g., for fast CSI acquisition)</w:t>
      </w:r>
    </w:p>
    <w:p w14:paraId="3EE4A306" w14:textId="18F1DF44" w:rsidR="0080381E" w:rsidRPr="0080381E" w:rsidRDefault="0000652B" w:rsidP="0082525E">
      <w:pPr>
        <w:numPr>
          <w:ilvl w:val="1"/>
          <w:numId w:val="10"/>
        </w:numPr>
        <w:overflowPunct/>
        <w:autoSpaceDE/>
        <w:autoSpaceDN/>
        <w:adjustRightInd/>
        <w:spacing w:after="0"/>
        <w:jc w:val="both"/>
        <w:textAlignment w:val="auto"/>
        <w:rPr>
          <w:i/>
        </w:rPr>
      </w:pPr>
      <w:r w:rsidRPr="0000652B">
        <w:rPr>
          <w:i/>
        </w:rPr>
        <w:t xml:space="preserve">Study if a limitation on the number of SRS and/or CSI-RS ports due to UE complexity, slot duration of different numerology are </w:t>
      </w:r>
      <w:r w:rsidR="007E3C33">
        <w:rPr>
          <w:i/>
        </w:rPr>
        <w:t>needed.</w:t>
      </w:r>
      <w:r w:rsidR="0080381E" w:rsidRPr="0080381E">
        <w:rPr>
          <w:i/>
        </w:rPr>
        <w:tab/>
      </w:r>
    </w:p>
    <w:p w14:paraId="46F13334" w14:textId="41AEF7FF" w:rsidR="00E3066B" w:rsidRPr="003E3A04" w:rsidRDefault="00E3066B" w:rsidP="00B811B6">
      <w:pPr>
        <w:spacing w:before="120"/>
        <w:jc w:val="both"/>
        <w:rPr>
          <w:lang w:val="en-GB"/>
        </w:rPr>
      </w:pPr>
      <w:r>
        <w:rPr>
          <w:lang w:val="en-GB"/>
        </w:rPr>
        <w:t xml:space="preserve">In this contribution, we discuss </w:t>
      </w:r>
      <w:r w:rsidR="00D67ADF">
        <w:rPr>
          <w:lang w:val="en-GB"/>
        </w:rPr>
        <w:t xml:space="preserve">several </w:t>
      </w:r>
      <w:r w:rsidR="00012083">
        <w:rPr>
          <w:lang w:val="en-GB"/>
        </w:rPr>
        <w:t>open issues in CSI acquisition for reciprocity based operation</w:t>
      </w:r>
      <w:r w:rsidR="00E23F96">
        <w:rPr>
          <w:lang w:val="en-GB"/>
        </w:rPr>
        <w:t>.</w:t>
      </w:r>
    </w:p>
    <w:p w14:paraId="46F13335" w14:textId="77777777" w:rsidR="00E3066B" w:rsidRDefault="00E3066B" w:rsidP="00AC4496">
      <w:pPr>
        <w:pStyle w:val="Heading1"/>
        <w:jc w:val="both"/>
      </w:pPr>
      <w:r>
        <w:t>Discussion</w:t>
      </w:r>
    </w:p>
    <w:p w14:paraId="1257391C" w14:textId="01960F54" w:rsidR="00F832EB" w:rsidRDefault="00631410" w:rsidP="000B44F5">
      <w:pPr>
        <w:pStyle w:val="Heading2"/>
      </w:pPr>
      <w:r>
        <w:t>Necessity of explicit interference feedback</w:t>
      </w:r>
    </w:p>
    <w:p w14:paraId="6982ABCB" w14:textId="34885592" w:rsidR="008620C9" w:rsidRDefault="008620C9" w:rsidP="008620C9">
      <w:pPr>
        <w:jc w:val="both"/>
        <w:rPr>
          <w:lang w:val="en-GB"/>
        </w:rPr>
      </w:pPr>
      <w:r>
        <w:t>Exploiting channel reciprocity, t</w:t>
      </w:r>
      <w:r>
        <w:rPr>
          <w:lang w:val="en-GB"/>
        </w:rPr>
        <w:t xml:space="preserve">he </w:t>
      </w:r>
      <w:proofErr w:type="spellStart"/>
      <w:r>
        <w:rPr>
          <w:lang w:val="en-GB"/>
        </w:rPr>
        <w:t>gNB</w:t>
      </w:r>
      <w:proofErr w:type="spellEnd"/>
      <w:r>
        <w:rPr>
          <w:lang w:val="en-GB"/>
        </w:rPr>
        <w:t xml:space="preserve"> can use uplink SRSs to acquire the downlink channel state information from uplink channel estimates and to assist downlink channel-dependent scheduling.  In order to enable downlink channel-dependent scheduling, both the channel information and the interference information are needed by the network.  The channel information can be obtained from uplink channel estimation with proper reciprocity calibration.  The acquiring of interference information from uplink channel estimation is not straightforward.  </w:t>
      </w:r>
    </w:p>
    <w:p w14:paraId="55058CE5" w14:textId="77777777" w:rsidR="008620C9" w:rsidRDefault="008620C9" w:rsidP="008620C9">
      <w:pPr>
        <w:jc w:val="both"/>
        <w:rPr>
          <w:lang w:val="en-GB"/>
        </w:rPr>
      </w:pPr>
      <w:r>
        <w:rPr>
          <w:lang w:val="en-GB"/>
        </w:rPr>
        <w:t>In LTE, the interference information is always measured by UE and reported to the network in terms of CQI.  The CQI is derived assuming either a close-loop spatial multiplexing (CLSM) or a transmit diversity (</w:t>
      </w:r>
      <w:proofErr w:type="spellStart"/>
      <w:r>
        <w:rPr>
          <w:lang w:val="en-GB"/>
        </w:rPr>
        <w:t>TxD</w:t>
      </w:r>
      <w:proofErr w:type="spellEnd"/>
      <w:r>
        <w:rPr>
          <w:lang w:val="en-GB"/>
        </w:rPr>
        <w:t xml:space="preserve">).  For the CLSM based CQI, it is accompanied with a PMI/RI reporting using a pre-defined PMI codebook.  Although the reported PMI and RI provide the eNB some additional information for downlink link adaptation and channel-dependent scheduling, there could be mismatch between the downlink channel for deriving PMI/RI and the downlink channel for actual transmission.  For example, the actual transmission may be precoded using 64 eNB antennas, while the PMI/RI may be based on only 4 CSI-RS ports which are virtualized by some fixed weights.  For the </w:t>
      </w:r>
      <w:proofErr w:type="spellStart"/>
      <w:r>
        <w:rPr>
          <w:lang w:val="en-GB"/>
        </w:rPr>
        <w:t>TxD</w:t>
      </w:r>
      <w:proofErr w:type="spellEnd"/>
      <w:r>
        <w:rPr>
          <w:lang w:val="en-GB"/>
        </w:rPr>
        <w:t xml:space="preserve"> based CQI, the eNB has to decide the transmission rank and MCS based on the uplink channel estimation and the interference information recovered from the </w:t>
      </w:r>
      <w:proofErr w:type="spellStart"/>
      <w:r>
        <w:rPr>
          <w:lang w:val="en-GB"/>
        </w:rPr>
        <w:t>TxD</w:t>
      </w:r>
      <w:proofErr w:type="spellEnd"/>
      <w:r>
        <w:rPr>
          <w:lang w:val="en-GB"/>
        </w:rPr>
        <w:t xml:space="preserve"> CQI.  It’s worth noting that the eNB cannot recover the full interference covariance matrix</w:t>
      </w:r>
      <w:proofErr w:type="gramStart"/>
      <w:r>
        <w:rPr>
          <w:lang w:val="en-GB"/>
        </w:rPr>
        <w:t xml:space="preserve">, </w:t>
      </w:r>
      <w:proofErr w:type="gramEnd"/>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Pr>
          <w:lang w:val="en-GB"/>
        </w:rPr>
        <w:t xml:space="preserve">, from the scalar </w:t>
      </w:r>
      <w:proofErr w:type="spellStart"/>
      <w:r>
        <w:rPr>
          <w:lang w:val="en-GB"/>
        </w:rPr>
        <w:t>TxD</w:t>
      </w:r>
      <w:proofErr w:type="spellEnd"/>
      <w:r>
        <w:rPr>
          <w:lang w:val="en-GB"/>
        </w:rPr>
        <w:t xml:space="preserve"> CQI.  The missing of interference structure may lead to poor link adaptation because of the underestimate or overestimate of the transmission rank.  </w:t>
      </w:r>
    </w:p>
    <w:p w14:paraId="6CC0452A" w14:textId="77777777" w:rsidR="00B564D4" w:rsidRDefault="008620C9" w:rsidP="008620C9">
      <w:pPr>
        <w:jc w:val="both"/>
        <w:rPr>
          <w:lang w:val="en-GB"/>
        </w:rPr>
      </w:pPr>
      <w:r>
        <w:rPr>
          <w:lang w:val="en-GB"/>
        </w:rPr>
        <w:t xml:space="preserve">Instead of deriving the partial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Pr>
          <w:lang w:val="en-GB"/>
        </w:rPr>
        <w:t xml:space="preserve"> based on UE feedback, </w:t>
      </w:r>
      <w:r w:rsidR="00A70B0A">
        <w:rPr>
          <w:lang w:val="en-GB"/>
        </w:rPr>
        <w:t xml:space="preserve">one may explicitly feedback the full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A70B0A">
        <w:rPr>
          <w:lang w:val="en-GB"/>
        </w:rPr>
        <w:t xml:space="preserve"> to the gNB.  The interference structure tends to be varying from subband to subband.  To capture the frequency selectivity of interference structure, subband-wise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A70B0A">
        <w:rPr>
          <w:lang w:val="en-GB"/>
        </w:rPr>
        <w:t xml:space="preserve"> reporting is needed.  However, this may lead to a significant increase of the UCI payload size.  </w:t>
      </w:r>
    </w:p>
    <w:p w14:paraId="50FB1A96" w14:textId="272A3A85" w:rsidR="008620C9" w:rsidRDefault="00A70B0A" w:rsidP="008620C9">
      <w:pPr>
        <w:jc w:val="both"/>
        <w:rPr>
          <w:lang w:val="en-GB"/>
        </w:rPr>
      </w:pPr>
      <w:r>
        <w:rPr>
          <w:lang w:val="en-GB"/>
        </w:rPr>
        <w:lastRenderedPageBreak/>
        <w:t xml:space="preserve">Alternatively, </w:t>
      </w:r>
      <w:r w:rsidR="008620C9">
        <w:rPr>
          <w:lang w:val="en-GB"/>
        </w:rPr>
        <w:t xml:space="preserve">the impact of full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sidR="008620C9">
        <w:rPr>
          <w:lang w:val="en-GB"/>
        </w:rPr>
        <w:t xml:space="preserve"> can be embedded into the uplink SRS</w:t>
      </w:r>
      <w:r>
        <w:rPr>
          <w:lang w:val="en-GB"/>
        </w:rPr>
        <w:t xml:space="preserve"> and implicitly “feedback” to the </w:t>
      </w:r>
      <w:proofErr w:type="spellStart"/>
      <w:r>
        <w:rPr>
          <w:lang w:val="en-GB"/>
        </w:rPr>
        <w:t>gNB</w:t>
      </w:r>
      <w:proofErr w:type="spellEnd"/>
      <w:r w:rsidR="008620C9">
        <w:rPr>
          <w:lang w:val="en-GB"/>
        </w:rPr>
        <w:t>.  Consider following downlink signaling model,</w:t>
      </w:r>
    </w:p>
    <w:p w14:paraId="4C37CDD3" w14:textId="77777777" w:rsidR="008620C9" w:rsidRPr="00E505C5" w:rsidRDefault="008620C9" w:rsidP="008620C9">
      <w:pPr>
        <w:rPr>
          <w:b/>
          <w:lang w:val="en-GB"/>
        </w:rPr>
      </w:pPr>
      <m:oMathPara>
        <m:oMath>
          <m:r>
            <m:rPr>
              <m:sty m:val="bi"/>
            </m:rPr>
            <w:rPr>
              <w:rFonts w:ascii="Cambria Math" w:hAnsi="Cambria Math"/>
              <w:lang w:val="en-GB"/>
            </w:rPr>
            <m:t>y</m:t>
          </m:r>
          <m:r>
            <w:rPr>
              <w:rFonts w:ascii="Cambria Math" w:hAnsi="Cambria Math"/>
              <w:lang w:val="en-GB"/>
            </w:rPr>
            <m:t>=</m:t>
          </m:r>
          <m:r>
            <m:rPr>
              <m:sty m:val="bi"/>
            </m:rPr>
            <w:rPr>
              <w:rFonts w:ascii="Cambria Math" w:hAnsi="Cambria Math"/>
              <w:lang w:val="en-GB"/>
            </w:rPr>
            <m:t>HFx</m:t>
          </m:r>
          <m:r>
            <w:rPr>
              <w:rFonts w:ascii="Cambria Math" w:hAnsi="Cambria Math"/>
              <w:lang w:val="en-GB"/>
            </w:rPr>
            <m:t>+</m:t>
          </m:r>
          <m:r>
            <m:rPr>
              <m:sty m:val="bi"/>
            </m:rPr>
            <w:rPr>
              <w:rFonts w:ascii="Cambria Math" w:hAnsi="Cambria Math"/>
              <w:lang w:val="en-GB"/>
            </w:rPr>
            <m:t>n,</m:t>
          </m:r>
        </m:oMath>
      </m:oMathPara>
    </w:p>
    <w:p w14:paraId="13DFEF9F" w14:textId="77777777" w:rsidR="008620C9" w:rsidRDefault="008620C9" w:rsidP="008620C9">
      <w:pPr>
        <w:jc w:val="both"/>
        <w:rPr>
          <w:lang w:val="en-GB"/>
        </w:rPr>
      </w:pPr>
      <w:r>
        <w:rPr>
          <w:lang w:val="en-GB"/>
        </w:rPr>
        <w:t>w</w:t>
      </w:r>
      <w:r w:rsidRPr="00E505C5">
        <w:rPr>
          <w:lang w:val="en-GB"/>
        </w:rPr>
        <w:t xml:space="preserve">here </w:t>
      </w:r>
      <m:oMath>
        <m:r>
          <m:rPr>
            <m:sty m:val="bi"/>
          </m:rPr>
          <w:rPr>
            <w:rFonts w:ascii="Cambria Math" w:hAnsi="Cambria Math"/>
            <w:lang w:val="en-GB"/>
          </w:rPr>
          <m:t>y</m:t>
        </m:r>
      </m:oMath>
      <w:r w:rsidRPr="00E505C5">
        <w:rPr>
          <w:lang w:val="en-GB"/>
        </w:rPr>
        <w:t xml:space="preserve"> is the</w:t>
      </w:r>
      <w:r>
        <w:rPr>
          <w:lang w:val="en-GB"/>
        </w:rPr>
        <w:t xml:space="preserve"> received signal at the UE, </w:t>
      </w:r>
      <m:oMath>
        <m:r>
          <m:rPr>
            <m:sty m:val="bi"/>
          </m:rPr>
          <w:rPr>
            <w:rFonts w:ascii="Cambria Math" w:hAnsi="Cambria Math"/>
            <w:lang w:val="en-GB"/>
          </w:rPr>
          <m:t>H</m:t>
        </m:r>
      </m:oMath>
      <w:r w:rsidRPr="00E505C5">
        <w:rPr>
          <w:lang w:val="en-GB"/>
        </w:rPr>
        <w:t xml:space="preserve"> is the </w:t>
      </w:r>
      <w:r>
        <w:rPr>
          <w:lang w:val="en-GB"/>
        </w:rPr>
        <w:t xml:space="preserve">downlink channel, </w:t>
      </w:r>
      <m:oMath>
        <m:r>
          <m:rPr>
            <m:sty m:val="bi"/>
          </m:rPr>
          <w:rPr>
            <w:rFonts w:ascii="Cambria Math" w:hAnsi="Cambria Math"/>
            <w:lang w:val="en-GB"/>
          </w:rPr>
          <m:t>F</m:t>
        </m:r>
      </m:oMath>
      <w:r w:rsidRPr="00E505C5">
        <w:rPr>
          <w:lang w:val="en-GB"/>
        </w:rPr>
        <w:t xml:space="preserve"> is</w:t>
      </w:r>
      <w:r>
        <w:rPr>
          <w:lang w:val="en-GB"/>
        </w:rPr>
        <w:t xml:space="preserve"> the downlink precoding matrix, </w:t>
      </w:r>
      <m:oMath>
        <m:r>
          <m:rPr>
            <m:sty m:val="bi"/>
          </m:rPr>
          <w:rPr>
            <w:rFonts w:ascii="Cambria Math" w:hAnsi="Cambria Math"/>
            <w:lang w:val="en-GB"/>
          </w:rPr>
          <m:t>x</m:t>
        </m:r>
      </m:oMath>
      <w:r>
        <w:rPr>
          <w:lang w:val="en-GB"/>
        </w:rPr>
        <w:t xml:space="preserve"> is the vector data symbol, and </w:t>
      </w:r>
      <m:oMath>
        <m:r>
          <m:rPr>
            <m:sty m:val="bi"/>
          </m:rPr>
          <w:rPr>
            <w:rFonts w:ascii="Cambria Math" w:hAnsi="Cambria Math"/>
            <w:lang w:val="en-GB"/>
          </w:rPr>
          <m:t>n</m:t>
        </m:r>
      </m:oMath>
      <w:r>
        <w:rPr>
          <w:b/>
          <w:lang w:val="en-GB"/>
        </w:rPr>
        <w:t xml:space="preserve"> </w:t>
      </w:r>
      <w:r>
        <w:rPr>
          <w:lang w:val="en-GB"/>
        </w:rPr>
        <w:t>is the interference-plus-noise observed by the UE.  It is equivalent to following model,</w:t>
      </w:r>
    </w:p>
    <w:p w14:paraId="10F863AE" w14:textId="77777777" w:rsidR="008620C9" w:rsidRPr="00E505C5" w:rsidRDefault="00F01000" w:rsidP="008620C9">
      <w:pPr>
        <w:rPr>
          <w:b/>
          <w:lang w:val="en-GB"/>
        </w:rPr>
      </w:pPr>
      <m:oMathPara>
        <m:oMath>
          <m:acc>
            <m:accPr>
              <m:chr m:val="̃"/>
              <m:ctrlPr>
                <w:rPr>
                  <w:rFonts w:ascii="Cambria Math" w:hAnsi="Cambria Math"/>
                  <w:b/>
                  <w:i/>
                  <w:lang w:val="en-GB"/>
                </w:rPr>
              </m:ctrlPr>
            </m:accPr>
            <m:e>
              <m:r>
                <m:rPr>
                  <m:sty m:val="bi"/>
                </m:rPr>
                <w:rPr>
                  <w:rFonts w:ascii="Cambria Math" w:hAnsi="Cambria Math"/>
                  <w:lang w:val="en-GB"/>
                </w:rPr>
                <m:t>y</m:t>
              </m:r>
            </m:e>
          </m:acc>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Fx</m:t>
          </m:r>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oMath>
      </m:oMathPara>
    </w:p>
    <w:p w14:paraId="2414D78A" w14:textId="77777777" w:rsidR="008620C9" w:rsidRDefault="008620C9" w:rsidP="008620C9">
      <w:pPr>
        <w:jc w:val="both"/>
        <w:rPr>
          <w:lang w:val="en-GB"/>
        </w:rPr>
      </w:pPr>
      <w:proofErr w:type="gramStart"/>
      <w:r>
        <w:rPr>
          <w:lang w:val="en-GB"/>
        </w:rPr>
        <w:t>where</w:t>
      </w:r>
      <w:proofErr w:type="gramEnd"/>
      <w:r>
        <w:rPr>
          <w:lang w:val="en-GB"/>
        </w:rPr>
        <w:t xml:space="preserve"> </w:t>
      </w:r>
      <m:oMath>
        <m:acc>
          <m:accPr>
            <m:chr m:val="̃"/>
            <m:ctrlPr>
              <w:rPr>
                <w:rFonts w:ascii="Cambria Math" w:hAnsi="Cambria Math"/>
                <w:b/>
                <w:i/>
                <w:lang w:val="en-GB"/>
              </w:rPr>
            </m:ctrlPr>
          </m:accPr>
          <m:e>
            <m:r>
              <m:rPr>
                <m:sty m:val="bi"/>
              </m:rPr>
              <w:rPr>
                <w:rFonts w:ascii="Cambria Math" w:hAnsi="Cambria Math"/>
                <w:lang w:val="en-GB"/>
              </w:rPr>
              <m:t>y</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y</m:t>
        </m:r>
      </m:oMath>
      <w:r w:rsidRPr="00D00FFC">
        <w:rPr>
          <w:lang w:val="en-GB"/>
        </w:rPr>
        <w:t xml:space="preserve"> is</w:t>
      </w:r>
      <w:r>
        <w:rPr>
          <w:lang w:val="en-GB"/>
        </w:rPr>
        <w:t xml:space="preserve"> the whitened received signal, </w:t>
      </w:r>
      <m:oMath>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H</m:t>
        </m:r>
      </m:oMath>
      <w:r w:rsidRPr="00D00FFC">
        <w:rPr>
          <w:lang w:val="en-GB"/>
        </w:rPr>
        <w:t xml:space="preserve"> is the </w:t>
      </w:r>
      <w:r>
        <w:rPr>
          <w:lang w:val="en-GB"/>
        </w:rPr>
        <w:t xml:space="preserve">whitened downlink channel, and </w:t>
      </w:r>
      <m:oMath>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r>
          <m:rPr>
            <m:scr m:val="script"/>
          </m:rPr>
          <w:rPr>
            <w:rFonts w:ascii="Cambria Math" w:hAnsi="Cambria Math"/>
            <w:lang w:val="en-GB"/>
          </w:rPr>
          <m:t>CN</m:t>
        </m:r>
        <m:r>
          <m:rPr>
            <m:sty m:val="bi"/>
          </m:rPr>
          <w:rPr>
            <w:rFonts w:ascii="Cambria Math" w:hAnsi="Cambria Math"/>
            <w:lang w:val="en-GB"/>
          </w:rPr>
          <m:t>(0,I)</m:t>
        </m:r>
      </m:oMath>
      <w:r w:rsidRPr="00D00FFC">
        <w:rPr>
          <w:lang w:val="en-GB"/>
        </w:rPr>
        <w:t>.</w:t>
      </w:r>
      <w:r>
        <w:rPr>
          <w:lang w:val="en-GB"/>
        </w:rPr>
        <w:t xml:space="preserve"> Clearly, the interference information is counted in the whitened channel, so in the second model the interference-plus-noise is modelled as a white Gaussian noise.  These two models are equivalent in terms of link adaptation.  If the </w:t>
      </w:r>
      <w:proofErr w:type="spellStart"/>
      <w:r>
        <w:rPr>
          <w:lang w:val="en-GB"/>
        </w:rPr>
        <w:t>gNB</w:t>
      </w:r>
      <w:proofErr w:type="spellEnd"/>
      <w:r>
        <w:rPr>
          <w:lang w:val="en-GB"/>
        </w:rPr>
        <w:t xml:space="preserve"> can obtained the whitened channel from uplink channel estimation, it can thus perform downlink adaptation without the explicit information </w:t>
      </w:r>
      <w:proofErr w:type="gramStart"/>
      <w:r>
        <w:rPr>
          <w:lang w:val="en-GB"/>
        </w:rPr>
        <w:t xml:space="preserve">about </w:t>
      </w:r>
      <w:proofErr w:type="gramEnd"/>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Pr>
          <w:lang w:val="en-GB"/>
        </w:rPr>
        <w:t>.</w:t>
      </w:r>
    </w:p>
    <w:p w14:paraId="4E9D8DFE" w14:textId="77777777" w:rsidR="008620C9" w:rsidRDefault="008620C9" w:rsidP="008620C9">
      <w:pPr>
        <w:jc w:val="both"/>
        <w:rPr>
          <w:lang w:val="en-GB"/>
        </w:rPr>
      </w:pPr>
      <w:r>
        <w:rPr>
          <w:lang w:val="en-GB"/>
        </w:rPr>
        <w:t xml:space="preserve">Notice that </w:t>
      </w:r>
      <m:oMath>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oMath>
      <w:r w:rsidRPr="000D31A0">
        <w:rPr>
          <w:lang w:val="en-GB"/>
        </w:rPr>
        <w:t xml:space="preserve"> is the </w:t>
      </w:r>
      <w:r>
        <w:rPr>
          <w:lang w:val="en-GB"/>
        </w:rPr>
        <w:t xml:space="preserve">uplink channel between the UE transmit antennas and the </w:t>
      </w:r>
      <w:proofErr w:type="spellStart"/>
      <w:r>
        <w:rPr>
          <w:lang w:val="en-GB"/>
        </w:rPr>
        <w:t>gNB</w:t>
      </w:r>
      <w:proofErr w:type="spellEnd"/>
      <w:r>
        <w:rPr>
          <w:lang w:val="en-GB"/>
        </w:rPr>
        <w:t xml:space="preserve"> receive antennas.  The transposed whitened downlink channel </w:t>
      </w:r>
      <m:oMath>
        <m:sSup>
          <m:sSupPr>
            <m:ctrlPr>
              <w:rPr>
                <w:rFonts w:ascii="Cambria Math" w:hAnsi="Cambria Math"/>
                <w:b/>
                <w:i/>
                <w:lang w:val="en-GB"/>
              </w:rPr>
            </m:ctrlPr>
          </m:sSupPr>
          <m:e>
            <m:acc>
              <m:accPr>
                <m:chr m:val="̃"/>
                <m:ctrlPr>
                  <w:rPr>
                    <w:rFonts w:ascii="Cambria Math" w:hAnsi="Cambria Math"/>
                    <w:b/>
                    <w:i/>
                    <w:lang w:val="en-GB"/>
                  </w:rPr>
                </m:ctrlPr>
              </m:accPr>
              <m:e>
                <m:r>
                  <m:rPr>
                    <m:sty m:val="bi"/>
                  </m:rPr>
                  <w:rPr>
                    <w:rFonts w:ascii="Cambria Math" w:hAnsi="Cambria Math"/>
                    <w:lang w:val="en-GB"/>
                  </w:rPr>
                  <m:t>H</m:t>
                </m:r>
              </m:e>
            </m:acc>
          </m:e>
          <m:sup>
            <m:r>
              <w:rPr>
                <w:rFonts w:ascii="Cambria Math" w:hAnsi="Cambria Math"/>
                <w:lang w:val="en-GB"/>
              </w:rPr>
              <m:t>T</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Pr="000D31A0">
        <w:rPr>
          <w:lang w:val="en-GB"/>
        </w:rPr>
        <w:t xml:space="preserve"> is </w:t>
      </w:r>
      <w:r>
        <w:rPr>
          <w:lang w:val="en-GB"/>
        </w:rPr>
        <w:t xml:space="preserve">effectively a beamformed uplink channel which can be estimated by the </w:t>
      </w:r>
      <w:proofErr w:type="spellStart"/>
      <w:r>
        <w:rPr>
          <w:lang w:val="en-GB"/>
        </w:rPr>
        <w:t>gNB</w:t>
      </w:r>
      <w:proofErr w:type="spellEnd"/>
      <w:r>
        <w:rPr>
          <w:lang w:val="en-GB"/>
        </w:rPr>
        <w:t xml:space="preserve"> via beamformed SRS.  Such special beamformed SRS can be called as </w:t>
      </w:r>
      <w:r w:rsidRPr="00C42977">
        <w:rPr>
          <w:i/>
          <w:lang w:val="en-GB"/>
        </w:rPr>
        <w:t>pre-whitened SRS</w:t>
      </w:r>
      <w:r>
        <w:rPr>
          <w:lang w:val="en-GB"/>
        </w:rPr>
        <w:t xml:space="preserve">.  In contrast to the beamformed SRS for uplink link adaptation, the port-to-antenna mapping of pre-whitened SRS is governed by the columns </w:t>
      </w:r>
      <w:proofErr w:type="gramStart"/>
      <w:r>
        <w:rPr>
          <w:lang w:val="en-GB"/>
        </w:rPr>
        <w:t xml:space="preserve">of </w:t>
      </w:r>
      <w:proofErr w:type="gramEnd"/>
      <m:oMath>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Pr>
          <w:lang w:val="en-GB"/>
        </w:rPr>
        <w:t xml:space="preserve">.  </w:t>
      </w:r>
    </w:p>
    <w:p w14:paraId="0D5D2058" w14:textId="5CA483A4" w:rsidR="008620C9" w:rsidRDefault="008620C9" w:rsidP="008620C9">
      <w:pPr>
        <w:jc w:val="both"/>
        <w:rPr>
          <w:b/>
          <w:i/>
          <w:lang w:val="en-GB"/>
        </w:rPr>
      </w:pPr>
      <w:r w:rsidRPr="00A15B88">
        <w:rPr>
          <w:b/>
          <w:i/>
          <w:lang w:val="en-GB"/>
        </w:rPr>
        <w:t xml:space="preserve">Observation 1: </w:t>
      </w:r>
      <w:r>
        <w:rPr>
          <w:b/>
          <w:i/>
          <w:lang w:val="en-GB"/>
        </w:rPr>
        <w:t xml:space="preserve">Pre-whitened </w:t>
      </w:r>
      <w:r w:rsidRPr="00A15B88">
        <w:rPr>
          <w:b/>
          <w:i/>
          <w:lang w:val="en-GB"/>
        </w:rPr>
        <w:t xml:space="preserve">SRS can </w:t>
      </w:r>
      <w:r>
        <w:rPr>
          <w:b/>
          <w:i/>
          <w:lang w:val="en-GB"/>
        </w:rPr>
        <w:t xml:space="preserve">provide the </w:t>
      </w:r>
      <w:proofErr w:type="spellStart"/>
      <w:r>
        <w:rPr>
          <w:b/>
          <w:i/>
          <w:lang w:val="en-GB"/>
        </w:rPr>
        <w:t>gNB</w:t>
      </w:r>
      <w:proofErr w:type="spellEnd"/>
      <w:r>
        <w:rPr>
          <w:b/>
          <w:i/>
          <w:lang w:val="en-GB"/>
        </w:rPr>
        <w:t xml:space="preserve"> full information of interference observed by the UE.  It can </w:t>
      </w:r>
      <w:r w:rsidRPr="00A15B88">
        <w:rPr>
          <w:b/>
          <w:i/>
          <w:lang w:val="en-GB"/>
        </w:rPr>
        <w:t xml:space="preserve">be used by the </w:t>
      </w:r>
      <w:proofErr w:type="spellStart"/>
      <w:r w:rsidRPr="00A15B88">
        <w:rPr>
          <w:b/>
          <w:i/>
          <w:lang w:val="en-GB"/>
        </w:rPr>
        <w:t>gNB</w:t>
      </w:r>
      <w:proofErr w:type="spellEnd"/>
      <w:r w:rsidRPr="00A15B88">
        <w:rPr>
          <w:b/>
          <w:i/>
          <w:lang w:val="en-GB"/>
        </w:rPr>
        <w:t xml:space="preserve"> to support channel-dependent scheduling and link adaptation for downlink transmission.</w:t>
      </w:r>
    </w:p>
    <w:p w14:paraId="48AE85FE" w14:textId="6503D4C1" w:rsidR="008620C9" w:rsidRDefault="008620C9" w:rsidP="008620C9">
      <w:pPr>
        <w:jc w:val="both"/>
        <w:rPr>
          <w:lang w:val="en-GB"/>
        </w:rPr>
      </w:pPr>
      <w:r w:rsidRPr="00251624">
        <w:rPr>
          <w:lang w:val="en-GB"/>
        </w:rPr>
        <w:t xml:space="preserve">In </w:t>
      </w:r>
      <w:r w:rsidR="00412C57">
        <w:rPr>
          <w:lang w:val="en-GB"/>
        </w:rPr>
        <w:t>Figure</w:t>
      </w:r>
      <w:r w:rsidRPr="00251624">
        <w:rPr>
          <w:lang w:val="en-GB"/>
        </w:rPr>
        <w:t xml:space="preserve"> 1, we show the downlink system performance comparison of using pre-whitened SRS versus </w:t>
      </w:r>
      <w:r w:rsidR="00412C57">
        <w:rPr>
          <w:lang w:val="en-GB"/>
        </w:rPr>
        <w:t>explicit interference feedback</w:t>
      </w:r>
      <w:r w:rsidRPr="00251624">
        <w:rPr>
          <w:lang w:val="en-GB"/>
        </w:rPr>
        <w:t xml:space="preserve"> when reciprocity is available.</w:t>
      </w:r>
      <w:r w:rsidRPr="00251624">
        <w:t xml:space="preserve">  The simulation assumptions are summarized in the Appendix.  We compare two schemes: 1) plain SRS with </w:t>
      </w:r>
      <w:r w:rsidR="00412C57">
        <w:t xml:space="preserve">explicit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412C57">
        <w:t xml:space="preserve"> feedback</w:t>
      </w:r>
      <w:r w:rsidRPr="00251624">
        <w:t xml:space="preserve">; </w:t>
      </w:r>
      <w:r w:rsidRPr="00251624">
        <w:rPr>
          <w:lang w:val="en-GB"/>
        </w:rPr>
        <w:t>and 2) pre-whitened SRS</w:t>
      </w:r>
      <w:r w:rsidR="00412C57">
        <w:rPr>
          <w:lang w:val="en-GB"/>
        </w:rPr>
        <w:t xml:space="preserve"> (implicit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412C57">
        <w:rPr>
          <w:lang w:val="en-GB"/>
        </w:rPr>
        <w:t xml:space="preserve"> feedback)</w:t>
      </w:r>
      <w:r w:rsidRPr="00251624">
        <w:rPr>
          <w:lang w:val="en-GB"/>
        </w:rPr>
        <w:t xml:space="preserve">.  </w:t>
      </w:r>
      <w:r w:rsidR="009C0946">
        <w:rPr>
          <w:lang w:val="en-GB"/>
        </w:rPr>
        <w:t xml:space="preserve">In Scheme 1), the subband-wise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9C0946">
        <w:rPr>
          <w:lang w:val="en-GB"/>
        </w:rPr>
        <w:t xml:space="preserve"> is feedback to </w:t>
      </w:r>
      <w:proofErr w:type="spellStart"/>
      <w:r w:rsidR="009C0946">
        <w:rPr>
          <w:lang w:val="en-GB"/>
        </w:rPr>
        <w:t>gNB</w:t>
      </w:r>
      <w:proofErr w:type="spellEnd"/>
      <w:r w:rsidR="009C0946">
        <w:rPr>
          <w:lang w:val="en-GB"/>
        </w:rPr>
        <w:t xml:space="preserve"> without quantization.  </w:t>
      </w:r>
      <w:r w:rsidRPr="00251624">
        <w:rPr>
          <w:lang w:val="en-GB"/>
        </w:rPr>
        <w:t xml:space="preserve">In scheme 2), subband-wise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Pr="00251624">
        <w:rPr>
          <w:lang w:val="en-GB"/>
        </w:rPr>
        <w:t xml:space="preserve"> is embedded in the pre-whitened SRS and thus UE doesn’t need to </w:t>
      </w:r>
      <w:r w:rsidR="009C0946">
        <w:rPr>
          <w:lang w:val="en-GB"/>
        </w:rPr>
        <w:t xml:space="preserve">explicitly </w:t>
      </w:r>
      <w:r w:rsidRPr="00251624">
        <w:rPr>
          <w:lang w:val="en-GB"/>
        </w:rPr>
        <w:t xml:space="preserve">feedback the </w:t>
      </w:r>
      <w:proofErr w:type="gramStart"/>
      <w:r w:rsidRPr="00251624">
        <w:rPr>
          <w:lang w:val="en-GB"/>
        </w:rPr>
        <w:t xml:space="preserve">full </w:t>
      </w:r>
      <w:proofErr w:type="gramEnd"/>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Pr="00251624">
        <w:rPr>
          <w:lang w:val="en-GB"/>
        </w:rPr>
        <w:t xml:space="preserve">.  It shows that </w:t>
      </w:r>
      <w:r w:rsidR="009C0946">
        <w:rPr>
          <w:lang w:val="en-GB"/>
        </w:rPr>
        <w:t>both schemes provide almost the same performance</w:t>
      </w:r>
      <w:r w:rsidRPr="00251624">
        <w:rPr>
          <w:lang w:val="en-GB"/>
        </w:rPr>
        <w:t>.</w:t>
      </w:r>
      <w:r>
        <w:rPr>
          <w:lang w:val="en-GB"/>
        </w:rPr>
        <w:t xml:space="preserve">  </w:t>
      </w:r>
    </w:p>
    <w:p w14:paraId="2E5B070B" w14:textId="64037E0F" w:rsidR="00A42EA1" w:rsidRPr="0082525E" w:rsidRDefault="00A42EA1" w:rsidP="008620C9">
      <w:pPr>
        <w:jc w:val="both"/>
        <w:rPr>
          <w:b/>
          <w:i/>
          <w:lang w:val="en-GB"/>
        </w:rPr>
      </w:pPr>
      <w:r w:rsidRPr="0082525E">
        <w:rPr>
          <w:b/>
          <w:i/>
          <w:lang w:val="en-GB"/>
        </w:rPr>
        <w:t>Observation 2: Explicit interference feedback is unnecessary, which can be replaced by implicit interference feedback, e.g., using pre-whitened SRS.</w:t>
      </w:r>
    </w:p>
    <w:p w14:paraId="70D24DCC" w14:textId="77777777" w:rsidR="009D0C6C" w:rsidRDefault="009D0C6C" w:rsidP="009D0C6C">
      <w:pPr>
        <w:jc w:val="both"/>
        <w:rPr>
          <w:b/>
          <w:i/>
          <w:lang w:val="en-GB"/>
        </w:rPr>
      </w:pPr>
      <w:r>
        <w:rPr>
          <w:b/>
          <w:i/>
          <w:lang w:val="en-GB"/>
        </w:rPr>
        <w:t>Proposal 1: Explicit interference feedback is not supported in NR.</w:t>
      </w:r>
    </w:p>
    <w:p w14:paraId="2D950735" w14:textId="77777777" w:rsidR="00E42ADE" w:rsidRDefault="00412C57" w:rsidP="0082525E">
      <w:pPr>
        <w:keepNext/>
        <w:jc w:val="center"/>
      </w:pPr>
      <w:r w:rsidRPr="00412C57">
        <w:rPr>
          <w:noProof/>
          <w:lang w:eastAsia="zh-CN"/>
        </w:rPr>
        <w:drawing>
          <wp:inline distT="0" distB="0" distL="0" distR="0" wp14:anchorId="075E8E3E" wp14:editId="3F500A60">
            <wp:extent cx="3968496" cy="29809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8496" cy="2980944"/>
                    </a:xfrm>
                    <a:prstGeom prst="rect">
                      <a:avLst/>
                    </a:prstGeom>
                    <a:noFill/>
                    <a:ln>
                      <a:noFill/>
                    </a:ln>
                  </pic:spPr>
                </pic:pic>
              </a:graphicData>
            </a:graphic>
          </wp:inline>
        </w:drawing>
      </w:r>
    </w:p>
    <w:p w14:paraId="3DE46B93" w14:textId="55322690" w:rsidR="00412C57" w:rsidRPr="00440B45" w:rsidRDefault="00E42ADE" w:rsidP="0082525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Performance comparison: explicit vs. implicit interference feedback.</w:t>
      </w:r>
    </w:p>
    <w:p w14:paraId="433E65A0" w14:textId="76DED427" w:rsidR="00631410" w:rsidRDefault="00631410">
      <w:pPr>
        <w:pStyle w:val="Heading2"/>
      </w:pPr>
      <w:r>
        <w:lastRenderedPageBreak/>
        <w:t>Full CSI acquisition for partial channel reciprocity</w:t>
      </w:r>
    </w:p>
    <w:p w14:paraId="39A185A1" w14:textId="056C0303" w:rsidR="003168BF" w:rsidRDefault="00A42EA1" w:rsidP="0082525E">
      <w:pPr>
        <w:jc w:val="both"/>
      </w:pPr>
      <w:r>
        <w:rPr>
          <w:lang w:val="en-GB"/>
        </w:rPr>
        <w:t xml:space="preserve">In </w:t>
      </w:r>
      <w:r w:rsidR="00D5104A">
        <w:rPr>
          <w:lang w:val="en-GB"/>
        </w:rPr>
        <w:t xml:space="preserve">real world scenario, some UEs may have asymmetric TX/RX chains, i.e., a UE may have </w:t>
      </w:r>
      <w:r w:rsidR="00D5104A" w:rsidRPr="0082525E">
        <w:rPr>
          <w:i/>
          <w:lang w:val="en-GB"/>
        </w:rPr>
        <w:t>N</w:t>
      </w:r>
      <w:r w:rsidR="00D5104A">
        <w:rPr>
          <w:vertAlign w:val="subscript"/>
          <w:lang w:val="en-GB"/>
        </w:rPr>
        <w:t>RX</w:t>
      </w:r>
      <w:r w:rsidR="00D5104A">
        <w:rPr>
          <w:lang w:val="en-GB"/>
        </w:rPr>
        <w:t xml:space="preserve"> receiving antennas, but only </w:t>
      </w:r>
      <w:r w:rsidR="00D5104A" w:rsidRPr="0082525E">
        <w:rPr>
          <w:i/>
          <w:lang w:val="en-GB"/>
        </w:rPr>
        <w:t>N</w:t>
      </w:r>
      <w:r w:rsidR="00D5104A">
        <w:rPr>
          <w:vertAlign w:val="subscript"/>
          <w:lang w:val="en-GB"/>
        </w:rPr>
        <w:t>TX</w:t>
      </w:r>
      <w:r w:rsidR="00D5104A">
        <w:rPr>
          <w:lang w:val="en-GB"/>
        </w:rPr>
        <w:t xml:space="preserve"> TX chains, where </w:t>
      </w:r>
      <w:r w:rsidR="00D5104A" w:rsidRPr="003958A8">
        <w:rPr>
          <w:i/>
          <w:lang w:val="en-GB"/>
        </w:rPr>
        <w:t>N</w:t>
      </w:r>
      <w:r w:rsidR="00D5104A">
        <w:rPr>
          <w:vertAlign w:val="subscript"/>
          <w:lang w:val="en-GB"/>
        </w:rPr>
        <w:t>TX</w:t>
      </w:r>
      <w:r w:rsidR="00D5104A">
        <w:rPr>
          <w:lang w:val="en-GB"/>
        </w:rPr>
        <w:t xml:space="preserve"> &lt; </w:t>
      </w:r>
      <w:r w:rsidR="00D5104A" w:rsidRPr="003958A8">
        <w:rPr>
          <w:i/>
          <w:lang w:val="en-GB"/>
        </w:rPr>
        <w:t>N</w:t>
      </w:r>
      <w:r w:rsidR="00D5104A">
        <w:rPr>
          <w:vertAlign w:val="subscript"/>
          <w:lang w:val="en-GB"/>
        </w:rPr>
        <w:t>RX</w:t>
      </w:r>
      <w:r w:rsidR="00D5104A">
        <w:rPr>
          <w:lang w:val="en-GB"/>
        </w:rPr>
        <w:t xml:space="preserve">.  For example, a UE may have 4 RX chains, but only 2 RX chains.  In the UL, the UE can only transmit a 2-port SRS from 2 out of 4 antennas.  In the DL, a UE could support a rank-4 transmission if the </w:t>
      </w:r>
      <w:proofErr w:type="spellStart"/>
      <w:r w:rsidR="00D5104A">
        <w:rPr>
          <w:lang w:val="en-GB"/>
        </w:rPr>
        <w:t>gNB</w:t>
      </w:r>
      <w:proofErr w:type="spellEnd"/>
      <w:r w:rsidR="00D5104A">
        <w:rPr>
          <w:lang w:val="en-GB"/>
        </w:rPr>
        <w:t xml:space="preserve"> is equipped with no less than 4 antennas.  However, in case of reciprocity based DL transmission, the </w:t>
      </w:r>
      <w:proofErr w:type="spellStart"/>
      <w:r w:rsidR="00D5104A">
        <w:rPr>
          <w:lang w:val="en-GB"/>
        </w:rPr>
        <w:t>gNB</w:t>
      </w:r>
      <w:proofErr w:type="spellEnd"/>
      <w:r w:rsidR="00D5104A">
        <w:rPr>
          <w:lang w:val="en-GB"/>
        </w:rPr>
        <w:t xml:space="preserve"> relies on the UL channel estimation to determine the DL precoding matrix.  Due to the limited number of TX chains, the </w:t>
      </w:r>
      <w:proofErr w:type="spellStart"/>
      <w:r w:rsidR="00D5104A">
        <w:rPr>
          <w:lang w:val="en-GB"/>
        </w:rPr>
        <w:t>gNB</w:t>
      </w:r>
      <w:proofErr w:type="spellEnd"/>
      <w:r w:rsidR="00D5104A">
        <w:rPr>
          <w:lang w:val="en-GB"/>
        </w:rPr>
        <w:t xml:space="preserve"> can only observe a partial DL channel with 2 receive antennas.  The lack of full channel information via reciprocity prevents the </w:t>
      </w:r>
      <w:proofErr w:type="spellStart"/>
      <w:r w:rsidR="00D5104A">
        <w:rPr>
          <w:lang w:val="en-GB"/>
        </w:rPr>
        <w:t>gNB</w:t>
      </w:r>
      <w:proofErr w:type="spellEnd"/>
      <w:r w:rsidR="00D5104A">
        <w:rPr>
          <w:lang w:val="en-GB"/>
        </w:rPr>
        <w:t xml:space="preserve"> to transmit more than 2 layers to the UE.</w:t>
      </w:r>
    </w:p>
    <w:p w14:paraId="1BBC4ECD" w14:textId="2AF62DC4" w:rsidR="00D5104A" w:rsidRDefault="00D5104A" w:rsidP="0082525E">
      <w:pPr>
        <w:jc w:val="both"/>
      </w:pPr>
      <w:r>
        <w:rPr>
          <w:lang w:val="en-GB"/>
        </w:rPr>
        <w:t xml:space="preserve">One solution to address this issue is to allow SRS TX switching, i.e., the UE can be configured to sound from different antennas in a TDM manner by introducing one or multiple RF switches.  This approach has been discussed in LTE Rel-13.  </w:t>
      </w:r>
      <w:r w:rsidR="00DA7F9A">
        <w:rPr>
          <w:lang w:val="en-GB"/>
        </w:rPr>
        <w:t>A LS [3] was sent to RAN4 to provide views on feasibility of introducing 4 TX switching SRS transmission</w:t>
      </w:r>
      <w:r w:rsidR="00383C01">
        <w:rPr>
          <w:lang w:val="en-GB"/>
        </w:rPr>
        <w:t xml:space="preserve">.  Although RAN4 clarified in the reply [4] that it is feasible from the architecture point of view to implement TX switching SRS transmission, RAN4 also pointed out that there would be some impact, e.g., insertion loss, receiver sensitivity, and switch transient, etc. which hasn’t been studied.  </w:t>
      </w:r>
    </w:p>
    <w:p w14:paraId="414694AA" w14:textId="68C99FBB" w:rsidR="00383C01" w:rsidRDefault="00383C01" w:rsidP="0082525E">
      <w:pPr>
        <w:jc w:val="both"/>
      </w:pPr>
      <w:r>
        <w:rPr>
          <w:lang w:val="en-GB"/>
        </w:rPr>
        <w:t>In NR, a UE may be equipped with up to 8 RX chains, while the number of TX chains could be any value in the set {</w:t>
      </w:r>
      <w:r w:rsidR="0052363D">
        <w:rPr>
          <w:lang w:val="en-GB"/>
        </w:rPr>
        <w:t>0</w:t>
      </w:r>
      <w:r>
        <w:rPr>
          <w:lang w:val="en-GB"/>
        </w:rPr>
        <w:t xml:space="preserve">, </w:t>
      </w:r>
      <w:r w:rsidR="0052363D">
        <w:rPr>
          <w:lang w:val="en-GB"/>
        </w:rPr>
        <w:t xml:space="preserve">1, </w:t>
      </w:r>
      <w:r>
        <w:rPr>
          <w:lang w:val="en-GB"/>
        </w:rPr>
        <w:t>2</w:t>
      </w:r>
      <w:proofErr w:type="gramStart"/>
      <w:r>
        <w:rPr>
          <w:lang w:val="en-GB"/>
        </w:rPr>
        <w:t>, …,</w:t>
      </w:r>
      <w:proofErr w:type="gramEnd"/>
      <w:r>
        <w:rPr>
          <w:lang w:val="en-GB"/>
        </w:rPr>
        <w:t xml:space="preserve"> 7}.  There could be more potential impact of introducing TX switching SRS transmission to get full CSI for reciprocity based DL transmission.  First, if there’s only a small number of TX chain, e.g., only 1 TX chain, then t</w:t>
      </w:r>
      <w:r w:rsidR="00942392">
        <w:rPr>
          <w:lang w:val="en-GB"/>
        </w:rPr>
        <w:t xml:space="preserve">he </w:t>
      </w:r>
      <w:proofErr w:type="spellStart"/>
      <w:r w:rsidR="00942392">
        <w:rPr>
          <w:lang w:val="en-GB"/>
        </w:rPr>
        <w:t>gNB</w:t>
      </w:r>
      <w:proofErr w:type="spellEnd"/>
      <w:r w:rsidR="00942392">
        <w:rPr>
          <w:lang w:val="en-GB"/>
        </w:rPr>
        <w:t xml:space="preserve"> at least needs 8 SRS transmission instances to collect the full CSI.  The full CSI composited by partial CSI may suffer from channel decorrelation across the time during required for switching through all 8 antennas.  Second, the insertion loss introduced by support the TX switching of 8 antennas may be larger than that for support 4 TX switching.  Impacts related to introducing this feature need to be first studied in RAN4 carefully.</w:t>
      </w:r>
    </w:p>
    <w:p w14:paraId="1D89DB63" w14:textId="1C6CE529" w:rsidR="00942392" w:rsidRPr="0082525E" w:rsidRDefault="00942392" w:rsidP="0082525E">
      <w:pPr>
        <w:jc w:val="both"/>
        <w:rPr>
          <w:b/>
          <w:i/>
        </w:rPr>
      </w:pPr>
      <w:r w:rsidRPr="0082525E">
        <w:rPr>
          <w:b/>
          <w:i/>
          <w:lang w:val="en-GB"/>
        </w:rPr>
        <w:t xml:space="preserve">Observation </w:t>
      </w:r>
      <w:r w:rsidR="00055B5A">
        <w:rPr>
          <w:b/>
          <w:i/>
          <w:lang w:val="en-GB"/>
        </w:rPr>
        <w:t>3</w:t>
      </w:r>
      <w:r w:rsidRPr="0082525E">
        <w:rPr>
          <w:b/>
          <w:i/>
          <w:lang w:val="en-GB"/>
        </w:rPr>
        <w:t xml:space="preserve">: TX switching SRS transmission </w:t>
      </w:r>
      <w:r w:rsidR="006E6A99">
        <w:rPr>
          <w:b/>
          <w:i/>
          <w:lang w:val="en-GB"/>
        </w:rPr>
        <w:t>might</w:t>
      </w:r>
      <w:r w:rsidRPr="0082525E">
        <w:rPr>
          <w:b/>
          <w:i/>
          <w:lang w:val="en-GB"/>
        </w:rPr>
        <w:t xml:space="preserve"> be useful for UEs with asymmetric TX/RX chains, but impacts related to introducing this feature need to be studied first.</w:t>
      </w:r>
    </w:p>
    <w:p w14:paraId="148D4921" w14:textId="3D0F9B9A" w:rsidR="00631410" w:rsidRDefault="00631410">
      <w:pPr>
        <w:pStyle w:val="Heading2"/>
      </w:pPr>
      <w:r>
        <w:t>Fast CSI acquisition</w:t>
      </w:r>
    </w:p>
    <w:p w14:paraId="1398B4F4" w14:textId="5FE78264" w:rsidR="0095630C" w:rsidRDefault="00AF7F52" w:rsidP="0082525E">
      <w:r>
        <w:rPr>
          <w:lang w:val="en-GB"/>
        </w:rPr>
        <w:t xml:space="preserve">Fast </w:t>
      </w:r>
      <w:r w:rsidR="00140FE4">
        <w:rPr>
          <w:lang w:val="en-GB"/>
        </w:rPr>
        <w:t xml:space="preserve">DL </w:t>
      </w:r>
      <w:r>
        <w:rPr>
          <w:lang w:val="en-GB"/>
        </w:rPr>
        <w:t xml:space="preserve">CSI acquisition is a useful strategy especially for combating channel decorrelation in moderate or high Doppler scenarios.  </w:t>
      </w:r>
      <w:r w:rsidR="0024777F">
        <w:rPr>
          <w:lang w:val="en-GB"/>
        </w:rPr>
        <w:t>For DL transmission, f</w:t>
      </w:r>
      <w:r>
        <w:rPr>
          <w:lang w:val="en-GB"/>
        </w:rPr>
        <w:t xml:space="preserve">ast UL sounding can help the </w:t>
      </w:r>
      <w:proofErr w:type="spellStart"/>
      <w:r>
        <w:rPr>
          <w:lang w:val="en-GB"/>
        </w:rPr>
        <w:t>gNB</w:t>
      </w:r>
      <w:proofErr w:type="spellEnd"/>
      <w:r>
        <w:rPr>
          <w:lang w:val="en-GB"/>
        </w:rPr>
        <w:t xml:space="preserve"> to derive DL precoding matrix to adapt the fast varying spatial channel</w:t>
      </w:r>
      <w:r w:rsidR="0024777F">
        <w:rPr>
          <w:lang w:val="en-GB"/>
        </w:rPr>
        <w:t>, while f</w:t>
      </w:r>
      <w:r>
        <w:rPr>
          <w:lang w:val="en-GB"/>
        </w:rPr>
        <w:t xml:space="preserve">ast CSI-RS allows the UE to report the link quality in a more timely fashion.  </w:t>
      </w:r>
      <w:r w:rsidR="0024777F">
        <w:rPr>
          <w:lang w:val="en-GB"/>
        </w:rPr>
        <w:t>T</w:t>
      </w:r>
      <w:r w:rsidR="004A29CB">
        <w:rPr>
          <w:lang w:val="en-GB"/>
        </w:rPr>
        <w:t xml:space="preserve">he typical use case is that the </w:t>
      </w:r>
      <w:proofErr w:type="spellStart"/>
      <w:r w:rsidR="004A29CB">
        <w:rPr>
          <w:lang w:val="en-GB"/>
        </w:rPr>
        <w:t>gNB</w:t>
      </w:r>
      <w:proofErr w:type="spellEnd"/>
      <w:r w:rsidR="004A29CB">
        <w:rPr>
          <w:lang w:val="en-GB"/>
        </w:rPr>
        <w:t xml:space="preserve"> based on SRS to determine the DL precoding matrix and send (beamformed) CSI-RS to the UE for link adaptation.  Then the UE reports CQI and/or RI or even PMI based on the CSI-RS.  It means that the CSI-RS beamforming relies on the SRS which is transmitted before the CSI-RS.  The CSI-RS is a DL reference signal which can only be transmitted in a DL duration of a slot.  The SRS is an UL reference signal which can only be transmitted in an UL duration of a slot.  However, a TDD NR slot starts from a DL duration and the UL duration is always located after the DL duration in the same slot.  So, the </w:t>
      </w:r>
      <w:proofErr w:type="spellStart"/>
      <w:r w:rsidR="004A29CB">
        <w:rPr>
          <w:lang w:val="en-GB"/>
        </w:rPr>
        <w:t>gNB</w:t>
      </w:r>
      <w:proofErr w:type="spellEnd"/>
      <w:r w:rsidR="004A29CB">
        <w:rPr>
          <w:lang w:val="en-GB"/>
        </w:rPr>
        <w:t xml:space="preserve"> can never take advantage of allowing the transmission of CSI-RS and SRS in the same slot.  As the </w:t>
      </w:r>
      <w:proofErr w:type="spellStart"/>
      <w:r w:rsidR="0024777F">
        <w:rPr>
          <w:lang w:val="en-GB"/>
        </w:rPr>
        <w:t>gNB</w:t>
      </w:r>
      <w:proofErr w:type="spellEnd"/>
      <w:r w:rsidR="0024777F">
        <w:rPr>
          <w:lang w:val="en-GB"/>
        </w:rPr>
        <w:t xml:space="preserve"> cannot perform non-causal beamforming of CSI-RS based on the SRS in the same slot.</w:t>
      </w:r>
      <w:r w:rsidR="004A29CB">
        <w:rPr>
          <w:lang w:val="en-GB"/>
        </w:rPr>
        <w:t xml:space="preserve"> </w:t>
      </w:r>
    </w:p>
    <w:p w14:paraId="4D7B7A59" w14:textId="5051DF23" w:rsidR="0024777F" w:rsidRPr="0082525E" w:rsidRDefault="0024777F" w:rsidP="0082525E">
      <w:pPr>
        <w:rPr>
          <w:b/>
          <w:i/>
        </w:rPr>
      </w:pPr>
      <w:r w:rsidRPr="0082525E">
        <w:rPr>
          <w:b/>
          <w:i/>
          <w:lang w:val="en-GB"/>
        </w:rPr>
        <w:t xml:space="preserve">Observation </w:t>
      </w:r>
      <w:r w:rsidR="00055B5A">
        <w:rPr>
          <w:b/>
          <w:i/>
          <w:lang w:val="en-GB"/>
        </w:rPr>
        <w:t>4</w:t>
      </w:r>
      <w:r w:rsidRPr="0082525E">
        <w:rPr>
          <w:b/>
          <w:i/>
          <w:lang w:val="en-GB"/>
        </w:rPr>
        <w:t>: It’s unnecessary to support CSI-RS and SRS transmission in the same time slot for DL data transmission.</w:t>
      </w:r>
    </w:p>
    <w:p w14:paraId="1F20D13F" w14:textId="0D10DEAF" w:rsidR="00140FE4" w:rsidRDefault="00140FE4" w:rsidP="0082525E">
      <w:r>
        <w:rPr>
          <w:lang w:val="en-GB"/>
        </w:rPr>
        <w:t>T</w:t>
      </w:r>
      <w:r w:rsidR="0024777F">
        <w:rPr>
          <w:lang w:val="en-GB"/>
        </w:rPr>
        <w:t>ransmission of CSI-RS and SRS in the same time slot may be helpful for non-codebook based UL transmission.  The UE may derive UL precoding matrix from CSI-RS and use it to transmit precoded SRS in the same slot.  But it’s unclear how much performance benefit can be obtained by</w:t>
      </w:r>
      <w:r>
        <w:rPr>
          <w:lang w:val="en-GB"/>
        </w:rPr>
        <w:t xml:space="preserve"> doing this.  The number of UL transmit antennas are much smaller than that in DL, so the UL </w:t>
      </w:r>
      <w:r w:rsidR="00FA1065">
        <w:rPr>
          <w:lang w:val="en-GB"/>
        </w:rPr>
        <w:t xml:space="preserve">transmission </w:t>
      </w:r>
      <w:r>
        <w:rPr>
          <w:lang w:val="en-GB"/>
        </w:rPr>
        <w:t xml:space="preserve">tends to be less sensitive to </w:t>
      </w:r>
      <w:r w:rsidR="00FA1065">
        <w:rPr>
          <w:lang w:val="en-GB"/>
        </w:rPr>
        <w:t>accurate precoding than DL transmission</w:t>
      </w:r>
      <w:r>
        <w:rPr>
          <w:lang w:val="en-GB"/>
        </w:rPr>
        <w:t xml:space="preserve">.  From UE implementation perspective, whether such causal processing is feasible or not further depends on </w:t>
      </w:r>
      <w:r w:rsidR="0024777F">
        <w:rPr>
          <w:lang w:val="en-GB"/>
        </w:rPr>
        <w:t xml:space="preserve">the </w:t>
      </w:r>
      <w:r>
        <w:rPr>
          <w:lang w:val="en-GB"/>
        </w:rPr>
        <w:t>time gap between the C</w:t>
      </w:r>
      <w:r w:rsidR="0024777F">
        <w:rPr>
          <w:lang w:val="en-GB"/>
        </w:rPr>
        <w:t>SI-RS</w:t>
      </w:r>
      <w:r>
        <w:rPr>
          <w:lang w:val="en-GB"/>
        </w:rPr>
        <w:t xml:space="preserve"> and the SRS</w:t>
      </w:r>
      <w:r w:rsidR="0024777F">
        <w:rPr>
          <w:lang w:val="en-GB"/>
        </w:rPr>
        <w:t xml:space="preserve"> in a slot and </w:t>
      </w:r>
      <w:r>
        <w:rPr>
          <w:lang w:val="en-GB"/>
        </w:rPr>
        <w:t xml:space="preserve">on </w:t>
      </w:r>
      <w:r w:rsidR="0024777F">
        <w:rPr>
          <w:lang w:val="en-GB"/>
        </w:rPr>
        <w:t xml:space="preserve">the required computational time for deriving the UL precoding matrix.  </w:t>
      </w:r>
    </w:p>
    <w:p w14:paraId="04BEBAD3" w14:textId="052131E3" w:rsidR="0024777F" w:rsidRPr="0082525E" w:rsidRDefault="00140FE4" w:rsidP="0082525E">
      <w:pPr>
        <w:rPr>
          <w:b/>
          <w:i/>
        </w:rPr>
      </w:pPr>
      <w:r w:rsidRPr="0082525E">
        <w:rPr>
          <w:b/>
          <w:i/>
          <w:lang w:val="en-GB"/>
        </w:rPr>
        <w:t xml:space="preserve">Observation </w:t>
      </w:r>
      <w:r w:rsidR="00055B5A">
        <w:rPr>
          <w:b/>
          <w:i/>
          <w:lang w:val="en-GB"/>
        </w:rPr>
        <w:t>5</w:t>
      </w:r>
      <w:r w:rsidRPr="0082525E">
        <w:rPr>
          <w:b/>
          <w:i/>
          <w:lang w:val="en-GB"/>
        </w:rPr>
        <w:t>:</w:t>
      </w:r>
      <w:r w:rsidR="0024777F" w:rsidRPr="0082525E">
        <w:rPr>
          <w:b/>
          <w:i/>
          <w:lang w:val="en-GB"/>
        </w:rPr>
        <w:t xml:space="preserve"> </w:t>
      </w:r>
      <w:r w:rsidR="00FA1065">
        <w:rPr>
          <w:b/>
          <w:i/>
          <w:lang w:val="en-GB"/>
        </w:rPr>
        <w:t xml:space="preserve">Fast CSI acquisition may not be needed for UL transmission, as it’s less sensitive to accurate precoding. </w:t>
      </w:r>
      <w:r w:rsidR="0024777F" w:rsidRPr="0082525E">
        <w:rPr>
          <w:b/>
          <w:i/>
          <w:lang w:val="en-GB"/>
        </w:rPr>
        <w:t xml:space="preserve"> </w:t>
      </w:r>
    </w:p>
    <w:p w14:paraId="46F13347" w14:textId="77777777" w:rsidR="00E3066B" w:rsidRDefault="00E3066B" w:rsidP="00AC4496">
      <w:pPr>
        <w:pStyle w:val="Heading1"/>
        <w:jc w:val="both"/>
      </w:pPr>
      <w:r w:rsidRPr="00E05A22">
        <w:t xml:space="preserve">Conclusions </w:t>
      </w:r>
    </w:p>
    <w:p w14:paraId="231DBB9E" w14:textId="32C26EFA" w:rsidR="00A83CA6" w:rsidRDefault="00E3066B" w:rsidP="00B811B6">
      <w:pPr>
        <w:jc w:val="both"/>
        <w:rPr>
          <w:lang w:val="en-GB"/>
        </w:rPr>
      </w:pPr>
      <w:r>
        <w:rPr>
          <w:lang w:val="en-GB"/>
        </w:rPr>
        <w:t xml:space="preserve">To summarize, we discussed </w:t>
      </w:r>
      <w:r w:rsidR="004B420F">
        <w:rPr>
          <w:lang w:val="en-GB"/>
        </w:rPr>
        <w:t>several aspects of CSI acquisition for reciprocity based operation</w:t>
      </w:r>
      <w:r w:rsidR="00C51D5C">
        <w:rPr>
          <w:lang w:val="en-GB"/>
        </w:rPr>
        <w:t>.</w:t>
      </w:r>
      <w:r>
        <w:rPr>
          <w:lang w:val="en-GB"/>
        </w:rPr>
        <w:t xml:space="preserve"> </w:t>
      </w:r>
      <w:r w:rsidR="00C51D5C">
        <w:rPr>
          <w:lang w:val="en-GB"/>
        </w:rPr>
        <w:t xml:space="preserve"> </w:t>
      </w:r>
      <w:r w:rsidR="00A83CA6">
        <w:rPr>
          <w:lang w:val="en-GB"/>
        </w:rPr>
        <w:t>We have following observations:</w:t>
      </w:r>
    </w:p>
    <w:p w14:paraId="4757D24B" w14:textId="77777777" w:rsidR="004B420F" w:rsidRDefault="004B420F" w:rsidP="0082525E">
      <w:pPr>
        <w:spacing w:after="120"/>
        <w:jc w:val="both"/>
        <w:rPr>
          <w:b/>
          <w:i/>
          <w:lang w:val="en-GB"/>
        </w:rPr>
      </w:pPr>
      <w:r w:rsidRPr="00A15B88">
        <w:rPr>
          <w:b/>
          <w:i/>
          <w:lang w:val="en-GB"/>
        </w:rPr>
        <w:lastRenderedPageBreak/>
        <w:t xml:space="preserve">Observation 1: </w:t>
      </w:r>
      <w:r>
        <w:rPr>
          <w:b/>
          <w:i/>
          <w:lang w:val="en-GB"/>
        </w:rPr>
        <w:t xml:space="preserve">Pre-whitened </w:t>
      </w:r>
      <w:r w:rsidRPr="00A15B88">
        <w:rPr>
          <w:b/>
          <w:i/>
          <w:lang w:val="en-GB"/>
        </w:rPr>
        <w:t xml:space="preserve">SRS can </w:t>
      </w:r>
      <w:r>
        <w:rPr>
          <w:b/>
          <w:i/>
          <w:lang w:val="en-GB"/>
        </w:rPr>
        <w:t xml:space="preserve">provide the </w:t>
      </w:r>
      <w:proofErr w:type="spellStart"/>
      <w:r>
        <w:rPr>
          <w:b/>
          <w:i/>
          <w:lang w:val="en-GB"/>
        </w:rPr>
        <w:t>gNB</w:t>
      </w:r>
      <w:proofErr w:type="spellEnd"/>
      <w:r>
        <w:rPr>
          <w:b/>
          <w:i/>
          <w:lang w:val="en-GB"/>
        </w:rPr>
        <w:t xml:space="preserve"> full information of interference observed by the UE.  It can </w:t>
      </w:r>
      <w:r w:rsidRPr="00A15B88">
        <w:rPr>
          <w:b/>
          <w:i/>
          <w:lang w:val="en-GB"/>
        </w:rPr>
        <w:t xml:space="preserve">be used by the </w:t>
      </w:r>
      <w:proofErr w:type="spellStart"/>
      <w:r w:rsidRPr="00A15B88">
        <w:rPr>
          <w:b/>
          <w:i/>
          <w:lang w:val="en-GB"/>
        </w:rPr>
        <w:t>gNB</w:t>
      </w:r>
      <w:proofErr w:type="spellEnd"/>
      <w:r w:rsidRPr="00A15B88">
        <w:rPr>
          <w:b/>
          <w:i/>
          <w:lang w:val="en-GB"/>
        </w:rPr>
        <w:t xml:space="preserve"> to support channel-dependent scheduling and link adaptation for downlink transmission.</w:t>
      </w:r>
    </w:p>
    <w:p w14:paraId="73D794B2" w14:textId="77777777" w:rsidR="00055B5A" w:rsidRPr="00BF5202" w:rsidRDefault="00055B5A" w:rsidP="00055B5A">
      <w:pPr>
        <w:jc w:val="both"/>
        <w:rPr>
          <w:b/>
          <w:i/>
          <w:lang w:val="en-GB"/>
        </w:rPr>
      </w:pPr>
      <w:r w:rsidRPr="00BF5202">
        <w:rPr>
          <w:b/>
          <w:i/>
          <w:lang w:val="en-GB"/>
        </w:rPr>
        <w:t>Observation 2: Explicit interference feedback is unnecessary, which can be replaced by implicit interference feedback, e.g., using pre-whitened SRS.</w:t>
      </w:r>
    </w:p>
    <w:p w14:paraId="21142116" w14:textId="4DA360A8" w:rsidR="004B420F" w:rsidRPr="003958A8" w:rsidRDefault="004B420F" w:rsidP="0082525E">
      <w:pPr>
        <w:spacing w:after="120"/>
        <w:jc w:val="both"/>
        <w:rPr>
          <w:b/>
          <w:i/>
          <w:lang w:val="en-GB"/>
        </w:rPr>
      </w:pPr>
      <w:r w:rsidRPr="003958A8">
        <w:rPr>
          <w:b/>
          <w:i/>
          <w:lang w:val="en-GB"/>
        </w:rPr>
        <w:t xml:space="preserve">Observation </w:t>
      </w:r>
      <w:r w:rsidR="00055B5A">
        <w:rPr>
          <w:b/>
          <w:i/>
          <w:lang w:val="en-GB"/>
        </w:rPr>
        <w:t>3</w:t>
      </w:r>
      <w:r w:rsidRPr="003958A8">
        <w:rPr>
          <w:b/>
          <w:i/>
          <w:lang w:val="en-GB"/>
        </w:rPr>
        <w:t xml:space="preserve">: TX switching SRS transmission </w:t>
      </w:r>
      <w:r>
        <w:rPr>
          <w:b/>
          <w:i/>
          <w:lang w:val="en-GB"/>
        </w:rPr>
        <w:t>might</w:t>
      </w:r>
      <w:r w:rsidRPr="003958A8">
        <w:rPr>
          <w:b/>
          <w:i/>
          <w:lang w:val="en-GB"/>
        </w:rPr>
        <w:t xml:space="preserve"> be useful for UEs with asymmetric TX/RX chains, but impacts related to introducing this feature need to be studied first.</w:t>
      </w:r>
    </w:p>
    <w:p w14:paraId="45F02260" w14:textId="1E3F467C" w:rsidR="004B420F" w:rsidRPr="003958A8" w:rsidRDefault="004B420F" w:rsidP="0082525E">
      <w:pPr>
        <w:spacing w:after="120"/>
        <w:rPr>
          <w:b/>
          <w:i/>
          <w:lang w:val="en-GB"/>
        </w:rPr>
      </w:pPr>
      <w:r w:rsidRPr="003958A8">
        <w:rPr>
          <w:b/>
          <w:i/>
          <w:lang w:val="en-GB"/>
        </w:rPr>
        <w:t xml:space="preserve">Observation </w:t>
      </w:r>
      <w:r w:rsidR="00055B5A">
        <w:rPr>
          <w:b/>
          <w:i/>
          <w:lang w:val="en-GB"/>
        </w:rPr>
        <w:t>4</w:t>
      </w:r>
      <w:r w:rsidRPr="003958A8">
        <w:rPr>
          <w:b/>
          <w:i/>
          <w:lang w:val="en-GB"/>
        </w:rPr>
        <w:t>: It’s unnecessary to support CSI-RS and SRS transmission in the same time slot for DL data transmission.</w:t>
      </w:r>
    </w:p>
    <w:p w14:paraId="0F745DD6" w14:textId="03E5C854" w:rsidR="004B420F" w:rsidRPr="003958A8" w:rsidRDefault="004B420F" w:rsidP="004B420F">
      <w:pPr>
        <w:rPr>
          <w:b/>
          <w:i/>
          <w:lang w:val="en-GB"/>
        </w:rPr>
      </w:pPr>
      <w:r w:rsidRPr="003958A8">
        <w:rPr>
          <w:b/>
          <w:i/>
          <w:lang w:val="en-GB"/>
        </w:rPr>
        <w:t xml:space="preserve">Observation </w:t>
      </w:r>
      <w:r w:rsidR="00055B5A">
        <w:rPr>
          <w:b/>
          <w:i/>
          <w:lang w:val="en-GB"/>
        </w:rPr>
        <w:t>5</w:t>
      </w:r>
      <w:r w:rsidRPr="003958A8">
        <w:rPr>
          <w:b/>
          <w:i/>
          <w:lang w:val="en-GB"/>
        </w:rPr>
        <w:t xml:space="preserve">: </w:t>
      </w:r>
      <w:r>
        <w:rPr>
          <w:b/>
          <w:i/>
          <w:lang w:val="en-GB"/>
        </w:rPr>
        <w:t xml:space="preserve">Fast CSI acquisition may not be needed for UL transmission, as it’s less sensitive to accurate precoding. </w:t>
      </w:r>
      <w:r w:rsidRPr="003958A8">
        <w:rPr>
          <w:b/>
          <w:i/>
          <w:lang w:val="en-GB"/>
        </w:rPr>
        <w:t xml:space="preserve"> </w:t>
      </w:r>
    </w:p>
    <w:p w14:paraId="46F13348" w14:textId="5646F799" w:rsidR="00776564" w:rsidRPr="00776564" w:rsidRDefault="00A83CA6" w:rsidP="00033511">
      <w:pPr>
        <w:jc w:val="both"/>
        <w:rPr>
          <w:lang w:val="en-GB"/>
        </w:rPr>
      </w:pPr>
      <w:r>
        <w:rPr>
          <w:lang w:val="en-GB"/>
        </w:rPr>
        <w:t>W</w:t>
      </w:r>
      <w:r w:rsidR="00776564" w:rsidRPr="00776564">
        <w:rPr>
          <w:lang w:val="en-GB"/>
        </w:rPr>
        <w:t>e propose:</w:t>
      </w:r>
    </w:p>
    <w:p w14:paraId="37C41A18" w14:textId="77777777" w:rsidR="004B420F" w:rsidRDefault="004B420F" w:rsidP="004B420F">
      <w:pPr>
        <w:jc w:val="both"/>
        <w:rPr>
          <w:b/>
          <w:i/>
          <w:lang w:val="en-GB"/>
        </w:rPr>
      </w:pPr>
      <w:r>
        <w:rPr>
          <w:b/>
          <w:i/>
          <w:lang w:val="en-GB"/>
        </w:rPr>
        <w:t>Proposal 1: Explicit interference feedback is not supported in NR.</w:t>
      </w:r>
    </w:p>
    <w:p w14:paraId="46F1334D" w14:textId="77777777" w:rsidR="00E3066B" w:rsidRDefault="00E3066B" w:rsidP="00AC4496">
      <w:pPr>
        <w:pStyle w:val="Heading1"/>
        <w:jc w:val="both"/>
        <w:textAlignment w:val="auto"/>
        <w:rPr>
          <w:lang w:val="en-US"/>
        </w:rPr>
      </w:pPr>
      <w:r>
        <w:rPr>
          <w:lang w:val="en-US"/>
        </w:rPr>
        <w:t>References</w:t>
      </w:r>
    </w:p>
    <w:p w14:paraId="46F1334E" w14:textId="25864576" w:rsidR="004032CF" w:rsidRDefault="004032CF" w:rsidP="001B0040">
      <w:pPr>
        <w:pStyle w:val="References"/>
        <w:numPr>
          <w:ilvl w:val="0"/>
          <w:numId w:val="4"/>
        </w:numPr>
        <w:snapToGrid/>
        <w:spacing w:after="0"/>
        <w:rPr>
          <w:rFonts w:ascii="Times New Roman" w:hAnsi="Times New Roman"/>
          <w:sz w:val="20"/>
          <w:lang w:val="en-GB"/>
        </w:rPr>
      </w:pPr>
      <w:r>
        <w:rPr>
          <w:rFonts w:ascii="Times New Roman" w:hAnsi="Times New Roman"/>
          <w:sz w:val="20"/>
          <w:lang w:val="en-GB"/>
        </w:rPr>
        <w:t>R1-</w:t>
      </w:r>
      <w:r w:rsidR="001B0040">
        <w:rPr>
          <w:rFonts w:ascii="Times New Roman" w:hAnsi="Times New Roman"/>
          <w:sz w:val="20"/>
          <w:lang w:val="en-GB"/>
        </w:rPr>
        <w:t>1701531</w:t>
      </w:r>
      <w:r w:rsidR="002615CD">
        <w:rPr>
          <w:rFonts w:ascii="Times New Roman" w:hAnsi="Times New Roman"/>
          <w:sz w:val="20"/>
          <w:lang w:val="en-GB"/>
        </w:rPr>
        <w:t xml:space="preserve">, </w:t>
      </w:r>
      <w:r>
        <w:rPr>
          <w:rFonts w:ascii="Times New Roman" w:hAnsi="Times New Roman"/>
          <w:sz w:val="20"/>
          <w:lang w:val="en-GB"/>
        </w:rPr>
        <w:t>“</w:t>
      </w:r>
      <w:r w:rsidR="002615CD" w:rsidRPr="002615CD">
        <w:rPr>
          <w:rFonts w:ascii="Times New Roman" w:hAnsi="Times New Roman"/>
          <w:sz w:val="20"/>
          <w:lang w:val="en-GB"/>
        </w:rPr>
        <w:t xml:space="preserve">WF on </w:t>
      </w:r>
      <w:r w:rsidR="001B0040">
        <w:rPr>
          <w:rFonts w:ascii="Times New Roman" w:hAnsi="Times New Roman"/>
          <w:sz w:val="20"/>
          <w:lang w:val="en-GB"/>
        </w:rPr>
        <w:t>reciprocity based CSI acquisition</w:t>
      </w:r>
      <w:r w:rsidR="002615CD">
        <w:rPr>
          <w:rFonts w:ascii="Times New Roman" w:hAnsi="Times New Roman"/>
          <w:sz w:val="20"/>
          <w:lang w:val="en-GB"/>
        </w:rPr>
        <w:t xml:space="preserve">,” </w:t>
      </w:r>
      <w:r w:rsidR="002615CD" w:rsidRPr="002615CD">
        <w:rPr>
          <w:rFonts w:ascii="Times New Roman" w:hAnsi="Times New Roman"/>
          <w:sz w:val="20"/>
          <w:lang w:val="en-GB"/>
        </w:rPr>
        <w:t xml:space="preserve">Huawei, </w:t>
      </w:r>
      <w:proofErr w:type="spellStart"/>
      <w:r w:rsidR="002615CD" w:rsidRPr="002615CD">
        <w:rPr>
          <w:rFonts w:ascii="Times New Roman" w:hAnsi="Times New Roman"/>
          <w:sz w:val="20"/>
          <w:lang w:val="en-GB"/>
        </w:rPr>
        <w:t>HiSilicon</w:t>
      </w:r>
      <w:proofErr w:type="spellEnd"/>
      <w:r w:rsidR="002615CD" w:rsidRPr="002615CD">
        <w:rPr>
          <w:rFonts w:ascii="Times New Roman" w:hAnsi="Times New Roman"/>
          <w:sz w:val="20"/>
          <w:lang w:val="en-GB"/>
        </w:rPr>
        <w:t>,</w:t>
      </w:r>
      <w:r w:rsidR="001B0040">
        <w:rPr>
          <w:rFonts w:ascii="Times New Roman" w:hAnsi="Times New Roman"/>
          <w:sz w:val="20"/>
          <w:lang w:val="en-GB"/>
        </w:rPr>
        <w:t xml:space="preserve"> Fujitsu, </w:t>
      </w:r>
      <w:r w:rsidR="001B0040" w:rsidRPr="001B0040">
        <w:rPr>
          <w:rFonts w:ascii="Times New Roman" w:hAnsi="Times New Roman"/>
          <w:sz w:val="20"/>
          <w:lang w:val="en-GB"/>
        </w:rPr>
        <w:t xml:space="preserve">IITH, CEWIT, IITM, </w:t>
      </w:r>
      <w:proofErr w:type="spellStart"/>
      <w:r w:rsidR="001B0040" w:rsidRPr="001B0040">
        <w:rPr>
          <w:rFonts w:ascii="Times New Roman" w:hAnsi="Times New Roman"/>
          <w:sz w:val="20"/>
          <w:lang w:val="en-GB"/>
        </w:rPr>
        <w:t>Tejas</w:t>
      </w:r>
      <w:proofErr w:type="spellEnd"/>
      <w:r w:rsidR="001B0040" w:rsidRPr="001B0040">
        <w:rPr>
          <w:rFonts w:ascii="Times New Roman" w:hAnsi="Times New Roman"/>
          <w:sz w:val="20"/>
          <w:lang w:val="en-GB"/>
        </w:rPr>
        <w:t xml:space="preserve"> Networks, Softbank, </w:t>
      </w:r>
      <w:proofErr w:type="spellStart"/>
      <w:r w:rsidR="001B0040" w:rsidRPr="001B0040">
        <w:rPr>
          <w:rFonts w:ascii="Times New Roman" w:hAnsi="Times New Roman"/>
          <w:sz w:val="20"/>
          <w:lang w:val="en-GB"/>
        </w:rPr>
        <w:t>Xinwei</w:t>
      </w:r>
      <w:proofErr w:type="spellEnd"/>
      <w:r w:rsidR="001B0040">
        <w:rPr>
          <w:rFonts w:ascii="Times New Roman" w:hAnsi="Times New Roman"/>
          <w:sz w:val="20"/>
          <w:lang w:val="en-GB"/>
        </w:rPr>
        <w:t>.</w:t>
      </w:r>
    </w:p>
    <w:p w14:paraId="69F1A200" w14:textId="419F10A3" w:rsidR="00D5132F" w:rsidRPr="0082525E" w:rsidRDefault="00254373">
      <w:pPr>
        <w:pStyle w:val="ListParagraph"/>
        <w:numPr>
          <w:ilvl w:val="0"/>
          <w:numId w:val="4"/>
        </w:numPr>
        <w:jc w:val="both"/>
        <w:rPr>
          <w:rFonts w:ascii="Times New Roman" w:hAnsi="Times New Roman"/>
          <w:sz w:val="20"/>
          <w:lang w:val="en-GB"/>
        </w:rPr>
      </w:pPr>
      <w:r w:rsidRPr="0058211F">
        <w:rPr>
          <w:rFonts w:ascii="Times New Roman" w:eastAsia="宋体" w:hAnsi="Times New Roman"/>
          <w:sz w:val="20"/>
          <w:szCs w:val="16"/>
          <w:lang w:val="en-GB" w:eastAsia="zh-CN"/>
        </w:rPr>
        <w:t>Draft report of 3GPP TSG RAN WG1 #</w:t>
      </w:r>
      <w:r w:rsidR="0058211F">
        <w:rPr>
          <w:rFonts w:ascii="Times New Roman" w:eastAsia="宋体" w:hAnsi="Times New Roman"/>
          <w:sz w:val="20"/>
          <w:szCs w:val="16"/>
          <w:lang w:val="en-GB" w:eastAsia="zh-CN"/>
        </w:rPr>
        <w:t>AH1_NR</w:t>
      </w:r>
      <w:r w:rsidRPr="0058211F">
        <w:rPr>
          <w:rFonts w:ascii="Times New Roman" w:eastAsia="宋体" w:hAnsi="Times New Roman"/>
          <w:sz w:val="20"/>
          <w:szCs w:val="16"/>
          <w:lang w:val="en-GB" w:eastAsia="zh-CN"/>
        </w:rPr>
        <w:t>.</w:t>
      </w:r>
    </w:p>
    <w:p w14:paraId="39EE13C1" w14:textId="517C533D" w:rsidR="00DA7F9A" w:rsidRDefault="00DA7F9A">
      <w:pPr>
        <w:pStyle w:val="ListParagraph"/>
        <w:numPr>
          <w:ilvl w:val="0"/>
          <w:numId w:val="4"/>
        </w:numPr>
        <w:jc w:val="both"/>
        <w:rPr>
          <w:rFonts w:ascii="Times New Roman" w:hAnsi="Times New Roman"/>
          <w:sz w:val="20"/>
          <w:lang w:val="en-GB"/>
        </w:rPr>
      </w:pPr>
      <w:r>
        <w:rPr>
          <w:rFonts w:ascii="Times New Roman" w:hAnsi="Times New Roman"/>
          <w:sz w:val="20"/>
          <w:lang w:val="en-GB"/>
        </w:rPr>
        <w:t xml:space="preserve">R1-156252, “LS on introducing 4 TX </w:t>
      </w:r>
      <w:proofErr w:type="spellStart"/>
      <w:r>
        <w:rPr>
          <w:rFonts w:ascii="Times New Roman" w:hAnsi="Times New Roman"/>
          <w:sz w:val="20"/>
          <w:lang w:val="en-GB"/>
        </w:rPr>
        <w:t>swithing</w:t>
      </w:r>
      <w:proofErr w:type="spellEnd"/>
      <w:r>
        <w:rPr>
          <w:rFonts w:ascii="Times New Roman" w:hAnsi="Times New Roman"/>
          <w:sz w:val="20"/>
          <w:lang w:val="en-GB"/>
        </w:rPr>
        <w:t xml:space="preserve"> SRS transmission in Rel-13,” RAN1.</w:t>
      </w:r>
    </w:p>
    <w:p w14:paraId="301DA8AD" w14:textId="2910095F" w:rsidR="00DA7F9A" w:rsidRPr="00DA7F9A" w:rsidRDefault="00DA7F9A">
      <w:pPr>
        <w:pStyle w:val="ListParagraph"/>
        <w:numPr>
          <w:ilvl w:val="0"/>
          <w:numId w:val="4"/>
        </w:numPr>
        <w:jc w:val="both"/>
        <w:rPr>
          <w:rFonts w:ascii="Times New Roman" w:hAnsi="Times New Roman"/>
          <w:sz w:val="20"/>
          <w:lang w:val="en-GB"/>
        </w:rPr>
      </w:pPr>
      <w:r>
        <w:rPr>
          <w:rFonts w:ascii="Times New Roman" w:hAnsi="Times New Roman"/>
          <w:sz w:val="20"/>
          <w:lang w:val="en-GB"/>
        </w:rPr>
        <w:t xml:space="preserve">R1-158221, “Reply LS on introducing 4 TX </w:t>
      </w:r>
      <w:proofErr w:type="spellStart"/>
      <w:r>
        <w:rPr>
          <w:rFonts w:ascii="Times New Roman" w:hAnsi="Times New Roman"/>
          <w:sz w:val="20"/>
          <w:lang w:val="en-GB"/>
        </w:rPr>
        <w:t>swithing</w:t>
      </w:r>
      <w:proofErr w:type="spellEnd"/>
      <w:r>
        <w:rPr>
          <w:rFonts w:ascii="Times New Roman" w:hAnsi="Times New Roman"/>
          <w:sz w:val="20"/>
          <w:lang w:val="en-GB"/>
        </w:rPr>
        <w:t xml:space="preserve"> SRS transmission in Rel-13,” RAN4</w:t>
      </w:r>
      <w:r w:rsidR="008F5925">
        <w:rPr>
          <w:rFonts w:ascii="Times New Roman" w:hAnsi="Times New Roman"/>
          <w:sz w:val="20"/>
          <w:lang w:val="en-GB"/>
        </w:rPr>
        <w:t>.</w:t>
      </w:r>
    </w:p>
    <w:p w14:paraId="38209C6A" w14:textId="77777777" w:rsidR="00514CAC" w:rsidRDefault="00514CAC">
      <w:pPr>
        <w:overflowPunct/>
        <w:autoSpaceDE/>
        <w:autoSpaceDN/>
        <w:adjustRightInd/>
        <w:spacing w:after="0"/>
        <w:textAlignment w:val="auto"/>
        <w:rPr>
          <w:rFonts w:ascii="Arial" w:hAnsi="Arial"/>
          <w:sz w:val="36"/>
          <w:lang w:val="en-GB"/>
        </w:rPr>
      </w:pPr>
      <w:r>
        <w:br w:type="page"/>
      </w:r>
    </w:p>
    <w:p w14:paraId="554216E9" w14:textId="1BA5865F" w:rsidR="003168BF" w:rsidRDefault="003168BF" w:rsidP="003168BF">
      <w:pPr>
        <w:pStyle w:val="Heading1"/>
      </w:pPr>
      <w:r>
        <w:lastRenderedPageBreak/>
        <w:t>Appendix</w:t>
      </w:r>
    </w:p>
    <w:p w14:paraId="6375DD15" w14:textId="2A006C9D" w:rsidR="003168BF" w:rsidRDefault="003168BF" w:rsidP="003168BF">
      <w:pPr>
        <w:pStyle w:val="Caption"/>
        <w:keepNext/>
        <w:jc w:val="center"/>
        <w:rPr>
          <w:lang w:val="en-GB"/>
        </w:rPr>
      </w:pPr>
      <w:r>
        <w:t xml:space="preserve">Table </w:t>
      </w:r>
      <w:r w:rsidR="002B3FB0">
        <w:t>1</w:t>
      </w:r>
      <w:r>
        <w:t>.  System Simulation Assumptions</w:t>
      </w:r>
    </w:p>
    <w:tbl>
      <w:tblPr>
        <w:tblStyle w:val="TableGrid"/>
        <w:tblW w:w="9434" w:type="dxa"/>
        <w:jc w:val="center"/>
        <w:tblLook w:val="04A0" w:firstRow="1" w:lastRow="0" w:firstColumn="1" w:lastColumn="0" w:noHBand="0" w:noVBand="1"/>
      </w:tblPr>
      <w:tblGrid>
        <w:gridCol w:w="3673"/>
        <w:gridCol w:w="5761"/>
      </w:tblGrid>
      <w:tr w:rsidR="003168BF" w:rsidRPr="00435BF6" w14:paraId="76722000" w14:textId="77777777" w:rsidTr="00383C01">
        <w:trPr>
          <w:jc w:val="center"/>
        </w:trPr>
        <w:tc>
          <w:tcPr>
            <w:tcW w:w="3673" w:type="dxa"/>
            <w:vAlign w:val="center"/>
            <w:hideMark/>
          </w:tcPr>
          <w:p w14:paraId="3BAF52CF" w14:textId="77777777" w:rsidR="003168BF" w:rsidRPr="00435BF6" w:rsidRDefault="003168BF" w:rsidP="00383C0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Parameters</w:t>
            </w:r>
          </w:p>
        </w:tc>
        <w:tc>
          <w:tcPr>
            <w:tcW w:w="5761" w:type="dxa"/>
            <w:vAlign w:val="center"/>
            <w:hideMark/>
          </w:tcPr>
          <w:p w14:paraId="5008A36B" w14:textId="77777777" w:rsidR="003168BF" w:rsidRPr="00435BF6" w:rsidRDefault="003168BF" w:rsidP="00383C0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Dense urban</w:t>
            </w:r>
          </w:p>
        </w:tc>
      </w:tr>
      <w:tr w:rsidR="003168BF" w:rsidRPr="00435BF6" w14:paraId="188FFCEE" w14:textId="77777777" w:rsidTr="00383C01">
        <w:trPr>
          <w:jc w:val="center"/>
        </w:trPr>
        <w:tc>
          <w:tcPr>
            <w:tcW w:w="3673" w:type="dxa"/>
            <w:vAlign w:val="center"/>
            <w:hideMark/>
          </w:tcPr>
          <w:p w14:paraId="1342A1EE"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Layout</w:t>
            </w:r>
          </w:p>
        </w:tc>
        <w:tc>
          <w:tcPr>
            <w:tcW w:w="5761" w:type="dxa"/>
            <w:vAlign w:val="center"/>
            <w:hideMark/>
          </w:tcPr>
          <w:p w14:paraId="7E4AD9BC"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Single layer</w:t>
            </w:r>
            <w:r>
              <w:rPr>
                <w:rFonts w:eastAsia="Times New Roman"/>
                <w:lang w:eastAsia="zh-CN"/>
              </w:rPr>
              <w:t xml:space="preserve"> –</w:t>
            </w:r>
            <w:r w:rsidRPr="00435BF6">
              <w:rPr>
                <w:rFonts w:eastAsia="Times New Roman"/>
                <w:lang w:eastAsia="zh-CN"/>
              </w:rPr>
              <w:t xml:space="preserve"> Macro layer: Hex. Grid</w:t>
            </w:r>
          </w:p>
        </w:tc>
      </w:tr>
      <w:tr w:rsidR="003168BF" w:rsidRPr="00435BF6" w14:paraId="2206FA84" w14:textId="77777777" w:rsidTr="00383C01">
        <w:trPr>
          <w:jc w:val="center"/>
        </w:trPr>
        <w:tc>
          <w:tcPr>
            <w:tcW w:w="3673" w:type="dxa"/>
            <w:vAlign w:val="center"/>
            <w:hideMark/>
          </w:tcPr>
          <w:p w14:paraId="66E70535"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Inter-BS distance </w:t>
            </w:r>
          </w:p>
        </w:tc>
        <w:tc>
          <w:tcPr>
            <w:tcW w:w="5761" w:type="dxa"/>
            <w:vAlign w:val="center"/>
            <w:hideMark/>
          </w:tcPr>
          <w:p w14:paraId="47BFBEC9"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Macro layer: 200m</w:t>
            </w:r>
          </w:p>
        </w:tc>
      </w:tr>
      <w:tr w:rsidR="003168BF" w:rsidRPr="00435BF6" w14:paraId="1775EA24" w14:textId="77777777" w:rsidTr="00383C01">
        <w:trPr>
          <w:jc w:val="center"/>
        </w:trPr>
        <w:tc>
          <w:tcPr>
            <w:tcW w:w="3673" w:type="dxa"/>
            <w:vAlign w:val="center"/>
            <w:hideMark/>
          </w:tcPr>
          <w:p w14:paraId="00C55719"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Carrier frequency </w:t>
            </w:r>
          </w:p>
        </w:tc>
        <w:tc>
          <w:tcPr>
            <w:tcW w:w="5761" w:type="dxa"/>
            <w:vAlign w:val="center"/>
            <w:hideMark/>
          </w:tcPr>
          <w:p w14:paraId="2DAB15F4"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Macro layer: Around 4 GHz </w:t>
            </w:r>
          </w:p>
        </w:tc>
      </w:tr>
      <w:tr w:rsidR="003168BF" w:rsidRPr="00435BF6" w14:paraId="2265A0FE" w14:textId="77777777" w:rsidTr="00383C01">
        <w:trPr>
          <w:jc w:val="center"/>
        </w:trPr>
        <w:tc>
          <w:tcPr>
            <w:tcW w:w="3673" w:type="dxa"/>
            <w:vAlign w:val="center"/>
            <w:hideMark/>
          </w:tcPr>
          <w:p w14:paraId="21A42469"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Aggregated system </w:t>
            </w:r>
            <w:r w:rsidRPr="00033511">
              <w:rPr>
                <w:rFonts w:eastAsia="Times New Roman"/>
                <w:bCs/>
                <w:lang w:eastAsia="zh-CN"/>
              </w:rPr>
              <w:br/>
              <w:t>bandwidth</w:t>
            </w:r>
          </w:p>
        </w:tc>
        <w:tc>
          <w:tcPr>
            <w:tcW w:w="5761" w:type="dxa"/>
            <w:vAlign w:val="center"/>
            <w:hideMark/>
          </w:tcPr>
          <w:p w14:paraId="31158A41"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200MHz (DL+UL) </w:t>
            </w:r>
          </w:p>
        </w:tc>
      </w:tr>
      <w:tr w:rsidR="003168BF" w:rsidRPr="00435BF6" w14:paraId="50D430A9" w14:textId="77777777" w:rsidTr="00383C01">
        <w:trPr>
          <w:jc w:val="center"/>
        </w:trPr>
        <w:tc>
          <w:tcPr>
            <w:tcW w:w="3673" w:type="dxa"/>
            <w:vAlign w:val="center"/>
            <w:hideMark/>
          </w:tcPr>
          <w:p w14:paraId="2FDDE30A"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Simulation bandwidth</w:t>
            </w:r>
          </w:p>
        </w:tc>
        <w:tc>
          <w:tcPr>
            <w:tcW w:w="5761" w:type="dxa"/>
            <w:vAlign w:val="center"/>
            <w:hideMark/>
          </w:tcPr>
          <w:p w14:paraId="6E5BBFA6"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20MHz per CC below 6GHz</w:t>
            </w:r>
            <w:r w:rsidRPr="00435BF6">
              <w:rPr>
                <w:rFonts w:eastAsia="Times New Roman"/>
                <w:lang w:eastAsia="zh-CN"/>
              </w:rPr>
              <w:br/>
              <w:t>Note: UE TX power scaling will impact final results</w:t>
            </w:r>
          </w:p>
        </w:tc>
      </w:tr>
      <w:tr w:rsidR="003168BF" w:rsidRPr="00435BF6" w14:paraId="34E08717" w14:textId="77777777" w:rsidTr="00383C01">
        <w:trPr>
          <w:jc w:val="center"/>
        </w:trPr>
        <w:tc>
          <w:tcPr>
            <w:tcW w:w="3673" w:type="dxa"/>
            <w:vAlign w:val="center"/>
            <w:hideMark/>
          </w:tcPr>
          <w:p w14:paraId="775BB475"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model</w:t>
            </w:r>
          </w:p>
        </w:tc>
        <w:tc>
          <w:tcPr>
            <w:tcW w:w="5761" w:type="dxa"/>
            <w:vAlign w:val="center"/>
            <w:hideMark/>
          </w:tcPr>
          <w:p w14:paraId="1426F061"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3D </w:t>
            </w:r>
            <w:proofErr w:type="spellStart"/>
            <w:r w:rsidRPr="00435BF6">
              <w:rPr>
                <w:rFonts w:eastAsia="Times New Roman"/>
                <w:lang w:eastAsia="zh-CN"/>
              </w:rPr>
              <w:t>UMa</w:t>
            </w:r>
            <w:proofErr w:type="spellEnd"/>
          </w:p>
        </w:tc>
      </w:tr>
      <w:tr w:rsidR="003168BF" w:rsidRPr="00435BF6" w14:paraId="6B419A8C" w14:textId="77777777" w:rsidTr="00383C01">
        <w:trPr>
          <w:jc w:val="center"/>
        </w:trPr>
        <w:tc>
          <w:tcPr>
            <w:tcW w:w="3673" w:type="dxa"/>
            <w:vAlign w:val="center"/>
            <w:hideMark/>
          </w:tcPr>
          <w:p w14:paraId="24AB4CA2"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proofErr w:type="spellStart"/>
            <w:r w:rsidRPr="00033511">
              <w:rPr>
                <w:rFonts w:eastAsia="Times New Roman"/>
                <w:bCs/>
                <w:lang w:eastAsia="zh-CN"/>
              </w:rPr>
              <w:t>Tx</w:t>
            </w:r>
            <w:proofErr w:type="spellEnd"/>
            <w:r w:rsidRPr="00033511">
              <w:rPr>
                <w:rFonts w:eastAsia="Times New Roman"/>
                <w:bCs/>
                <w:lang w:eastAsia="zh-CN"/>
              </w:rPr>
              <w:t xml:space="preserve"> power </w:t>
            </w:r>
          </w:p>
        </w:tc>
        <w:tc>
          <w:tcPr>
            <w:tcW w:w="5761" w:type="dxa"/>
            <w:vAlign w:val="center"/>
            <w:hideMark/>
          </w:tcPr>
          <w:p w14:paraId="5AA79D12"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BS: 44 </w:t>
            </w:r>
            <w:proofErr w:type="spellStart"/>
            <w:r w:rsidRPr="00435BF6">
              <w:rPr>
                <w:rFonts w:eastAsia="Times New Roman"/>
                <w:lang w:eastAsia="zh-CN"/>
              </w:rPr>
              <w:t>dBm</w:t>
            </w:r>
            <w:proofErr w:type="spellEnd"/>
            <w:r w:rsidRPr="00435BF6">
              <w:rPr>
                <w:rFonts w:eastAsia="Times New Roman"/>
                <w:lang w:eastAsia="zh-CN"/>
              </w:rPr>
              <w:t xml:space="preserve"> PA scaled with simulation BW</w:t>
            </w:r>
            <w:r w:rsidRPr="00435BF6">
              <w:rPr>
                <w:rFonts w:eastAsia="Times New Roman"/>
                <w:lang w:eastAsia="zh-CN"/>
              </w:rPr>
              <w:br/>
              <w:t>UE: 23dBm</w:t>
            </w:r>
          </w:p>
        </w:tc>
      </w:tr>
      <w:tr w:rsidR="003168BF" w:rsidRPr="00435BF6" w14:paraId="39B06C5B" w14:textId="77777777" w:rsidTr="00383C01">
        <w:trPr>
          <w:jc w:val="center"/>
        </w:trPr>
        <w:tc>
          <w:tcPr>
            <w:tcW w:w="3673" w:type="dxa"/>
            <w:vAlign w:val="center"/>
            <w:hideMark/>
          </w:tcPr>
          <w:p w14:paraId="4ED2D2FC"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configuration</w:t>
            </w:r>
          </w:p>
        </w:tc>
        <w:tc>
          <w:tcPr>
            <w:tcW w:w="5761" w:type="dxa"/>
            <w:vAlign w:val="center"/>
            <w:hideMark/>
          </w:tcPr>
          <w:p w14:paraId="08F4FD91"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256 </w:t>
            </w:r>
            <w:proofErr w:type="spellStart"/>
            <w:r w:rsidRPr="00435BF6">
              <w:rPr>
                <w:rFonts w:eastAsia="Times New Roman"/>
                <w:lang w:eastAsia="zh-CN"/>
              </w:rPr>
              <w:t>Tx</w:t>
            </w:r>
            <w:proofErr w:type="spellEnd"/>
            <w:r w:rsidRPr="00435BF6">
              <w:rPr>
                <w:rFonts w:eastAsia="Times New Roman"/>
                <w:lang w:eastAsia="zh-CN"/>
              </w:rPr>
              <w:t xml:space="preserve"> /Rx antenna elements, x-pol</w:t>
            </w:r>
          </w:p>
        </w:tc>
      </w:tr>
      <w:tr w:rsidR="003168BF" w:rsidRPr="00435BF6" w14:paraId="093710C0" w14:textId="77777777" w:rsidTr="00383C01">
        <w:trPr>
          <w:jc w:val="center"/>
        </w:trPr>
        <w:tc>
          <w:tcPr>
            <w:tcW w:w="3673" w:type="dxa"/>
            <w:vAlign w:val="center"/>
            <w:hideMark/>
          </w:tcPr>
          <w:p w14:paraId="4039C03E"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pattern</w:t>
            </w:r>
          </w:p>
        </w:tc>
        <w:tc>
          <w:tcPr>
            <w:tcW w:w="5761" w:type="dxa"/>
            <w:vAlign w:val="center"/>
            <w:hideMark/>
          </w:tcPr>
          <w:p w14:paraId="0290D48F"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Follow the modeling of TR36.873</w:t>
            </w:r>
          </w:p>
        </w:tc>
      </w:tr>
      <w:tr w:rsidR="003168BF" w:rsidRPr="00435BF6" w14:paraId="0380C318" w14:textId="77777777" w:rsidTr="00383C01">
        <w:trPr>
          <w:jc w:val="center"/>
        </w:trPr>
        <w:tc>
          <w:tcPr>
            <w:tcW w:w="3673" w:type="dxa"/>
            <w:vAlign w:val="center"/>
            <w:hideMark/>
          </w:tcPr>
          <w:p w14:paraId="208A3BF8"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BS antenna height </w:t>
            </w:r>
          </w:p>
        </w:tc>
        <w:tc>
          <w:tcPr>
            <w:tcW w:w="5761" w:type="dxa"/>
            <w:vAlign w:val="center"/>
            <w:hideMark/>
          </w:tcPr>
          <w:p w14:paraId="722B55A0"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25 m </w:t>
            </w:r>
          </w:p>
        </w:tc>
      </w:tr>
      <w:tr w:rsidR="003168BF" w:rsidRPr="00435BF6" w14:paraId="157AFF98" w14:textId="77777777" w:rsidTr="00383C01">
        <w:trPr>
          <w:jc w:val="center"/>
        </w:trPr>
        <w:tc>
          <w:tcPr>
            <w:tcW w:w="3673" w:type="dxa"/>
            <w:vAlign w:val="center"/>
            <w:hideMark/>
          </w:tcPr>
          <w:p w14:paraId="7DC9110F"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element gain + connector loss</w:t>
            </w:r>
          </w:p>
        </w:tc>
        <w:tc>
          <w:tcPr>
            <w:tcW w:w="5761" w:type="dxa"/>
            <w:vAlign w:val="center"/>
            <w:hideMark/>
          </w:tcPr>
          <w:p w14:paraId="25A06622"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8 </w:t>
            </w:r>
            <w:proofErr w:type="spellStart"/>
            <w:r w:rsidRPr="00435BF6">
              <w:rPr>
                <w:rFonts w:eastAsia="Times New Roman"/>
                <w:lang w:eastAsia="zh-CN"/>
              </w:rPr>
              <w:t>dBi</w:t>
            </w:r>
            <w:proofErr w:type="spellEnd"/>
          </w:p>
        </w:tc>
      </w:tr>
      <w:tr w:rsidR="003168BF" w:rsidRPr="00435BF6" w14:paraId="33BB02F0" w14:textId="77777777" w:rsidTr="00383C01">
        <w:trPr>
          <w:jc w:val="center"/>
        </w:trPr>
        <w:tc>
          <w:tcPr>
            <w:tcW w:w="3673" w:type="dxa"/>
            <w:vAlign w:val="center"/>
            <w:hideMark/>
          </w:tcPr>
          <w:p w14:paraId="2AAC2A82"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receiver noise figure</w:t>
            </w:r>
          </w:p>
        </w:tc>
        <w:tc>
          <w:tcPr>
            <w:tcW w:w="5761" w:type="dxa"/>
            <w:vAlign w:val="center"/>
            <w:hideMark/>
          </w:tcPr>
          <w:p w14:paraId="29E79139"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5 dB</w:t>
            </w:r>
          </w:p>
        </w:tc>
      </w:tr>
      <w:tr w:rsidR="003168BF" w:rsidRPr="00435BF6" w14:paraId="01CCDBCD" w14:textId="77777777" w:rsidTr="00383C01">
        <w:trPr>
          <w:jc w:val="center"/>
        </w:trPr>
        <w:tc>
          <w:tcPr>
            <w:tcW w:w="3673" w:type="dxa"/>
            <w:vAlign w:val="center"/>
            <w:hideMark/>
          </w:tcPr>
          <w:p w14:paraId="286C72C0"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elements</w:t>
            </w:r>
          </w:p>
        </w:tc>
        <w:tc>
          <w:tcPr>
            <w:tcW w:w="5761" w:type="dxa"/>
            <w:vAlign w:val="center"/>
            <w:hideMark/>
          </w:tcPr>
          <w:p w14:paraId="637B071D"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4 </w:t>
            </w:r>
            <w:proofErr w:type="spellStart"/>
            <w:r w:rsidRPr="00435BF6">
              <w:rPr>
                <w:rFonts w:eastAsia="Times New Roman"/>
                <w:lang w:eastAsia="zh-CN"/>
              </w:rPr>
              <w:t>Tx</w:t>
            </w:r>
            <w:proofErr w:type="spellEnd"/>
            <w:r w:rsidRPr="00435BF6">
              <w:rPr>
                <w:rFonts w:eastAsia="Times New Roman"/>
                <w:lang w:eastAsia="zh-CN"/>
              </w:rPr>
              <w:t xml:space="preserve"> /Rx antenna elements </w:t>
            </w:r>
          </w:p>
        </w:tc>
      </w:tr>
      <w:tr w:rsidR="003168BF" w:rsidRPr="00435BF6" w14:paraId="244737CE" w14:textId="77777777" w:rsidTr="00383C01">
        <w:trPr>
          <w:jc w:val="center"/>
        </w:trPr>
        <w:tc>
          <w:tcPr>
            <w:tcW w:w="3673" w:type="dxa"/>
            <w:vAlign w:val="center"/>
            <w:hideMark/>
          </w:tcPr>
          <w:p w14:paraId="2B18E90B"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height</w:t>
            </w:r>
          </w:p>
        </w:tc>
        <w:tc>
          <w:tcPr>
            <w:tcW w:w="5761" w:type="dxa"/>
            <w:vAlign w:val="center"/>
            <w:hideMark/>
          </w:tcPr>
          <w:p w14:paraId="75B10CDC"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Proposal: Follow TR36.873 </w:t>
            </w:r>
          </w:p>
        </w:tc>
      </w:tr>
      <w:tr w:rsidR="003168BF" w:rsidRPr="00435BF6" w14:paraId="2B42DD79" w14:textId="77777777" w:rsidTr="00383C01">
        <w:trPr>
          <w:jc w:val="center"/>
        </w:trPr>
        <w:tc>
          <w:tcPr>
            <w:tcW w:w="3673" w:type="dxa"/>
            <w:vAlign w:val="center"/>
            <w:hideMark/>
          </w:tcPr>
          <w:p w14:paraId="5B349241"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gain</w:t>
            </w:r>
          </w:p>
        </w:tc>
        <w:tc>
          <w:tcPr>
            <w:tcW w:w="5761" w:type="dxa"/>
            <w:vAlign w:val="center"/>
            <w:hideMark/>
          </w:tcPr>
          <w:p w14:paraId="0ADBBF34"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Proposal: Follow the modeling of TR36.873</w:t>
            </w:r>
          </w:p>
        </w:tc>
      </w:tr>
      <w:tr w:rsidR="003168BF" w:rsidRPr="00435BF6" w14:paraId="6B86C7E4" w14:textId="77777777" w:rsidTr="00383C01">
        <w:trPr>
          <w:jc w:val="center"/>
        </w:trPr>
        <w:tc>
          <w:tcPr>
            <w:tcW w:w="3673" w:type="dxa"/>
            <w:vAlign w:val="center"/>
            <w:hideMark/>
          </w:tcPr>
          <w:p w14:paraId="3F372B8C"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 noise figure</w:t>
            </w:r>
          </w:p>
        </w:tc>
        <w:tc>
          <w:tcPr>
            <w:tcW w:w="5761" w:type="dxa"/>
            <w:vAlign w:val="center"/>
            <w:hideMark/>
          </w:tcPr>
          <w:p w14:paraId="428E635D"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9 dB</w:t>
            </w:r>
          </w:p>
        </w:tc>
      </w:tr>
      <w:tr w:rsidR="003168BF" w:rsidRPr="00435BF6" w14:paraId="3A194244" w14:textId="77777777" w:rsidTr="00383C01">
        <w:trPr>
          <w:jc w:val="center"/>
        </w:trPr>
        <w:tc>
          <w:tcPr>
            <w:tcW w:w="3673" w:type="dxa"/>
            <w:vAlign w:val="center"/>
            <w:hideMark/>
          </w:tcPr>
          <w:p w14:paraId="2CAF5F41"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distribution</w:t>
            </w:r>
          </w:p>
        </w:tc>
        <w:tc>
          <w:tcPr>
            <w:tcW w:w="5761" w:type="dxa"/>
            <w:vAlign w:val="center"/>
            <w:hideMark/>
          </w:tcPr>
          <w:p w14:paraId="5EE609F7"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80% indoor (3km/h), 20% outdoor (30km/h)</w:t>
            </w:r>
            <w:r w:rsidRPr="00435BF6">
              <w:rPr>
                <w:rFonts w:eastAsia="Times New Roman"/>
                <w:lang w:eastAsia="zh-CN"/>
              </w:rPr>
              <w:br/>
              <w:t>Uniform/macro TRP ([10] users per TRP for full buffer traffic)</w:t>
            </w:r>
          </w:p>
        </w:tc>
      </w:tr>
      <w:tr w:rsidR="003168BF" w:rsidRPr="00435BF6" w14:paraId="651B7E38" w14:textId="77777777" w:rsidTr="00383C01">
        <w:trPr>
          <w:jc w:val="center"/>
        </w:trPr>
        <w:tc>
          <w:tcPr>
            <w:tcW w:w="3673" w:type="dxa"/>
            <w:vAlign w:val="center"/>
            <w:hideMark/>
          </w:tcPr>
          <w:p w14:paraId="760FF601"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w:t>
            </w:r>
          </w:p>
        </w:tc>
        <w:tc>
          <w:tcPr>
            <w:tcW w:w="5761" w:type="dxa"/>
            <w:vAlign w:val="center"/>
            <w:hideMark/>
          </w:tcPr>
          <w:p w14:paraId="5D5D7341"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MMSE-IRC as the baseline receiver</w:t>
            </w:r>
          </w:p>
        </w:tc>
      </w:tr>
      <w:tr w:rsidR="003168BF" w:rsidRPr="00435BF6" w14:paraId="718189E9" w14:textId="77777777" w:rsidTr="00383C01">
        <w:trPr>
          <w:jc w:val="center"/>
        </w:trPr>
        <w:tc>
          <w:tcPr>
            <w:tcW w:w="3673" w:type="dxa"/>
            <w:vAlign w:val="center"/>
            <w:hideMark/>
          </w:tcPr>
          <w:p w14:paraId="6AC622FA"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Feedback assumption</w:t>
            </w:r>
          </w:p>
        </w:tc>
        <w:tc>
          <w:tcPr>
            <w:tcW w:w="5761" w:type="dxa"/>
            <w:vAlign w:val="center"/>
            <w:hideMark/>
          </w:tcPr>
          <w:p w14:paraId="4E38BB98"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r w:rsidR="003168BF" w:rsidRPr="00435BF6" w14:paraId="282C1345" w14:textId="77777777" w:rsidTr="00383C01">
        <w:trPr>
          <w:jc w:val="center"/>
        </w:trPr>
        <w:tc>
          <w:tcPr>
            <w:tcW w:w="3673" w:type="dxa"/>
            <w:vAlign w:val="center"/>
            <w:hideMark/>
          </w:tcPr>
          <w:p w14:paraId="1194ABBB" w14:textId="77777777" w:rsidR="003168BF" w:rsidRPr="00033511" w:rsidRDefault="003168BF" w:rsidP="00383C0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estimation</w:t>
            </w:r>
          </w:p>
        </w:tc>
        <w:tc>
          <w:tcPr>
            <w:tcW w:w="5761" w:type="dxa"/>
            <w:vAlign w:val="center"/>
            <w:hideMark/>
          </w:tcPr>
          <w:p w14:paraId="0F8CD09F" w14:textId="77777777" w:rsidR="003168BF" w:rsidRPr="00435BF6" w:rsidRDefault="003168BF" w:rsidP="00383C0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bl>
    <w:p w14:paraId="6982AD5F" w14:textId="77777777" w:rsidR="003168BF" w:rsidRPr="003F2865" w:rsidRDefault="003168BF" w:rsidP="003F2865">
      <w:pPr>
        <w:rPr>
          <w:lang w:val="en-GB"/>
        </w:rPr>
      </w:pPr>
    </w:p>
    <w:sectPr w:rsidR="003168BF" w:rsidRPr="003F286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6B95B" w14:textId="77777777" w:rsidR="00F01000" w:rsidRDefault="00F01000">
      <w:r>
        <w:separator/>
      </w:r>
    </w:p>
  </w:endnote>
  <w:endnote w:type="continuationSeparator" w:id="0">
    <w:p w14:paraId="325933C5" w14:textId="77777777" w:rsidR="00F01000" w:rsidRDefault="00F01000">
      <w:r>
        <w:continuationSeparator/>
      </w:r>
    </w:p>
  </w:endnote>
  <w:endnote w:type="continuationNotice" w:id="1">
    <w:p w14:paraId="32FD58F2" w14:textId="77777777" w:rsidR="00F01000" w:rsidRDefault="00F010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383C01" w:rsidRDefault="00383C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383C01" w:rsidRDefault="00383C0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383C01" w:rsidRDefault="00383C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E33E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E33E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75A20" w14:textId="77777777" w:rsidR="00F01000" w:rsidRDefault="00F01000">
      <w:r>
        <w:separator/>
      </w:r>
    </w:p>
  </w:footnote>
  <w:footnote w:type="continuationSeparator" w:id="0">
    <w:p w14:paraId="3AD4E481" w14:textId="77777777" w:rsidR="00F01000" w:rsidRDefault="00F01000">
      <w:r>
        <w:continuationSeparator/>
      </w:r>
    </w:p>
  </w:footnote>
  <w:footnote w:type="continuationNotice" w:id="1">
    <w:p w14:paraId="37F09080" w14:textId="77777777" w:rsidR="00F01000" w:rsidRDefault="00F0100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383C01" w:rsidRDefault="00383C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6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1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7"/>
    <w:lvlOverride w:ilvl="0">
      <w:startOverride w:val="1"/>
    </w:lvlOverride>
  </w:num>
  <w:num w:numId="4">
    <w:abstractNumId w:val="10"/>
    <w:lvlOverride w:ilvl="0">
      <w:startOverride w:val="1"/>
    </w:lvlOverride>
  </w:num>
  <w:num w:numId="5">
    <w:abstractNumId w:val="5"/>
  </w:num>
  <w:num w:numId="6">
    <w:abstractNumId w:val="0"/>
  </w:num>
  <w:num w:numId="7">
    <w:abstractNumId w:val="11"/>
  </w:num>
  <w:num w:numId="8">
    <w:abstractNumId w:val="2"/>
  </w:num>
  <w:num w:numId="9">
    <w:abstractNumId w:val="3"/>
  </w:num>
  <w:num w:numId="10">
    <w:abstractNumId w:val="9"/>
  </w:num>
  <w:num w:numId="11">
    <w:abstractNumId w:val="1"/>
  </w:num>
  <w:num w:numId="1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59E"/>
    <w:rsid w:val="00004885"/>
    <w:rsid w:val="00004D8C"/>
    <w:rsid w:val="00004DCB"/>
    <w:rsid w:val="000051F0"/>
    <w:rsid w:val="0000553B"/>
    <w:rsid w:val="0000567F"/>
    <w:rsid w:val="000063BC"/>
    <w:rsid w:val="0000652B"/>
    <w:rsid w:val="00006780"/>
    <w:rsid w:val="00006C7A"/>
    <w:rsid w:val="00007495"/>
    <w:rsid w:val="0000792C"/>
    <w:rsid w:val="00007B4B"/>
    <w:rsid w:val="000101EF"/>
    <w:rsid w:val="00010E97"/>
    <w:rsid w:val="00010FD1"/>
    <w:rsid w:val="0001117C"/>
    <w:rsid w:val="00012083"/>
    <w:rsid w:val="000124D1"/>
    <w:rsid w:val="00012D57"/>
    <w:rsid w:val="0001321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C1B"/>
    <w:rsid w:val="00054DAB"/>
    <w:rsid w:val="0005504C"/>
    <w:rsid w:val="00055873"/>
    <w:rsid w:val="00055B5A"/>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AFB"/>
    <w:rsid w:val="000E4C9B"/>
    <w:rsid w:val="000E4D01"/>
    <w:rsid w:val="000E5830"/>
    <w:rsid w:val="000E5C4E"/>
    <w:rsid w:val="000E5CA5"/>
    <w:rsid w:val="000E5E3A"/>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6B29"/>
    <w:rsid w:val="00137280"/>
    <w:rsid w:val="00137288"/>
    <w:rsid w:val="00137480"/>
    <w:rsid w:val="001375B9"/>
    <w:rsid w:val="001376F7"/>
    <w:rsid w:val="00140608"/>
    <w:rsid w:val="0014073C"/>
    <w:rsid w:val="00140762"/>
    <w:rsid w:val="00140825"/>
    <w:rsid w:val="0014086C"/>
    <w:rsid w:val="00140E5E"/>
    <w:rsid w:val="00140FE4"/>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38"/>
    <w:rsid w:val="00174DDB"/>
    <w:rsid w:val="00175009"/>
    <w:rsid w:val="00175143"/>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40"/>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730"/>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A75"/>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7F"/>
    <w:rsid w:val="0024785A"/>
    <w:rsid w:val="00247C92"/>
    <w:rsid w:val="00247DD1"/>
    <w:rsid w:val="002506F5"/>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83D"/>
    <w:rsid w:val="002B2C92"/>
    <w:rsid w:val="002B3081"/>
    <w:rsid w:val="002B318B"/>
    <w:rsid w:val="002B32BC"/>
    <w:rsid w:val="002B340B"/>
    <w:rsid w:val="002B34AE"/>
    <w:rsid w:val="002B3D90"/>
    <w:rsid w:val="002B3FB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7DC"/>
    <w:rsid w:val="00314CBB"/>
    <w:rsid w:val="0031599D"/>
    <w:rsid w:val="00316064"/>
    <w:rsid w:val="00316420"/>
    <w:rsid w:val="003168BF"/>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44B"/>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C01"/>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2C5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9CB"/>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20F"/>
    <w:rsid w:val="004B45A2"/>
    <w:rsid w:val="004B46C3"/>
    <w:rsid w:val="004B4789"/>
    <w:rsid w:val="004B4A0F"/>
    <w:rsid w:val="004B4B71"/>
    <w:rsid w:val="004B4F6B"/>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AC"/>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63D"/>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698"/>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0A"/>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11F"/>
    <w:rsid w:val="0058259D"/>
    <w:rsid w:val="005829CC"/>
    <w:rsid w:val="00582E3D"/>
    <w:rsid w:val="00583147"/>
    <w:rsid w:val="005836D0"/>
    <w:rsid w:val="00583DEF"/>
    <w:rsid w:val="00583E78"/>
    <w:rsid w:val="00584496"/>
    <w:rsid w:val="00584F09"/>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07C"/>
    <w:rsid w:val="005D7539"/>
    <w:rsid w:val="005D7E04"/>
    <w:rsid w:val="005E0082"/>
    <w:rsid w:val="005E06E1"/>
    <w:rsid w:val="005E0899"/>
    <w:rsid w:val="005E0E2A"/>
    <w:rsid w:val="005E1393"/>
    <w:rsid w:val="005E1411"/>
    <w:rsid w:val="005E3035"/>
    <w:rsid w:val="005E33E3"/>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410"/>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760"/>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621"/>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A99"/>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91E"/>
    <w:rsid w:val="006F3052"/>
    <w:rsid w:val="006F314D"/>
    <w:rsid w:val="006F34DC"/>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874"/>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CEF"/>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3C33"/>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10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5E"/>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0C9"/>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0C06"/>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25"/>
    <w:rsid w:val="008F595E"/>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F20"/>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392"/>
    <w:rsid w:val="00942BB8"/>
    <w:rsid w:val="00942E21"/>
    <w:rsid w:val="00942EF9"/>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30C"/>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6D"/>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6D"/>
    <w:rsid w:val="009B5821"/>
    <w:rsid w:val="009B70E9"/>
    <w:rsid w:val="009B7564"/>
    <w:rsid w:val="009B7BB7"/>
    <w:rsid w:val="009B7EB2"/>
    <w:rsid w:val="009B7FFA"/>
    <w:rsid w:val="009C00EF"/>
    <w:rsid w:val="009C0946"/>
    <w:rsid w:val="009C0BC1"/>
    <w:rsid w:val="009C0DBE"/>
    <w:rsid w:val="009C19BC"/>
    <w:rsid w:val="009C19D2"/>
    <w:rsid w:val="009C1D4B"/>
    <w:rsid w:val="009C1E0C"/>
    <w:rsid w:val="009C281C"/>
    <w:rsid w:val="009C2AB0"/>
    <w:rsid w:val="009C32C6"/>
    <w:rsid w:val="009C3D88"/>
    <w:rsid w:val="009C42A3"/>
    <w:rsid w:val="009C4894"/>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6C"/>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59C"/>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EA1"/>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D"/>
    <w:rsid w:val="00A50B00"/>
    <w:rsid w:val="00A50D49"/>
    <w:rsid w:val="00A511FB"/>
    <w:rsid w:val="00A514EB"/>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0B0A"/>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462"/>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AF7F52"/>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4D4"/>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01D"/>
    <w:rsid w:val="00CA2919"/>
    <w:rsid w:val="00CA2C56"/>
    <w:rsid w:val="00CA2F7A"/>
    <w:rsid w:val="00CA35F0"/>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0FFC"/>
    <w:rsid w:val="00D017EE"/>
    <w:rsid w:val="00D01ADC"/>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04A"/>
    <w:rsid w:val="00D512D1"/>
    <w:rsid w:val="00D5132F"/>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9A"/>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515"/>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977"/>
    <w:rsid w:val="00E06AF4"/>
    <w:rsid w:val="00E0722D"/>
    <w:rsid w:val="00E073C8"/>
    <w:rsid w:val="00E075B8"/>
    <w:rsid w:val="00E07686"/>
    <w:rsid w:val="00E07E45"/>
    <w:rsid w:val="00E1007C"/>
    <w:rsid w:val="00E101F9"/>
    <w:rsid w:val="00E102BD"/>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ADE"/>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5C5"/>
    <w:rsid w:val="00E50732"/>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00"/>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065"/>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2E2"/>
    <w:rsid w:val="00FB0443"/>
    <w:rsid w:val="00FB0540"/>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5F2E"/>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HR33RHYHUWRF-4-790</_dlc_DocId>
    <_dlc_DocIdUrl xmlns="c06861ca-3f08-4d07-bff7-bb15bac121f4">
      <Url>https://projects.qualcomm.com/sites/pentari/_layouts/15/DocIdRedir.aspx?ID=HR33RHYHUWRF-4-790</Url>
      <Description>HR33RHYHUWRF-4-790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344381BF-5DA8-4359-977A-D32704EAE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14966</TotalTime>
  <Pages>5</Pages>
  <Words>1937</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Zhang, Yu</cp:lastModifiedBy>
  <cp:revision>373</cp:revision>
  <cp:lastPrinted>2017-01-02T07:16:00Z</cp:lastPrinted>
  <dcterms:created xsi:type="dcterms:W3CDTF">2015-04-02T06:13:00Z</dcterms:created>
  <dcterms:modified xsi:type="dcterms:W3CDTF">2017-02-07T06:36:00Z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6a145cea-00b1-4ccc-a4d2-3a824f1d8f47</vt:lpwstr>
  </property>
</Properties>
</file>