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A0CC4" w14:textId="365DB7E6" w:rsidR="00407725" w:rsidRPr="00446F9D" w:rsidRDefault="00407725" w:rsidP="00407725">
      <w:pPr>
        <w:pStyle w:val="Header"/>
        <w:tabs>
          <w:tab w:val="clear" w:pos="4536"/>
        </w:tabs>
        <w:rPr>
          <w:i/>
        </w:rPr>
      </w:pPr>
      <w:r w:rsidRPr="005C575B">
        <w:t>3GPP TSG RAN WG1</w:t>
      </w:r>
      <w:r w:rsidRPr="00446F9D">
        <w:tab/>
      </w:r>
      <w:r w:rsidR="00EC732A">
        <w:t>R1-1701868</w:t>
      </w:r>
    </w:p>
    <w:p w14:paraId="288C0066" w14:textId="55C9D196" w:rsidR="00F618ED" w:rsidRDefault="00EC732A" w:rsidP="00407725">
      <w:pPr>
        <w:pStyle w:val="Header"/>
      </w:pPr>
      <w:r>
        <w:t>Athens</w:t>
      </w:r>
      <w:r w:rsidR="00407725" w:rsidRPr="00630F42">
        <w:t xml:space="preserve">, </w:t>
      </w:r>
      <w:r>
        <w:t>Greece</w:t>
      </w:r>
      <w:r w:rsidR="00407725" w:rsidRPr="000833FA">
        <w:t>,</w:t>
      </w:r>
      <w:r w:rsidR="00407725">
        <w:t xml:space="preserve"> </w:t>
      </w:r>
      <w:r w:rsidRPr="00EC732A">
        <w:t>13th- 17th February 2017</w:t>
      </w:r>
    </w:p>
    <w:p w14:paraId="2FC65921" w14:textId="77777777" w:rsidR="00407725" w:rsidRPr="000833FA" w:rsidRDefault="00407725" w:rsidP="00407725">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1D8E75B1" w:rsidR="00F618ED" w:rsidRPr="00E220C0" w:rsidRDefault="00F618ED" w:rsidP="00F618ED">
      <w:pPr>
        <w:pStyle w:val="Header"/>
        <w:tabs>
          <w:tab w:val="clear" w:pos="4536"/>
          <w:tab w:val="left" w:pos="1800"/>
        </w:tabs>
      </w:pPr>
      <w:r w:rsidRPr="0003368D">
        <w:t>Title:</w:t>
      </w:r>
      <w:bookmarkStart w:id="0" w:name="Title"/>
      <w:bookmarkEnd w:id="0"/>
      <w:r w:rsidRPr="0003368D">
        <w:tab/>
      </w:r>
      <w:r w:rsidR="00EC732A" w:rsidRPr="00EC732A">
        <w:t>On wider bandwidth operations</w:t>
      </w:r>
    </w:p>
    <w:p w14:paraId="0DB675C4" w14:textId="3A6DCB97" w:rsidR="00F618ED" w:rsidRPr="00E220C0" w:rsidRDefault="00F618ED" w:rsidP="00F618ED">
      <w:pPr>
        <w:pStyle w:val="Header"/>
        <w:tabs>
          <w:tab w:val="left" w:pos="1800"/>
        </w:tabs>
      </w:pPr>
      <w:r w:rsidRPr="00E220C0">
        <w:t>Agenda Item:</w:t>
      </w:r>
      <w:bookmarkStart w:id="1" w:name="Source"/>
      <w:bookmarkEnd w:id="1"/>
      <w:r w:rsidRPr="00E220C0">
        <w:tab/>
      </w:r>
      <w:r w:rsidR="00EC732A" w:rsidRPr="00EC732A">
        <w:t>8.1.7</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50CA01C4" w:rsidR="00F618ED" w:rsidRDefault="00F618ED" w:rsidP="00F618ED">
      <w:pPr>
        <w:pStyle w:val="Heading1"/>
        <w:spacing w:before="180"/>
        <w:ind w:left="562" w:hanging="562"/>
      </w:pPr>
      <w:r>
        <w:t>Introduction</w:t>
      </w:r>
    </w:p>
    <w:p w14:paraId="6C4198EF" w14:textId="4779AEA3" w:rsidR="00EC732A" w:rsidRDefault="00EC732A" w:rsidP="00EC732A">
      <w:pPr>
        <w:pStyle w:val="BodyText"/>
      </w:pPr>
      <w:r>
        <w:t xml:space="preserve">At the last RAN1 meeting the following was agreed: </w:t>
      </w:r>
    </w:p>
    <w:p w14:paraId="0E881A21" w14:textId="77777777" w:rsidR="00EC732A" w:rsidRPr="00BB01BE" w:rsidRDefault="00EC732A" w:rsidP="00EC732A">
      <w:pPr>
        <w:rPr>
          <w:rFonts w:eastAsia="MS Mincho"/>
          <w:b/>
          <w:u w:val="single"/>
          <w:lang w:eastAsia="ja-JP"/>
        </w:rPr>
      </w:pPr>
      <w:r w:rsidRPr="00CE3282">
        <w:rPr>
          <w:rFonts w:eastAsia="MS Mincho" w:hint="eastAsia"/>
          <w:b/>
          <w:highlight w:val="green"/>
          <w:u w:val="single"/>
          <w:lang w:eastAsia="ja-JP"/>
        </w:rPr>
        <w:t>Agreements:</w:t>
      </w:r>
    </w:p>
    <w:p w14:paraId="165F2A93" w14:textId="77777777" w:rsidR="00EC732A" w:rsidRPr="00E74199" w:rsidRDefault="00EC732A" w:rsidP="00EC732A">
      <w:pPr>
        <w:numPr>
          <w:ilvl w:val="0"/>
          <w:numId w:val="31"/>
        </w:numPr>
        <w:rPr>
          <w:rFonts w:eastAsia="MS Mincho"/>
          <w:lang w:eastAsia="ja-JP"/>
        </w:rPr>
      </w:pPr>
      <w:r w:rsidRPr="00533D83">
        <w:rPr>
          <w:rFonts w:eastAsia="MS Mincho" w:hint="eastAsia"/>
          <w:lang w:eastAsia="ja-JP"/>
        </w:rPr>
        <w:t xml:space="preserve">From RAN1 specification perspective, maximum </w:t>
      </w:r>
      <w:r>
        <w:rPr>
          <w:rFonts w:eastAsia="MS Mincho"/>
          <w:lang w:eastAsia="ja-JP"/>
        </w:rPr>
        <w:t xml:space="preserve">channel </w:t>
      </w:r>
      <w:r w:rsidRPr="00533D83">
        <w:rPr>
          <w:rFonts w:eastAsia="MS Mincho" w:hint="eastAsia"/>
          <w:lang w:eastAsia="ja-JP"/>
        </w:rPr>
        <w:t>bandwidth per NR carr</w:t>
      </w:r>
      <w:r w:rsidRPr="00E74199">
        <w:rPr>
          <w:rFonts w:eastAsia="MS Mincho" w:hint="eastAsia"/>
          <w:lang w:eastAsia="ja-JP"/>
        </w:rPr>
        <w:t>ier is [400, 800</w:t>
      </w:r>
      <w:r w:rsidRPr="00E74199">
        <w:rPr>
          <w:rFonts w:eastAsia="MS Mincho"/>
          <w:lang w:eastAsia="ja-JP"/>
        </w:rPr>
        <w:t>, 1000</w:t>
      </w:r>
      <w:r w:rsidRPr="00E74199">
        <w:rPr>
          <w:rFonts w:eastAsia="MS Mincho" w:hint="eastAsia"/>
          <w:lang w:eastAsia="ja-JP"/>
        </w:rPr>
        <w:t>] MHz in Rel-15</w:t>
      </w:r>
    </w:p>
    <w:p w14:paraId="5BF100EC" w14:textId="77777777" w:rsidR="00EC732A" w:rsidRPr="00E74199" w:rsidRDefault="00EC732A" w:rsidP="00EC732A">
      <w:pPr>
        <w:numPr>
          <w:ilvl w:val="1"/>
          <w:numId w:val="31"/>
        </w:numPr>
        <w:rPr>
          <w:rFonts w:eastAsia="MS Mincho"/>
          <w:lang w:eastAsia="ja-JP"/>
        </w:rPr>
      </w:pPr>
      <w:r w:rsidRPr="00E74199">
        <w:rPr>
          <w:rFonts w:eastAsia="MS Mincho" w:hint="eastAsia"/>
          <w:lang w:eastAsia="ja-JP"/>
        </w:rPr>
        <w:t>RAN1 recommends RAN4 to consider at least 100 MHz maximum channel bandwidth per NR carrier in Rel-15 considering carrier frequency bands</w:t>
      </w:r>
    </w:p>
    <w:p w14:paraId="47BD4E6D" w14:textId="77777777" w:rsidR="00EC732A" w:rsidRPr="00E74199" w:rsidRDefault="00EC732A" w:rsidP="00EC732A">
      <w:pPr>
        <w:numPr>
          <w:ilvl w:val="2"/>
          <w:numId w:val="31"/>
        </w:numPr>
        <w:rPr>
          <w:rFonts w:eastAsia="MS Mincho"/>
          <w:lang w:eastAsia="ja-JP"/>
        </w:rPr>
      </w:pPr>
      <w:r w:rsidRPr="00E74199">
        <w:rPr>
          <w:rFonts w:eastAsia="MS Mincho" w:hint="eastAsia"/>
          <w:lang w:eastAsia="ja-JP"/>
        </w:rPr>
        <w:t>RAN1 asks the feasibility of at least followings</w:t>
      </w:r>
    </w:p>
    <w:p w14:paraId="44768CA1" w14:textId="77777777" w:rsidR="00EC732A" w:rsidRPr="00E74199" w:rsidRDefault="00EC732A" w:rsidP="00EC732A">
      <w:pPr>
        <w:numPr>
          <w:ilvl w:val="3"/>
          <w:numId w:val="31"/>
        </w:numPr>
        <w:rPr>
          <w:rFonts w:eastAsia="MS Mincho"/>
          <w:lang w:eastAsia="ja-JP"/>
        </w:rPr>
      </w:pPr>
      <w:r w:rsidRPr="00E74199">
        <w:rPr>
          <w:rFonts w:eastAsia="MS Mincho" w:hint="eastAsia"/>
          <w:lang w:eastAsia="ja-JP"/>
        </w:rPr>
        <w:t>For sub-6 GHz, 100 MHz is considered and for above-6 GHz, wider than 100 MHz is considered</w:t>
      </w:r>
    </w:p>
    <w:p w14:paraId="12FDDEF2" w14:textId="77777777" w:rsidR="00EC732A" w:rsidRPr="00E74199" w:rsidRDefault="00EC732A" w:rsidP="00EC732A">
      <w:pPr>
        <w:numPr>
          <w:ilvl w:val="3"/>
          <w:numId w:val="31"/>
        </w:numPr>
        <w:rPr>
          <w:rFonts w:eastAsia="MS Mincho"/>
          <w:lang w:eastAsia="ja-JP"/>
        </w:rPr>
      </w:pPr>
      <w:r w:rsidRPr="00E74199">
        <w:rPr>
          <w:rFonts w:eastAsia="MS Mincho" w:hint="eastAsia"/>
          <w:lang w:eastAsia="ja-JP"/>
        </w:rPr>
        <w:t>Other cases can be considered by RAN4, e.g., 40 MHz, 200 MHz</w:t>
      </w:r>
    </w:p>
    <w:p w14:paraId="305EB751" w14:textId="77777777" w:rsidR="00EC732A" w:rsidRPr="00E74199" w:rsidRDefault="00EC732A" w:rsidP="00EC732A">
      <w:pPr>
        <w:numPr>
          <w:ilvl w:val="1"/>
          <w:numId w:val="31"/>
        </w:numPr>
        <w:rPr>
          <w:rFonts w:eastAsia="MS Mincho"/>
          <w:lang w:eastAsia="ja-JP"/>
        </w:rPr>
      </w:pPr>
      <w:r w:rsidRPr="00E74199">
        <w:rPr>
          <w:rFonts w:eastAsia="MS Mincho" w:hint="eastAsia"/>
          <w:lang w:eastAsia="ja-JP"/>
        </w:rPr>
        <w:t xml:space="preserve">Note that RAN1 will specify all details for </w:t>
      </w:r>
      <w:r w:rsidRPr="00E74199">
        <w:rPr>
          <w:rFonts w:eastAsia="MS Mincho"/>
          <w:lang w:eastAsia="ja-JP"/>
        </w:rPr>
        <w:t xml:space="preserve">channel </w:t>
      </w:r>
      <w:r w:rsidRPr="00E74199">
        <w:rPr>
          <w:rFonts w:eastAsia="MS Mincho" w:hint="eastAsia"/>
          <w:lang w:eastAsia="ja-JP"/>
        </w:rPr>
        <w:t>bandwidth at least up to 100 MHz per NR carrier in Rel-15</w:t>
      </w:r>
    </w:p>
    <w:p w14:paraId="3CAB6A41" w14:textId="77777777" w:rsidR="00EC732A" w:rsidRPr="00E74199" w:rsidRDefault="00EC732A" w:rsidP="00EC732A">
      <w:pPr>
        <w:numPr>
          <w:ilvl w:val="1"/>
          <w:numId w:val="31"/>
        </w:numPr>
        <w:rPr>
          <w:rFonts w:eastAsia="MS Mincho"/>
          <w:lang w:eastAsia="ja-JP"/>
        </w:rPr>
      </w:pPr>
      <w:r w:rsidRPr="00E74199">
        <w:rPr>
          <w:rFonts w:eastAsia="MS Mincho" w:hint="eastAsia"/>
          <w:lang w:eastAsia="ja-JP"/>
        </w:rPr>
        <w:t xml:space="preserve">Also note that RAN1 will </w:t>
      </w:r>
      <w:r w:rsidRPr="00E74199">
        <w:rPr>
          <w:rFonts w:eastAsia="MS Mincho"/>
          <w:lang w:eastAsia="ja-JP"/>
        </w:rPr>
        <w:t xml:space="preserve">consider </w:t>
      </w:r>
      <w:r w:rsidRPr="00E74199">
        <w:rPr>
          <w:rFonts w:eastAsia="MS Mincho" w:hint="eastAsia"/>
          <w:lang w:eastAsia="ja-JP"/>
        </w:rPr>
        <w:t>scalable design</w:t>
      </w:r>
      <w:r w:rsidRPr="00E74199">
        <w:rPr>
          <w:rFonts w:eastAsia="MS Mincho"/>
          <w:lang w:eastAsia="ja-JP"/>
        </w:rPr>
        <w:t>(s)</w:t>
      </w:r>
      <w:r w:rsidRPr="00E74199">
        <w:rPr>
          <w:rFonts w:eastAsia="MS Mincho" w:hint="eastAsia"/>
          <w:lang w:eastAsia="ja-JP"/>
        </w:rPr>
        <w:t xml:space="preserve"> </w:t>
      </w:r>
      <w:r w:rsidRPr="00E74199">
        <w:rPr>
          <w:rFonts w:eastAsia="MS Mincho"/>
          <w:lang w:eastAsia="ja-JP"/>
        </w:rPr>
        <w:t xml:space="preserve">for </w:t>
      </w:r>
      <w:r w:rsidRPr="00E74199">
        <w:rPr>
          <w:rFonts w:eastAsia="MS Mincho" w:hint="eastAsia"/>
          <w:lang w:eastAsia="ja-JP"/>
        </w:rPr>
        <w:t xml:space="preserve">up to maximum </w:t>
      </w:r>
      <w:r w:rsidRPr="00E74199">
        <w:rPr>
          <w:rFonts w:eastAsia="MS Mincho"/>
          <w:lang w:eastAsia="ja-JP"/>
        </w:rPr>
        <w:t xml:space="preserve">channel </w:t>
      </w:r>
      <w:r w:rsidRPr="00E74199">
        <w:rPr>
          <w:rFonts w:eastAsia="MS Mincho" w:hint="eastAsia"/>
          <w:lang w:eastAsia="ja-JP"/>
        </w:rPr>
        <w:t>bandwidth</w:t>
      </w:r>
      <w:r w:rsidRPr="00E74199">
        <w:rPr>
          <w:rFonts w:eastAsia="MS Mincho"/>
          <w:lang w:eastAsia="ja-JP"/>
        </w:rPr>
        <w:t xml:space="preserve"> per NR carrier</w:t>
      </w:r>
    </w:p>
    <w:p w14:paraId="17181290" w14:textId="77777777" w:rsidR="00EC732A" w:rsidRPr="00E74199" w:rsidRDefault="00EC732A" w:rsidP="00EC732A">
      <w:pPr>
        <w:numPr>
          <w:ilvl w:val="0"/>
          <w:numId w:val="31"/>
        </w:numPr>
        <w:rPr>
          <w:rFonts w:eastAsia="MS Mincho"/>
          <w:lang w:eastAsia="ja-JP"/>
        </w:rPr>
      </w:pPr>
      <w:r w:rsidRPr="00E74199">
        <w:rPr>
          <w:rFonts w:eastAsia="MS Mincho"/>
          <w:lang w:eastAsia="ja-JP"/>
        </w:rPr>
        <w:t xml:space="preserve">From RAN1 specification perspective, the maximum number of NR carriers for CA and DC </w:t>
      </w:r>
      <w:r w:rsidRPr="00E74199">
        <w:rPr>
          <w:rFonts w:eastAsia="MS Mincho" w:hint="eastAsia"/>
          <w:lang w:eastAsia="ja-JP"/>
        </w:rPr>
        <w:t xml:space="preserve">is </w:t>
      </w:r>
      <w:r w:rsidRPr="00E74199">
        <w:rPr>
          <w:rFonts w:eastAsia="MS Mincho"/>
          <w:lang w:eastAsia="ja-JP"/>
        </w:rPr>
        <w:t>[</w:t>
      </w:r>
      <w:r w:rsidRPr="00E74199">
        <w:rPr>
          <w:rFonts w:eastAsia="MS Mincho" w:hint="eastAsia"/>
          <w:lang w:eastAsia="ja-JP"/>
        </w:rPr>
        <w:t>8</w:t>
      </w:r>
      <w:r w:rsidRPr="00E74199">
        <w:rPr>
          <w:rFonts w:eastAsia="MS Mincho"/>
          <w:lang w:eastAsia="ja-JP"/>
        </w:rPr>
        <w:t>, 16, 32]</w:t>
      </w:r>
    </w:p>
    <w:p w14:paraId="118CD4B7" w14:textId="77777777" w:rsidR="00EC732A" w:rsidRPr="00E74199" w:rsidRDefault="00EC732A" w:rsidP="00EC732A">
      <w:pPr>
        <w:numPr>
          <w:ilvl w:val="1"/>
          <w:numId w:val="31"/>
        </w:numPr>
        <w:rPr>
          <w:rFonts w:eastAsia="MS Mincho"/>
          <w:lang w:eastAsia="ja-JP"/>
        </w:rPr>
      </w:pPr>
    </w:p>
    <w:p w14:paraId="62C91F02" w14:textId="77777777" w:rsidR="00EC732A" w:rsidRPr="00E74199" w:rsidRDefault="00EC732A" w:rsidP="00EC732A">
      <w:pPr>
        <w:numPr>
          <w:ilvl w:val="0"/>
          <w:numId w:val="31"/>
        </w:numPr>
        <w:rPr>
          <w:rFonts w:eastAsia="MS Mincho"/>
          <w:lang w:eastAsia="ja-JP"/>
        </w:rPr>
      </w:pPr>
      <w:r w:rsidRPr="00E74199">
        <w:rPr>
          <w:rFonts w:eastAsia="MS Mincho"/>
          <w:lang w:eastAsia="ja-JP"/>
        </w:rPr>
        <w:t xml:space="preserve">The maximum </w:t>
      </w:r>
      <w:r w:rsidRPr="00E74199">
        <w:rPr>
          <w:rFonts w:eastAsia="MS Mincho" w:hint="eastAsia"/>
          <w:lang w:eastAsia="ja-JP"/>
        </w:rPr>
        <w:t>FFT size is not larger than [8192, 4096</w:t>
      </w:r>
      <w:r w:rsidRPr="00E74199">
        <w:rPr>
          <w:rFonts w:eastAsia="MS Mincho"/>
          <w:lang w:eastAsia="ja-JP"/>
        </w:rPr>
        <w:t>, 2048</w:t>
      </w:r>
      <w:r w:rsidRPr="00E74199">
        <w:rPr>
          <w:rFonts w:eastAsia="MS Mincho" w:hint="eastAsia"/>
          <w:lang w:eastAsia="ja-JP"/>
        </w:rPr>
        <w:t>]</w:t>
      </w:r>
    </w:p>
    <w:p w14:paraId="58B78836" w14:textId="77777777" w:rsidR="00EC732A" w:rsidRDefault="00EC732A" w:rsidP="00EC732A">
      <w:pPr>
        <w:rPr>
          <w:rFonts w:eastAsia="MS Mincho"/>
          <w:b/>
          <w:highlight w:val="green"/>
          <w:u w:val="single"/>
          <w:lang w:eastAsia="ja-JP"/>
        </w:rPr>
      </w:pPr>
    </w:p>
    <w:p w14:paraId="13F15C75" w14:textId="77777777" w:rsidR="00EC732A" w:rsidRPr="00B118A4" w:rsidRDefault="00EC732A" w:rsidP="00EC732A">
      <w:pPr>
        <w:rPr>
          <w:rFonts w:eastAsia="MS Mincho"/>
          <w:b/>
          <w:u w:val="single"/>
          <w:lang w:eastAsia="ja-JP"/>
        </w:rPr>
      </w:pPr>
      <w:r w:rsidRPr="001B2F7E">
        <w:rPr>
          <w:rFonts w:eastAsia="MS Mincho" w:hint="eastAsia"/>
          <w:b/>
          <w:highlight w:val="green"/>
          <w:u w:val="single"/>
          <w:lang w:eastAsia="ja-JP"/>
        </w:rPr>
        <w:t>Agreements:</w:t>
      </w:r>
    </w:p>
    <w:p w14:paraId="2D74AA01" w14:textId="77777777" w:rsidR="00EC732A" w:rsidRPr="00B118A4" w:rsidRDefault="00EC732A" w:rsidP="00EC732A">
      <w:pPr>
        <w:numPr>
          <w:ilvl w:val="0"/>
          <w:numId w:val="32"/>
        </w:numPr>
        <w:rPr>
          <w:rFonts w:eastAsia="MS Mincho"/>
          <w:lang w:eastAsia="ja-JP"/>
        </w:rPr>
      </w:pPr>
      <w:r>
        <w:rPr>
          <w:rFonts w:eastAsia="MS Mincho"/>
          <w:lang w:eastAsia="ja-JP"/>
        </w:rPr>
        <w:t>If</w:t>
      </w:r>
      <w:r>
        <w:rPr>
          <w:rFonts w:eastAsia="MS Mincho" w:hint="eastAsia"/>
          <w:lang w:eastAsia="ja-JP"/>
        </w:rPr>
        <w:t xml:space="preserve"> it is</w:t>
      </w:r>
      <w:r>
        <w:rPr>
          <w:rFonts w:eastAsia="MS Mincho"/>
          <w:lang w:eastAsia="ja-JP"/>
        </w:rPr>
        <w:t xml:space="preserve"> </w:t>
      </w:r>
      <w:r>
        <w:rPr>
          <w:rFonts w:eastAsia="MS Mincho" w:hint="eastAsia"/>
          <w:lang w:eastAsia="ja-JP"/>
        </w:rPr>
        <w:t xml:space="preserve">decided </w:t>
      </w:r>
      <w:r>
        <w:rPr>
          <w:rFonts w:eastAsia="MS Mincho"/>
          <w:lang w:eastAsia="ja-JP"/>
        </w:rPr>
        <w:t>that</w:t>
      </w:r>
      <w:r>
        <w:rPr>
          <w:rFonts w:eastAsia="MS Mincho" w:hint="eastAsia"/>
          <w:lang w:eastAsia="ja-JP"/>
        </w:rPr>
        <w:t xml:space="preserve"> maximum CC BW is greater than or equal to 400 MHz and smaller than or equal to 1000</w:t>
      </w:r>
      <w:r w:rsidRPr="00B118A4">
        <w:rPr>
          <w:rFonts w:eastAsia="MS Mincho"/>
          <w:lang w:eastAsia="ja-JP"/>
        </w:rPr>
        <w:t>MHz</w:t>
      </w:r>
    </w:p>
    <w:p w14:paraId="6FAAB65C" w14:textId="77777777" w:rsidR="00EC732A" w:rsidRPr="003E4A9E" w:rsidRDefault="00EC732A" w:rsidP="00EC732A">
      <w:pPr>
        <w:numPr>
          <w:ilvl w:val="1"/>
          <w:numId w:val="32"/>
        </w:numPr>
        <w:rPr>
          <w:rFonts w:eastAsia="MS Mincho"/>
          <w:lang w:eastAsia="ja-JP"/>
        </w:rPr>
      </w:pPr>
      <w:r w:rsidRPr="00B118A4">
        <w:rPr>
          <w:rFonts w:eastAsia="MS Mincho"/>
          <w:lang w:eastAsia="ja-JP"/>
        </w:rPr>
        <w:t xml:space="preserve">The maximum number of CCs in any aggregation is </w:t>
      </w:r>
      <w:r>
        <w:rPr>
          <w:rFonts w:eastAsia="MS Mincho" w:hint="eastAsia"/>
          <w:lang w:eastAsia="ja-JP"/>
        </w:rPr>
        <w:t>[</w:t>
      </w:r>
      <w:r>
        <w:rPr>
          <w:rFonts w:eastAsia="MS Mincho"/>
          <w:lang w:eastAsia="ja-JP"/>
        </w:rPr>
        <w:t xml:space="preserve">either </w:t>
      </w:r>
      <w:r>
        <w:rPr>
          <w:rFonts w:eastAsia="MS Mincho" w:hint="eastAsia"/>
          <w:lang w:eastAsia="ja-JP"/>
        </w:rPr>
        <w:t>8</w:t>
      </w:r>
      <w:r>
        <w:rPr>
          <w:rFonts w:eastAsia="MS Mincho"/>
          <w:lang w:eastAsia="ja-JP"/>
        </w:rPr>
        <w:t xml:space="preserve"> or </w:t>
      </w:r>
      <w:r>
        <w:rPr>
          <w:rFonts w:eastAsia="MS Mincho" w:hint="eastAsia"/>
          <w:lang w:eastAsia="ja-JP"/>
        </w:rPr>
        <w:t>16]</w:t>
      </w:r>
    </w:p>
    <w:p w14:paraId="0322EB00" w14:textId="77777777" w:rsidR="00EC732A" w:rsidRPr="00B118A4" w:rsidRDefault="00EC732A" w:rsidP="00EC732A">
      <w:pPr>
        <w:numPr>
          <w:ilvl w:val="0"/>
          <w:numId w:val="32"/>
        </w:numPr>
        <w:rPr>
          <w:rFonts w:eastAsia="MS Mincho"/>
          <w:lang w:eastAsia="ja-JP"/>
        </w:rPr>
      </w:pPr>
      <w:r>
        <w:rPr>
          <w:rFonts w:eastAsia="MS Mincho"/>
          <w:lang w:eastAsia="ja-JP"/>
        </w:rPr>
        <w:t xml:space="preserve">If </w:t>
      </w:r>
      <w:r>
        <w:rPr>
          <w:rFonts w:eastAsia="MS Mincho" w:hint="eastAsia"/>
          <w:lang w:eastAsia="ja-JP"/>
        </w:rPr>
        <w:t>it is</w:t>
      </w:r>
      <w:r w:rsidRPr="00B118A4">
        <w:rPr>
          <w:rFonts w:eastAsia="MS Mincho"/>
          <w:lang w:eastAsia="ja-JP"/>
        </w:rPr>
        <w:t xml:space="preserve"> </w:t>
      </w:r>
      <w:r>
        <w:rPr>
          <w:rFonts w:eastAsia="MS Mincho"/>
          <w:lang w:eastAsia="ja-JP"/>
        </w:rPr>
        <w:t>decide</w:t>
      </w:r>
      <w:r>
        <w:rPr>
          <w:rFonts w:eastAsia="MS Mincho" w:hint="eastAsia"/>
          <w:lang w:eastAsia="ja-JP"/>
        </w:rPr>
        <w:t>d</w:t>
      </w:r>
      <w:r w:rsidRPr="00B118A4">
        <w:rPr>
          <w:rFonts w:eastAsia="MS Mincho"/>
          <w:lang w:eastAsia="ja-JP"/>
        </w:rPr>
        <w:t xml:space="preserve"> that the maximum </w:t>
      </w:r>
      <w:r>
        <w:rPr>
          <w:rFonts w:eastAsia="MS Mincho" w:hint="eastAsia"/>
          <w:lang w:eastAsia="ja-JP"/>
        </w:rPr>
        <w:t>CC BW</w:t>
      </w:r>
      <w:r w:rsidRPr="00B118A4">
        <w:rPr>
          <w:rFonts w:eastAsia="MS Mincho"/>
          <w:lang w:eastAsia="ja-JP"/>
        </w:rPr>
        <w:t xml:space="preserve"> is &lt;=100MHz</w:t>
      </w:r>
    </w:p>
    <w:p w14:paraId="6D9E10FA" w14:textId="77777777" w:rsidR="00EC732A" w:rsidRPr="00B11FE4" w:rsidRDefault="00EC732A" w:rsidP="00EC732A">
      <w:pPr>
        <w:numPr>
          <w:ilvl w:val="1"/>
          <w:numId w:val="32"/>
        </w:numPr>
        <w:rPr>
          <w:rFonts w:eastAsia="MS Mincho"/>
          <w:lang w:eastAsia="ja-JP"/>
        </w:rPr>
      </w:pPr>
      <w:r w:rsidRPr="00B118A4">
        <w:rPr>
          <w:rFonts w:eastAsia="MS Mincho"/>
          <w:lang w:eastAsia="ja-JP"/>
        </w:rPr>
        <w:t xml:space="preserve">The maximum number of CCs in any aggregation could be </w:t>
      </w:r>
      <w:r>
        <w:rPr>
          <w:rFonts w:eastAsia="MS Mincho" w:hint="eastAsia"/>
          <w:lang w:eastAsia="ja-JP"/>
        </w:rPr>
        <w:t>[</w:t>
      </w:r>
      <w:r w:rsidRPr="00B118A4">
        <w:rPr>
          <w:rFonts w:eastAsia="MS Mincho"/>
          <w:lang w:eastAsia="ja-JP"/>
        </w:rPr>
        <w:t>either 16 or 32</w:t>
      </w:r>
      <w:r>
        <w:rPr>
          <w:rFonts w:eastAsia="MS Mincho" w:hint="eastAsia"/>
          <w:lang w:eastAsia="ja-JP"/>
        </w:rPr>
        <w:t>]</w:t>
      </w:r>
    </w:p>
    <w:p w14:paraId="63FE2694" w14:textId="77777777" w:rsidR="00EC732A" w:rsidRDefault="00EC732A" w:rsidP="00EC732A">
      <w:pPr>
        <w:numPr>
          <w:ilvl w:val="0"/>
          <w:numId w:val="32"/>
        </w:numPr>
        <w:rPr>
          <w:rFonts w:eastAsia="MS Mincho"/>
          <w:lang w:eastAsia="ja-JP"/>
        </w:rPr>
      </w:pPr>
      <w:r>
        <w:rPr>
          <w:rFonts w:eastAsia="MS Mincho" w:hint="eastAsia"/>
          <w:lang w:eastAsia="ja-JP"/>
        </w:rPr>
        <w:t>If it is decided that the maximum CC BW is greater than 100 MHz and smaller than 400</w:t>
      </w:r>
      <w:r w:rsidRPr="00B118A4">
        <w:rPr>
          <w:rFonts w:eastAsia="MS Mincho"/>
          <w:lang w:eastAsia="ja-JP"/>
        </w:rPr>
        <w:t>MHz</w:t>
      </w:r>
    </w:p>
    <w:p w14:paraId="281AF1EE" w14:textId="77777777" w:rsidR="00EC732A" w:rsidRPr="003E4A9E" w:rsidRDefault="00EC732A" w:rsidP="00EC732A">
      <w:pPr>
        <w:numPr>
          <w:ilvl w:val="1"/>
          <w:numId w:val="32"/>
        </w:numPr>
        <w:rPr>
          <w:rFonts w:eastAsia="MS Mincho"/>
          <w:lang w:eastAsia="ja-JP"/>
        </w:rPr>
      </w:pPr>
      <w:r w:rsidRPr="00B118A4">
        <w:rPr>
          <w:rFonts w:eastAsia="MS Mincho"/>
          <w:lang w:eastAsia="ja-JP"/>
        </w:rPr>
        <w:t xml:space="preserve">The maximum number of </w:t>
      </w:r>
      <w:r>
        <w:rPr>
          <w:rFonts w:eastAsia="MS Mincho"/>
          <w:lang w:eastAsia="ja-JP"/>
        </w:rPr>
        <w:t xml:space="preserve">CCs </w:t>
      </w:r>
      <w:r>
        <w:rPr>
          <w:rFonts w:eastAsia="MS Mincho" w:hint="eastAsia"/>
          <w:lang w:eastAsia="ja-JP"/>
        </w:rPr>
        <w:t>is FFS</w:t>
      </w:r>
    </w:p>
    <w:p w14:paraId="2BC60DCE" w14:textId="6D347698" w:rsidR="004E08BF" w:rsidRDefault="004E08BF" w:rsidP="0022072F">
      <w:pPr>
        <w:pStyle w:val="BodyText"/>
      </w:pPr>
    </w:p>
    <w:p w14:paraId="00648533" w14:textId="5B31CFBF" w:rsidR="00CC3994" w:rsidRPr="0022072F" w:rsidRDefault="00CC3994" w:rsidP="0022072F">
      <w:pPr>
        <w:pStyle w:val="BodyText"/>
      </w:pPr>
      <w:r>
        <w:t xml:space="preserve">In this contribution we continue the discussion on </w:t>
      </w:r>
      <w:r w:rsidR="00EC732A">
        <w:t>CA support in general and try to address the above open points</w:t>
      </w:r>
    </w:p>
    <w:p w14:paraId="635F5223" w14:textId="2D83E804" w:rsidR="004B1C8B" w:rsidRDefault="00230310" w:rsidP="00230310">
      <w:pPr>
        <w:pStyle w:val="Heading1"/>
        <w:spacing w:before="180"/>
        <w:ind w:left="562" w:hanging="562"/>
      </w:pPr>
      <w:r>
        <w:t>Discussion</w:t>
      </w:r>
    </w:p>
    <w:p w14:paraId="27815C13" w14:textId="1FCD49D6" w:rsidR="00DC6A18" w:rsidRDefault="00DC6A18" w:rsidP="00A96D77">
      <w:pPr>
        <w:pStyle w:val="BodyText"/>
      </w:pPr>
      <w:r>
        <w:t>CA and dual connectivity design are centric design in the framework of NR and consequently should be considered in the design from the beginning. Most of the detailed design work will be designing the control channel aspects, sc</w:t>
      </w:r>
      <w:r w:rsidR="00133560">
        <w:t>heduling and power control. Hence, the</w:t>
      </w:r>
      <w:r>
        <w:t xml:space="preserve"> design details should be considered within each specific </w:t>
      </w:r>
      <w:r w:rsidR="00133560">
        <w:t>area</w:t>
      </w:r>
      <w:r>
        <w:t>.</w:t>
      </w:r>
    </w:p>
    <w:p w14:paraId="014309EE" w14:textId="7362F3FB" w:rsidR="00DC6A18" w:rsidRPr="00DC6A18" w:rsidRDefault="00DC6A18" w:rsidP="00DC6A18">
      <w:pPr>
        <w:pStyle w:val="BodyText"/>
        <w:rPr>
          <w:b/>
        </w:rPr>
      </w:pPr>
      <w:r w:rsidRPr="00DC6A18">
        <w:rPr>
          <w:b/>
        </w:rPr>
        <w:t>Proposal</w:t>
      </w:r>
    </w:p>
    <w:p w14:paraId="6133DE21" w14:textId="7CEF839B" w:rsidR="00DC6A18" w:rsidRDefault="00DC6A18" w:rsidP="00DC6A18">
      <w:pPr>
        <w:pStyle w:val="BodyText"/>
        <w:numPr>
          <w:ilvl w:val="0"/>
          <w:numId w:val="30"/>
        </w:numPr>
      </w:pPr>
      <w:r>
        <w:t xml:space="preserve">CA and dual connectivity design aspect should be mainly considering within each area of design, e.g. control channel, power control, … </w:t>
      </w:r>
    </w:p>
    <w:p w14:paraId="5B1E34C9" w14:textId="65FF42D3" w:rsidR="00EC732A" w:rsidRDefault="00C3029B" w:rsidP="00DC6A18">
      <w:pPr>
        <w:pStyle w:val="BodyText"/>
      </w:pPr>
      <w:r>
        <w:t xml:space="preserve">On the aspect of the </w:t>
      </w:r>
      <w:r w:rsidR="00EC732A">
        <w:t xml:space="preserve">maximum BW assumed from a RAN1 perspective, this will mainly be a component in the transport block design, resource assignment and so forth. When determining the value in RAN1 it is important to consider that the values that will be used in practice is under discussion in RAN4. For RAN1 perspective we can select a slightly large values, but not select a to excessive value in the end. </w:t>
      </w:r>
      <w:r w:rsidR="009A38C5">
        <w:t xml:space="preserve">There is on paper a large span in the discussion in RAN4 about maximum channel BW as given by </w:t>
      </w:r>
      <w:r w:rsidR="009A38C5">
        <w:fldChar w:fldCharType="begin"/>
      </w:r>
      <w:r w:rsidR="009A38C5">
        <w:instrText xml:space="preserve"> REF _Ref474145837 \r \h </w:instrText>
      </w:r>
      <w:r w:rsidR="009A38C5">
        <w:fldChar w:fldCharType="separate"/>
      </w:r>
      <w:r w:rsidR="009A38C5">
        <w:t>[1]</w:t>
      </w:r>
      <w:r w:rsidR="009A38C5">
        <w:fldChar w:fldCharType="end"/>
      </w:r>
      <w:r w:rsidR="009A38C5">
        <w:t xml:space="preserve">, </w:t>
      </w:r>
      <w:r w:rsidR="009A38C5">
        <w:fldChar w:fldCharType="begin"/>
      </w:r>
      <w:r w:rsidR="009A38C5">
        <w:instrText xml:space="preserve"> REF _Ref474145845 \r \h </w:instrText>
      </w:r>
      <w:r w:rsidR="009A38C5">
        <w:fldChar w:fldCharType="separate"/>
      </w:r>
      <w:r w:rsidR="009A38C5">
        <w:t>[2]</w:t>
      </w:r>
      <w:r w:rsidR="009A38C5">
        <w:fldChar w:fldCharType="end"/>
      </w:r>
      <w:r w:rsidR="009A38C5">
        <w:t xml:space="preserve"> and </w:t>
      </w:r>
      <w:r w:rsidR="009A38C5">
        <w:fldChar w:fldCharType="begin"/>
      </w:r>
      <w:r w:rsidR="009A38C5">
        <w:instrText xml:space="preserve"> REF _Ref474145853 \r \h </w:instrText>
      </w:r>
      <w:r w:rsidR="009A38C5">
        <w:fldChar w:fldCharType="separate"/>
      </w:r>
      <w:r w:rsidR="009A38C5">
        <w:t>[3]</w:t>
      </w:r>
      <w:r w:rsidR="009A38C5">
        <w:fldChar w:fldCharType="end"/>
      </w:r>
      <w:r w:rsidR="00FE0D8B">
        <w:t xml:space="preserve">. Given the input to the discussion it is likely that RAN4 will select a value in the lower range described in the papers. Consequently, it would be appropriate that RAN1 select just a slightly higher value. </w:t>
      </w:r>
    </w:p>
    <w:p w14:paraId="7F9D5F9B" w14:textId="4A0A2229" w:rsidR="00EC732A" w:rsidRPr="00FE0D8B" w:rsidRDefault="00FE0D8B" w:rsidP="00DC6A18">
      <w:pPr>
        <w:pStyle w:val="BodyText"/>
        <w:rPr>
          <w:b/>
        </w:rPr>
      </w:pPr>
      <w:r w:rsidRPr="00FE0D8B">
        <w:rPr>
          <w:b/>
        </w:rPr>
        <w:t>Proposal</w:t>
      </w:r>
    </w:p>
    <w:p w14:paraId="01CD6720" w14:textId="3FF9DD23" w:rsidR="00FE0D8B" w:rsidRDefault="00FE0D8B" w:rsidP="00FE0D8B">
      <w:pPr>
        <w:pStyle w:val="BodyText"/>
        <w:numPr>
          <w:ilvl w:val="0"/>
          <w:numId w:val="30"/>
        </w:numPr>
      </w:pPr>
      <w:r>
        <w:rPr>
          <w:lang w:eastAsia="ja-JP"/>
        </w:rPr>
        <w:t>F</w:t>
      </w:r>
      <w:r w:rsidRPr="00533D83">
        <w:rPr>
          <w:rFonts w:hint="eastAsia"/>
          <w:lang w:eastAsia="ja-JP"/>
        </w:rPr>
        <w:t xml:space="preserve">rom RAN1 specification perspective, maximum </w:t>
      </w:r>
      <w:r>
        <w:rPr>
          <w:lang w:eastAsia="ja-JP"/>
        </w:rPr>
        <w:t xml:space="preserve">channel </w:t>
      </w:r>
      <w:r w:rsidRPr="00533D83">
        <w:rPr>
          <w:rFonts w:hint="eastAsia"/>
          <w:lang w:eastAsia="ja-JP"/>
        </w:rPr>
        <w:t>bandwidth per NR carr</w:t>
      </w:r>
      <w:r>
        <w:rPr>
          <w:rFonts w:hint="eastAsia"/>
          <w:lang w:eastAsia="ja-JP"/>
        </w:rPr>
        <w:t xml:space="preserve">ier is </w:t>
      </w:r>
      <w:r w:rsidRPr="00E74199">
        <w:rPr>
          <w:rFonts w:hint="eastAsia"/>
          <w:lang w:eastAsia="ja-JP"/>
        </w:rPr>
        <w:t>400</w:t>
      </w:r>
      <w:r>
        <w:rPr>
          <w:lang w:eastAsia="ja-JP"/>
        </w:rPr>
        <w:t xml:space="preserve"> MHz</w:t>
      </w:r>
    </w:p>
    <w:p w14:paraId="0B98C467" w14:textId="3BF60CBE" w:rsidR="00DC6A18" w:rsidRDefault="00DC6A18" w:rsidP="00DC6A18">
      <w:pPr>
        <w:pStyle w:val="BodyText"/>
      </w:pPr>
      <w:r>
        <w:lastRenderedPageBreak/>
        <w:t xml:space="preserve">A generic part that is good to determine is the number of supported carriers as this will affect the design in many places following in the details, for example in the control channel design. At RAN1 </w:t>
      </w:r>
      <w:r w:rsidR="00FE0D8B">
        <w:t xml:space="preserve">NR </w:t>
      </w:r>
      <w:proofErr w:type="spellStart"/>
      <w:r w:rsidR="00FE0D8B">
        <w:t>adhoc</w:t>
      </w:r>
      <w:proofErr w:type="spellEnd"/>
      <w:r>
        <w:t xml:space="preserve"> </w:t>
      </w:r>
      <w:r w:rsidR="00FE0D8B">
        <w:t>the values 8, 16 and 3</w:t>
      </w:r>
      <w:r>
        <w:t xml:space="preserve">2 </w:t>
      </w:r>
      <w:r w:rsidR="00133560">
        <w:t xml:space="preserve">of the maximum supported number of </w:t>
      </w:r>
      <w:r>
        <w:t xml:space="preserve">carriers was highlighted. </w:t>
      </w:r>
      <w:r w:rsidR="00133560">
        <w:t xml:space="preserve">From a physical layer point a view it would be good if the design early on is generic enough so that it does not need to be </w:t>
      </w:r>
      <w:r>
        <w:t xml:space="preserve">incrementally </w:t>
      </w:r>
      <w:r w:rsidR="00133560">
        <w:t xml:space="preserve">added on to later on. </w:t>
      </w:r>
      <w:r w:rsidR="00F31D53">
        <w:t>At the same time, we should consider not to over design</w:t>
      </w:r>
      <w:r w:rsidR="00C3029B">
        <w:t xml:space="preserve"> it</w:t>
      </w:r>
      <w:r w:rsidR="00F31D53">
        <w:t xml:space="preserve"> either. </w:t>
      </w:r>
      <w:r>
        <w:t xml:space="preserve">Based on such an approach </w:t>
      </w:r>
      <w:r w:rsidR="00F31D53">
        <w:t xml:space="preserve">a value in-between would be good that would allow for good support for the foreseeable future. </w:t>
      </w:r>
      <w:r w:rsidR="00FE0D8B">
        <w:t xml:space="preserve">Further given the that we are envisioning a significant smaller maximum channel BW selected by RAN4 than 400 MHz it would be good to provision the number of carriers according to that. </w:t>
      </w:r>
    </w:p>
    <w:p w14:paraId="2F57A691" w14:textId="1E66B30F" w:rsidR="00DC6A18" w:rsidRDefault="00DC6A18" w:rsidP="00DC6A18">
      <w:pPr>
        <w:pStyle w:val="BodyText"/>
        <w:rPr>
          <w:b/>
        </w:rPr>
      </w:pPr>
      <w:r w:rsidRPr="00DC6A18">
        <w:rPr>
          <w:b/>
        </w:rPr>
        <w:t>Proposal</w:t>
      </w:r>
    </w:p>
    <w:p w14:paraId="64F00E4E" w14:textId="15382E0E" w:rsidR="00DC6A18" w:rsidRPr="00DC6A18" w:rsidRDefault="00FE0D8B" w:rsidP="00DC6A18">
      <w:pPr>
        <w:pStyle w:val="BodyText"/>
        <w:numPr>
          <w:ilvl w:val="0"/>
          <w:numId w:val="30"/>
        </w:numPr>
        <w:rPr>
          <w:b/>
        </w:rPr>
      </w:pPr>
      <w:r w:rsidRPr="00E74199">
        <w:rPr>
          <w:lang w:eastAsia="ja-JP"/>
        </w:rPr>
        <w:t xml:space="preserve">From RAN1 specification perspective, the maximum number of NR carriers for CA and DC </w:t>
      </w:r>
      <w:r w:rsidRPr="00E74199">
        <w:rPr>
          <w:rFonts w:hint="eastAsia"/>
          <w:lang w:eastAsia="ja-JP"/>
        </w:rPr>
        <w:t xml:space="preserve">is </w:t>
      </w:r>
      <w:r w:rsidRPr="00E74199">
        <w:rPr>
          <w:lang w:eastAsia="ja-JP"/>
        </w:rPr>
        <w:t>16</w:t>
      </w:r>
    </w:p>
    <w:p w14:paraId="742FEFA9" w14:textId="161C1170" w:rsidR="00FF1A1A" w:rsidRDefault="00A63AD6" w:rsidP="00A96D77">
      <w:pPr>
        <w:pStyle w:val="BodyText"/>
      </w:pPr>
      <w:r>
        <w:t>Given the above maximum bandwidth and also considering the potential maximum bandwidths coming out from the RAN4 discussion. Further considering sufficiently large complexity increase from LTE an FFT size not larger than 4096 would be sufficient.</w:t>
      </w:r>
    </w:p>
    <w:p w14:paraId="09CAC20F" w14:textId="386EB71F" w:rsidR="00A63AD6" w:rsidRPr="00A63AD6" w:rsidRDefault="00A63AD6" w:rsidP="00A96D77">
      <w:pPr>
        <w:pStyle w:val="BodyText"/>
        <w:rPr>
          <w:b/>
        </w:rPr>
      </w:pPr>
      <w:r w:rsidRPr="00A63AD6">
        <w:rPr>
          <w:b/>
        </w:rPr>
        <w:t>Proposal</w:t>
      </w:r>
    </w:p>
    <w:p w14:paraId="1D433526" w14:textId="77777777" w:rsidR="00A63AD6" w:rsidRDefault="00A63AD6" w:rsidP="00A63AD6">
      <w:pPr>
        <w:pStyle w:val="BodyText"/>
        <w:numPr>
          <w:ilvl w:val="0"/>
          <w:numId w:val="30"/>
        </w:numPr>
        <w:rPr>
          <w:lang w:eastAsia="ja-JP"/>
        </w:rPr>
      </w:pPr>
      <w:r w:rsidRPr="00E74199">
        <w:rPr>
          <w:lang w:eastAsia="ja-JP"/>
        </w:rPr>
        <w:t xml:space="preserve">The maximum </w:t>
      </w:r>
      <w:r w:rsidRPr="00E74199">
        <w:rPr>
          <w:rFonts w:hint="eastAsia"/>
          <w:lang w:eastAsia="ja-JP"/>
        </w:rPr>
        <w:t>FFT size is not larger than 4096</w:t>
      </w:r>
    </w:p>
    <w:p w14:paraId="464C1FE7" w14:textId="6799BE71" w:rsidR="00DC6A18" w:rsidRDefault="004E08BF" w:rsidP="00A96D77">
      <w:pPr>
        <w:pStyle w:val="BodyText"/>
      </w:pPr>
      <w:r>
        <w:t xml:space="preserve">The second aspect that was left open from </w:t>
      </w:r>
      <w:r w:rsidR="00C3029B">
        <w:t>previous</w:t>
      </w:r>
      <w:r>
        <w:t xml:space="preserve"> RAN1 meeting was whether </w:t>
      </w:r>
      <w:r w:rsidR="00DC6A18" w:rsidRPr="00CC3994">
        <w:rPr>
          <w:bCs/>
          <w:iCs/>
          <w:lang w:eastAsia="ja-JP"/>
        </w:rPr>
        <w:t>TB mapping across multiple carriers</w:t>
      </w:r>
      <w:r>
        <w:rPr>
          <w:bCs/>
          <w:iCs/>
          <w:lang w:eastAsia="ja-JP"/>
        </w:rPr>
        <w:t xml:space="preserve">. </w:t>
      </w:r>
      <w:r w:rsidR="00F31D53">
        <w:rPr>
          <w:bCs/>
          <w:iCs/>
          <w:lang w:eastAsia="ja-JP"/>
        </w:rPr>
        <w:t xml:space="preserve">From a generic perspective it cannot be ensured that the block error rate will be the same on multiple aggregated carriers and this was one of the design aspects considered within LTE. Correspondingly it would be preferred if the TBs are not mapped across multiple carriers. </w:t>
      </w:r>
    </w:p>
    <w:p w14:paraId="0D531144" w14:textId="59B3C5C7" w:rsidR="00DC6A18" w:rsidRPr="004E08BF" w:rsidRDefault="004E08BF" w:rsidP="00A96D77">
      <w:pPr>
        <w:pStyle w:val="BodyText"/>
        <w:rPr>
          <w:b/>
        </w:rPr>
      </w:pPr>
      <w:r w:rsidRPr="004E08BF">
        <w:rPr>
          <w:b/>
        </w:rPr>
        <w:t>Proposal</w:t>
      </w:r>
    </w:p>
    <w:p w14:paraId="4FE27051" w14:textId="02A3D272" w:rsidR="00DC6A18" w:rsidRPr="004E08BF" w:rsidRDefault="004E08BF" w:rsidP="004E08BF">
      <w:pPr>
        <w:pStyle w:val="BodyText"/>
        <w:numPr>
          <w:ilvl w:val="0"/>
          <w:numId w:val="30"/>
        </w:numPr>
      </w:pPr>
      <w:r w:rsidRPr="00CC3994">
        <w:rPr>
          <w:bCs/>
          <w:iCs/>
          <w:lang w:eastAsia="ja-JP"/>
        </w:rPr>
        <w:t xml:space="preserve">TB </w:t>
      </w:r>
      <w:r w:rsidR="00F31D53">
        <w:rPr>
          <w:bCs/>
          <w:iCs/>
          <w:lang w:eastAsia="ja-JP"/>
        </w:rPr>
        <w:t xml:space="preserve">are not </w:t>
      </w:r>
      <w:r w:rsidRPr="00CC3994">
        <w:rPr>
          <w:bCs/>
          <w:iCs/>
          <w:lang w:eastAsia="ja-JP"/>
        </w:rPr>
        <w:t>mapp</w:t>
      </w:r>
      <w:r w:rsidR="00F31D53">
        <w:rPr>
          <w:bCs/>
          <w:iCs/>
          <w:lang w:eastAsia="ja-JP"/>
        </w:rPr>
        <w:t>ed</w:t>
      </w:r>
      <w:r w:rsidRPr="00CC3994">
        <w:rPr>
          <w:bCs/>
          <w:iCs/>
          <w:lang w:eastAsia="ja-JP"/>
        </w:rPr>
        <w:t xml:space="preserve"> across multiple carriers</w:t>
      </w:r>
    </w:p>
    <w:p w14:paraId="6C34731C" w14:textId="7EA8DFB1" w:rsidR="00DA7D33" w:rsidRDefault="00DA7D33" w:rsidP="00DA7D33">
      <w:pPr>
        <w:pStyle w:val="Heading1"/>
        <w:spacing w:before="180"/>
        <w:ind w:left="562" w:hanging="562"/>
      </w:pPr>
      <w:r>
        <w:t>Conclusion</w:t>
      </w:r>
    </w:p>
    <w:p w14:paraId="1786FB39" w14:textId="174244A9" w:rsidR="004A5A0F" w:rsidRDefault="004E08BF" w:rsidP="004E08BF">
      <w:pPr>
        <w:pStyle w:val="BodyText"/>
      </w:pPr>
      <w:r w:rsidRPr="004E08BF">
        <w:t xml:space="preserve">In this </w:t>
      </w:r>
      <w:r>
        <w:t>contribution we have discussed aspects related to carrier aggregation and dual connectivity and propose the following:</w:t>
      </w:r>
    </w:p>
    <w:p w14:paraId="6450D492" w14:textId="4232ED00" w:rsidR="004E08BF" w:rsidRDefault="004E08BF" w:rsidP="004E08BF">
      <w:pPr>
        <w:pStyle w:val="BodyText"/>
        <w:numPr>
          <w:ilvl w:val="0"/>
          <w:numId w:val="30"/>
        </w:numPr>
      </w:pPr>
      <w:r>
        <w:t>CA and dual connectivity design asp</w:t>
      </w:r>
      <w:bookmarkStart w:id="3" w:name="_GoBack"/>
      <w:bookmarkEnd w:id="3"/>
      <w:r>
        <w:t>ect should be mainly considering within each area of design, e.g. control channel, power control, …</w:t>
      </w:r>
    </w:p>
    <w:p w14:paraId="154A7954" w14:textId="23698003" w:rsidR="00145B3E" w:rsidRDefault="00145B3E" w:rsidP="004E08BF">
      <w:pPr>
        <w:pStyle w:val="BodyText"/>
        <w:numPr>
          <w:ilvl w:val="0"/>
          <w:numId w:val="30"/>
        </w:numPr>
        <w:rPr>
          <w:lang w:eastAsia="ja-JP"/>
        </w:rPr>
      </w:pPr>
      <w:r>
        <w:rPr>
          <w:lang w:eastAsia="ja-JP"/>
        </w:rPr>
        <w:t>F</w:t>
      </w:r>
      <w:r w:rsidRPr="00533D83">
        <w:rPr>
          <w:rFonts w:hint="eastAsia"/>
          <w:lang w:eastAsia="ja-JP"/>
        </w:rPr>
        <w:t xml:space="preserve">rom RAN1 specification perspective, maximum </w:t>
      </w:r>
      <w:r>
        <w:rPr>
          <w:lang w:eastAsia="ja-JP"/>
        </w:rPr>
        <w:t xml:space="preserve">channel </w:t>
      </w:r>
      <w:r w:rsidRPr="00533D83">
        <w:rPr>
          <w:rFonts w:hint="eastAsia"/>
          <w:lang w:eastAsia="ja-JP"/>
        </w:rPr>
        <w:t>bandwidth per NR carr</w:t>
      </w:r>
      <w:r>
        <w:rPr>
          <w:rFonts w:hint="eastAsia"/>
          <w:lang w:eastAsia="ja-JP"/>
        </w:rPr>
        <w:t xml:space="preserve">ier is </w:t>
      </w:r>
      <w:r w:rsidRPr="00E74199">
        <w:rPr>
          <w:rFonts w:hint="eastAsia"/>
          <w:lang w:eastAsia="ja-JP"/>
        </w:rPr>
        <w:t>400</w:t>
      </w:r>
      <w:r>
        <w:rPr>
          <w:lang w:eastAsia="ja-JP"/>
        </w:rPr>
        <w:t xml:space="preserve"> MHz</w:t>
      </w:r>
    </w:p>
    <w:p w14:paraId="36BB0353" w14:textId="4E8253B7" w:rsidR="004E08BF" w:rsidRDefault="00145B3E" w:rsidP="004E08BF">
      <w:pPr>
        <w:pStyle w:val="BodyText"/>
        <w:numPr>
          <w:ilvl w:val="0"/>
          <w:numId w:val="30"/>
        </w:numPr>
        <w:rPr>
          <w:lang w:eastAsia="ja-JP"/>
        </w:rPr>
      </w:pPr>
      <w:r w:rsidRPr="00E74199">
        <w:rPr>
          <w:lang w:eastAsia="ja-JP"/>
        </w:rPr>
        <w:t xml:space="preserve">From RAN1 specification perspective, the maximum number of NR carriers for CA and DC </w:t>
      </w:r>
      <w:r w:rsidRPr="00E74199">
        <w:rPr>
          <w:rFonts w:hint="eastAsia"/>
          <w:lang w:eastAsia="ja-JP"/>
        </w:rPr>
        <w:t xml:space="preserve">is </w:t>
      </w:r>
      <w:r w:rsidRPr="00E74199">
        <w:rPr>
          <w:lang w:eastAsia="ja-JP"/>
        </w:rPr>
        <w:t>16</w:t>
      </w:r>
    </w:p>
    <w:p w14:paraId="1A54A656" w14:textId="2BAD18F2" w:rsidR="00145B3E" w:rsidRDefault="00145B3E" w:rsidP="004E08BF">
      <w:pPr>
        <w:pStyle w:val="BodyText"/>
        <w:numPr>
          <w:ilvl w:val="0"/>
          <w:numId w:val="30"/>
        </w:numPr>
        <w:rPr>
          <w:lang w:eastAsia="ja-JP"/>
        </w:rPr>
      </w:pPr>
      <w:r w:rsidRPr="00E74199">
        <w:rPr>
          <w:lang w:eastAsia="ja-JP"/>
        </w:rPr>
        <w:t xml:space="preserve">The maximum </w:t>
      </w:r>
      <w:r w:rsidRPr="00E74199">
        <w:rPr>
          <w:rFonts w:hint="eastAsia"/>
          <w:lang w:eastAsia="ja-JP"/>
        </w:rPr>
        <w:t>FFT size is not larger than 4096</w:t>
      </w:r>
    </w:p>
    <w:p w14:paraId="2FC82977" w14:textId="7E1A5512" w:rsidR="004E08BF" w:rsidRPr="001D3E2A" w:rsidRDefault="00F31D53" w:rsidP="004E08BF">
      <w:pPr>
        <w:pStyle w:val="BodyText"/>
        <w:numPr>
          <w:ilvl w:val="0"/>
          <w:numId w:val="30"/>
        </w:numPr>
      </w:pPr>
      <w:r w:rsidRPr="00CC3994">
        <w:rPr>
          <w:bCs/>
          <w:iCs/>
          <w:lang w:eastAsia="ja-JP"/>
        </w:rPr>
        <w:t xml:space="preserve">TB </w:t>
      </w:r>
      <w:r>
        <w:rPr>
          <w:bCs/>
          <w:iCs/>
          <w:lang w:eastAsia="ja-JP"/>
        </w:rPr>
        <w:t xml:space="preserve">are not </w:t>
      </w:r>
      <w:r w:rsidRPr="00CC3994">
        <w:rPr>
          <w:bCs/>
          <w:iCs/>
          <w:lang w:eastAsia="ja-JP"/>
        </w:rPr>
        <w:t>mapp</w:t>
      </w:r>
      <w:r>
        <w:rPr>
          <w:bCs/>
          <w:iCs/>
          <w:lang w:eastAsia="ja-JP"/>
        </w:rPr>
        <w:t>ed</w:t>
      </w:r>
      <w:r w:rsidRPr="00CC3994">
        <w:rPr>
          <w:bCs/>
          <w:iCs/>
          <w:lang w:eastAsia="ja-JP"/>
        </w:rPr>
        <w:t xml:space="preserve"> across multiple carriers</w:t>
      </w:r>
    </w:p>
    <w:p w14:paraId="533E7D0A" w14:textId="2C988D67" w:rsidR="001D3E2A" w:rsidRDefault="001D3E2A" w:rsidP="001D3E2A">
      <w:pPr>
        <w:pStyle w:val="Heading1"/>
        <w:tabs>
          <w:tab w:val="clear" w:pos="3544"/>
          <w:tab w:val="num" w:pos="0"/>
        </w:tabs>
        <w:ind w:left="567"/>
      </w:pPr>
      <w:r>
        <w:t>References</w:t>
      </w:r>
    </w:p>
    <w:p w14:paraId="73757E5C" w14:textId="76BC3A17" w:rsidR="001D3E2A" w:rsidRDefault="001D3E2A" w:rsidP="001D3E2A">
      <w:pPr>
        <w:pStyle w:val="BodyText"/>
        <w:numPr>
          <w:ilvl w:val="0"/>
          <w:numId w:val="33"/>
        </w:numPr>
      </w:pPr>
      <w:bookmarkStart w:id="4" w:name="_Ref474145837"/>
      <w:r w:rsidRPr="001D3E2A">
        <w:t>R4-1700114</w:t>
      </w:r>
      <w:r w:rsidRPr="001D3E2A">
        <w:tab/>
        <w:t>On wide channel bandwidth for NR</w:t>
      </w:r>
      <w:r w:rsidR="009A38C5">
        <w:tab/>
      </w:r>
      <w:r>
        <w:t xml:space="preserve">Huawei, </w:t>
      </w:r>
      <w:proofErr w:type="spellStart"/>
      <w:r>
        <w:t>HiSilicon</w:t>
      </w:r>
      <w:bookmarkEnd w:id="4"/>
      <w:proofErr w:type="spellEnd"/>
    </w:p>
    <w:p w14:paraId="246EA6E9" w14:textId="57BA32A9" w:rsidR="001D3E2A" w:rsidRDefault="009A38C5" w:rsidP="009A38C5">
      <w:pPr>
        <w:pStyle w:val="BodyText"/>
        <w:numPr>
          <w:ilvl w:val="0"/>
          <w:numId w:val="33"/>
        </w:numPr>
      </w:pPr>
      <w:bookmarkStart w:id="5" w:name="_Ref474145845"/>
      <w:r w:rsidRPr="009A38C5">
        <w:t>R4-1700060</w:t>
      </w:r>
      <w:r>
        <w:tab/>
      </w:r>
      <w:r w:rsidRPr="009A38C5">
        <w:t>Supported numerologies per spectrum range for NR Phase I</w:t>
      </w:r>
      <w:r>
        <w:tab/>
      </w:r>
      <w:r w:rsidRPr="009A38C5">
        <w:t>Nokia, Alcatel-Lucent Shanghai Bell</w:t>
      </w:r>
      <w:bookmarkEnd w:id="5"/>
    </w:p>
    <w:p w14:paraId="1D366326" w14:textId="516EE2FE" w:rsidR="009A38C5" w:rsidRPr="001D3E2A" w:rsidRDefault="009A38C5" w:rsidP="009A38C5">
      <w:pPr>
        <w:pStyle w:val="BodyText"/>
        <w:numPr>
          <w:ilvl w:val="0"/>
          <w:numId w:val="33"/>
        </w:numPr>
      </w:pPr>
      <w:bookmarkStart w:id="6" w:name="_Ref474145853"/>
      <w:r w:rsidRPr="009A38C5">
        <w:t>R4-1700214</w:t>
      </w:r>
      <w:r>
        <w:tab/>
      </w:r>
      <w:r w:rsidRPr="009A38C5">
        <w:t>Flexible channel bandwidth consideration in NR</w:t>
      </w:r>
      <w:r>
        <w:tab/>
      </w:r>
      <w:proofErr w:type="spellStart"/>
      <w:r w:rsidRPr="009A38C5">
        <w:t>MediaTek</w:t>
      </w:r>
      <w:proofErr w:type="spellEnd"/>
      <w:r w:rsidRPr="009A38C5">
        <w:t xml:space="preserve"> Inc.</w:t>
      </w:r>
      <w:bookmarkEnd w:id="6"/>
    </w:p>
    <w:sectPr w:rsidR="009A38C5" w:rsidRPr="001D3E2A"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A0F55"/>
    <w:multiLevelType w:val="hybridMultilevel"/>
    <w:tmpl w:val="DF4871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D5660"/>
    <w:multiLevelType w:val="hybridMultilevel"/>
    <w:tmpl w:val="D82236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4322"/>
    <w:multiLevelType w:val="hybridMultilevel"/>
    <w:tmpl w:val="685AD16A"/>
    <w:lvl w:ilvl="0" w:tplc="7854982C">
      <w:start w:val="1"/>
      <w:numFmt w:val="bullet"/>
      <w:lvlText w:val="•"/>
      <w:lvlJc w:val="left"/>
      <w:pPr>
        <w:tabs>
          <w:tab w:val="num" w:pos="720"/>
        </w:tabs>
        <w:ind w:left="720" w:hanging="360"/>
      </w:pPr>
      <w:rPr>
        <w:rFonts w:ascii="Arial" w:hAnsi="Arial" w:hint="default"/>
      </w:rPr>
    </w:lvl>
    <w:lvl w:ilvl="1" w:tplc="6ACC973E">
      <w:start w:val="4018"/>
      <w:numFmt w:val="bullet"/>
      <w:lvlText w:val="–"/>
      <w:lvlJc w:val="left"/>
      <w:pPr>
        <w:tabs>
          <w:tab w:val="num" w:pos="1440"/>
        </w:tabs>
        <w:ind w:left="1440" w:hanging="360"/>
      </w:pPr>
      <w:rPr>
        <w:rFonts w:ascii="Arial" w:hAnsi="Arial" w:hint="default"/>
      </w:rPr>
    </w:lvl>
    <w:lvl w:ilvl="2" w:tplc="B7A01CB8" w:tentative="1">
      <w:start w:val="1"/>
      <w:numFmt w:val="bullet"/>
      <w:lvlText w:val="•"/>
      <w:lvlJc w:val="left"/>
      <w:pPr>
        <w:tabs>
          <w:tab w:val="num" w:pos="2160"/>
        </w:tabs>
        <w:ind w:left="2160" w:hanging="360"/>
      </w:pPr>
      <w:rPr>
        <w:rFonts w:ascii="Arial" w:hAnsi="Arial" w:hint="default"/>
      </w:rPr>
    </w:lvl>
    <w:lvl w:ilvl="3" w:tplc="240A17F2" w:tentative="1">
      <w:start w:val="1"/>
      <w:numFmt w:val="bullet"/>
      <w:lvlText w:val="•"/>
      <w:lvlJc w:val="left"/>
      <w:pPr>
        <w:tabs>
          <w:tab w:val="num" w:pos="2880"/>
        </w:tabs>
        <w:ind w:left="2880" w:hanging="360"/>
      </w:pPr>
      <w:rPr>
        <w:rFonts w:ascii="Arial" w:hAnsi="Arial" w:hint="default"/>
      </w:rPr>
    </w:lvl>
    <w:lvl w:ilvl="4" w:tplc="E2B83884" w:tentative="1">
      <w:start w:val="1"/>
      <w:numFmt w:val="bullet"/>
      <w:lvlText w:val="•"/>
      <w:lvlJc w:val="left"/>
      <w:pPr>
        <w:tabs>
          <w:tab w:val="num" w:pos="3600"/>
        </w:tabs>
        <w:ind w:left="3600" w:hanging="360"/>
      </w:pPr>
      <w:rPr>
        <w:rFonts w:ascii="Arial" w:hAnsi="Arial" w:hint="default"/>
      </w:rPr>
    </w:lvl>
    <w:lvl w:ilvl="5" w:tplc="893A0344" w:tentative="1">
      <w:start w:val="1"/>
      <w:numFmt w:val="bullet"/>
      <w:lvlText w:val="•"/>
      <w:lvlJc w:val="left"/>
      <w:pPr>
        <w:tabs>
          <w:tab w:val="num" w:pos="4320"/>
        </w:tabs>
        <w:ind w:left="4320" w:hanging="360"/>
      </w:pPr>
      <w:rPr>
        <w:rFonts w:ascii="Arial" w:hAnsi="Arial" w:hint="default"/>
      </w:rPr>
    </w:lvl>
    <w:lvl w:ilvl="6" w:tplc="9B48A9B2" w:tentative="1">
      <w:start w:val="1"/>
      <w:numFmt w:val="bullet"/>
      <w:lvlText w:val="•"/>
      <w:lvlJc w:val="left"/>
      <w:pPr>
        <w:tabs>
          <w:tab w:val="num" w:pos="5040"/>
        </w:tabs>
        <w:ind w:left="5040" w:hanging="360"/>
      </w:pPr>
      <w:rPr>
        <w:rFonts w:ascii="Arial" w:hAnsi="Arial" w:hint="default"/>
      </w:rPr>
    </w:lvl>
    <w:lvl w:ilvl="7" w:tplc="9FD65228" w:tentative="1">
      <w:start w:val="1"/>
      <w:numFmt w:val="bullet"/>
      <w:lvlText w:val="•"/>
      <w:lvlJc w:val="left"/>
      <w:pPr>
        <w:tabs>
          <w:tab w:val="num" w:pos="5760"/>
        </w:tabs>
        <w:ind w:left="5760" w:hanging="360"/>
      </w:pPr>
      <w:rPr>
        <w:rFonts w:ascii="Arial" w:hAnsi="Arial" w:hint="default"/>
      </w:rPr>
    </w:lvl>
    <w:lvl w:ilvl="8" w:tplc="5DA299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36B24"/>
    <w:multiLevelType w:val="hybridMultilevel"/>
    <w:tmpl w:val="3D58BAA6"/>
    <w:lvl w:ilvl="0" w:tplc="0F3A89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7"/>
  </w:num>
  <w:num w:numId="3">
    <w:abstractNumId w:val="2"/>
  </w:num>
  <w:num w:numId="4">
    <w:abstractNumId w:val="29"/>
  </w:num>
  <w:num w:numId="5">
    <w:abstractNumId w:val="26"/>
  </w:num>
  <w:num w:numId="6">
    <w:abstractNumId w:val="21"/>
  </w:num>
  <w:num w:numId="7">
    <w:abstractNumId w:val="28"/>
  </w:num>
  <w:num w:numId="8">
    <w:abstractNumId w:val="27"/>
  </w:num>
  <w:num w:numId="9">
    <w:abstractNumId w:val="12"/>
  </w:num>
  <w:num w:numId="10">
    <w:abstractNumId w:val="6"/>
  </w:num>
  <w:num w:numId="11">
    <w:abstractNumId w:val="19"/>
  </w:num>
  <w:num w:numId="12">
    <w:abstractNumId w:val="30"/>
  </w:num>
  <w:num w:numId="13">
    <w:abstractNumId w:val="5"/>
  </w:num>
  <w:num w:numId="14">
    <w:abstractNumId w:val="7"/>
  </w:num>
  <w:num w:numId="15">
    <w:abstractNumId w:val="15"/>
  </w:num>
  <w:num w:numId="16">
    <w:abstractNumId w:val="8"/>
  </w:num>
  <w:num w:numId="17">
    <w:abstractNumId w:val="29"/>
  </w:num>
  <w:num w:numId="18">
    <w:abstractNumId w:val="18"/>
  </w:num>
  <w:num w:numId="19">
    <w:abstractNumId w:val="23"/>
  </w:num>
  <w:num w:numId="20">
    <w:abstractNumId w:val="11"/>
  </w:num>
  <w:num w:numId="21">
    <w:abstractNumId w:val="10"/>
  </w:num>
  <w:num w:numId="22">
    <w:abstractNumId w:val="24"/>
  </w:num>
  <w:num w:numId="23">
    <w:abstractNumId w:val="14"/>
  </w:num>
  <w:num w:numId="24">
    <w:abstractNumId w:val="13"/>
  </w:num>
  <w:num w:numId="25">
    <w:abstractNumId w:val="16"/>
  </w:num>
  <w:num w:numId="26">
    <w:abstractNumId w:val="20"/>
  </w:num>
  <w:num w:numId="27">
    <w:abstractNumId w:val="4"/>
  </w:num>
  <w:num w:numId="28">
    <w:abstractNumId w:val="0"/>
  </w:num>
  <w:num w:numId="29">
    <w:abstractNumId w:val="9"/>
  </w:num>
  <w:num w:numId="30">
    <w:abstractNumId w:val="1"/>
  </w:num>
  <w:num w:numId="31">
    <w:abstractNumId w:val="3"/>
  </w:num>
  <w:num w:numId="32">
    <w:abstractNumId w:val="22"/>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60F67"/>
    <w:rsid w:val="00093FC4"/>
    <w:rsid w:val="00106ABF"/>
    <w:rsid w:val="00133560"/>
    <w:rsid w:val="00145B3E"/>
    <w:rsid w:val="001B243C"/>
    <w:rsid w:val="001D3E2A"/>
    <w:rsid w:val="001F0CAF"/>
    <w:rsid w:val="00213303"/>
    <w:rsid w:val="0022072F"/>
    <w:rsid w:val="00230310"/>
    <w:rsid w:val="00247FAB"/>
    <w:rsid w:val="0028065B"/>
    <w:rsid w:val="00286B6D"/>
    <w:rsid w:val="002E444B"/>
    <w:rsid w:val="0034475B"/>
    <w:rsid w:val="003F33ED"/>
    <w:rsid w:val="00407725"/>
    <w:rsid w:val="00434CD6"/>
    <w:rsid w:val="0048093F"/>
    <w:rsid w:val="0049799A"/>
    <w:rsid w:val="004A5A0F"/>
    <w:rsid w:val="004B1C8B"/>
    <w:rsid w:val="004E08BF"/>
    <w:rsid w:val="0052140E"/>
    <w:rsid w:val="00546EB1"/>
    <w:rsid w:val="005514B5"/>
    <w:rsid w:val="005838EA"/>
    <w:rsid w:val="00627565"/>
    <w:rsid w:val="00655332"/>
    <w:rsid w:val="006A286A"/>
    <w:rsid w:val="006B1453"/>
    <w:rsid w:val="006B481E"/>
    <w:rsid w:val="006D4A4B"/>
    <w:rsid w:val="0070237A"/>
    <w:rsid w:val="007059CD"/>
    <w:rsid w:val="007C7533"/>
    <w:rsid w:val="00813D98"/>
    <w:rsid w:val="008625B7"/>
    <w:rsid w:val="008A0342"/>
    <w:rsid w:val="008D5332"/>
    <w:rsid w:val="00916E30"/>
    <w:rsid w:val="00924E96"/>
    <w:rsid w:val="00942F98"/>
    <w:rsid w:val="009867D7"/>
    <w:rsid w:val="009A0611"/>
    <w:rsid w:val="009A38C5"/>
    <w:rsid w:val="009E46CD"/>
    <w:rsid w:val="00A057EA"/>
    <w:rsid w:val="00A63AD6"/>
    <w:rsid w:val="00A96D77"/>
    <w:rsid w:val="00AC1F7D"/>
    <w:rsid w:val="00B03ED8"/>
    <w:rsid w:val="00B368D9"/>
    <w:rsid w:val="00B97DE2"/>
    <w:rsid w:val="00BA4CC0"/>
    <w:rsid w:val="00BB2430"/>
    <w:rsid w:val="00BB7B54"/>
    <w:rsid w:val="00BC0FFC"/>
    <w:rsid w:val="00BE4063"/>
    <w:rsid w:val="00C1560A"/>
    <w:rsid w:val="00C3029B"/>
    <w:rsid w:val="00C62894"/>
    <w:rsid w:val="00C7705D"/>
    <w:rsid w:val="00C8496C"/>
    <w:rsid w:val="00CA5E5D"/>
    <w:rsid w:val="00CB3C3F"/>
    <w:rsid w:val="00CB5A40"/>
    <w:rsid w:val="00CC1CA7"/>
    <w:rsid w:val="00CC260C"/>
    <w:rsid w:val="00CC3994"/>
    <w:rsid w:val="00CE6CB0"/>
    <w:rsid w:val="00D03072"/>
    <w:rsid w:val="00D03E47"/>
    <w:rsid w:val="00D577BB"/>
    <w:rsid w:val="00D84D5E"/>
    <w:rsid w:val="00DA7D33"/>
    <w:rsid w:val="00DB6F36"/>
    <w:rsid w:val="00DC6A18"/>
    <w:rsid w:val="00DD11CB"/>
    <w:rsid w:val="00DE0D8A"/>
    <w:rsid w:val="00DE1BAA"/>
    <w:rsid w:val="00E10C1F"/>
    <w:rsid w:val="00E20E32"/>
    <w:rsid w:val="00EB26FB"/>
    <w:rsid w:val="00EB2C79"/>
    <w:rsid w:val="00EC06DD"/>
    <w:rsid w:val="00EC732A"/>
    <w:rsid w:val="00F31D53"/>
    <w:rsid w:val="00F33C5D"/>
    <w:rsid w:val="00F346B4"/>
    <w:rsid w:val="00F618ED"/>
    <w:rsid w:val="00F81C1C"/>
    <w:rsid w:val="00F92325"/>
    <w:rsid w:val="00F92540"/>
    <w:rsid w:val="00FE0D8B"/>
    <w:rsid w:val="00FE1148"/>
    <w:rsid w:val="00FE1A94"/>
    <w:rsid w:val="00FF1A1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customStyle="1" w:styleId="TdocHeader1">
    <w:name w:val="Tdoc_Header_1"/>
    <w:basedOn w:val="Header"/>
    <w:rsid w:val="00CC3994"/>
    <w:pPr>
      <w:widowControl w:val="0"/>
      <w:tabs>
        <w:tab w:val="clear" w:pos="4536"/>
        <w:tab w:val="right" w:pos="10206"/>
      </w:tabs>
      <w:ind w:left="1440" w:hanging="1440"/>
      <w:jc w:val="both"/>
    </w:pPr>
    <w:rPr>
      <w:rFonts w:eastAsia="Batang"/>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CD93-98B4-4ABD-A900-3E26CBFD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Pages>
  <Words>871</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Daniel Larsson</cp:lastModifiedBy>
  <cp:revision>19</cp:revision>
  <dcterms:created xsi:type="dcterms:W3CDTF">2016-11-04T12:48:00Z</dcterms:created>
  <dcterms:modified xsi:type="dcterms:W3CDTF">2017-02-06T21:22:00Z</dcterms:modified>
</cp:coreProperties>
</file>