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6CE" w:rsidRPr="00CA26CE" w:rsidRDefault="00CA26CE" w:rsidP="00CA26CE">
      <w:pPr>
        <w:pStyle w:val="Header"/>
        <w:rPr>
          <w:bCs/>
          <w:noProof w:val="0"/>
          <w:sz w:val="24"/>
          <w:lang w:val="en-GB"/>
        </w:rPr>
      </w:pPr>
      <w:r w:rsidRPr="00CA26CE">
        <w:rPr>
          <w:bCs/>
          <w:noProof w:val="0"/>
          <w:sz w:val="24"/>
          <w:lang w:val="en-GB"/>
        </w:rPr>
        <w:t>3GPP TSG-RAN WG1 #8</w:t>
      </w:r>
      <w:r w:rsidR="003735C6">
        <w:rPr>
          <w:bCs/>
          <w:noProof w:val="0"/>
          <w:sz w:val="24"/>
          <w:lang w:val="en-GB"/>
        </w:rPr>
        <w:t>7</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3735C6">
        <w:rPr>
          <w:bCs/>
          <w:noProof w:val="0"/>
          <w:sz w:val="24"/>
          <w:lang w:val="en-GB"/>
        </w:rPr>
        <w:tab/>
      </w:r>
      <w:r w:rsidRPr="00CA26CE">
        <w:rPr>
          <w:bCs/>
          <w:noProof w:val="0"/>
          <w:sz w:val="24"/>
          <w:lang w:val="en-GB"/>
        </w:rPr>
        <w:t>R1-</w:t>
      </w:r>
      <w:r w:rsidR="000F4E44" w:rsidRPr="00CA26CE">
        <w:rPr>
          <w:bCs/>
          <w:noProof w:val="0"/>
          <w:sz w:val="24"/>
          <w:lang w:val="en-GB"/>
        </w:rPr>
        <w:t>16</w:t>
      </w:r>
      <w:r w:rsidR="007F25E1">
        <w:rPr>
          <w:bCs/>
          <w:noProof w:val="0"/>
          <w:sz w:val="24"/>
          <w:lang w:val="en-GB"/>
        </w:rPr>
        <w:t>12269</w:t>
      </w:r>
    </w:p>
    <w:p w:rsidR="00AA65C9" w:rsidRDefault="003735C6" w:rsidP="00CA26CE">
      <w:pPr>
        <w:pStyle w:val="Header"/>
        <w:rPr>
          <w:bCs/>
          <w:noProof w:val="0"/>
          <w:sz w:val="24"/>
          <w:lang w:val="en-GB"/>
        </w:rPr>
      </w:pPr>
      <w:r>
        <w:rPr>
          <w:bCs/>
          <w:noProof w:val="0"/>
          <w:sz w:val="24"/>
          <w:lang w:val="en-GB"/>
        </w:rPr>
        <w:t>Reno</w:t>
      </w:r>
      <w:r w:rsidR="00CA26CE" w:rsidRPr="00CA26CE">
        <w:rPr>
          <w:bCs/>
          <w:noProof w:val="0"/>
          <w:sz w:val="24"/>
          <w:lang w:val="en-GB"/>
        </w:rPr>
        <w:t xml:space="preserve">, </w:t>
      </w:r>
      <w:r>
        <w:rPr>
          <w:bCs/>
          <w:noProof w:val="0"/>
          <w:sz w:val="24"/>
          <w:lang w:val="en-GB"/>
        </w:rPr>
        <w:t>USA</w:t>
      </w:r>
      <w:r w:rsidR="00CA26CE" w:rsidRPr="00CA26CE">
        <w:rPr>
          <w:bCs/>
          <w:noProof w:val="0"/>
          <w:sz w:val="24"/>
          <w:lang w:val="en-GB"/>
        </w:rPr>
        <w:t xml:space="preserve">, </w:t>
      </w:r>
      <w:r>
        <w:rPr>
          <w:bCs/>
          <w:noProof w:val="0"/>
          <w:sz w:val="24"/>
          <w:lang w:val="en-GB"/>
        </w:rPr>
        <w:t>November</w:t>
      </w:r>
      <w:r w:rsidR="00CA26CE" w:rsidRPr="00CA26CE">
        <w:rPr>
          <w:bCs/>
          <w:noProof w:val="0"/>
          <w:sz w:val="24"/>
          <w:lang w:val="en-GB"/>
        </w:rPr>
        <w:t xml:space="preserve"> </w:t>
      </w:r>
      <w:r>
        <w:rPr>
          <w:bCs/>
          <w:noProof w:val="0"/>
          <w:sz w:val="24"/>
          <w:lang w:val="en-GB"/>
        </w:rPr>
        <w:t>14-18</w:t>
      </w:r>
      <w:r w:rsidR="00CA26CE" w:rsidRPr="00CA26CE">
        <w:rPr>
          <w:bCs/>
          <w:noProof w:val="0"/>
          <w:sz w:val="24"/>
          <w:lang w:val="en-GB"/>
        </w:rPr>
        <w:t>, 2016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E281A">
        <w:rPr>
          <w:rFonts w:cs="Arial"/>
          <w:b/>
          <w:bCs/>
          <w:sz w:val="24"/>
        </w:rPr>
        <w:t>7.1.1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F95710">
        <w:rPr>
          <w:rFonts w:ascii="Arial" w:hAnsi="Arial" w:cs="Arial"/>
          <w:b/>
          <w:bCs/>
          <w:sz w:val="24"/>
        </w:rPr>
        <w:t xml:space="preserve">On the </w:t>
      </w:r>
      <w:r w:rsidR="00B6575E">
        <w:rPr>
          <w:rFonts w:ascii="Arial" w:hAnsi="Arial" w:cs="Arial"/>
          <w:b/>
          <w:bCs/>
          <w:sz w:val="24"/>
        </w:rPr>
        <w:t>number of symbols in slot with e</w:t>
      </w:r>
      <w:r w:rsidR="003052D4">
        <w:rPr>
          <w:rFonts w:ascii="Arial" w:hAnsi="Arial" w:cs="Arial"/>
          <w:b/>
          <w:bCs/>
          <w:sz w:val="24"/>
        </w:rPr>
        <w:t>xtended CP length</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rsidR="00CC300C" w:rsidRDefault="00530FB4" w:rsidP="002E758C">
      <w:pPr>
        <w:spacing w:after="120"/>
        <w:jc w:val="both"/>
        <w:rPr>
          <w:rFonts w:eastAsia="Malgun Gothic"/>
        </w:rPr>
      </w:pPr>
      <w:r>
        <w:rPr>
          <w:bCs/>
        </w:rPr>
        <w:t>This contribution relates to the number of symbols in a slot</w:t>
      </w:r>
      <w:r w:rsidR="00A051D9">
        <w:rPr>
          <w:bCs/>
        </w:rPr>
        <w:t xml:space="preserve"> </w:t>
      </w:r>
      <w:r w:rsidR="003052D4">
        <w:rPr>
          <w:bCs/>
        </w:rPr>
        <w:t>in the cas</w:t>
      </w:r>
      <w:bookmarkStart w:id="0" w:name="_GoBack"/>
      <w:bookmarkEnd w:id="0"/>
      <w:r w:rsidR="003052D4">
        <w:rPr>
          <w:bCs/>
        </w:rPr>
        <w:t xml:space="preserve">e of extended CP length. The following agreements were </w:t>
      </w:r>
      <w:r w:rsidR="00E1660B">
        <w:rPr>
          <w:rFonts w:eastAsia="Malgun Gothic"/>
        </w:rPr>
        <w:t xml:space="preserve">made </w:t>
      </w:r>
      <w:r w:rsidR="003052D4">
        <w:rPr>
          <w:bCs/>
        </w:rPr>
        <w:t xml:space="preserve">RAN1#86bis </w:t>
      </w:r>
      <w:r w:rsidR="00342AD2">
        <w:rPr>
          <w:bCs/>
        </w:rPr>
        <w:t>[3]</w:t>
      </w:r>
      <w:r w:rsidR="00CC300C">
        <w:rPr>
          <w:rFonts w:eastAsia="Malgun Gothic"/>
        </w:rPr>
        <w:t>:</w:t>
      </w:r>
    </w:p>
    <w:p w:rsidR="00530FB4" w:rsidRPr="007E3B61" w:rsidRDefault="00530FB4" w:rsidP="00530FB4">
      <w:pPr>
        <w:ind w:left="720"/>
        <w:rPr>
          <w:rFonts w:eastAsia="MS Mincho"/>
          <w:b/>
          <w:u w:val="single"/>
          <w:lang w:val="en-US" w:eastAsia="ja-JP"/>
        </w:rPr>
      </w:pPr>
      <w:r w:rsidRPr="000250F0">
        <w:rPr>
          <w:rFonts w:eastAsia="MS Mincho" w:hint="eastAsia"/>
          <w:b/>
          <w:highlight w:val="green"/>
          <w:u w:val="single"/>
          <w:lang w:val="en-US" w:eastAsia="ja-JP"/>
        </w:rPr>
        <w:t>Agreements:</w:t>
      </w:r>
    </w:p>
    <w:p w:rsidR="00530FB4" w:rsidRPr="007E3B61" w:rsidRDefault="00530FB4" w:rsidP="009416F7">
      <w:pPr>
        <w:numPr>
          <w:ilvl w:val="0"/>
          <w:numId w:val="2"/>
        </w:numPr>
        <w:tabs>
          <w:tab w:val="clear" w:pos="720"/>
          <w:tab w:val="num" w:pos="1440"/>
        </w:tabs>
        <w:overflowPunct/>
        <w:autoSpaceDE/>
        <w:autoSpaceDN/>
        <w:adjustRightInd/>
        <w:spacing w:after="0"/>
        <w:ind w:left="1440"/>
        <w:textAlignment w:val="auto"/>
        <w:rPr>
          <w:rFonts w:eastAsia="MS Mincho"/>
          <w:lang w:val="en-US" w:eastAsia="ja-JP"/>
        </w:rPr>
      </w:pPr>
      <w:r w:rsidRPr="007E3B61">
        <w:rPr>
          <w:rFonts w:eastAsia="MS Mincho" w:hint="eastAsia"/>
          <w:lang w:val="en-US" w:eastAsia="ja-JP"/>
        </w:rPr>
        <w:t>For SCS of up to 60kHz with NCP, y = 7 and 14</w:t>
      </w:r>
    </w:p>
    <w:p w:rsidR="00530FB4" w:rsidRPr="007E3B61" w:rsidRDefault="00530FB4" w:rsidP="009416F7">
      <w:pPr>
        <w:numPr>
          <w:ilvl w:val="1"/>
          <w:numId w:val="2"/>
        </w:numPr>
        <w:tabs>
          <w:tab w:val="clear" w:pos="1440"/>
          <w:tab w:val="num" w:pos="2160"/>
        </w:tabs>
        <w:overflowPunct/>
        <w:autoSpaceDE/>
        <w:autoSpaceDN/>
        <w:adjustRightInd/>
        <w:spacing w:after="0"/>
        <w:ind w:left="2160"/>
        <w:textAlignment w:val="auto"/>
        <w:rPr>
          <w:rFonts w:eastAsia="MS Mincho"/>
          <w:lang w:val="en-US" w:eastAsia="ja-JP"/>
        </w:rPr>
      </w:pPr>
      <w:r w:rsidRPr="007E3B61">
        <w:rPr>
          <w:rFonts w:eastAsia="MS Mincho" w:hint="eastAsia"/>
          <w:lang w:val="en-US" w:eastAsia="ja-JP"/>
        </w:rPr>
        <w:t>FFS: whether/which to down select for certain SCS(s)</w:t>
      </w:r>
    </w:p>
    <w:p w:rsidR="00530FB4" w:rsidRPr="007E3B61" w:rsidRDefault="00530FB4" w:rsidP="009416F7">
      <w:pPr>
        <w:numPr>
          <w:ilvl w:val="0"/>
          <w:numId w:val="2"/>
        </w:numPr>
        <w:tabs>
          <w:tab w:val="clear" w:pos="720"/>
          <w:tab w:val="num" w:pos="1440"/>
        </w:tabs>
        <w:overflowPunct/>
        <w:autoSpaceDE/>
        <w:autoSpaceDN/>
        <w:adjustRightInd/>
        <w:spacing w:after="0"/>
        <w:ind w:left="1440"/>
        <w:textAlignment w:val="auto"/>
        <w:rPr>
          <w:rFonts w:eastAsia="MS Mincho"/>
          <w:lang w:val="en-US" w:eastAsia="ja-JP"/>
        </w:rPr>
      </w:pPr>
      <w:r w:rsidRPr="007E3B61">
        <w:rPr>
          <w:rFonts w:eastAsia="MS Mincho" w:hint="eastAsia"/>
          <w:lang w:val="en-US" w:eastAsia="ja-JP"/>
        </w:rPr>
        <w:t>For SCS of higher than 60kHz with NCP, y = 14</w:t>
      </w:r>
    </w:p>
    <w:p w:rsidR="00530FB4" w:rsidRPr="00530FB4" w:rsidRDefault="00530FB4" w:rsidP="002E758C">
      <w:pPr>
        <w:spacing w:after="120"/>
        <w:jc w:val="both"/>
        <w:rPr>
          <w:bCs/>
          <w:lang w:val="en-US"/>
        </w:rPr>
      </w:pPr>
    </w:p>
    <w:p w:rsidR="003052D4" w:rsidRDefault="003052D4" w:rsidP="003052D4">
      <w:pPr>
        <w:ind w:left="852"/>
        <w:rPr>
          <w:rFonts w:eastAsia="MS Mincho"/>
          <w:b/>
          <w:u w:val="single"/>
          <w:lang w:val="en-US" w:eastAsia="ja-JP"/>
        </w:rPr>
      </w:pPr>
      <w:r>
        <w:rPr>
          <w:rFonts w:eastAsia="MS Mincho"/>
          <w:b/>
          <w:highlight w:val="green"/>
          <w:u w:val="single"/>
          <w:lang w:val="en-US" w:eastAsia="ja-JP"/>
        </w:rPr>
        <w:t>Agreements:</w:t>
      </w:r>
    </w:p>
    <w:p w:rsidR="003052D4" w:rsidRDefault="003052D4" w:rsidP="003052D4">
      <w:pPr>
        <w:numPr>
          <w:ilvl w:val="0"/>
          <w:numId w:val="5"/>
        </w:numPr>
        <w:tabs>
          <w:tab w:val="clear" w:pos="720"/>
          <w:tab w:val="num" w:pos="1572"/>
        </w:tabs>
        <w:overflowPunct/>
        <w:autoSpaceDE/>
        <w:autoSpaceDN/>
        <w:adjustRightInd/>
        <w:spacing w:after="0"/>
        <w:ind w:left="1572"/>
        <w:textAlignment w:val="auto"/>
        <w:rPr>
          <w:rFonts w:eastAsia="MS Mincho"/>
          <w:lang w:val="en-US" w:eastAsia="ja-JP"/>
        </w:rPr>
      </w:pPr>
      <w:r>
        <w:rPr>
          <w:rFonts w:eastAsia="MS Mincho"/>
          <w:lang w:val="en-US" w:eastAsia="ja-JP"/>
        </w:rPr>
        <w:t>From Phase 1, physical layer design should support an extended CP</w:t>
      </w:r>
    </w:p>
    <w:p w:rsidR="003052D4" w:rsidRDefault="003052D4" w:rsidP="003052D4">
      <w:pPr>
        <w:numPr>
          <w:ilvl w:val="1"/>
          <w:numId w:val="5"/>
        </w:numPr>
        <w:tabs>
          <w:tab w:val="clear" w:pos="1440"/>
          <w:tab w:val="num" w:pos="2292"/>
        </w:tabs>
        <w:overflowPunct/>
        <w:autoSpaceDE/>
        <w:autoSpaceDN/>
        <w:adjustRightInd/>
        <w:spacing w:after="0"/>
        <w:ind w:left="2292"/>
        <w:textAlignment w:val="auto"/>
        <w:rPr>
          <w:rFonts w:eastAsia="MS Mincho"/>
          <w:lang w:val="en-US" w:eastAsia="ja-JP"/>
        </w:rPr>
      </w:pPr>
      <w:r>
        <w:rPr>
          <w:rFonts w:eastAsia="MS Mincho"/>
          <w:lang w:val="en-US" w:eastAsia="ja-JP"/>
        </w:rPr>
        <w:t>Extended CP will be only one in given subcarrier spacing</w:t>
      </w:r>
    </w:p>
    <w:p w:rsidR="003052D4" w:rsidRDefault="003052D4" w:rsidP="003052D4">
      <w:pPr>
        <w:numPr>
          <w:ilvl w:val="0"/>
          <w:numId w:val="5"/>
        </w:numPr>
        <w:tabs>
          <w:tab w:val="clear" w:pos="720"/>
          <w:tab w:val="num" w:pos="1572"/>
        </w:tabs>
        <w:overflowPunct/>
        <w:autoSpaceDE/>
        <w:autoSpaceDN/>
        <w:adjustRightInd/>
        <w:spacing w:after="0"/>
        <w:ind w:left="1572"/>
        <w:textAlignment w:val="auto"/>
        <w:rPr>
          <w:rFonts w:eastAsia="MS Mincho"/>
          <w:lang w:val="en-US" w:eastAsia="ja-JP"/>
        </w:rPr>
      </w:pPr>
      <w:r>
        <w:rPr>
          <w:rFonts w:eastAsia="MS Mincho"/>
          <w:lang w:val="en-US" w:eastAsia="ja-JP"/>
        </w:rPr>
        <w:t>FFS: Exact for the services/scenarios for extended CP</w:t>
      </w:r>
    </w:p>
    <w:p w:rsidR="00E1660B" w:rsidRPr="00E1660B" w:rsidRDefault="00E1660B" w:rsidP="002E758C">
      <w:pPr>
        <w:spacing w:after="120"/>
        <w:jc w:val="both"/>
        <w:rPr>
          <w:bCs/>
          <w:lang w:val="en-US"/>
        </w:rPr>
      </w:pPr>
    </w:p>
    <w:p w:rsidR="004B23AD" w:rsidRDefault="008D4B8A" w:rsidP="004B23AD">
      <w:pPr>
        <w:pStyle w:val="Heading1"/>
      </w:pPr>
      <w:r>
        <w:rPr>
          <w:color w:val="000000"/>
        </w:rPr>
        <w:t>2</w:t>
      </w:r>
      <w:r w:rsidR="004B23AD" w:rsidRPr="00A51522">
        <w:rPr>
          <w:color w:val="000000"/>
        </w:rPr>
        <w:tab/>
      </w:r>
      <w:r w:rsidR="00E1660B">
        <w:t>Discussion</w:t>
      </w:r>
    </w:p>
    <w:p w:rsidR="003052D4" w:rsidRDefault="003052D4" w:rsidP="003052D4">
      <w:r>
        <w:fldChar w:fldCharType="begin"/>
      </w:r>
      <w:r>
        <w:instrText xml:space="preserve"> REF _Ref452368703 \h </w:instrText>
      </w:r>
      <w:r>
        <w:fldChar w:fldCharType="separate"/>
      </w:r>
      <w:r>
        <w:t xml:space="preserve">Table </w:t>
      </w:r>
      <w:r>
        <w:rPr>
          <w:noProof/>
        </w:rPr>
        <w:t>1</w:t>
      </w:r>
      <w:r>
        <w:fldChar w:fldCharType="end"/>
      </w:r>
      <w:r>
        <w:t xml:space="preserve"> below provides an exemplary set of numerologies as a function of carrier frequency for non-MTC services. The time domain parameters such as symbol length and CP length are scaled down (compared to LTE) by parameter N, whereas subcarrier spacing are scaled up by parameter N.</w:t>
      </w:r>
    </w:p>
    <w:p w:rsidR="003052D4" w:rsidRDefault="003052D4" w:rsidP="003052D4">
      <w:pPr>
        <w:pStyle w:val="Caption"/>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Example numerologies as a function of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79"/>
        <w:gridCol w:w="755"/>
        <w:gridCol w:w="851"/>
        <w:gridCol w:w="550"/>
        <w:gridCol w:w="708"/>
        <w:gridCol w:w="768"/>
      </w:tblGrid>
      <w:tr w:rsidR="003052D4" w:rsidTr="00D164CC">
        <w:trPr>
          <w:jc w:val="center"/>
        </w:trPr>
        <w:tc>
          <w:tcPr>
            <w:tcW w:w="3145" w:type="dxa"/>
            <w:shd w:val="clear" w:color="auto" w:fill="BFBFBF"/>
          </w:tcPr>
          <w:p w:rsidR="003052D4" w:rsidRPr="00383A78" w:rsidRDefault="003052D4" w:rsidP="00D164CC">
            <w:pPr>
              <w:pStyle w:val="00BodyText"/>
              <w:spacing w:after="0"/>
              <w:rPr>
                <w:sz w:val="20"/>
                <w:lang w:val="x-none"/>
              </w:rPr>
            </w:pPr>
          </w:p>
        </w:tc>
        <w:tc>
          <w:tcPr>
            <w:tcW w:w="2285" w:type="dxa"/>
            <w:gridSpan w:val="3"/>
            <w:shd w:val="clear" w:color="auto" w:fill="BFBFBF"/>
          </w:tcPr>
          <w:p w:rsidR="003052D4" w:rsidRPr="00383A78" w:rsidRDefault="003052D4" w:rsidP="00D164CC">
            <w:pPr>
              <w:pStyle w:val="00BodyText"/>
              <w:spacing w:after="0"/>
              <w:jc w:val="center"/>
              <w:rPr>
                <w:rFonts w:ascii="Times New Roman" w:hAnsi="Times New Roman"/>
                <w:sz w:val="20"/>
                <w:lang w:val="en-GB"/>
              </w:rPr>
            </w:pPr>
            <w:r w:rsidRPr="00383A78">
              <w:rPr>
                <w:rFonts w:ascii="Times New Roman" w:hAnsi="Times New Roman"/>
                <w:sz w:val="20"/>
                <w:lang w:val="en-GB"/>
              </w:rPr>
              <w:t>&lt; 6 GHz</w:t>
            </w:r>
          </w:p>
        </w:tc>
        <w:tc>
          <w:tcPr>
            <w:tcW w:w="2026" w:type="dxa"/>
            <w:gridSpan w:val="3"/>
            <w:shd w:val="clear" w:color="auto" w:fill="BFBFBF"/>
          </w:tcPr>
          <w:p w:rsidR="003052D4" w:rsidRPr="00383A78" w:rsidRDefault="003052D4" w:rsidP="00D164CC">
            <w:pPr>
              <w:pStyle w:val="00BodyText"/>
              <w:spacing w:after="0"/>
              <w:jc w:val="center"/>
              <w:rPr>
                <w:rFonts w:ascii="Times New Roman" w:hAnsi="Times New Roman"/>
                <w:sz w:val="20"/>
                <w:lang w:val="en-GB"/>
              </w:rPr>
            </w:pPr>
            <w:r w:rsidRPr="00383A78">
              <w:rPr>
                <w:rFonts w:ascii="Times New Roman" w:hAnsi="Times New Roman"/>
                <w:sz w:val="20"/>
                <w:lang w:val="en-GB"/>
              </w:rPr>
              <w:t>6-40 GHz</w:t>
            </w:r>
          </w:p>
        </w:tc>
      </w:tr>
      <w:tr w:rsidR="003052D4" w:rsidTr="00D164CC">
        <w:trPr>
          <w:jc w:val="center"/>
        </w:trPr>
        <w:tc>
          <w:tcPr>
            <w:tcW w:w="3145" w:type="dxa"/>
            <w:shd w:val="clear" w:color="auto" w:fill="auto"/>
          </w:tcPr>
          <w:p w:rsidR="003052D4" w:rsidRPr="006A4FC5" w:rsidRDefault="003052D4" w:rsidP="00D164CC">
            <w:pPr>
              <w:pStyle w:val="00BodyText"/>
              <w:spacing w:after="0"/>
              <w:rPr>
                <w:rFonts w:ascii="Times New Roman" w:hAnsi="Times New Roman"/>
                <w:sz w:val="20"/>
                <w:lang w:val="en-GB"/>
              </w:rPr>
            </w:pPr>
            <w:r w:rsidRPr="006A4FC5">
              <w:rPr>
                <w:rFonts w:ascii="Times New Roman" w:hAnsi="Times New Roman"/>
                <w:sz w:val="20"/>
                <w:lang w:val="en-GB"/>
              </w:rPr>
              <w:t>Subcarrier spacing</w:t>
            </w:r>
            <w:r>
              <w:rPr>
                <w:rFonts w:ascii="Times New Roman" w:hAnsi="Times New Roman"/>
                <w:sz w:val="20"/>
                <w:lang w:val="en-GB"/>
              </w:rPr>
              <w:t xml:space="preserve"> [kHz]</w:t>
            </w:r>
          </w:p>
        </w:tc>
        <w:tc>
          <w:tcPr>
            <w:tcW w:w="679"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15</w:t>
            </w:r>
          </w:p>
        </w:tc>
        <w:tc>
          <w:tcPr>
            <w:tcW w:w="755"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30</w:t>
            </w:r>
          </w:p>
        </w:tc>
        <w:tc>
          <w:tcPr>
            <w:tcW w:w="851"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60</w:t>
            </w:r>
          </w:p>
        </w:tc>
        <w:tc>
          <w:tcPr>
            <w:tcW w:w="550"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60</w:t>
            </w:r>
          </w:p>
        </w:tc>
        <w:tc>
          <w:tcPr>
            <w:tcW w:w="70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120</w:t>
            </w:r>
          </w:p>
        </w:tc>
        <w:tc>
          <w:tcPr>
            <w:tcW w:w="76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240</w:t>
            </w:r>
          </w:p>
        </w:tc>
      </w:tr>
      <w:tr w:rsidR="003052D4" w:rsidTr="00D164CC">
        <w:trPr>
          <w:jc w:val="center"/>
        </w:trPr>
        <w:tc>
          <w:tcPr>
            <w:tcW w:w="3145" w:type="dxa"/>
            <w:shd w:val="clear" w:color="auto" w:fill="auto"/>
          </w:tcPr>
          <w:p w:rsidR="003052D4" w:rsidRPr="006A4FC5" w:rsidRDefault="003052D4" w:rsidP="00D164CC">
            <w:pPr>
              <w:pStyle w:val="00BodyText"/>
              <w:spacing w:after="0"/>
              <w:rPr>
                <w:rFonts w:ascii="Times New Roman" w:hAnsi="Times New Roman"/>
                <w:sz w:val="20"/>
                <w:lang w:val="en-GB"/>
              </w:rPr>
            </w:pPr>
            <w:r w:rsidRPr="006A4FC5">
              <w:rPr>
                <w:rFonts w:ascii="Times New Roman" w:hAnsi="Times New Roman"/>
                <w:sz w:val="20"/>
                <w:lang w:val="en-GB"/>
              </w:rPr>
              <w:t>Cyclic prefix</w:t>
            </w:r>
            <w:r>
              <w:rPr>
                <w:rFonts w:ascii="Times New Roman" w:hAnsi="Times New Roman"/>
                <w:sz w:val="20"/>
                <w:lang w:val="en-GB"/>
              </w:rPr>
              <w:t xml:space="preserve"> [us]</w:t>
            </w:r>
          </w:p>
        </w:tc>
        <w:tc>
          <w:tcPr>
            <w:tcW w:w="679"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4.8</w:t>
            </w:r>
          </w:p>
        </w:tc>
        <w:tc>
          <w:tcPr>
            <w:tcW w:w="755"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2.4</w:t>
            </w:r>
          </w:p>
        </w:tc>
        <w:tc>
          <w:tcPr>
            <w:tcW w:w="851" w:type="dxa"/>
          </w:tcPr>
          <w:p w:rsidR="003052D4" w:rsidRPr="006A4FC5"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1.2</w:t>
            </w:r>
          </w:p>
        </w:tc>
        <w:tc>
          <w:tcPr>
            <w:tcW w:w="550"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1.2</w:t>
            </w:r>
          </w:p>
        </w:tc>
        <w:tc>
          <w:tcPr>
            <w:tcW w:w="70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0.6</w:t>
            </w:r>
          </w:p>
        </w:tc>
        <w:tc>
          <w:tcPr>
            <w:tcW w:w="768" w:type="dxa"/>
          </w:tcPr>
          <w:p w:rsidR="003052D4" w:rsidRDefault="003052D4" w:rsidP="00D164CC">
            <w:pPr>
              <w:pStyle w:val="00BodyText"/>
              <w:spacing w:after="0"/>
              <w:jc w:val="center"/>
              <w:rPr>
                <w:rFonts w:ascii="Times New Roman" w:hAnsi="Times New Roman"/>
                <w:sz w:val="20"/>
                <w:lang w:val="en-GB"/>
              </w:rPr>
            </w:pPr>
            <w:r>
              <w:rPr>
                <w:rFonts w:ascii="Times New Roman" w:hAnsi="Times New Roman"/>
                <w:sz w:val="20"/>
                <w:lang w:val="en-GB"/>
              </w:rPr>
              <w:t>0.3</w:t>
            </w:r>
          </w:p>
        </w:tc>
      </w:tr>
    </w:tbl>
    <w:p w:rsidR="003052D4" w:rsidRDefault="003052D4" w:rsidP="003052D4">
      <w:pPr>
        <w:overflowPunct/>
        <w:autoSpaceDE/>
        <w:autoSpaceDN/>
        <w:adjustRightInd/>
        <w:spacing w:after="0"/>
        <w:textAlignment w:val="auto"/>
      </w:pPr>
    </w:p>
    <w:p w:rsidR="00C86179" w:rsidRDefault="00C86179" w:rsidP="003052D4">
      <w:pPr>
        <w:overflowPunct/>
        <w:autoSpaceDE/>
        <w:autoSpaceDN/>
        <w:adjustRightInd/>
        <w:spacing w:after="0"/>
        <w:textAlignment w:val="auto"/>
      </w:pPr>
    </w:p>
    <w:p w:rsidR="00DE2ED2" w:rsidRDefault="003052D4" w:rsidP="00DE2ED2">
      <w:pPr>
        <w:overflowPunct/>
        <w:autoSpaceDE/>
        <w:autoSpaceDN/>
        <w:adjustRightInd/>
        <w:spacing w:after="0"/>
        <w:textAlignment w:val="auto"/>
      </w:pPr>
      <w:r>
        <w:t xml:space="preserve">Direct scaling </w:t>
      </w:r>
      <w:r w:rsidRPr="00376EC0">
        <w:t>from LTE numerology and 15</w:t>
      </w:r>
      <w:r>
        <w:t xml:space="preserve"> </w:t>
      </w:r>
      <w:r w:rsidRPr="00376EC0">
        <w:t>kHz subcarrier spacing to 60</w:t>
      </w:r>
      <w:r>
        <w:t xml:space="preserve"> </w:t>
      </w:r>
      <w:r w:rsidRPr="00376EC0">
        <w:t xml:space="preserve">kHz subcarrier spacing leads to </w:t>
      </w:r>
      <w:r>
        <w:t xml:space="preserve">shortened </w:t>
      </w:r>
      <w:r w:rsidRPr="00376EC0">
        <w:t>cyclic prefix</w:t>
      </w:r>
      <w:r>
        <w:t xml:space="preserve"> length</w:t>
      </w:r>
      <w:r w:rsidRPr="00376EC0">
        <w:t xml:space="preserve"> </w:t>
      </w:r>
      <w:r>
        <w:t>(CP length is 1.2us,</w:t>
      </w:r>
      <w:r w:rsidRPr="00376EC0">
        <w:t xml:space="preserve"> </w:t>
      </w:r>
      <w:r>
        <w:t xml:space="preserve">as indicated in Table 1). If 60 kHz subcarrier spacing is wanted to be deployed in long delay spread channels, this normal CP (NCP) length may become too short and limiting the performance of data reception. </w:t>
      </w:r>
    </w:p>
    <w:p w:rsidR="00DE2ED2" w:rsidRDefault="00DE2ED2" w:rsidP="00DE2ED2">
      <w:pPr>
        <w:overflowPunct/>
        <w:autoSpaceDE/>
        <w:autoSpaceDN/>
        <w:adjustRightInd/>
        <w:spacing w:after="0"/>
        <w:textAlignment w:val="auto"/>
      </w:pPr>
    </w:p>
    <w:p w:rsidR="003052D4" w:rsidRDefault="003052D4" w:rsidP="00DE2ED2">
      <w:pPr>
        <w:overflowPunct/>
        <w:autoSpaceDE/>
        <w:autoSpaceDN/>
        <w:adjustRightInd/>
        <w:spacing w:after="0"/>
        <w:textAlignment w:val="auto"/>
      </w:pPr>
      <w:r>
        <w:t>Using an extended CP (ECP) the signal transmission can be made more robust to long channel delay spread</w:t>
      </w:r>
      <w:r w:rsidR="009E4071">
        <w:t>,</w:t>
      </w:r>
      <w:r w:rsidR="00DE2ED2">
        <w:t xml:space="preserve"> at the expense CP overhead.</w:t>
      </w:r>
      <w:r>
        <w:t xml:space="preserve"> However, while extended CP would provide robustness against channel delay spread, additionally dense placement of DMRS symbols in frequency domain may be needed to ensure that channel estimation is not compromised due to too sparse channel measurement points in frequency.</w:t>
      </w:r>
      <w:r w:rsidR="00987B0E">
        <w:t xml:space="preserve"> </w:t>
      </w:r>
    </w:p>
    <w:p w:rsidR="00987B0E" w:rsidRDefault="00987B0E" w:rsidP="003052D4"/>
    <w:p w:rsidR="00987B0E" w:rsidRPr="00987B0E" w:rsidRDefault="00987B0E" w:rsidP="003052D4">
      <w:pPr>
        <w:rPr>
          <w:b/>
          <w:u w:val="single"/>
        </w:rPr>
      </w:pPr>
      <w:r w:rsidRPr="00987B0E">
        <w:rPr>
          <w:b/>
          <w:u w:val="single"/>
        </w:rPr>
        <w:t>ECP options</w:t>
      </w:r>
    </w:p>
    <w:p w:rsidR="00DE2ED2" w:rsidRDefault="00987B0E" w:rsidP="00DE2ED2">
      <w:r>
        <w:t xml:space="preserve">Based on the </w:t>
      </w:r>
      <w:r w:rsidR="00DE2ED2">
        <w:t>previous agreements, the slot length in the case of normal CP can be either 7 or 14. From CP overhead point of view the most reasonable CP length options for would be the following:</w:t>
      </w:r>
    </w:p>
    <w:p w:rsidR="00FA7845" w:rsidRDefault="00FA7845" w:rsidP="00DE2ED2"/>
    <w:p w:rsidR="00FA7845" w:rsidRDefault="00A75ACC" w:rsidP="00A75ACC">
      <w:pPr>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ECP options with y=7 and y=14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1134"/>
      </w:tblGrid>
      <w:tr w:rsidR="00A75ACC" w:rsidRPr="00383A78" w:rsidTr="00A75ACC">
        <w:trPr>
          <w:jc w:val="center"/>
        </w:trPr>
        <w:tc>
          <w:tcPr>
            <w:tcW w:w="1129" w:type="dxa"/>
            <w:vMerge w:val="restart"/>
            <w:shd w:val="clear" w:color="auto" w:fill="D9D9D9" w:themeFill="background1" w:themeFillShade="D9"/>
          </w:tcPr>
          <w:p w:rsidR="00A75ACC" w:rsidRPr="00A75ACC" w:rsidRDefault="00A75ACC" w:rsidP="00D164CC">
            <w:pPr>
              <w:pStyle w:val="00BodyText"/>
              <w:spacing w:after="0"/>
              <w:rPr>
                <w:b/>
                <w:sz w:val="20"/>
                <w:lang w:val="fi-FI"/>
              </w:rPr>
            </w:pPr>
            <w:r w:rsidRPr="00A75ACC">
              <w:rPr>
                <w:b/>
                <w:sz w:val="20"/>
                <w:lang w:val="fi-FI"/>
              </w:rPr>
              <w:t>NCP</w:t>
            </w:r>
          </w:p>
        </w:tc>
        <w:tc>
          <w:tcPr>
            <w:tcW w:w="2410" w:type="dxa"/>
            <w:gridSpan w:val="2"/>
            <w:shd w:val="clear" w:color="auto" w:fill="D9D9D9" w:themeFill="background1" w:themeFillShade="D9"/>
          </w:tcPr>
          <w:p w:rsidR="00A75ACC" w:rsidRPr="00A75ACC" w:rsidRDefault="00A75ACC" w:rsidP="00D164CC">
            <w:pPr>
              <w:pStyle w:val="00BodyText"/>
              <w:spacing w:after="0"/>
              <w:jc w:val="center"/>
              <w:rPr>
                <w:rFonts w:ascii="Times New Roman" w:hAnsi="Times New Roman"/>
                <w:b/>
                <w:sz w:val="20"/>
                <w:lang w:val="en-GB"/>
              </w:rPr>
            </w:pPr>
            <w:r w:rsidRPr="00A75ACC">
              <w:rPr>
                <w:rFonts w:ascii="Times New Roman" w:hAnsi="Times New Roman"/>
                <w:b/>
                <w:sz w:val="20"/>
                <w:lang w:val="en-GB"/>
              </w:rPr>
              <w:t>ECP</w:t>
            </w:r>
          </w:p>
        </w:tc>
      </w:tr>
      <w:tr w:rsidR="00A75ACC" w:rsidTr="00A75ACC">
        <w:trPr>
          <w:jc w:val="center"/>
        </w:trPr>
        <w:tc>
          <w:tcPr>
            <w:tcW w:w="1129" w:type="dxa"/>
            <w:vMerge/>
            <w:shd w:val="clear" w:color="auto" w:fill="D9D9D9" w:themeFill="background1" w:themeFillShade="D9"/>
          </w:tcPr>
          <w:p w:rsidR="00A75ACC" w:rsidRPr="006A4FC5" w:rsidRDefault="00A75ACC" w:rsidP="00D164CC">
            <w:pPr>
              <w:pStyle w:val="00BodyText"/>
              <w:spacing w:after="0"/>
              <w:rPr>
                <w:rFonts w:ascii="Times New Roman" w:hAnsi="Times New Roman"/>
                <w:sz w:val="20"/>
                <w:lang w:val="en-GB"/>
              </w:rPr>
            </w:pPr>
          </w:p>
        </w:tc>
        <w:tc>
          <w:tcPr>
            <w:tcW w:w="1276" w:type="dxa"/>
            <w:shd w:val="clear" w:color="auto" w:fill="D9D9D9" w:themeFill="background1" w:themeFillShade="D9"/>
          </w:tcPr>
          <w:p w:rsidR="00A75ACC" w:rsidRPr="006A4FC5"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Opt#1</w:t>
            </w:r>
          </w:p>
        </w:tc>
        <w:tc>
          <w:tcPr>
            <w:tcW w:w="1134" w:type="dxa"/>
            <w:shd w:val="clear" w:color="auto" w:fill="D9D9D9" w:themeFill="background1" w:themeFillShade="D9"/>
          </w:tcPr>
          <w:p w:rsidR="00A75ACC"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Opt#2</w:t>
            </w:r>
          </w:p>
        </w:tc>
      </w:tr>
      <w:tr w:rsidR="00A75ACC" w:rsidTr="00A75ACC">
        <w:trPr>
          <w:jc w:val="center"/>
        </w:trPr>
        <w:tc>
          <w:tcPr>
            <w:tcW w:w="1129" w:type="dxa"/>
            <w:shd w:val="clear" w:color="auto" w:fill="auto"/>
          </w:tcPr>
          <w:p w:rsidR="00A75ACC" w:rsidRPr="006A4FC5" w:rsidRDefault="00A75ACC" w:rsidP="00A75ACC">
            <w:pPr>
              <w:pStyle w:val="00BodyText"/>
              <w:spacing w:after="0"/>
              <w:rPr>
                <w:rFonts w:ascii="Times New Roman" w:hAnsi="Times New Roman"/>
                <w:sz w:val="20"/>
                <w:lang w:val="en-GB"/>
              </w:rPr>
            </w:pPr>
            <w:r>
              <w:rPr>
                <w:rFonts w:ascii="Times New Roman" w:hAnsi="Times New Roman"/>
                <w:sz w:val="20"/>
                <w:lang w:val="en-GB"/>
              </w:rPr>
              <w:t>y=7</w:t>
            </w:r>
          </w:p>
        </w:tc>
        <w:tc>
          <w:tcPr>
            <w:tcW w:w="1276" w:type="dxa"/>
          </w:tcPr>
          <w:p w:rsidR="00A75ACC" w:rsidRPr="006A4FC5"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y=6</w:t>
            </w:r>
          </w:p>
        </w:tc>
        <w:tc>
          <w:tcPr>
            <w:tcW w:w="1134" w:type="dxa"/>
          </w:tcPr>
          <w:p w:rsidR="00A75ACC"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y=6</w:t>
            </w:r>
          </w:p>
        </w:tc>
      </w:tr>
      <w:tr w:rsidR="00A75ACC" w:rsidTr="00A75ACC">
        <w:trPr>
          <w:jc w:val="center"/>
        </w:trPr>
        <w:tc>
          <w:tcPr>
            <w:tcW w:w="1129" w:type="dxa"/>
            <w:shd w:val="clear" w:color="auto" w:fill="auto"/>
          </w:tcPr>
          <w:p w:rsidR="00A75ACC" w:rsidRPr="006A4FC5" w:rsidRDefault="00A75ACC" w:rsidP="00A75ACC">
            <w:pPr>
              <w:pStyle w:val="00BodyText"/>
              <w:spacing w:after="0"/>
              <w:rPr>
                <w:rFonts w:ascii="Times New Roman" w:hAnsi="Times New Roman"/>
                <w:sz w:val="20"/>
                <w:lang w:val="en-GB"/>
              </w:rPr>
            </w:pPr>
            <w:r>
              <w:rPr>
                <w:rFonts w:ascii="Times New Roman" w:hAnsi="Times New Roman"/>
                <w:sz w:val="20"/>
                <w:lang w:val="en-GB"/>
              </w:rPr>
              <w:t>y=14</w:t>
            </w:r>
          </w:p>
        </w:tc>
        <w:tc>
          <w:tcPr>
            <w:tcW w:w="1276" w:type="dxa"/>
          </w:tcPr>
          <w:p w:rsidR="00A75ACC" w:rsidRPr="006A4FC5"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y=12</w:t>
            </w:r>
          </w:p>
        </w:tc>
        <w:tc>
          <w:tcPr>
            <w:tcW w:w="1134" w:type="dxa"/>
          </w:tcPr>
          <w:p w:rsidR="00A75ACC" w:rsidRDefault="00A75ACC" w:rsidP="00A75ACC">
            <w:pPr>
              <w:pStyle w:val="00BodyText"/>
              <w:spacing w:after="0"/>
              <w:jc w:val="center"/>
              <w:rPr>
                <w:rFonts w:ascii="Times New Roman" w:hAnsi="Times New Roman"/>
                <w:sz w:val="20"/>
                <w:lang w:val="en-GB"/>
              </w:rPr>
            </w:pPr>
            <w:r>
              <w:rPr>
                <w:rFonts w:ascii="Times New Roman" w:hAnsi="Times New Roman"/>
                <w:sz w:val="20"/>
                <w:lang w:val="en-GB"/>
              </w:rPr>
              <w:t>y=[12, 13]</w:t>
            </w:r>
          </w:p>
        </w:tc>
      </w:tr>
    </w:tbl>
    <w:p w:rsidR="00DE2ED2" w:rsidRDefault="00DE2ED2" w:rsidP="00DE2ED2"/>
    <w:p w:rsidR="00771037" w:rsidRDefault="00987B0E" w:rsidP="00771037">
      <w:pPr>
        <w:spacing w:after="0"/>
      </w:pPr>
      <w:r>
        <w:t xml:space="preserve">In the following we consider </w:t>
      </w:r>
      <w:r w:rsidR="00A75ACC">
        <w:t xml:space="preserve">the feasibility of these </w:t>
      </w:r>
      <w:r>
        <w:t xml:space="preserve">options in TDL-C-1000ns channel (worst case scenario from delay spread point of view) assuming 60 kHz subcarrier spacing. </w:t>
      </w:r>
      <w:r w:rsidR="00A75ACC">
        <w:t>Figure 1 shows the power delay profile of TDL-C-1000ns channel and CP length with different options.</w:t>
      </w:r>
    </w:p>
    <w:p w:rsidR="00771037" w:rsidRPr="00771037" w:rsidRDefault="00771037" w:rsidP="00771037">
      <w:pPr>
        <w:pStyle w:val="ListParagraph"/>
        <w:numPr>
          <w:ilvl w:val="0"/>
          <w:numId w:val="9"/>
        </w:numPr>
      </w:pPr>
      <w:r>
        <w:rPr>
          <w:sz w:val="20"/>
        </w:rPr>
        <w:t>NCP with CP length 1.17 us</w:t>
      </w:r>
    </w:p>
    <w:p w:rsidR="00771037" w:rsidRPr="00247FCE" w:rsidRDefault="00771037" w:rsidP="00771037">
      <w:pPr>
        <w:pStyle w:val="ListParagraph"/>
        <w:numPr>
          <w:ilvl w:val="0"/>
          <w:numId w:val="9"/>
        </w:numPr>
        <w:rPr>
          <w:lang w:val="en-US"/>
        </w:rPr>
      </w:pPr>
      <w:r w:rsidRPr="00247FCE">
        <w:rPr>
          <w:sz w:val="20"/>
          <w:lang w:val="en-US"/>
        </w:rPr>
        <w:t>ECP</w:t>
      </w:r>
      <w:r w:rsidR="00247FCE" w:rsidRPr="00247FCE">
        <w:rPr>
          <w:sz w:val="20"/>
          <w:lang w:val="en-US"/>
        </w:rPr>
        <w:t xml:space="preserve"> with 13 symbols per slot (ECP13)</w:t>
      </w:r>
      <w:r w:rsidRPr="00247FCE">
        <w:rPr>
          <w:sz w:val="20"/>
          <w:lang w:val="en-US"/>
        </w:rPr>
        <w:t xml:space="preserve"> with CP length 2.56 us</w:t>
      </w:r>
    </w:p>
    <w:p w:rsidR="00771037" w:rsidRPr="00771037" w:rsidRDefault="00247FCE" w:rsidP="00771037">
      <w:pPr>
        <w:pStyle w:val="ListParagraph"/>
        <w:numPr>
          <w:ilvl w:val="0"/>
          <w:numId w:val="9"/>
        </w:numPr>
        <w:rPr>
          <w:lang w:val="en-US"/>
        </w:rPr>
      </w:pPr>
      <w:r>
        <w:rPr>
          <w:sz w:val="20"/>
          <w:lang w:val="en-US"/>
        </w:rPr>
        <w:t>ECP with 6 or 12 symbols per slot (</w:t>
      </w:r>
      <w:r w:rsidR="00771037" w:rsidRPr="00771037">
        <w:rPr>
          <w:sz w:val="20"/>
          <w:lang w:val="en-US"/>
        </w:rPr>
        <w:t>ECP6, ECP12</w:t>
      </w:r>
      <w:r>
        <w:rPr>
          <w:sz w:val="20"/>
          <w:lang w:val="en-US"/>
        </w:rPr>
        <w:t>)</w:t>
      </w:r>
      <w:r w:rsidR="00771037" w:rsidRPr="00771037">
        <w:rPr>
          <w:sz w:val="20"/>
          <w:lang w:val="en-US"/>
        </w:rPr>
        <w:t xml:space="preserve"> with CP length 4.</w:t>
      </w:r>
      <w:r w:rsidR="00771037">
        <w:rPr>
          <w:sz w:val="20"/>
          <w:lang w:val="en-US"/>
        </w:rPr>
        <w:t>17us.</w:t>
      </w:r>
    </w:p>
    <w:p w:rsidR="00987B0E" w:rsidRDefault="005F0918" w:rsidP="00987B0E">
      <w:pPr>
        <w:keepNext/>
        <w:jc w:val="center"/>
      </w:pPr>
      <w:r w:rsidRPr="005F0918">
        <w:rPr>
          <w:noProof/>
          <w:lang w:val="en-US"/>
        </w:rPr>
        <w:drawing>
          <wp:inline distT="0" distB="0" distL="0" distR="0">
            <wp:extent cx="4376645" cy="254480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1468" cy="2547609"/>
                    </a:xfrm>
                    <a:prstGeom prst="rect">
                      <a:avLst/>
                    </a:prstGeom>
                    <a:noFill/>
                    <a:ln>
                      <a:noFill/>
                    </a:ln>
                  </pic:spPr>
                </pic:pic>
              </a:graphicData>
            </a:graphic>
          </wp:inline>
        </w:drawing>
      </w:r>
    </w:p>
    <w:p w:rsidR="003052D4" w:rsidRDefault="00987B0E" w:rsidP="00987B0E">
      <w:pPr>
        <w:pStyle w:val="Caption"/>
        <w:jc w:val="center"/>
        <w:rPr>
          <w:lang w:val="en-US"/>
        </w:rPr>
      </w:pPr>
      <w:r>
        <w:t xml:space="preserve">Figure </w:t>
      </w:r>
      <w:r w:rsidR="00D01F9E">
        <w:fldChar w:fldCharType="begin"/>
      </w:r>
      <w:r w:rsidR="00D01F9E">
        <w:instrText xml:space="preserve"> SEQ Figure \* ARABIC </w:instrText>
      </w:r>
      <w:r w:rsidR="00D01F9E">
        <w:fldChar w:fldCharType="separate"/>
      </w:r>
      <w:r>
        <w:rPr>
          <w:noProof/>
        </w:rPr>
        <w:t>1</w:t>
      </w:r>
      <w:r w:rsidR="00D01F9E">
        <w:rPr>
          <w:noProof/>
        </w:rPr>
        <w:fldChar w:fldCharType="end"/>
      </w:r>
      <w:r w:rsidRPr="00987B0E">
        <w:rPr>
          <w:lang w:val="en-US"/>
        </w:rPr>
        <w:t>. Power delay profile of TDL-C-1000ns channel</w:t>
      </w:r>
    </w:p>
    <w:p w:rsidR="00A75ACC" w:rsidRDefault="00A75ACC" w:rsidP="00A75ACC">
      <w:pPr>
        <w:rPr>
          <w:lang w:val="en-US" w:eastAsia="x-none"/>
        </w:rPr>
      </w:pPr>
    </w:p>
    <w:p w:rsidR="00B6575E" w:rsidRDefault="00B6575E" w:rsidP="00B6575E">
      <w:pPr>
        <w:rPr>
          <w:lang w:val="en-US" w:eastAsia="x-none"/>
        </w:rPr>
      </w:pPr>
      <w:r>
        <w:rPr>
          <w:lang w:val="en-US" w:eastAsia="x-none"/>
        </w:rPr>
        <w:t xml:space="preserve">Figure 2 illustrates the achievable SINR with 60 </w:t>
      </w:r>
      <w:r w:rsidRPr="00A75ACC">
        <w:rPr>
          <w:lang w:val="en-US" w:eastAsia="x-none"/>
        </w:rPr>
        <w:t>kHz SCS in TDL-C-1000ns channel</w:t>
      </w:r>
      <w:r>
        <w:rPr>
          <w:lang w:val="en-US" w:eastAsia="x-none"/>
        </w:rPr>
        <w:t xml:space="preserve"> taking into account the ICI due to excessive delay spread beyond CP.</w:t>
      </w:r>
      <w:r w:rsidR="00247FCE">
        <w:rPr>
          <w:lang w:val="en-US" w:eastAsia="x-none"/>
        </w:rPr>
        <w:t xml:space="preserve"> It has been analyzed according to [6].</w:t>
      </w:r>
      <w:r>
        <w:rPr>
          <w:lang w:val="en-US" w:eastAsia="x-none"/>
        </w:rPr>
        <w:t xml:space="preserve"> It can be noted that SINR floor due to large delay spread starts to affect the achievable SINR at high SNR values (SNR &gt;15 dB). This has an impact especially to URLLC performance at high SNR values as shown in [4]. </w:t>
      </w:r>
    </w:p>
    <w:p w:rsidR="00363BAC" w:rsidRDefault="00363BAC" w:rsidP="00247FCE">
      <w:pPr>
        <w:spacing w:after="0"/>
        <w:rPr>
          <w:lang w:val="en-US" w:eastAsia="x-none"/>
        </w:rPr>
      </w:pPr>
      <w:r>
        <w:rPr>
          <w:lang w:val="en-US" w:eastAsia="x-none"/>
        </w:rPr>
        <w:t xml:space="preserve">When comparing </w:t>
      </w:r>
      <w:r w:rsidR="00B6575E">
        <w:rPr>
          <w:lang w:val="en-US" w:eastAsia="x-none"/>
        </w:rPr>
        <w:t>ECP with 13 symbols/slot (ECP13) and ECP with 6 symbols/slo</w:t>
      </w:r>
      <w:r w:rsidR="00247FCE">
        <w:rPr>
          <w:lang w:val="en-US" w:eastAsia="x-none"/>
        </w:rPr>
        <w:t>t</w:t>
      </w:r>
      <w:r w:rsidR="00B6575E">
        <w:rPr>
          <w:lang w:val="en-US" w:eastAsia="x-none"/>
        </w:rPr>
        <w:t xml:space="preserve"> (ECP6)</w:t>
      </w:r>
      <w:r>
        <w:rPr>
          <w:lang w:val="en-US" w:eastAsia="x-none"/>
        </w:rPr>
        <w:t>, it can be noted that ECP13 does not support URLLC latency target</w:t>
      </w:r>
      <w:r w:rsidR="00B6575E">
        <w:rPr>
          <w:lang w:val="en-US" w:eastAsia="x-none"/>
        </w:rPr>
        <w:t>s</w:t>
      </w:r>
      <w:r>
        <w:rPr>
          <w:lang w:val="en-US" w:eastAsia="x-none"/>
        </w:rPr>
        <w:t xml:space="preserve"> with 60 kHz SCS. Hence, it’s not a good option for URLLC. On the other hand, the SINR floor difference between ECP13 and NCP is only about 2.5 dB</w:t>
      </w:r>
      <w:r w:rsidR="007A60BC">
        <w:rPr>
          <w:lang w:val="en-US" w:eastAsia="x-none"/>
        </w:rPr>
        <w:t>. This indicates that</w:t>
      </w:r>
      <w:r w:rsidR="00BC1534">
        <w:rPr>
          <w:lang w:val="en-US" w:eastAsia="x-none"/>
        </w:rPr>
        <w:t>,</w:t>
      </w:r>
      <w:r w:rsidR="00100250">
        <w:rPr>
          <w:lang w:val="en-US" w:eastAsia="x-none"/>
        </w:rPr>
        <w:t xml:space="preserve"> even though ECP13 benefits from 0.35 dB processing gain compared to ECP6 (or ECP12), it can be seen</w:t>
      </w:r>
      <w:r w:rsidR="007A60BC">
        <w:rPr>
          <w:lang w:val="en-US" w:eastAsia="x-none"/>
        </w:rPr>
        <w:t xml:space="preserve"> just a partial solution for a limited SNR range</w:t>
      </w:r>
      <w:r w:rsidR="00247FCE">
        <w:rPr>
          <w:lang w:val="en-US" w:eastAsia="x-none"/>
        </w:rPr>
        <w:t xml:space="preserve"> </w:t>
      </w:r>
      <w:r w:rsidR="00BC1534">
        <w:rPr>
          <w:lang w:val="en-US" w:eastAsia="x-none"/>
        </w:rPr>
        <w:t>for</w:t>
      </w:r>
      <w:r w:rsidR="00100250">
        <w:rPr>
          <w:lang w:val="en-US" w:eastAsia="x-none"/>
        </w:rPr>
        <w:t xml:space="preserve"> the</w:t>
      </w:r>
      <w:r w:rsidR="00B6575E">
        <w:rPr>
          <w:lang w:val="en-US" w:eastAsia="x-none"/>
        </w:rPr>
        <w:t xml:space="preserve"> scenarios with large delay spread (such as TDL-C-10</w:t>
      </w:r>
      <w:r w:rsidR="00BC1534">
        <w:rPr>
          <w:lang w:val="en-US" w:eastAsia="x-none"/>
        </w:rPr>
        <w:t>0</w:t>
      </w:r>
      <w:r w:rsidR="00B6575E">
        <w:rPr>
          <w:lang w:val="en-US" w:eastAsia="x-none"/>
        </w:rPr>
        <w:t>0ns)</w:t>
      </w:r>
      <w:r w:rsidR="009C3D02">
        <w:rPr>
          <w:lang w:val="en-US" w:eastAsia="x-none"/>
        </w:rPr>
        <w:t xml:space="preserve">: when </w:t>
      </w:r>
      <w:r w:rsidR="007A60BC">
        <w:rPr>
          <w:lang w:val="en-US" w:eastAsia="x-none"/>
        </w:rPr>
        <w:t>S</w:t>
      </w:r>
      <w:r w:rsidR="009C3D02">
        <w:rPr>
          <w:lang w:val="en-US" w:eastAsia="x-none"/>
        </w:rPr>
        <w:t>I</w:t>
      </w:r>
      <w:r w:rsidR="007A60BC">
        <w:rPr>
          <w:lang w:val="en-US" w:eastAsia="x-none"/>
        </w:rPr>
        <w:t>NR&gt;20 dB is required with 60 kHz</w:t>
      </w:r>
      <w:r w:rsidR="00B6575E">
        <w:rPr>
          <w:lang w:val="en-US" w:eastAsia="x-none"/>
        </w:rPr>
        <w:t xml:space="preserve"> SCS</w:t>
      </w:r>
      <w:r w:rsidR="007A60BC">
        <w:rPr>
          <w:lang w:val="en-US" w:eastAsia="x-none"/>
        </w:rPr>
        <w:t xml:space="preserve">, then ECP6 </w:t>
      </w:r>
      <w:r w:rsidR="00B6575E">
        <w:rPr>
          <w:lang w:val="en-US" w:eastAsia="x-none"/>
        </w:rPr>
        <w:t xml:space="preserve">(or ECP12) </w:t>
      </w:r>
      <w:r w:rsidR="007A60BC">
        <w:rPr>
          <w:lang w:val="en-US" w:eastAsia="x-none"/>
        </w:rPr>
        <w:t>needs to be applied.</w:t>
      </w:r>
      <w:r w:rsidR="00100250">
        <w:rPr>
          <w:lang w:val="en-US" w:eastAsia="x-none"/>
        </w:rPr>
        <w:t xml:space="preserve"> </w:t>
      </w:r>
    </w:p>
    <w:p w:rsidR="00B6575E" w:rsidRDefault="00B6575E" w:rsidP="00363BAC">
      <w:pPr>
        <w:rPr>
          <w:lang w:val="en-US" w:eastAsia="x-none"/>
        </w:rPr>
      </w:pPr>
    </w:p>
    <w:p w:rsidR="00B6575E" w:rsidRDefault="00B6575E" w:rsidP="00B6575E">
      <w:pPr>
        <w:jc w:val="center"/>
        <w:rPr>
          <w:lang w:val="en-US" w:eastAsia="ja-JP"/>
        </w:rPr>
      </w:pPr>
      <w:r w:rsidRPr="00A75ACC">
        <w:rPr>
          <w:noProof/>
          <w:lang w:val="en-US"/>
        </w:rPr>
        <w:drawing>
          <wp:inline distT="0" distB="0" distL="0" distR="0" wp14:anchorId="3DB4060F" wp14:editId="3E593515">
            <wp:extent cx="3572256" cy="1668256"/>
            <wp:effectExtent l="0" t="0" r="952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249" cy="1681329"/>
                    </a:xfrm>
                    <a:prstGeom prst="rect">
                      <a:avLst/>
                    </a:prstGeom>
                    <a:noFill/>
                    <a:ln>
                      <a:noFill/>
                    </a:ln>
                  </pic:spPr>
                </pic:pic>
              </a:graphicData>
            </a:graphic>
          </wp:inline>
        </w:drawing>
      </w:r>
    </w:p>
    <w:p w:rsidR="00B6575E" w:rsidRPr="00987B0E" w:rsidRDefault="00B6575E" w:rsidP="00B6575E">
      <w:pPr>
        <w:pStyle w:val="Caption"/>
        <w:tabs>
          <w:tab w:val="left" w:pos="3828"/>
        </w:tabs>
        <w:jc w:val="center"/>
        <w:rPr>
          <w:lang w:val="en-US" w:eastAsia="ja-JP"/>
        </w:rPr>
      </w:pPr>
      <w:r>
        <w:lastRenderedPageBreak/>
        <w:t xml:space="preserve">Figure </w:t>
      </w:r>
      <w:r>
        <w:fldChar w:fldCharType="begin"/>
      </w:r>
      <w:r>
        <w:instrText xml:space="preserve"> SEQ Figure \* ARABIC </w:instrText>
      </w:r>
      <w:r>
        <w:fldChar w:fldCharType="separate"/>
      </w:r>
      <w:r>
        <w:rPr>
          <w:noProof/>
        </w:rPr>
        <w:t>2</w:t>
      </w:r>
      <w:r>
        <w:fldChar w:fldCharType="end"/>
      </w:r>
      <w:r w:rsidRPr="00987B0E">
        <w:rPr>
          <w:lang w:val="en-US"/>
        </w:rPr>
        <w:t xml:space="preserve">. </w:t>
      </w:r>
      <w:r>
        <w:rPr>
          <w:lang w:val="en-US"/>
        </w:rPr>
        <w:t>Achievable SINR with 60 kHz SCS in TDL-C-1000ns channel</w:t>
      </w:r>
    </w:p>
    <w:p w:rsidR="00363BAC" w:rsidRPr="00F46F8C" w:rsidRDefault="00363BAC" w:rsidP="00363BAC">
      <w:pPr>
        <w:rPr>
          <w:lang w:val="en-US"/>
        </w:rPr>
      </w:pPr>
      <w:r>
        <w:rPr>
          <w:lang w:val="en-US" w:eastAsia="ja-JP"/>
        </w:rPr>
        <w:t xml:space="preserve">In [5], we propose that </w:t>
      </w:r>
      <w:r>
        <w:t>slot duration for sub-carrier spacing of 60 kHz and below is always 7 symbols and longer transmission durations are achieved with slot aggregation. Following this logic,</w:t>
      </w:r>
      <w:r w:rsidR="00247FCE">
        <w:t xml:space="preserve"> and based on the discussion above,</w:t>
      </w:r>
      <w:r>
        <w:t xml:space="preserve"> </w:t>
      </w:r>
      <w:r w:rsidR="007A60BC">
        <w:t xml:space="preserve">the ECP </w:t>
      </w:r>
      <w:r w:rsidR="00247FCE">
        <w:t>slot duration can be defined in the following way (see also</w:t>
      </w:r>
      <w:r w:rsidR="007A60BC">
        <w:t xml:space="preserve"> Table 3</w:t>
      </w:r>
      <w:r w:rsidR="00247FCE">
        <w:t>)</w:t>
      </w:r>
      <w:r w:rsidR="007A60BC">
        <w:t>.</w:t>
      </w:r>
      <w:r w:rsidR="00F46F8C">
        <w:t xml:space="preserve"> This would be also inline with the previous agreement made in RAN1#86bis “</w:t>
      </w:r>
      <w:r w:rsidR="00F46F8C" w:rsidRPr="00F46F8C">
        <w:rPr>
          <w:i/>
        </w:rPr>
        <w:t>Extended CP will be only one in given subcarrier spacing</w:t>
      </w:r>
      <w:r w:rsidR="00F46F8C">
        <w:t>”.</w:t>
      </w:r>
    </w:p>
    <w:p w:rsidR="00247FCE" w:rsidRDefault="00247FCE" w:rsidP="00247FCE">
      <w:pPr>
        <w:spacing w:after="120"/>
        <w:jc w:val="both"/>
      </w:pPr>
      <w:r>
        <w:rPr>
          <w:b/>
        </w:rPr>
        <w:t xml:space="preserve">Proposal #1: </w:t>
      </w:r>
      <w:r>
        <w:t>Slot duration for ECP for sub-carrier spacing of 60 kHz and below is always 6 symbols</w:t>
      </w:r>
    </w:p>
    <w:p w:rsidR="00247FCE" w:rsidRDefault="00247FCE" w:rsidP="00247FCE">
      <w:pPr>
        <w:spacing w:after="120"/>
        <w:jc w:val="both"/>
      </w:pPr>
      <w:r>
        <w:rPr>
          <w:b/>
        </w:rPr>
        <w:t xml:space="preserve">Proposal #2: </w:t>
      </w:r>
      <w:r>
        <w:t>Slot duration for ECP for sub-carrier spacings &gt; 60 kHz is 12 symbols</w:t>
      </w:r>
    </w:p>
    <w:p w:rsidR="00247FCE" w:rsidRDefault="00247FCE" w:rsidP="00363BAC"/>
    <w:p w:rsidR="007A60BC" w:rsidRPr="007A60BC" w:rsidRDefault="007A60BC" w:rsidP="007A60BC">
      <w:pPr>
        <w:rPr>
          <w:b/>
        </w:rPr>
      </w:pPr>
      <w:r w:rsidRPr="007A60BC">
        <w:rPr>
          <w:b/>
        </w:rPr>
        <w:t xml:space="preserve">Table </w:t>
      </w:r>
      <w:r w:rsidRPr="007A60BC">
        <w:rPr>
          <w:b/>
        </w:rPr>
        <w:fldChar w:fldCharType="begin"/>
      </w:r>
      <w:r w:rsidRPr="007A60BC">
        <w:rPr>
          <w:b/>
        </w:rPr>
        <w:instrText xml:space="preserve"> SEQ Table \* ARABIC </w:instrText>
      </w:r>
      <w:r w:rsidRPr="007A60BC">
        <w:rPr>
          <w:b/>
        </w:rPr>
        <w:fldChar w:fldCharType="separate"/>
      </w:r>
      <w:r w:rsidRPr="007A60BC">
        <w:rPr>
          <w:b/>
          <w:noProof/>
        </w:rPr>
        <w:t>3</w:t>
      </w:r>
      <w:r w:rsidRPr="007A60BC">
        <w:rPr>
          <w:b/>
          <w:noProof/>
        </w:rPr>
        <w:fldChar w:fldCharType="end"/>
      </w:r>
      <w:r w:rsidRPr="007A60BC">
        <w:rPr>
          <w:b/>
        </w:rPr>
        <w:t xml:space="preserve"> Slot duration with normal and extended CP</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709"/>
        <w:gridCol w:w="727"/>
        <w:gridCol w:w="727"/>
        <w:gridCol w:w="727"/>
        <w:gridCol w:w="772"/>
        <w:gridCol w:w="872"/>
        <w:gridCol w:w="872"/>
        <w:gridCol w:w="872"/>
        <w:gridCol w:w="1072"/>
      </w:tblGrid>
      <w:tr w:rsidR="00363BAC" w:rsidRPr="005E7DA8" w:rsidTr="00D164CC">
        <w:trPr>
          <w:jc w:val="center"/>
        </w:trPr>
        <w:tc>
          <w:tcPr>
            <w:tcW w:w="2437" w:type="dxa"/>
            <w:shd w:val="clear" w:color="auto" w:fill="E7E6E6" w:themeFill="background2"/>
          </w:tcPr>
          <w:p w:rsidR="00363BAC" w:rsidRPr="002F7241" w:rsidRDefault="00363BAC" w:rsidP="00D164CC">
            <w:pPr>
              <w:pStyle w:val="00BodyText"/>
              <w:spacing w:after="0"/>
              <w:rPr>
                <w:rFonts w:ascii="Times New Roman" w:hAnsi="Times New Roman"/>
                <w:b/>
                <w:sz w:val="20"/>
                <w:lang w:val="en-GB"/>
              </w:rPr>
            </w:pPr>
            <w:r w:rsidRPr="002F7241">
              <w:rPr>
                <w:rFonts w:ascii="Times New Roman" w:hAnsi="Times New Roman"/>
                <w:b/>
                <w:sz w:val="20"/>
                <w:lang w:val="en-GB"/>
              </w:rPr>
              <w:t>Subcarrier spacing [kHz]</w:t>
            </w:r>
          </w:p>
        </w:tc>
        <w:tc>
          <w:tcPr>
            <w:tcW w:w="709"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3.75</w:t>
            </w:r>
          </w:p>
        </w:tc>
        <w:tc>
          <w:tcPr>
            <w:tcW w:w="727"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7.5</w:t>
            </w:r>
          </w:p>
        </w:tc>
        <w:tc>
          <w:tcPr>
            <w:tcW w:w="727"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727"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30</w:t>
            </w:r>
          </w:p>
        </w:tc>
        <w:tc>
          <w:tcPr>
            <w:tcW w:w="772"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60</w:t>
            </w:r>
          </w:p>
        </w:tc>
        <w:tc>
          <w:tcPr>
            <w:tcW w:w="872"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120</w:t>
            </w:r>
          </w:p>
        </w:tc>
        <w:tc>
          <w:tcPr>
            <w:tcW w:w="872"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240</w:t>
            </w:r>
          </w:p>
        </w:tc>
        <w:tc>
          <w:tcPr>
            <w:tcW w:w="872" w:type="dxa"/>
            <w:shd w:val="clear" w:color="auto" w:fill="E7E6E6" w:themeFill="background2"/>
          </w:tcPr>
          <w:p w:rsidR="00363BAC" w:rsidRPr="002F7241" w:rsidRDefault="00363BAC" w:rsidP="00D164CC">
            <w:pPr>
              <w:pStyle w:val="00BodyText"/>
              <w:spacing w:after="0"/>
              <w:jc w:val="center"/>
              <w:rPr>
                <w:rFonts w:ascii="Times New Roman" w:hAnsi="Times New Roman"/>
                <w:b/>
                <w:sz w:val="20"/>
                <w:lang w:val="en-GB"/>
              </w:rPr>
            </w:pPr>
            <w:r w:rsidRPr="002F7241">
              <w:rPr>
                <w:rFonts w:ascii="Times New Roman" w:hAnsi="Times New Roman"/>
                <w:b/>
                <w:sz w:val="20"/>
                <w:lang w:val="en-GB"/>
              </w:rPr>
              <w:t>480</w:t>
            </w:r>
          </w:p>
        </w:tc>
        <w:tc>
          <w:tcPr>
            <w:tcW w:w="1072" w:type="dxa"/>
            <w:shd w:val="clear" w:color="auto" w:fill="E7E6E6" w:themeFill="background2"/>
          </w:tcPr>
          <w:p w:rsidR="00363BAC" w:rsidRPr="005E7DA8" w:rsidRDefault="00363BAC" w:rsidP="00D164CC">
            <w:pPr>
              <w:pStyle w:val="00BodyText"/>
              <w:spacing w:after="0"/>
              <w:jc w:val="center"/>
              <w:rPr>
                <w:rFonts w:ascii="Times New Roman" w:hAnsi="Times New Roman"/>
                <w:b/>
                <w:sz w:val="20"/>
                <w:lang w:val="en-GB"/>
              </w:rPr>
            </w:pPr>
            <w:r w:rsidRPr="005E7DA8">
              <w:rPr>
                <w:rFonts w:ascii="Times New Roman" w:hAnsi="Times New Roman"/>
                <w:b/>
                <w:sz w:val="20"/>
                <w:lang w:val="en-GB"/>
              </w:rPr>
              <w:t>960</w:t>
            </w:r>
          </w:p>
        </w:tc>
      </w:tr>
      <w:tr w:rsidR="00363BAC" w:rsidRPr="005E7DA8" w:rsidTr="00D164CC">
        <w:trPr>
          <w:jc w:val="center"/>
        </w:trPr>
        <w:tc>
          <w:tcPr>
            <w:tcW w:w="2437" w:type="dxa"/>
            <w:shd w:val="clear" w:color="auto" w:fill="auto"/>
          </w:tcPr>
          <w:p w:rsidR="00363BAC" w:rsidRPr="002F7241" w:rsidRDefault="00363BAC" w:rsidP="00D164CC">
            <w:pPr>
              <w:pStyle w:val="00BodyText"/>
              <w:spacing w:after="0"/>
              <w:rPr>
                <w:rFonts w:ascii="Times New Roman" w:hAnsi="Times New Roman"/>
                <w:sz w:val="18"/>
                <w:szCs w:val="18"/>
                <w:lang w:val="en-GB"/>
              </w:rPr>
            </w:pPr>
            <w:r>
              <w:rPr>
                <w:rFonts w:ascii="Times New Roman" w:hAnsi="Times New Roman"/>
                <w:sz w:val="18"/>
                <w:szCs w:val="18"/>
                <w:lang w:val="en-GB"/>
              </w:rPr>
              <w:t>Slot duration [symbols, NCP]</w:t>
            </w:r>
          </w:p>
        </w:tc>
        <w:tc>
          <w:tcPr>
            <w:tcW w:w="709"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727"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727"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727"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772"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72"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72"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72" w:type="dxa"/>
            <w:shd w:val="clear" w:color="auto" w:fill="auto"/>
          </w:tcPr>
          <w:p w:rsidR="00363BAC" w:rsidRPr="002F7241" w:rsidRDefault="00363BA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1072" w:type="dxa"/>
            <w:shd w:val="clear" w:color="auto" w:fill="auto"/>
          </w:tcPr>
          <w:p w:rsidR="00363BAC" w:rsidRPr="005E7DA8" w:rsidRDefault="00363BAC" w:rsidP="00D164CC">
            <w:pPr>
              <w:pStyle w:val="00BodyText"/>
              <w:spacing w:after="0"/>
              <w:jc w:val="center"/>
              <w:rPr>
                <w:rFonts w:ascii="Times New Roman" w:hAnsi="Times New Roman"/>
                <w:sz w:val="18"/>
                <w:szCs w:val="18"/>
                <w:lang w:val="en-GB"/>
              </w:rPr>
            </w:pPr>
            <w:r w:rsidRPr="005E7DA8">
              <w:rPr>
                <w:rFonts w:ascii="Times New Roman" w:hAnsi="Times New Roman"/>
                <w:sz w:val="18"/>
                <w:szCs w:val="18"/>
                <w:lang w:val="en-GB"/>
              </w:rPr>
              <w:t>14</w:t>
            </w:r>
          </w:p>
        </w:tc>
      </w:tr>
      <w:tr w:rsidR="007A60BC" w:rsidRPr="005E7DA8" w:rsidTr="00D164CC">
        <w:trPr>
          <w:jc w:val="center"/>
        </w:trPr>
        <w:tc>
          <w:tcPr>
            <w:tcW w:w="2437" w:type="dxa"/>
            <w:shd w:val="clear" w:color="auto" w:fill="auto"/>
          </w:tcPr>
          <w:p w:rsidR="007A60BC" w:rsidRDefault="007A60BC" w:rsidP="00D164CC">
            <w:pPr>
              <w:pStyle w:val="00BodyText"/>
              <w:spacing w:after="0"/>
              <w:rPr>
                <w:rFonts w:ascii="Times New Roman" w:hAnsi="Times New Roman"/>
                <w:sz w:val="18"/>
                <w:szCs w:val="18"/>
                <w:lang w:val="en-GB"/>
              </w:rPr>
            </w:pPr>
            <w:r>
              <w:rPr>
                <w:rFonts w:ascii="Times New Roman" w:hAnsi="Times New Roman"/>
                <w:sz w:val="18"/>
                <w:szCs w:val="18"/>
                <w:lang w:val="en-GB"/>
              </w:rPr>
              <w:t>Slot duration [symbols, ECP]</w:t>
            </w:r>
          </w:p>
        </w:tc>
        <w:tc>
          <w:tcPr>
            <w:tcW w:w="709"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6</w:t>
            </w:r>
          </w:p>
        </w:tc>
        <w:tc>
          <w:tcPr>
            <w:tcW w:w="727"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6</w:t>
            </w:r>
          </w:p>
        </w:tc>
        <w:tc>
          <w:tcPr>
            <w:tcW w:w="727"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6</w:t>
            </w:r>
          </w:p>
        </w:tc>
        <w:tc>
          <w:tcPr>
            <w:tcW w:w="727"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6</w:t>
            </w:r>
          </w:p>
        </w:tc>
        <w:tc>
          <w:tcPr>
            <w:tcW w:w="772"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6</w:t>
            </w:r>
          </w:p>
        </w:tc>
        <w:tc>
          <w:tcPr>
            <w:tcW w:w="872"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12</w:t>
            </w:r>
          </w:p>
        </w:tc>
        <w:tc>
          <w:tcPr>
            <w:tcW w:w="872"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12</w:t>
            </w:r>
          </w:p>
        </w:tc>
        <w:tc>
          <w:tcPr>
            <w:tcW w:w="872" w:type="dxa"/>
            <w:shd w:val="clear" w:color="auto" w:fill="auto"/>
          </w:tcPr>
          <w:p w:rsidR="007A60BC"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12</w:t>
            </w:r>
          </w:p>
        </w:tc>
        <w:tc>
          <w:tcPr>
            <w:tcW w:w="1072" w:type="dxa"/>
            <w:shd w:val="clear" w:color="auto" w:fill="auto"/>
          </w:tcPr>
          <w:p w:rsidR="007A60BC" w:rsidRPr="005E7DA8" w:rsidRDefault="007A60BC" w:rsidP="00D164CC">
            <w:pPr>
              <w:pStyle w:val="00BodyText"/>
              <w:spacing w:after="0"/>
              <w:jc w:val="center"/>
              <w:rPr>
                <w:rFonts w:ascii="Times New Roman" w:hAnsi="Times New Roman"/>
                <w:sz w:val="18"/>
                <w:szCs w:val="18"/>
                <w:lang w:val="en-GB"/>
              </w:rPr>
            </w:pPr>
            <w:r>
              <w:rPr>
                <w:rFonts w:ascii="Times New Roman" w:hAnsi="Times New Roman"/>
                <w:sz w:val="18"/>
                <w:szCs w:val="18"/>
                <w:lang w:val="en-GB"/>
              </w:rPr>
              <w:t>12</w:t>
            </w:r>
          </w:p>
        </w:tc>
      </w:tr>
    </w:tbl>
    <w:p w:rsidR="00987B0E" w:rsidRDefault="00987B0E" w:rsidP="00D45818">
      <w:pPr>
        <w:rPr>
          <w:lang w:val="en-US" w:eastAsia="ja-JP"/>
        </w:rPr>
      </w:pPr>
    </w:p>
    <w:p w:rsidR="0034111C" w:rsidRPr="00A51522" w:rsidRDefault="00530FB4">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rsidR="0080329D" w:rsidRDefault="008539CE" w:rsidP="00EE281A">
      <w:pPr>
        <w:spacing w:after="120"/>
        <w:jc w:val="both"/>
      </w:pPr>
      <w:r>
        <w:t>In this contribution the following proposals are made:</w:t>
      </w:r>
    </w:p>
    <w:p w:rsidR="001131B4" w:rsidRDefault="001131B4" w:rsidP="001131B4">
      <w:pPr>
        <w:spacing w:after="120"/>
        <w:jc w:val="both"/>
      </w:pPr>
      <w:r>
        <w:rPr>
          <w:b/>
        </w:rPr>
        <w:t xml:space="preserve">Proposal 1: </w:t>
      </w:r>
      <w:r>
        <w:t>Slot duration for ECP for sub-carrier spacing of 60 kHz and below is always 6 symbols</w:t>
      </w:r>
    </w:p>
    <w:p w:rsidR="001131B4" w:rsidRDefault="001131B4" w:rsidP="001131B4">
      <w:pPr>
        <w:spacing w:after="120"/>
        <w:jc w:val="both"/>
      </w:pPr>
      <w:r>
        <w:rPr>
          <w:b/>
        </w:rPr>
        <w:t xml:space="preserve">Proposal 2: </w:t>
      </w:r>
      <w:r>
        <w:t>Slot duration for ECP for sub-carrier spacings &gt; 60 kHz is 12 symbols</w:t>
      </w:r>
    </w:p>
    <w:p w:rsidR="0007208A" w:rsidRDefault="0007208A" w:rsidP="0007208A">
      <w:pPr>
        <w:spacing w:after="0"/>
        <w:rPr>
          <w:b/>
          <w:i/>
        </w:rPr>
      </w:pPr>
    </w:p>
    <w:p w:rsidR="0034111C" w:rsidRPr="00A51522" w:rsidRDefault="0034111C">
      <w:pPr>
        <w:pStyle w:val="Heading1"/>
      </w:pPr>
      <w:r w:rsidRPr="00A51522">
        <w:t>References</w:t>
      </w:r>
      <w:r w:rsidR="00A2459D" w:rsidRPr="00A51522">
        <w:t xml:space="preserve"> </w:t>
      </w:r>
    </w:p>
    <w:p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342AD2" w:rsidRDefault="00342AD2" w:rsidP="00342AD2">
      <w:pPr>
        <w:numPr>
          <w:ilvl w:val="0"/>
          <w:numId w:val="1"/>
        </w:numPr>
        <w:rPr>
          <w:sz w:val="18"/>
        </w:rPr>
      </w:pPr>
      <w:r w:rsidRPr="004C3EC7">
        <w:rPr>
          <w:sz w:val="18"/>
        </w:rPr>
        <w:t>RAN1 Chairman’s Notes, 3GPP TSG RAN WG1 Meeting #86</w:t>
      </w:r>
      <w:r w:rsidR="003735C6">
        <w:rPr>
          <w:sz w:val="18"/>
        </w:rPr>
        <w:t>bis</w:t>
      </w:r>
      <w:r w:rsidR="00EE281A">
        <w:rPr>
          <w:sz w:val="18"/>
        </w:rPr>
        <w:t>, 3GPP MCC</w:t>
      </w:r>
      <w:r w:rsidRPr="004C3EC7">
        <w:rPr>
          <w:sz w:val="18"/>
        </w:rPr>
        <w:t>.</w:t>
      </w:r>
    </w:p>
    <w:p w:rsidR="00B31B8D" w:rsidRPr="007F25E1" w:rsidRDefault="00B31B8D" w:rsidP="00B31B8D">
      <w:pPr>
        <w:numPr>
          <w:ilvl w:val="0"/>
          <w:numId w:val="1"/>
        </w:numPr>
        <w:rPr>
          <w:sz w:val="18"/>
        </w:rPr>
      </w:pPr>
      <w:r w:rsidRPr="007F25E1">
        <w:rPr>
          <w:sz w:val="18"/>
        </w:rPr>
        <w:t>R1-1609661, “</w:t>
      </w:r>
      <w:r w:rsidRPr="007F25E1">
        <w:rPr>
          <w:i/>
          <w:sz w:val="18"/>
        </w:rPr>
        <w:t>Comparison of ECP and NCP link performance with 60 kHz subcarrier spacing</w:t>
      </w:r>
      <w:r w:rsidRPr="007F25E1">
        <w:rPr>
          <w:sz w:val="18"/>
        </w:rPr>
        <w:t>”, Nokia, Alcatel-Lucent Shanghai Bell</w:t>
      </w:r>
    </w:p>
    <w:p w:rsidR="00363BAC" w:rsidRDefault="007F25E1" w:rsidP="00363BAC">
      <w:pPr>
        <w:numPr>
          <w:ilvl w:val="0"/>
          <w:numId w:val="1"/>
        </w:numPr>
        <w:rPr>
          <w:sz w:val="18"/>
        </w:rPr>
      </w:pPr>
      <w:r w:rsidRPr="007F25E1">
        <w:rPr>
          <w:sz w:val="18"/>
        </w:rPr>
        <w:t>R1-1612261</w:t>
      </w:r>
      <w:r w:rsidR="00363BAC" w:rsidRPr="007F25E1">
        <w:rPr>
          <w:sz w:val="18"/>
        </w:rPr>
        <w:t>, “</w:t>
      </w:r>
      <w:r w:rsidR="00363BAC" w:rsidRPr="007F25E1">
        <w:rPr>
          <w:i/>
          <w:sz w:val="18"/>
        </w:rPr>
        <w:t>On the number of symbols</w:t>
      </w:r>
      <w:r w:rsidR="00363BAC" w:rsidRPr="00363BAC">
        <w:rPr>
          <w:i/>
          <w:sz w:val="18"/>
        </w:rPr>
        <w:t xml:space="preserve"> in a slot and minimum transmission duration</w:t>
      </w:r>
      <w:r w:rsidR="00363BAC">
        <w:rPr>
          <w:sz w:val="18"/>
        </w:rPr>
        <w:t xml:space="preserve">”, </w:t>
      </w:r>
      <w:r w:rsidR="00363BAC" w:rsidRPr="00B31B8D">
        <w:rPr>
          <w:sz w:val="18"/>
        </w:rPr>
        <w:t>Nokia, Alcatel-Lucent Shanghai Bell</w:t>
      </w:r>
    </w:p>
    <w:p w:rsidR="00247FCE" w:rsidRDefault="00247FCE" w:rsidP="00363BAC">
      <w:pPr>
        <w:numPr>
          <w:ilvl w:val="0"/>
          <w:numId w:val="1"/>
        </w:numPr>
        <w:rPr>
          <w:sz w:val="18"/>
        </w:rPr>
      </w:pPr>
      <w:r w:rsidRPr="00247FCE">
        <w:rPr>
          <w:sz w:val="18"/>
          <w:lang w:val="en-US"/>
        </w:rPr>
        <w:t>Mickael Batariere, Kevin Baum, and Thomas P. Krauss, "</w:t>
      </w:r>
      <w:r w:rsidRPr="00247FCE">
        <w:rPr>
          <w:i/>
          <w:sz w:val="18"/>
          <w:lang w:val="en-US"/>
        </w:rPr>
        <w:t>Cyclic Prefix Length Analysis for 4G OFDM Systems</w:t>
      </w:r>
      <w:r w:rsidRPr="00247FCE">
        <w:rPr>
          <w:sz w:val="18"/>
          <w:lang w:val="en-US"/>
        </w:rPr>
        <w:t>", VTC 2004 Fall.</w:t>
      </w:r>
    </w:p>
    <w:p w:rsidR="00363BAC" w:rsidRDefault="00363BAC" w:rsidP="00363BAC">
      <w:pPr>
        <w:ind w:left="357"/>
        <w:rPr>
          <w:sz w:val="18"/>
        </w:rPr>
      </w:pPr>
    </w:p>
    <w:p w:rsidR="003D132A" w:rsidRDefault="003D132A" w:rsidP="003D132A">
      <w:pPr>
        <w:rPr>
          <w:sz w:val="18"/>
          <w:highlight w:val="yellow"/>
        </w:rPr>
      </w:pPr>
    </w:p>
    <w:p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F9E" w:rsidRDefault="00D01F9E">
      <w:r>
        <w:separator/>
      </w:r>
    </w:p>
  </w:endnote>
  <w:endnote w:type="continuationSeparator" w:id="0">
    <w:p w:rsidR="00D01F9E" w:rsidRDefault="00D0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F9E" w:rsidRDefault="00D01F9E">
      <w:r>
        <w:separator/>
      </w:r>
    </w:p>
  </w:footnote>
  <w:footnote w:type="continuationSeparator" w:id="0">
    <w:p w:rsidR="00D01F9E" w:rsidRDefault="00D0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1"/>
  </w:num>
  <w:num w:numId="6">
    <w:abstractNumId w:val="2"/>
  </w:num>
  <w:num w:numId="7">
    <w:abstractNumId w:val="8"/>
  </w:num>
  <w:num w:numId="8">
    <w:abstractNumId w:val="6"/>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B15"/>
    <w:rsid w:val="00100250"/>
    <w:rsid w:val="00101C4F"/>
    <w:rsid w:val="00102C9F"/>
    <w:rsid w:val="001068D2"/>
    <w:rsid w:val="001103BD"/>
    <w:rsid w:val="00111208"/>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47FCE"/>
    <w:rsid w:val="00251AD6"/>
    <w:rsid w:val="00252C17"/>
    <w:rsid w:val="0025307F"/>
    <w:rsid w:val="002551BD"/>
    <w:rsid w:val="002568D0"/>
    <w:rsid w:val="00262661"/>
    <w:rsid w:val="002632DF"/>
    <w:rsid w:val="002640BA"/>
    <w:rsid w:val="00264CF2"/>
    <w:rsid w:val="00267587"/>
    <w:rsid w:val="002675C8"/>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47AD"/>
    <w:rsid w:val="002C6034"/>
    <w:rsid w:val="002C635B"/>
    <w:rsid w:val="002C7CFF"/>
    <w:rsid w:val="002D0BC6"/>
    <w:rsid w:val="002D17C5"/>
    <w:rsid w:val="002D365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5F5F"/>
    <w:rsid w:val="003E64A9"/>
    <w:rsid w:val="003E7905"/>
    <w:rsid w:val="003F0336"/>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7DA8"/>
    <w:rsid w:val="005F0108"/>
    <w:rsid w:val="005F0918"/>
    <w:rsid w:val="005F0ECC"/>
    <w:rsid w:val="005F21A5"/>
    <w:rsid w:val="005F2470"/>
    <w:rsid w:val="005F28C6"/>
    <w:rsid w:val="005F3F16"/>
    <w:rsid w:val="005F52CC"/>
    <w:rsid w:val="005F5E6F"/>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AE4"/>
    <w:rsid w:val="007A39DF"/>
    <w:rsid w:val="007A43ED"/>
    <w:rsid w:val="007A4BDD"/>
    <w:rsid w:val="007A60BC"/>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5E1"/>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6D62"/>
    <w:rsid w:val="008B13E9"/>
    <w:rsid w:val="008B3B51"/>
    <w:rsid w:val="008B4057"/>
    <w:rsid w:val="008B4145"/>
    <w:rsid w:val="008B5071"/>
    <w:rsid w:val="008B5290"/>
    <w:rsid w:val="008C2CFD"/>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273DB"/>
    <w:rsid w:val="0093123D"/>
    <w:rsid w:val="00933040"/>
    <w:rsid w:val="009330E9"/>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87416"/>
    <w:rsid w:val="00987B0E"/>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3D02"/>
    <w:rsid w:val="009C441F"/>
    <w:rsid w:val="009C4A07"/>
    <w:rsid w:val="009C4B8E"/>
    <w:rsid w:val="009C51D5"/>
    <w:rsid w:val="009C543C"/>
    <w:rsid w:val="009C599A"/>
    <w:rsid w:val="009C650E"/>
    <w:rsid w:val="009C70DB"/>
    <w:rsid w:val="009D19BC"/>
    <w:rsid w:val="009D2348"/>
    <w:rsid w:val="009D2F0C"/>
    <w:rsid w:val="009D3578"/>
    <w:rsid w:val="009D377F"/>
    <w:rsid w:val="009D3A5F"/>
    <w:rsid w:val="009D5193"/>
    <w:rsid w:val="009D5C32"/>
    <w:rsid w:val="009D6472"/>
    <w:rsid w:val="009D79F4"/>
    <w:rsid w:val="009E3CD1"/>
    <w:rsid w:val="009E4071"/>
    <w:rsid w:val="009E5AF5"/>
    <w:rsid w:val="009E5EB5"/>
    <w:rsid w:val="009E74F0"/>
    <w:rsid w:val="009F0768"/>
    <w:rsid w:val="009F7867"/>
    <w:rsid w:val="009F7D66"/>
    <w:rsid w:val="00A00BD2"/>
    <w:rsid w:val="00A00E56"/>
    <w:rsid w:val="00A027F3"/>
    <w:rsid w:val="00A03978"/>
    <w:rsid w:val="00A04D7E"/>
    <w:rsid w:val="00A051D9"/>
    <w:rsid w:val="00A05DF3"/>
    <w:rsid w:val="00A07E08"/>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34D4A"/>
    <w:rsid w:val="00A42D07"/>
    <w:rsid w:val="00A4503E"/>
    <w:rsid w:val="00A450C0"/>
    <w:rsid w:val="00A45468"/>
    <w:rsid w:val="00A4791B"/>
    <w:rsid w:val="00A50A48"/>
    <w:rsid w:val="00A51242"/>
    <w:rsid w:val="00A51522"/>
    <w:rsid w:val="00A51573"/>
    <w:rsid w:val="00A51A5E"/>
    <w:rsid w:val="00A52895"/>
    <w:rsid w:val="00A53DA0"/>
    <w:rsid w:val="00A5404D"/>
    <w:rsid w:val="00A57050"/>
    <w:rsid w:val="00A5765D"/>
    <w:rsid w:val="00A607CB"/>
    <w:rsid w:val="00A6351F"/>
    <w:rsid w:val="00A65A70"/>
    <w:rsid w:val="00A66F36"/>
    <w:rsid w:val="00A676D9"/>
    <w:rsid w:val="00A67EFC"/>
    <w:rsid w:val="00A7031E"/>
    <w:rsid w:val="00A71140"/>
    <w:rsid w:val="00A74692"/>
    <w:rsid w:val="00A75ACC"/>
    <w:rsid w:val="00A7618B"/>
    <w:rsid w:val="00A7640B"/>
    <w:rsid w:val="00A7778B"/>
    <w:rsid w:val="00A803BC"/>
    <w:rsid w:val="00A80969"/>
    <w:rsid w:val="00A86EA7"/>
    <w:rsid w:val="00A91244"/>
    <w:rsid w:val="00A92776"/>
    <w:rsid w:val="00A93181"/>
    <w:rsid w:val="00A938E6"/>
    <w:rsid w:val="00A93CCF"/>
    <w:rsid w:val="00A95BD5"/>
    <w:rsid w:val="00A96F78"/>
    <w:rsid w:val="00AA0B9E"/>
    <w:rsid w:val="00AA1087"/>
    <w:rsid w:val="00AA25A9"/>
    <w:rsid w:val="00AA26D9"/>
    <w:rsid w:val="00AA4605"/>
    <w:rsid w:val="00AA51AD"/>
    <w:rsid w:val="00AA591E"/>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1B8D"/>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552"/>
    <w:rsid w:val="00BB6B9B"/>
    <w:rsid w:val="00BB754F"/>
    <w:rsid w:val="00BC07D4"/>
    <w:rsid w:val="00BC0A5D"/>
    <w:rsid w:val="00BC0BE3"/>
    <w:rsid w:val="00BC1534"/>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6179"/>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1F9E"/>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818"/>
    <w:rsid w:val="00D46111"/>
    <w:rsid w:val="00D47C16"/>
    <w:rsid w:val="00D502AF"/>
    <w:rsid w:val="00D50764"/>
    <w:rsid w:val="00D50C12"/>
    <w:rsid w:val="00D51A77"/>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ED2"/>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1660B"/>
    <w:rsid w:val="00E239D1"/>
    <w:rsid w:val="00E246B9"/>
    <w:rsid w:val="00E26727"/>
    <w:rsid w:val="00E26970"/>
    <w:rsid w:val="00E27791"/>
    <w:rsid w:val="00E30F2D"/>
    <w:rsid w:val="00E319DB"/>
    <w:rsid w:val="00E31AFC"/>
    <w:rsid w:val="00E3409E"/>
    <w:rsid w:val="00E34F76"/>
    <w:rsid w:val="00E37BE5"/>
    <w:rsid w:val="00E41A2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46A6"/>
    <w:rsid w:val="00E947E4"/>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81A"/>
    <w:rsid w:val="00EE2A61"/>
    <w:rsid w:val="00EE3663"/>
    <w:rsid w:val="00EE41C4"/>
    <w:rsid w:val="00EE76A9"/>
    <w:rsid w:val="00EE799E"/>
    <w:rsid w:val="00EE7CA8"/>
    <w:rsid w:val="00EE7FA7"/>
    <w:rsid w:val="00EF1093"/>
    <w:rsid w:val="00EF1FCB"/>
    <w:rsid w:val="00EF21C3"/>
    <w:rsid w:val="00EF2E6B"/>
    <w:rsid w:val="00EF72F9"/>
    <w:rsid w:val="00F0030E"/>
    <w:rsid w:val="00F00CD1"/>
    <w:rsid w:val="00F01E6B"/>
    <w:rsid w:val="00F0241C"/>
    <w:rsid w:val="00F05759"/>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46F8C"/>
    <w:rsid w:val="00F52339"/>
    <w:rsid w:val="00F5277A"/>
    <w:rsid w:val="00F532E8"/>
    <w:rsid w:val="00F537FF"/>
    <w:rsid w:val="00F54E36"/>
    <w:rsid w:val="00F560FE"/>
    <w:rsid w:val="00F6111C"/>
    <w:rsid w:val="00F614C0"/>
    <w:rsid w:val="00F61647"/>
    <w:rsid w:val="00F657CF"/>
    <w:rsid w:val="00F66A00"/>
    <w:rsid w:val="00F70841"/>
    <w:rsid w:val="00F713A3"/>
    <w:rsid w:val="00F71A8F"/>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710"/>
    <w:rsid w:val="00F96500"/>
    <w:rsid w:val="00FA413A"/>
    <w:rsid w:val="00FA4144"/>
    <w:rsid w:val="00FA4DDF"/>
    <w:rsid w:val="00FA6E7F"/>
    <w:rsid w:val="00FA7114"/>
    <w:rsid w:val="00FA7845"/>
    <w:rsid w:val="00FB2379"/>
    <w:rsid w:val="00FB4B8A"/>
    <w:rsid w:val="00FB5152"/>
    <w:rsid w:val="00FB680E"/>
    <w:rsid w:val="00FC0065"/>
    <w:rsid w:val="00FC062F"/>
    <w:rsid w:val="00FC3AE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1B766F63-B708-46FC-AEE6-6505EAD3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4</cp:revision>
  <cp:lastPrinted>2016-06-20T11:35:00Z</cp:lastPrinted>
  <dcterms:created xsi:type="dcterms:W3CDTF">2016-11-02T10:11:00Z</dcterms:created>
  <dcterms:modified xsi:type="dcterms:W3CDTF">2016-11-04T19:02:00Z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