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7A43B2B6"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575E09">
        <w:rPr>
          <w:rFonts w:ascii="Arial" w:hAnsi="Arial" w:cs="Arial"/>
          <w:b/>
          <w:sz w:val="24"/>
          <w:szCs w:val="24"/>
        </w:rPr>
        <w:t>7</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DE0879">
        <w:rPr>
          <w:rFonts w:ascii="Arial" w:hAnsi="Arial" w:cs="Arial"/>
          <w:b/>
          <w:sz w:val="24"/>
          <w:szCs w:val="24"/>
        </w:rPr>
        <w:t>12070</w:t>
      </w:r>
    </w:p>
    <w:p w14:paraId="43B7F879" w14:textId="311A507E" w:rsidR="00D1303E" w:rsidRPr="00FD021C" w:rsidRDefault="00F15CF3" w:rsidP="00D1303E">
      <w:pPr>
        <w:tabs>
          <w:tab w:val="right" w:pos="9630"/>
        </w:tabs>
        <w:spacing w:after="0"/>
        <w:jc w:val="both"/>
        <w:rPr>
          <w:rFonts w:ascii="Arial" w:hAnsi="Arial" w:cs="Arial"/>
          <w:b/>
          <w:sz w:val="24"/>
          <w:szCs w:val="24"/>
        </w:rPr>
      </w:pPr>
      <w:r>
        <w:rPr>
          <w:rFonts w:ascii="Arial" w:hAnsi="Arial" w:cs="Arial"/>
          <w:b/>
          <w:sz w:val="24"/>
          <w:szCs w:val="24"/>
        </w:rPr>
        <w:t>1</w:t>
      </w:r>
      <w:r w:rsidR="00575E09">
        <w:rPr>
          <w:rFonts w:ascii="Arial" w:hAnsi="Arial" w:cs="Arial"/>
          <w:b/>
          <w:sz w:val="24"/>
          <w:szCs w:val="24"/>
        </w:rPr>
        <w:t>4</w:t>
      </w:r>
      <w:r w:rsidR="00D1303E" w:rsidRPr="00792605">
        <w:rPr>
          <w:rFonts w:ascii="Arial" w:hAnsi="Arial" w:cs="Arial"/>
          <w:b/>
          <w:sz w:val="24"/>
          <w:szCs w:val="24"/>
          <w:vertAlign w:val="superscript"/>
        </w:rPr>
        <w:t>th</w:t>
      </w:r>
      <w:r w:rsidR="00D1303E">
        <w:rPr>
          <w:rFonts w:ascii="Arial" w:hAnsi="Arial" w:cs="Arial"/>
          <w:b/>
          <w:sz w:val="24"/>
          <w:szCs w:val="24"/>
        </w:rPr>
        <w:t xml:space="preserve"> –</w:t>
      </w:r>
      <w:r w:rsidR="00D1303E" w:rsidRPr="003732BA">
        <w:rPr>
          <w:rFonts w:ascii="Arial" w:hAnsi="Arial" w:cs="Arial"/>
          <w:b/>
          <w:sz w:val="24"/>
          <w:szCs w:val="24"/>
        </w:rPr>
        <w:t xml:space="preserve"> </w:t>
      </w:r>
      <w:r>
        <w:rPr>
          <w:rFonts w:ascii="Arial" w:hAnsi="Arial" w:cs="Arial"/>
          <w:b/>
          <w:sz w:val="24"/>
          <w:szCs w:val="24"/>
        </w:rPr>
        <w:t>1</w:t>
      </w:r>
      <w:r w:rsidR="00575E09">
        <w:rPr>
          <w:rFonts w:ascii="Arial" w:hAnsi="Arial" w:cs="Arial"/>
          <w:b/>
          <w:sz w:val="24"/>
          <w:szCs w:val="24"/>
        </w:rPr>
        <w:t>8</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sidR="00575E09">
        <w:rPr>
          <w:rFonts w:ascii="Arial" w:hAnsi="Arial" w:cs="Arial"/>
          <w:b/>
          <w:sz w:val="24"/>
          <w:szCs w:val="24"/>
        </w:rPr>
        <w:t>November</w:t>
      </w:r>
      <w:r w:rsidR="00CA6BDF">
        <w:rPr>
          <w:rFonts w:ascii="Arial" w:hAnsi="Arial" w:cs="Arial"/>
          <w:b/>
          <w:sz w:val="24"/>
          <w:szCs w:val="24"/>
        </w:rPr>
        <w:t xml:space="preserve"> 2016</w:t>
      </w:r>
    </w:p>
    <w:p w14:paraId="43B7F87A" w14:textId="558CE6CB" w:rsidR="00D1303E" w:rsidRPr="00FD021C" w:rsidRDefault="00575E09" w:rsidP="00D1303E">
      <w:pPr>
        <w:spacing w:after="0"/>
        <w:jc w:val="both"/>
        <w:rPr>
          <w:rFonts w:ascii="Arial" w:hAnsi="Arial" w:cs="Arial"/>
          <w:b/>
          <w:sz w:val="24"/>
          <w:szCs w:val="24"/>
        </w:rPr>
      </w:pPr>
      <w:r>
        <w:rPr>
          <w:rFonts w:ascii="Arial" w:hAnsi="Arial" w:cs="Arial"/>
          <w:b/>
          <w:sz w:val="24"/>
          <w:szCs w:val="24"/>
        </w:rPr>
        <w:t>Reno, Nevada, USA</w:t>
      </w:r>
    </w:p>
    <w:p w14:paraId="43B7F87B" w14:textId="77777777" w:rsidR="0068226B" w:rsidRPr="000A64D8" w:rsidRDefault="0068226B" w:rsidP="00480B03">
      <w:pPr>
        <w:pStyle w:val="Footer"/>
        <w:jc w:val="both"/>
        <w:rPr>
          <w:noProof w:val="0"/>
        </w:rPr>
      </w:pPr>
    </w:p>
    <w:p w14:paraId="43B7F87C" w14:textId="2B968AAD"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6C0D11">
        <w:rPr>
          <w:rFonts w:ascii="Arial" w:hAnsi="Arial"/>
          <w:sz w:val="24"/>
        </w:rPr>
        <w:t>7.1.4.1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0E1BC575" w:rsidR="00C10599" w:rsidRPr="00736C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E0879">
        <w:rPr>
          <w:rFonts w:ascii="Arial" w:hAnsi="Arial"/>
          <w:sz w:val="24"/>
          <w:szCs w:val="24"/>
        </w:rPr>
        <w:t>Adaptive Bandwidth for Control and Data</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6F13A9B1" w14:textId="65702B18" w:rsidR="00F32FE3" w:rsidRDefault="00DE0879" w:rsidP="00F32FE3">
      <w:pPr>
        <w:jc w:val="both"/>
        <w:rPr>
          <w:szCs w:val="22"/>
        </w:rPr>
      </w:pPr>
      <w:r>
        <w:rPr>
          <w:szCs w:val="22"/>
        </w:rPr>
        <w:t>In RAN1#86bis, the topic of bandwidth adaptation in NR ha</w:t>
      </w:r>
      <w:r w:rsidR="00DC2509">
        <w:rPr>
          <w:szCs w:val="22"/>
        </w:rPr>
        <w:t>d</w:t>
      </w:r>
      <w:r>
        <w:rPr>
          <w:szCs w:val="22"/>
        </w:rPr>
        <w:t xml:space="preserve"> been discussed, and the following agreements had been reached [1]:</w:t>
      </w:r>
    </w:p>
    <w:p w14:paraId="733E1E44" w14:textId="77777777" w:rsidR="00DE0879" w:rsidRPr="00E05813" w:rsidRDefault="00DE0879" w:rsidP="00DE0879">
      <w:pPr>
        <w:numPr>
          <w:ilvl w:val="0"/>
          <w:numId w:val="32"/>
        </w:numPr>
        <w:overflowPunct/>
        <w:autoSpaceDE/>
        <w:autoSpaceDN/>
        <w:adjustRightInd/>
        <w:spacing w:after="0"/>
        <w:textAlignment w:val="auto"/>
        <w:rPr>
          <w:rFonts w:eastAsia="MS Mincho"/>
          <w:lang w:eastAsia="ja-JP"/>
        </w:rPr>
      </w:pPr>
      <w:r w:rsidRPr="00E05813">
        <w:rPr>
          <w:rFonts w:eastAsia="MS Mincho"/>
          <w:lang w:eastAsia="ja-JP"/>
        </w:rPr>
        <w:t>At least for single carrier operation, NR should allow a UE to operate in a way where it receives at least downlink control information in a first RF bandwidth and where the UE is not expected to receive in a second RF bandwidth that is larger than the first RF bandwidth within less than X µs (FFS: value of X)</w:t>
      </w:r>
    </w:p>
    <w:p w14:paraId="311C19E7" w14:textId="77777777" w:rsidR="00DE0879" w:rsidRPr="00E05813" w:rsidRDefault="00DE0879" w:rsidP="00DE0879">
      <w:pPr>
        <w:numPr>
          <w:ilvl w:val="1"/>
          <w:numId w:val="32"/>
        </w:numPr>
        <w:overflowPunct/>
        <w:autoSpaceDE/>
        <w:autoSpaceDN/>
        <w:adjustRightInd/>
        <w:spacing w:after="0"/>
        <w:textAlignment w:val="auto"/>
        <w:rPr>
          <w:rFonts w:eastAsia="MS Mincho"/>
          <w:lang w:eastAsia="ja-JP"/>
        </w:rPr>
      </w:pPr>
      <w:r w:rsidRPr="00E05813">
        <w:rPr>
          <w:rFonts w:eastAsia="MS Mincho"/>
          <w:lang w:eastAsia="ja-JP"/>
        </w:rPr>
        <w:t>FFS the first RF bandwidth is within the second RF bandwidth</w:t>
      </w:r>
    </w:p>
    <w:p w14:paraId="1E1A8EDB" w14:textId="77777777" w:rsidR="00DE0879" w:rsidRPr="00E05813" w:rsidRDefault="00DE0879" w:rsidP="00DE0879">
      <w:pPr>
        <w:numPr>
          <w:ilvl w:val="2"/>
          <w:numId w:val="32"/>
        </w:numPr>
        <w:overflowPunct/>
        <w:autoSpaceDE/>
        <w:autoSpaceDN/>
        <w:adjustRightInd/>
        <w:spacing w:after="0"/>
        <w:textAlignment w:val="auto"/>
        <w:rPr>
          <w:rFonts w:eastAsia="MS Mincho"/>
          <w:lang w:eastAsia="ja-JP"/>
        </w:rPr>
      </w:pPr>
      <w:r w:rsidRPr="00E05813">
        <w:rPr>
          <w:rFonts w:eastAsia="MS Mincho"/>
          <w:lang w:eastAsia="ja-JP"/>
        </w:rPr>
        <w:t>FFS the first RF bandwidth is at the center of the second RF bandwidth</w:t>
      </w:r>
    </w:p>
    <w:p w14:paraId="7BE73C86" w14:textId="77777777" w:rsidR="00DE0879" w:rsidRPr="00E05813" w:rsidRDefault="00DE0879" w:rsidP="00DE0879">
      <w:pPr>
        <w:numPr>
          <w:ilvl w:val="1"/>
          <w:numId w:val="32"/>
        </w:numPr>
        <w:overflowPunct/>
        <w:autoSpaceDE/>
        <w:autoSpaceDN/>
        <w:adjustRightInd/>
        <w:spacing w:after="0"/>
        <w:textAlignment w:val="auto"/>
        <w:rPr>
          <w:rFonts w:eastAsia="MS Mincho"/>
          <w:lang w:eastAsia="ja-JP"/>
        </w:rPr>
      </w:pPr>
      <w:r w:rsidRPr="00E05813">
        <w:rPr>
          <w:rFonts w:eastAsia="MS Mincho"/>
          <w:lang w:eastAsia="ja-JP"/>
        </w:rPr>
        <w:t>FFS the maximal ratio of the first RF bandwidth over the second RF bandwidth</w:t>
      </w:r>
    </w:p>
    <w:p w14:paraId="7109E021" w14:textId="77777777" w:rsidR="00DE0879" w:rsidRPr="00E05813" w:rsidRDefault="00DE0879" w:rsidP="00DE0879">
      <w:pPr>
        <w:numPr>
          <w:ilvl w:val="1"/>
          <w:numId w:val="32"/>
        </w:numPr>
        <w:overflowPunct/>
        <w:autoSpaceDE/>
        <w:autoSpaceDN/>
        <w:adjustRightInd/>
        <w:spacing w:after="0"/>
        <w:textAlignment w:val="auto"/>
        <w:rPr>
          <w:rFonts w:eastAsia="MS Mincho"/>
          <w:lang w:eastAsia="ja-JP"/>
        </w:rPr>
      </w:pPr>
      <w:r w:rsidRPr="00E05813">
        <w:rPr>
          <w:rFonts w:eastAsia="MS Mincho"/>
          <w:lang w:eastAsia="ja-JP"/>
        </w:rPr>
        <w:t>FFS detailed mechanism</w:t>
      </w:r>
    </w:p>
    <w:p w14:paraId="2CA8CF1D" w14:textId="22E85125" w:rsidR="00DE0879" w:rsidRPr="00DE0879" w:rsidRDefault="00DE0879" w:rsidP="00DE0879">
      <w:pPr>
        <w:pStyle w:val="ListParagraph"/>
        <w:numPr>
          <w:ilvl w:val="0"/>
          <w:numId w:val="32"/>
        </w:numPr>
        <w:jc w:val="both"/>
        <w:rPr>
          <w:rFonts w:ascii="Times New Roman" w:eastAsia="MS Mincho" w:hAnsi="Times New Roman"/>
          <w:sz w:val="20"/>
          <w:lang w:eastAsia="ja-JP"/>
        </w:rPr>
      </w:pPr>
      <w:r w:rsidRPr="00DE0879">
        <w:rPr>
          <w:rFonts w:ascii="Times New Roman" w:eastAsia="MS Mincho" w:hAnsi="Times New Roman"/>
          <w:sz w:val="20"/>
          <w:lang w:eastAsia="ja-JP"/>
        </w:rPr>
        <w:t>FFS RF bandwidth adaptation for RRM measurement</w:t>
      </w:r>
    </w:p>
    <w:p w14:paraId="457DB55C" w14:textId="77777777" w:rsidR="00DE0879" w:rsidRDefault="00DE0879" w:rsidP="00DE0879">
      <w:pPr>
        <w:jc w:val="both"/>
        <w:rPr>
          <w:szCs w:val="22"/>
        </w:rPr>
      </w:pPr>
    </w:p>
    <w:p w14:paraId="3777360A" w14:textId="7B4B8826" w:rsidR="000A2BE5" w:rsidRDefault="000A2BE5" w:rsidP="00DE0879">
      <w:pPr>
        <w:jc w:val="both"/>
        <w:rPr>
          <w:szCs w:val="22"/>
        </w:rPr>
      </w:pPr>
      <w:r>
        <w:rPr>
          <w:szCs w:val="22"/>
        </w:rPr>
        <w:t xml:space="preserve">In this contribution, </w:t>
      </w:r>
      <w:r w:rsidR="007819C2">
        <w:rPr>
          <w:szCs w:val="22"/>
        </w:rPr>
        <w:t>some</w:t>
      </w:r>
      <w:r>
        <w:rPr>
          <w:szCs w:val="22"/>
        </w:rPr>
        <w:t xml:space="preserve"> </w:t>
      </w:r>
      <w:r w:rsidR="006F47EC">
        <w:rPr>
          <w:szCs w:val="22"/>
        </w:rPr>
        <w:t xml:space="preserve">design options and </w:t>
      </w:r>
      <w:r>
        <w:rPr>
          <w:szCs w:val="22"/>
        </w:rPr>
        <w:t xml:space="preserve">tradeoffs supporting bandwidth </w:t>
      </w:r>
      <w:r w:rsidR="00B8163C">
        <w:rPr>
          <w:szCs w:val="22"/>
        </w:rPr>
        <w:t xml:space="preserve">(BW) </w:t>
      </w:r>
      <w:r>
        <w:rPr>
          <w:szCs w:val="22"/>
        </w:rPr>
        <w:t xml:space="preserve">adaptation </w:t>
      </w:r>
      <w:r w:rsidR="007819C2">
        <w:rPr>
          <w:szCs w:val="22"/>
        </w:rPr>
        <w:t xml:space="preserve">for different timing (X </w:t>
      </w:r>
      <w:r w:rsidR="007819C2" w:rsidRPr="00E05813">
        <w:rPr>
          <w:rFonts w:eastAsia="MS Mincho"/>
          <w:lang w:eastAsia="ja-JP"/>
        </w:rPr>
        <w:t>µs</w:t>
      </w:r>
      <w:r w:rsidR="007819C2">
        <w:rPr>
          <w:szCs w:val="22"/>
        </w:rPr>
        <w:t xml:space="preserve">) </w:t>
      </w:r>
      <w:r>
        <w:rPr>
          <w:szCs w:val="22"/>
        </w:rPr>
        <w:t>in accordance to the above agreement will be discussed and illustrated with several examples.</w:t>
      </w:r>
      <w:r w:rsidR="007819C2">
        <w:rPr>
          <w:szCs w:val="22"/>
        </w:rPr>
        <w:t xml:space="preserve"> The timing quantity X </w:t>
      </w:r>
      <w:r w:rsidR="007819C2" w:rsidRPr="00E05813">
        <w:rPr>
          <w:rFonts w:eastAsia="MS Mincho"/>
          <w:lang w:eastAsia="ja-JP"/>
        </w:rPr>
        <w:t>µs</w:t>
      </w:r>
      <w:r w:rsidR="007819C2">
        <w:rPr>
          <w:szCs w:val="22"/>
        </w:rPr>
        <w:t xml:space="preserve"> as defined in the above agreement will be referred to as the “bandwidth adaptation response time” in this contribution. In some occasions, bandwidth adaptation is also equivalently referred to as bandwidth switching.</w:t>
      </w:r>
    </w:p>
    <w:p w14:paraId="5ADE699D" w14:textId="27B4C318" w:rsidR="0044173B" w:rsidRPr="0044173B" w:rsidRDefault="0044173B" w:rsidP="004503F9">
      <w:pPr>
        <w:jc w:val="both"/>
        <w:rPr>
          <w:szCs w:val="22"/>
        </w:rPr>
      </w:pPr>
    </w:p>
    <w:p w14:paraId="0B3BE98D" w14:textId="73D94715" w:rsidR="0044173B" w:rsidRDefault="00031CF0" w:rsidP="0044173B">
      <w:pPr>
        <w:pStyle w:val="Heading1"/>
      </w:pPr>
      <w:r>
        <w:t xml:space="preserve">Bandwidth </w:t>
      </w:r>
      <w:r w:rsidR="007819C2">
        <w:t xml:space="preserve">Adaptation </w:t>
      </w:r>
      <w:r>
        <w:t>Considerations</w:t>
      </w:r>
    </w:p>
    <w:p w14:paraId="451E04F3" w14:textId="0740FEEC" w:rsidR="00031CF0" w:rsidRDefault="007819C2" w:rsidP="00031CF0">
      <w:pPr>
        <w:rPr>
          <w:lang w:val="en-GB"/>
        </w:rPr>
      </w:pPr>
      <w:r>
        <w:rPr>
          <w:lang w:val="en-GB"/>
        </w:rPr>
        <w:t>According to the above agreement, b</w:t>
      </w:r>
      <w:r w:rsidR="00031CF0">
        <w:rPr>
          <w:lang w:val="en-GB"/>
        </w:rPr>
        <w:t xml:space="preserve">andwidth </w:t>
      </w:r>
      <w:r>
        <w:rPr>
          <w:lang w:val="en-GB"/>
        </w:rPr>
        <w:t xml:space="preserve">adaptation response time </w:t>
      </w:r>
      <w:r w:rsidR="00031CF0">
        <w:rPr>
          <w:lang w:val="en-GB"/>
        </w:rPr>
        <w:t xml:space="preserve">(X </w:t>
      </w:r>
      <w:r w:rsidR="00031CF0" w:rsidRPr="00E05813">
        <w:rPr>
          <w:rFonts w:eastAsia="MS Mincho"/>
          <w:lang w:eastAsia="ja-JP"/>
        </w:rPr>
        <w:t>µ</w:t>
      </w:r>
      <w:r w:rsidR="00031CF0">
        <w:rPr>
          <w:lang w:val="en-GB"/>
        </w:rPr>
        <w:t>s) is FFS. Generally, it would be useful to consid</w:t>
      </w:r>
      <w:r w:rsidR="00E82A3B">
        <w:rPr>
          <w:lang w:val="en-GB"/>
        </w:rPr>
        <w:t xml:space="preserve">er three </w:t>
      </w:r>
      <w:r w:rsidR="00A7746A">
        <w:rPr>
          <w:lang w:val="en-GB"/>
        </w:rPr>
        <w:t>levels</w:t>
      </w:r>
      <w:r w:rsidR="00E82A3B">
        <w:rPr>
          <w:lang w:val="en-GB"/>
        </w:rPr>
        <w:t>: (1) slot</w:t>
      </w:r>
      <w:r>
        <w:rPr>
          <w:lang w:val="en-GB"/>
        </w:rPr>
        <w:t xml:space="preserve"> level</w:t>
      </w:r>
      <w:r w:rsidR="00A7746A">
        <w:rPr>
          <w:lang w:val="en-GB"/>
        </w:rPr>
        <w:t xml:space="preserve"> (</w:t>
      </w:r>
      <w:r>
        <w:rPr>
          <w:lang w:val="en-GB"/>
        </w:rPr>
        <w:t>from more than a few symbols to almost the entire slot</w:t>
      </w:r>
      <w:r w:rsidR="00A7746A">
        <w:rPr>
          <w:lang w:val="en-GB"/>
        </w:rPr>
        <w:t>)</w:t>
      </w:r>
      <w:r w:rsidR="00E82A3B">
        <w:rPr>
          <w:lang w:val="en-GB"/>
        </w:rPr>
        <w:t>, (2) less than</w:t>
      </w:r>
      <w:r w:rsidR="00031CF0">
        <w:rPr>
          <w:lang w:val="en-GB"/>
        </w:rPr>
        <w:t xml:space="preserve"> few symbols, (3), </w:t>
      </w:r>
      <w:r w:rsidR="00B8163C">
        <w:rPr>
          <w:lang w:val="en-GB"/>
        </w:rPr>
        <w:t xml:space="preserve">a small </w:t>
      </w:r>
      <w:r w:rsidR="00530BD0">
        <w:rPr>
          <w:lang w:val="en-GB"/>
        </w:rPr>
        <w:t xml:space="preserve">fraction of </w:t>
      </w:r>
      <w:r w:rsidR="00031CF0">
        <w:rPr>
          <w:lang w:val="en-GB"/>
        </w:rPr>
        <w:t>the cyclic prefix (CP). These are mentioned in the order from the least to most stringent in terms of RF hardware/firmware and performance requirements.</w:t>
      </w:r>
      <w:r w:rsidR="00ED7CF8">
        <w:rPr>
          <w:lang w:val="en-GB"/>
        </w:rPr>
        <w:t xml:space="preserve"> In the subsequent sections, different levels of </w:t>
      </w:r>
      <w:r>
        <w:rPr>
          <w:lang w:val="en-GB"/>
        </w:rPr>
        <w:t xml:space="preserve">BW adaptation response time </w:t>
      </w:r>
      <w:r w:rsidR="00ED7CF8">
        <w:rPr>
          <w:lang w:val="en-GB"/>
        </w:rPr>
        <w:t xml:space="preserve">are compared, and it is understood that if requirements for a shorter </w:t>
      </w:r>
      <w:r>
        <w:rPr>
          <w:lang w:val="en-GB"/>
        </w:rPr>
        <w:t xml:space="preserve">response time </w:t>
      </w:r>
      <w:r w:rsidR="00ED7CF8">
        <w:rPr>
          <w:lang w:val="en-GB"/>
        </w:rPr>
        <w:t xml:space="preserve">can be met, the requirements for a longer </w:t>
      </w:r>
      <w:r>
        <w:rPr>
          <w:lang w:val="en-GB"/>
        </w:rPr>
        <w:t xml:space="preserve">response </w:t>
      </w:r>
      <w:r w:rsidR="00ED7CF8">
        <w:rPr>
          <w:lang w:val="en-GB"/>
        </w:rPr>
        <w:t xml:space="preserve">time are </w:t>
      </w:r>
      <w:r w:rsidR="009F5E80">
        <w:rPr>
          <w:lang w:val="en-GB"/>
        </w:rPr>
        <w:t xml:space="preserve">also </w:t>
      </w:r>
      <w:r w:rsidR="00680F4A">
        <w:rPr>
          <w:lang w:val="en-GB"/>
        </w:rPr>
        <w:t>met by definition.</w:t>
      </w:r>
    </w:p>
    <w:p w14:paraId="07A726E1" w14:textId="70A42FB9" w:rsidR="00F068B6" w:rsidRDefault="00031CF0" w:rsidP="00031CF0">
      <w:pPr>
        <w:rPr>
          <w:lang w:val="en-GB"/>
        </w:rPr>
      </w:pPr>
      <w:r>
        <w:rPr>
          <w:lang w:val="en-GB"/>
        </w:rPr>
        <w:t xml:space="preserve">Another aspect is whether the center frequency is aligned before and after </w:t>
      </w:r>
      <w:r w:rsidR="00B8163C">
        <w:rPr>
          <w:lang w:val="en-GB"/>
        </w:rPr>
        <w:t>a switch in BW.  Small changes in center frequency could be expected to settle within short time durations whereas larger center frequency changes are expected to take more time.  Simultaneously adapting the BW and center frequency is possible and further analysis is needed to define suitable performance metrics</w:t>
      </w:r>
      <w:r w:rsidR="00040B8F">
        <w:rPr>
          <w:lang w:val="en-GB"/>
        </w:rPr>
        <w:t xml:space="preserve"> in RAN4</w:t>
      </w:r>
      <w:r w:rsidR="00B8163C">
        <w:rPr>
          <w:lang w:val="en-GB"/>
        </w:rPr>
        <w:t>.</w:t>
      </w:r>
      <w:r w:rsidR="00B8163C">
        <w:rPr>
          <w:lang w:val="en-GB"/>
        </w:rPr>
        <w:t xml:space="preserve"> Requiring center frequency a</w:t>
      </w:r>
      <w:r>
        <w:rPr>
          <w:lang w:val="en-GB"/>
        </w:rPr>
        <w:t xml:space="preserve">lignment </w:t>
      </w:r>
      <w:r w:rsidR="00B8163C">
        <w:rPr>
          <w:lang w:val="en-GB"/>
        </w:rPr>
        <w:t xml:space="preserve">may </w:t>
      </w:r>
      <w:r w:rsidR="00F068B6">
        <w:rPr>
          <w:lang w:val="en-GB"/>
        </w:rPr>
        <w:t xml:space="preserve">potentially </w:t>
      </w:r>
      <w:r w:rsidR="00B8163C">
        <w:rPr>
          <w:lang w:val="en-GB"/>
        </w:rPr>
        <w:t>limit</w:t>
      </w:r>
      <w:r w:rsidR="00B8163C">
        <w:rPr>
          <w:lang w:val="en-GB"/>
        </w:rPr>
        <w:t xml:space="preserve"> </w:t>
      </w:r>
      <w:r>
        <w:rPr>
          <w:lang w:val="en-GB"/>
        </w:rPr>
        <w:t xml:space="preserve">the </w:t>
      </w:r>
      <w:r w:rsidR="00F068B6">
        <w:rPr>
          <w:lang w:val="en-GB"/>
        </w:rPr>
        <w:t>benefits</w:t>
      </w:r>
      <w:r w:rsidR="00B8163C">
        <w:rPr>
          <w:lang w:val="en-GB"/>
        </w:rPr>
        <w:t xml:space="preserve"> of bandwidth adaptation</w:t>
      </w:r>
      <w:r>
        <w:rPr>
          <w:lang w:val="en-GB"/>
        </w:rPr>
        <w:t>.</w:t>
      </w:r>
      <w:r w:rsidR="00040B8F">
        <w:rPr>
          <w:lang w:val="en-GB"/>
        </w:rPr>
        <w:t xml:space="preserve"> RF hardware and performance limit to the duration of the switching time should also be studied and discussed in RAN4.</w:t>
      </w:r>
    </w:p>
    <w:p w14:paraId="24E564E0" w14:textId="07C8FA6E" w:rsidR="00241C12" w:rsidRDefault="00241C12" w:rsidP="00031CF0">
      <w:pPr>
        <w:rPr>
          <w:lang w:val="en-GB"/>
        </w:rPr>
      </w:pPr>
      <w:r>
        <w:rPr>
          <w:lang w:val="en-GB"/>
        </w:rPr>
        <w:t xml:space="preserve">There is also </w:t>
      </w:r>
      <w:r w:rsidR="00295DDB">
        <w:rPr>
          <w:lang w:val="en-GB"/>
        </w:rPr>
        <w:t xml:space="preserve">some </w:t>
      </w:r>
      <w:r>
        <w:rPr>
          <w:lang w:val="en-GB"/>
        </w:rPr>
        <w:t>subtle difference</w:t>
      </w:r>
      <w:r w:rsidR="00295DDB">
        <w:rPr>
          <w:lang w:val="en-GB"/>
        </w:rPr>
        <w:t>s</w:t>
      </w:r>
      <w:r>
        <w:rPr>
          <w:lang w:val="en-GB"/>
        </w:rPr>
        <w:t xml:space="preserve"> when the scheme is applied to TDD vs FDD. Because initial specification for NR is focused on TDD, in this contr</w:t>
      </w:r>
      <w:r w:rsidR="00ED7CF8">
        <w:rPr>
          <w:lang w:val="en-GB"/>
        </w:rPr>
        <w:t>ibution only TDD</w:t>
      </w:r>
      <w:r w:rsidR="00225B62">
        <w:rPr>
          <w:lang w:val="en-GB"/>
        </w:rPr>
        <w:t xml:space="preserve"> and primarily DL transmission</w:t>
      </w:r>
      <w:r w:rsidR="00ED7CF8">
        <w:rPr>
          <w:lang w:val="en-GB"/>
        </w:rPr>
        <w:t xml:space="preserve"> is considered</w:t>
      </w:r>
      <w:r w:rsidR="00D256AE">
        <w:rPr>
          <w:lang w:val="en-GB"/>
        </w:rPr>
        <w:t xml:space="preserve"> but the </w:t>
      </w:r>
      <w:r w:rsidR="00252BCC">
        <w:rPr>
          <w:lang w:val="en-GB"/>
        </w:rPr>
        <w:t>discussion</w:t>
      </w:r>
      <w:r w:rsidR="00D256AE">
        <w:rPr>
          <w:lang w:val="en-GB"/>
        </w:rPr>
        <w:t xml:space="preserve"> can be extended to FDD</w:t>
      </w:r>
      <w:r w:rsidR="00ED7CF8">
        <w:rPr>
          <w:lang w:val="en-GB"/>
        </w:rPr>
        <w:t>.</w:t>
      </w:r>
    </w:p>
    <w:p w14:paraId="32A0821F" w14:textId="5F4D1353" w:rsidR="00031CF0" w:rsidRPr="00031CF0" w:rsidRDefault="00031CF0" w:rsidP="00031CF0">
      <w:pPr>
        <w:rPr>
          <w:lang w:val="en-GB"/>
        </w:rPr>
      </w:pPr>
    </w:p>
    <w:p w14:paraId="3B17EBC1" w14:textId="1EE17F45" w:rsidR="00736CD8" w:rsidRDefault="00A7746A" w:rsidP="00736CD8">
      <w:pPr>
        <w:pStyle w:val="Heading2"/>
      </w:pPr>
      <w:r>
        <w:lastRenderedPageBreak/>
        <w:t>Levels</w:t>
      </w:r>
      <w:r w:rsidR="00F068B6">
        <w:t xml:space="preserve"> of </w:t>
      </w:r>
      <w:r w:rsidR="006D32E7">
        <w:t>BW Adaptation Response Time</w:t>
      </w:r>
    </w:p>
    <w:p w14:paraId="744A2161" w14:textId="71196F59" w:rsidR="00F068B6" w:rsidRDefault="00A7746A" w:rsidP="00F068B6">
      <w:pPr>
        <w:pStyle w:val="Heading3"/>
      </w:pPr>
      <w:bookmarkStart w:id="2" w:name="_Ref466058817"/>
      <w:r>
        <w:t>S</w:t>
      </w:r>
      <w:r w:rsidR="00F068B6">
        <w:t>lot</w:t>
      </w:r>
      <w:r w:rsidR="00ED7CF8">
        <w:t xml:space="preserve"> Level</w:t>
      </w:r>
      <w:bookmarkEnd w:id="2"/>
    </w:p>
    <w:p w14:paraId="488328A9" w14:textId="00BBF60C" w:rsidR="00736CD8" w:rsidRDefault="00A7746A" w:rsidP="00F068B6">
      <w:pPr>
        <w:pStyle w:val="Caption"/>
        <w:rPr>
          <w:b w:val="0"/>
        </w:rPr>
      </w:pPr>
      <w:r>
        <w:rPr>
          <w:b w:val="0"/>
        </w:rPr>
        <w:t xml:space="preserve">For the case that the </w:t>
      </w:r>
      <w:r w:rsidR="006D32E7">
        <w:rPr>
          <w:b w:val="0"/>
        </w:rPr>
        <w:t>response time</w:t>
      </w:r>
      <w:r>
        <w:rPr>
          <w:b w:val="0"/>
        </w:rPr>
        <w:t xml:space="preserve"> is within a slot (and more than a few symbols), the following limitations are imposed for a slot structure where control and data are TDM:</w:t>
      </w:r>
    </w:p>
    <w:p w14:paraId="2FCB89F2" w14:textId="3D6D7279" w:rsidR="00A7746A" w:rsidRPr="00B345B9" w:rsidRDefault="00A7746A" w:rsidP="00A7746A">
      <w:pPr>
        <w:pStyle w:val="ListParagraph"/>
        <w:numPr>
          <w:ilvl w:val="0"/>
          <w:numId w:val="33"/>
        </w:numPr>
        <w:rPr>
          <w:sz w:val="20"/>
          <w:szCs w:val="20"/>
        </w:rPr>
      </w:pPr>
      <w:r w:rsidRPr="00B345B9">
        <w:rPr>
          <w:sz w:val="20"/>
          <w:szCs w:val="20"/>
        </w:rPr>
        <w:t>RF bandwidth for control and data in the same slot should be the same</w:t>
      </w:r>
    </w:p>
    <w:p w14:paraId="546FDC96" w14:textId="2DCA8D4A" w:rsidR="00A7746A" w:rsidRPr="00B345B9" w:rsidRDefault="00A7746A" w:rsidP="00A7746A">
      <w:pPr>
        <w:pStyle w:val="ListParagraph"/>
        <w:numPr>
          <w:ilvl w:val="1"/>
          <w:numId w:val="33"/>
        </w:numPr>
        <w:rPr>
          <w:sz w:val="20"/>
          <w:szCs w:val="20"/>
        </w:rPr>
      </w:pPr>
      <w:r w:rsidRPr="00B345B9">
        <w:rPr>
          <w:sz w:val="20"/>
          <w:szCs w:val="20"/>
        </w:rPr>
        <w:t xml:space="preserve">Baseband can still </w:t>
      </w:r>
      <w:r w:rsidR="008E33FB">
        <w:rPr>
          <w:sz w:val="20"/>
          <w:szCs w:val="20"/>
        </w:rPr>
        <w:t>pick out the subset of tones mapped to</w:t>
      </w:r>
      <w:r w:rsidRPr="00B345B9">
        <w:rPr>
          <w:sz w:val="20"/>
          <w:szCs w:val="20"/>
        </w:rPr>
        <w:t xml:space="preserve"> </w:t>
      </w:r>
      <w:r w:rsidR="008E33FB">
        <w:rPr>
          <w:sz w:val="20"/>
          <w:szCs w:val="20"/>
        </w:rPr>
        <w:t xml:space="preserve">specific </w:t>
      </w:r>
      <w:r w:rsidRPr="00B345B9">
        <w:rPr>
          <w:sz w:val="20"/>
          <w:szCs w:val="20"/>
        </w:rPr>
        <w:t>channels</w:t>
      </w:r>
      <w:r w:rsidR="008E33FB">
        <w:rPr>
          <w:sz w:val="20"/>
          <w:szCs w:val="20"/>
        </w:rPr>
        <w:t xml:space="preserve"> to process</w:t>
      </w:r>
    </w:p>
    <w:p w14:paraId="626E3FBB" w14:textId="5398FFA8" w:rsidR="00A7746A" w:rsidRPr="00B345B9" w:rsidRDefault="00A7746A" w:rsidP="00A7746A">
      <w:pPr>
        <w:pStyle w:val="ListParagraph"/>
        <w:numPr>
          <w:ilvl w:val="1"/>
          <w:numId w:val="33"/>
        </w:numPr>
        <w:rPr>
          <w:sz w:val="20"/>
          <w:szCs w:val="20"/>
        </w:rPr>
      </w:pPr>
      <w:r w:rsidRPr="00B345B9">
        <w:rPr>
          <w:sz w:val="20"/>
          <w:szCs w:val="20"/>
        </w:rPr>
        <w:t>RF bandwidth required would be the span of the frequency allocation for control channel and data channel</w:t>
      </w:r>
    </w:p>
    <w:p w14:paraId="188AAFEB" w14:textId="2ACD5085" w:rsidR="00A7746A" w:rsidRPr="00B345B9" w:rsidRDefault="00A7746A" w:rsidP="00A7746A">
      <w:pPr>
        <w:pStyle w:val="ListParagraph"/>
        <w:numPr>
          <w:ilvl w:val="0"/>
          <w:numId w:val="33"/>
        </w:numPr>
        <w:rPr>
          <w:sz w:val="20"/>
          <w:szCs w:val="20"/>
        </w:rPr>
      </w:pPr>
      <w:r w:rsidRPr="00B345B9">
        <w:rPr>
          <w:sz w:val="20"/>
          <w:szCs w:val="20"/>
        </w:rPr>
        <w:t>RF center frequency for control and data in the same slot should be the same</w:t>
      </w:r>
    </w:p>
    <w:p w14:paraId="614D48BC" w14:textId="46D2191F" w:rsidR="00A7746A" w:rsidRPr="00B345B9" w:rsidRDefault="00A7746A" w:rsidP="00A7746A">
      <w:pPr>
        <w:pStyle w:val="ListParagraph"/>
        <w:numPr>
          <w:ilvl w:val="0"/>
          <w:numId w:val="33"/>
        </w:numPr>
        <w:rPr>
          <w:sz w:val="20"/>
          <w:szCs w:val="20"/>
        </w:rPr>
      </w:pPr>
      <w:r w:rsidRPr="00B345B9">
        <w:rPr>
          <w:sz w:val="20"/>
          <w:szCs w:val="20"/>
        </w:rPr>
        <w:t xml:space="preserve">RF bandwidth and/or center frequency switching can happen during UE’s </w:t>
      </w:r>
      <w:r w:rsidR="009336C8" w:rsidRPr="00B345B9">
        <w:rPr>
          <w:sz w:val="20"/>
          <w:szCs w:val="20"/>
        </w:rPr>
        <w:t xml:space="preserve">RF </w:t>
      </w:r>
      <w:r w:rsidRPr="00B345B9">
        <w:rPr>
          <w:sz w:val="20"/>
          <w:szCs w:val="20"/>
        </w:rPr>
        <w:t>inactive time</w:t>
      </w:r>
      <w:r w:rsidR="009336C8" w:rsidRPr="00B345B9">
        <w:rPr>
          <w:sz w:val="20"/>
          <w:szCs w:val="20"/>
        </w:rPr>
        <w:t xml:space="preserve"> (defined to be RF circuitry </w:t>
      </w:r>
      <w:r w:rsidR="00B345B9">
        <w:rPr>
          <w:sz w:val="20"/>
          <w:szCs w:val="20"/>
        </w:rPr>
        <w:t xml:space="preserve">not transmitting or receiving </w:t>
      </w:r>
      <w:r w:rsidR="009336C8" w:rsidRPr="00B345B9">
        <w:rPr>
          <w:sz w:val="20"/>
          <w:szCs w:val="20"/>
        </w:rPr>
        <w:t>signal)</w:t>
      </w:r>
    </w:p>
    <w:p w14:paraId="2196B983" w14:textId="3FDFCF6E" w:rsidR="00A7746A" w:rsidRPr="00B345B9" w:rsidRDefault="00A7746A" w:rsidP="00A7746A">
      <w:pPr>
        <w:pStyle w:val="ListParagraph"/>
        <w:numPr>
          <w:ilvl w:val="1"/>
          <w:numId w:val="33"/>
        </w:numPr>
        <w:rPr>
          <w:sz w:val="20"/>
          <w:szCs w:val="20"/>
        </w:rPr>
      </w:pPr>
      <w:r w:rsidRPr="00B345B9">
        <w:rPr>
          <w:sz w:val="20"/>
          <w:szCs w:val="20"/>
        </w:rPr>
        <w:t xml:space="preserve">UE’s </w:t>
      </w:r>
      <w:r w:rsidR="009336C8" w:rsidRPr="00B345B9">
        <w:rPr>
          <w:sz w:val="20"/>
          <w:szCs w:val="20"/>
        </w:rPr>
        <w:t xml:space="preserve">RF </w:t>
      </w:r>
      <w:r w:rsidRPr="00B345B9">
        <w:rPr>
          <w:sz w:val="20"/>
          <w:szCs w:val="20"/>
        </w:rPr>
        <w:t>inactive time include</w:t>
      </w:r>
      <w:r w:rsidR="009336C8" w:rsidRPr="00B345B9">
        <w:rPr>
          <w:sz w:val="20"/>
          <w:szCs w:val="20"/>
        </w:rPr>
        <w:t>s</w:t>
      </w:r>
      <w:r w:rsidRPr="00B345B9">
        <w:rPr>
          <w:sz w:val="20"/>
          <w:szCs w:val="20"/>
        </w:rPr>
        <w:t>: guard period</w:t>
      </w:r>
      <w:r w:rsidR="009336C8" w:rsidRPr="00B345B9">
        <w:rPr>
          <w:sz w:val="20"/>
          <w:szCs w:val="20"/>
        </w:rPr>
        <w:t>s, RF off duration (e.g. during microsleep)</w:t>
      </w:r>
    </w:p>
    <w:p w14:paraId="69B5391A" w14:textId="77777777" w:rsidR="009336C8" w:rsidRDefault="009336C8" w:rsidP="009336C8"/>
    <w:p w14:paraId="49977404" w14:textId="5EEE3FC0" w:rsidR="008C77E0" w:rsidRDefault="009336C8" w:rsidP="009336C8">
      <w:r>
        <w:t xml:space="preserve">Above can be supported within the framework of flexible UE bandwidth </w:t>
      </w:r>
      <w:r w:rsidR="000F311A">
        <w:t xml:space="preserve">proposed in </w:t>
      </w:r>
      <w:r>
        <w:t>[2]</w:t>
      </w:r>
      <w:r w:rsidR="008C77E0">
        <w:t>[3].</w:t>
      </w:r>
      <w:r w:rsidR="00B345B9">
        <w:t xml:space="preserve"> </w:t>
      </w:r>
      <w:r w:rsidR="008C77E0">
        <w:t>In terms of control signaling to facilitate the framework, semi-static and dynamic schemes can be considered.</w:t>
      </w:r>
      <w:r w:rsidR="00B345B9">
        <w:t xml:space="preserve"> </w:t>
      </w:r>
      <w:r w:rsidR="008C77E0">
        <w:t>Se</w:t>
      </w:r>
      <w:r w:rsidR="00E44CAF">
        <w:t>mi-static bandwidth adaptation had been</w:t>
      </w:r>
      <w:r w:rsidR="008C77E0">
        <w:t xml:space="preserve"> proposed in [3]. Dynamic bandwidth adaptation can be supported with cross-slot scheduling as proposed in [4].</w:t>
      </w:r>
    </w:p>
    <w:p w14:paraId="5BB13D4E" w14:textId="65C7ABF4" w:rsidR="008C77E0" w:rsidRDefault="008C77E0" w:rsidP="009336C8">
      <w:r>
        <w:t>In the following, more details are given to dynamic bandwidth adaptation. The following scheduling</w:t>
      </w:r>
      <w:r w:rsidR="0035654E">
        <w:t>/signaling</w:t>
      </w:r>
      <w:r>
        <w:t xml:space="preserve"> schemes can be considered:</w:t>
      </w:r>
    </w:p>
    <w:p w14:paraId="6703BA4F" w14:textId="3156E902" w:rsidR="008C77E0" w:rsidRPr="00B345B9" w:rsidRDefault="00374212" w:rsidP="008C77E0">
      <w:pPr>
        <w:pStyle w:val="ListParagraph"/>
        <w:numPr>
          <w:ilvl w:val="0"/>
          <w:numId w:val="34"/>
        </w:numPr>
        <w:rPr>
          <w:sz w:val="20"/>
          <w:szCs w:val="20"/>
        </w:rPr>
      </w:pPr>
      <w:r>
        <w:rPr>
          <w:sz w:val="20"/>
          <w:szCs w:val="20"/>
        </w:rPr>
        <w:t>Cross-slot scheduling with grant in slot N and data in slot N+1</w:t>
      </w:r>
    </w:p>
    <w:p w14:paraId="624BC4D2" w14:textId="52497D3F" w:rsidR="008C77E0" w:rsidRPr="00B345B9" w:rsidRDefault="00AF0093" w:rsidP="008C77E0">
      <w:pPr>
        <w:pStyle w:val="ListParagraph"/>
        <w:numPr>
          <w:ilvl w:val="0"/>
          <w:numId w:val="34"/>
        </w:numPr>
        <w:rPr>
          <w:sz w:val="20"/>
          <w:szCs w:val="20"/>
        </w:rPr>
      </w:pPr>
      <w:r>
        <w:rPr>
          <w:sz w:val="20"/>
          <w:szCs w:val="20"/>
        </w:rPr>
        <w:t>Dynamic</w:t>
      </w:r>
      <w:r w:rsidR="004E40CA" w:rsidRPr="00B345B9">
        <w:rPr>
          <w:sz w:val="20"/>
          <w:szCs w:val="20"/>
        </w:rPr>
        <w:t xml:space="preserve"> b</w:t>
      </w:r>
      <w:r w:rsidR="008C77E0" w:rsidRPr="00B345B9">
        <w:rPr>
          <w:sz w:val="20"/>
          <w:szCs w:val="20"/>
        </w:rPr>
        <w:t xml:space="preserve">andwidth indication </w:t>
      </w:r>
      <w:r w:rsidR="00962CAC">
        <w:rPr>
          <w:sz w:val="20"/>
          <w:szCs w:val="20"/>
        </w:rPr>
        <w:t xml:space="preserve">and/or </w:t>
      </w:r>
      <w:r w:rsidR="008C77E0" w:rsidRPr="00B345B9">
        <w:rPr>
          <w:sz w:val="20"/>
          <w:szCs w:val="20"/>
        </w:rPr>
        <w:t>state-based bandwidth management</w:t>
      </w:r>
    </w:p>
    <w:p w14:paraId="4AF86043" w14:textId="77777777" w:rsidR="00B345B9" w:rsidRDefault="00B345B9" w:rsidP="00736CD8"/>
    <w:p w14:paraId="07DA3344" w14:textId="346B3FB2" w:rsidR="00962CAC" w:rsidRDefault="00962CAC" w:rsidP="00736CD8">
      <w:r>
        <w:t xml:space="preserve">Cross-slot scheduling has been </w:t>
      </w:r>
      <w:r w:rsidR="00CC6E06">
        <w:t xml:space="preserve">introduced in [4] and discussed more in details in </w:t>
      </w:r>
      <w:r w:rsidR="0035654E">
        <w:t>[5]. In this contribution another scheduling/signaling scheme</w:t>
      </w:r>
      <w:r>
        <w:t xml:space="preserve"> </w:t>
      </w:r>
      <w:r w:rsidR="0035654E">
        <w:t>(b) is introduced.</w:t>
      </w:r>
    </w:p>
    <w:p w14:paraId="753D3F79" w14:textId="17E40EDC" w:rsidR="0035654E" w:rsidRDefault="008C77E0" w:rsidP="00736CD8">
      <w:r>
        <w:t xml:space="preserve">The drawback with (a) is </w:t>
      </w:r>
      <w:r w:rsidR="00B345B9">
        <w:t xml:space="preserve">that </w:t>
      </w:r>
      <w:r>
        <w:t xml:space="preserve">the scheduled data transmission </w:t>
      </w:r>
      <w:r w:rsidR="00B345B9">
        <w:t xml:space="preserve">is delayed by one slot, </w:t>
      </w:r>
      <w:r>
        <w:t xml:space="preserve">and </w:t>
      </w:r>
      <w:r w:rsidR="00B345B9">
        <w:t xml:space="preserve">cross-slot grants deviate </w:t>
      </w:r>
      <w:r>
        <w:t xml:space="preserve">from the self-contained slot concept. With (b), </w:t>
      </w:r>
      <w:r w:rsidR="0035654E">
        <w:t xml:space="preserve">explicit control signaling instructs the </w:t>
      </w:r>
      <w:r>
        <w:t xml:space="preserve">UE </w:t>
      </w:r>
      <w:r w:rsidR="0035654E">
        <w:t xml:space="preserve">to </w:t>
      </w:r>
      <w:r w:rsidR="006D32E7">
        <w:t>s</w:t>
      </w:r>
      <w:r w:rsidR="0035654E">
        <w:t>witch</w:t>
      </w:r>
      <w:r w:rsidR="006D32E7">
        <w:t xml:space="preserve"> from “</w:t>
      </w:r>
      <w:r w:rsidR="0035654E">
        <w:t xml:space="preserve">narrow </w:t>
      </w:r>
      <w:r w:rsidR="006D32E7">
        <w:t xml:space="preserve">BW” </w:t>
      </w:r>
      <w:r w:rsidR="0035654E">
        <w:t xml:space="preserve">state </w:t>
      </w:r>
      <w:r w:rsidR="006D32E7">
        <w:t>to</w:t>
      </w:r>
      <w:r>
        <w:t xml:space="preserve"> “</w:t>
      </w:r>
      <w:r w:rsidR="0035654E">
        <w:t>wide</w:t>
      </w:r>
      <w:r>
        <w:t xml:space="preserve"> </w:t>
      </w:r>
      <w:r w:rsidR="006D32E7">
        <w:t>BW</w:t>
      </w:r>
      <w:r>
        <w:t xml:space="preserve">” </w:t>
      </w:r>
      <w:r w:rsidR="0035654E">
        <w:t xml:space="preserve">state for the following slot. Once the switching is complete, UE Rx stays at the “wide BW” state </w:t>
      </w:r>
      <w:r>
        <w:t>during whi</w:t>
      </w:r>
      <w:r w:rsidR="0035654E">
        <w:t>ch same-slot scheduling is used. Explicit control signaling may instruct the UE to switch back to “narrow BW” when no data is to be scheduled</w:t>
      </w:r>
      <w:r>
        <w:t xml:space="preserve">. </w:t>
      </w:r>
      <w:r w:rsidR="0035654E">
        <w:t xml:space="preserve">A variant or complementary scheme is to base the state switching </w:t>
      </w:r>
      <w:r w:rsidR="00F810F5">
        <w:t xml:space="preserve">decision </w:t>
      </w:r>
      <w:r w:rsidR="0035654E">
        <w:t xml:space="preserve">also on grant </w:t>
      </w:r>
      <w:r w:rsidR="00F810F5">
        <w:t>status</w:t>
      </w:r>
      <w:r w:rsidR="0035654E">
        <w:t xml:space="preserve">. For example, </w:t>
      </w:r>
      <w:r w:rsidR="00F810F5">
        <w:t>w</w:t>
      </w:r>
      <w:r w:rsidR="0035654E">
        <w:t xml:space="preserve">hen there has been a threshold number of consecutive slots with no grant, the UE can autonomously switch back to “narrow BW” state. </w:t>
      </w:r>
      <w:r w:rsidR="00F810F5">
        <w:t xml:space="preserve">Optionally, cross-slot scheduling could be </w:t>
      </w:r>
      <w:r w:rsidR="007C746F">
        <w:t>used initially</w:t>
      </w:r>
      <w:r w:rsidR="00F810F5">
        <w:t xml:space="preserve"> to kick start the UE into “wide BW” state.</w:t>
      </w:r>
    </w:p>
    <w:p w14:paraId="099B3E5D" w14:textId="65C7C2E3" w:rsidR="008C77E0" w:rsidRDefault="00B8163C" w:rsidP="00736CD8">
      <w:r>
        <w:t>S</w:t>
      </w:r>
      <w:r w:rsidR="008C77E0">
        <w:t xml:space="preserve">cheme </w:t>
      </w:r>
      <w:r>
        <w:t xml:space="preserve">(b) </w:t>
      </w:r>
      <w:r w:rsidR="008C77E0">
        <w:t xml:space="preserve">is more </w:t>
      </w:r>
      <w:r w:rsidR="00EE6572">
        <w:t xml:space="preserve">compatible </w:t>
      </w:r>
      <w:r w:rsidR="008C77E0">
        <w:t>with the self-contained slot structure.</w:t>
      </w:r>
      <w:r w:rsidR="005F095E">
        <w:t xml:space="preserve"> </w:t>
      </w:r>
      <w:r w:rsidR="00EE6572">
        <w:t xml:space="preserve">It </w:t>
      </w:r>
      <w:r w:rsidR="00BB21ED">
        <w:t xml:space="preserve">has some similarity to </w:t>
      </w:r>
      <w:r w:rsidR="00EE6572">
        <w:t xml:space="preserve">DRX – </w:t>
      </w:r>
      <w:r w:rsidR="00BB21ED">
        <w:t xml:space="preserve">Beyond just </w:t>
      </w:r>
      <w:r w:rsidR="00EE6572">
        <w:t xml:space="preserve">switching </w:t>
      </w:r>
      <w:r>
        <w:t xml:space="preserve">the </w:t>
      </w:r>
      <w:r w:rsidR="00EE6572">
        <w:t xml:space="preserve">UE between ON and OFF states, this </w:t>
      </w:r>
      <w:r w:rsidR="00BB21ED">
        <w:t xml:space="preserve">opens up </w:t>
      </w:r>
      <w:r w:rsidR="00EE6572">
        <w:t xml:space="preserve">another dimension: </w:t>
      </w:r>
      <w:r w:rsidR="00BB21ED">
        <w:t xml:space="preserve">switching between </w:t>
      </w:r>
      <w:r w:rsidR="00EE6572">
        <w:t xml:space="preserve">narrow </w:t>
      </w:r>
      <w:r w:rsidR="00BB21ED">
        <w:t xml:space="preserve">vs wide BW states during the active duration of a DRX cycle. </w:t>
      </w:r>
      <w:r w:rsidR="00EE6572">
        <w:t>Moreover, BW indicator transitions can be based on the full/empty status of the data queue in the eNB scheduler.</w:t>
      </w:r>
    </w:p>
    <w:p w14:paraId="685E6EA8" w14:textId="3DECD255" w:rsidR="00736CD8" w:rsidRDefault="00B862DB" w:rsidP="00736CD8">
      <w:pPr>
        <w:jc w:val="both"/>
        <w:rPr>
          <w:szCs w:val="22"/>
        </w:rPr>
      </w:pPr>
      <w:r>
        <w:object w:dxaOrig="14115" w:dyaOrig="5933" w14:anchorId="02C20C97">
          <v:shape id="_x0000_i1026" type="#_x0000_t75" style="width:495.75pt;height:208.5pt" o:ole="">
            <v:imagedata r:id="rId12" o:title=""/>
          </v:shape>
          <o:OLEObject Type="Embed" ProgID="Visio.Drawing.11" ShapeID="_x0000_i1026" DrawAspect="Content" ObjectID="_1539875880" r:id="rId13"/>
        </w:object>
      </w:r>
      <w:bookmarkStart w:id="3" w:name="_GoBack"/>
      <w:bookmarkEnd w:id="3"/>
    </w:p>
    <w:p w14:paraId="238CF62D" w14:textId="1F780EEA" w:rsidR="00396925" w:rsidRDefault="00396925" w:rsidP="00396925">
      <w:pPr>
        <w:pStyle w:val="Caption"/>
        <w:jc w:val="center"/>
      </w:pPr>
      <w:r>
        <w:t xml:space="preserve">Figure </w:t>
      </w:r>
      <w:r w:rsidR="00475B1B">
        <w:fldChar w:fldCharType="begin"/>
      </w:r>
      <w:r w:rsidR="00475B1B">
        <w:instrText xml:space="preserve"> SEQ Figure \* ARABIC </w:instrText>
      </w:r>
      <w:r w:rsidR="00475B1B">
        <w:fldChar w:fldCharType="separate"/>
      </w:r>
      <w:r w:rsidR="00BC025C">
        <w:rPr>
          <w:noProof/>
        </w:rPr>
        <w:t>1</w:t>
      </w:r>
      <w:r w:rsidR="00475B1B">
        <w:rPr>
          <w:noProof/>
        </w:rPr>
        <w:fldChar w:fldCharType="end"/>
      </w:r>
      <w:r>
        <w:t xml:space="preserve">: </w:t>
      </w:r>
      <w:r w:rsidR="00A34EC0">
        <w:t xml:space="preserve">Slot-level dynamic </w:t>
      </w:r>
      <w:r w:rsidR="005F095E">
        <w:t>BW</w:t>
      </w:r>
      <w:r>
        <w:t xml:space="preserve"> </w:t>
      </w:r>
      <w:r w:rsidR="005F095E">
        <w:t>adaptat</w:t>
      </w:r>
      <w:r w:rsidR="00A34EC0">
        <w:t>ion</w:t>
      </w:r>
    </w:p>
    <w:p w14:paraId="3E293906" w14:textId="7DDB5D4E" w:rsidR="0029660E" w:rsidRDefault="0029660E" w:rsidP="00BC4D50"/>
    <w:p w14:paraId="58787619" w14:textId="028742A1" w:rsidR="00396925" w:rsidRDefault="005F095E" w:rsidP="00396925">
      <w:pPr>
        <w:jc w:val="both"/>
      </w:pPr>
      <w:r>
        <w:t xml:space="preserve">In the above example for a DL centric slot, RF circuitry can switch bandwidth and/or center frequency during inactive time: During microsleep duration </w:t>
      </w:r>
      <w:r w:rsidR="00D25E4B">
        <w:t>it can switch</w:t>
      </w:r>
      <w:r>
        <w:t xml:space="preserve"> from </w:t>
      </w:r>
      <w:r w:rsidR="00314869">
        <w:t>narrow</w:t>
      </w:r>
      <w:r>
        <w:t xml:space="preserve"> BW to </w:t>
      </w:r>
      <w:r w:rsidR="00314869">
        <w:t xml:space="preserve">wide </w:t>
      </w:r>
      <w:r>
        <w:t xml:space="preserve">BW, and during the guard period (surrounding the UL control burst) </w:t>
      </w:r>
      <w:r w:rsidR="00D25E4B">
        <w:t xml:space="preserve">it can switch </w:t>
      </w:r>
      <w:r>
        <w:t xml:space="preserve">from </w:t>
      </w:r>
      <w:r w:rsidR="00314869">
        <w:t xml:space="preserve">wide </w:t>
      </w:r>
      <w:r>
        <w:t xml:space="preserve">BW to </w:t>
      </w:r>
      <w:r w:rsidR="00314869">
        <w:t xml:space="preserve">narrow </w:t>
      </w:r>
      <w:r>
        <w:t>BW.</w:t>
      </w:r>
      <w:r w:rsidR="00BC025C">
        <w:t xml:space="preserve"> </w:t>
      </w:r>
      <w:r w:rsidR="00DE7A0C">
        <w:t>D</w:t>
      </w:r>
      <w:r w:rsidR="00BC025C">
        <w:t>uring the co</w:t>
      </w:r>
      <w:r w:rsidR="00DE7A0C">
        <w:t>ntrol and data duration within the same</w:t>
      </w:r>
      <w:r w:rsidR="00BC025C">
        <w:t xml:space="preserve"> slot, </w:t>
      </w:r>
      <w:r w:rsidR="00DE7A0C">
        <w:t xml:space="preserve">UE-specific bandwidth must span the </w:t>
      </w:r>
      <w:r w:rsidR="00D25E4B">
        <w:t xml:space="preserve">frequencies </w:t>
      </w:r>
      <w:r w:rsidR="00DE7A0C">
        <w:t>of the control subband and data allocation, and this UE-specific BW should be coordinated with the eNB such that data allocation would not fall outside of the UE-specific BW</w:t>
      </w:r>
      <w:r w:rsidR="00D25E4B">
        <w:t xml:space="preserve"> supported at the time</w:t>
      </w:r>
      <w:r w:rsidR="00DE7A0C">
        <w:t>.</w:t>
      </w:r>
    </w:p>
    <w:p w14:paraId="09611A5A" w14:textId="5A6667C9" w:rsidR="00DE7A0C" w:rsidRDefault="00AF0093" w:rsidP="00396925">
      <w:pPr>
        <w:jc w:val="both"/>
        <w:rPr>
          <w:i/>
        </w:rPr>
      </w:pPr>
      <w:r>
        <w:rPr>
          <w:b/>
          <w:i/>
          <w:u w:val="single"/>
        </w:rPr>
        <w:t>Observation 1</w:t>
      </w:r>
      <w:r>
        <w:rPr>
          <w:i/>
        </w:rPr>
        <w:t>: Cross-slot scheduling achieves dynamic BW adaptation and power saving, at the expense of introducing dependency between slots, which deviate from self-contained slot design</w:t>
      </w:r>
      <w:r w:rsidR="00825B32">
        <w:rPr>
          <w:i/>
        </w:rPr>
        <w:t xml:space="preserve">, and </w:t>
      </w:r>
      <w:r w:rsidR="00B8163C">
        <w:rPr>
          <w:i/>
        </w:rPr>
        <w:t xml:space="preserve">incurring </w:t>
      </w:r>
      <w:r w:rsidR="00825B32">
        <w:rPr>
          <w:i/>
        </w:rPr>
        <w:t>slightly higher latency</w:t>
      </w:r>
      <w:r w:rsidR="00405193">
        <w:rPr>
          <w:i/>
        </w:rPr>
        <w:t>.</w:t>
      </w:r>
    </w:p>
    <w:p w14:paraId="6FF94973" w14:textId="28B82556" w:rsidR="00AF0093" w:rsidRDefault="00AF0093" w:rsidP="00396925">
      <w:pPr>
        <w:jc w:val="both"/>
        <w:rPr>
          <w:i/>
        </w:rPr>
      </w:pPr>
      <w:r w:rsidRPr="00AF0093">
        <w:rPr>
          <w:b/>
          <w:i/>
          <w:u w:val="single"/>
        </w:rPr>
        <w:t>Proposal</w:t>
      </w:r>
      <w:r>
        <w:rPr>
          <w:b/>
          <w:i/>
          <w:u w:val="single"/>
        </w:rPr>
        <w:t xml:space="preserve"> 1</w:t>
      </w:r>
      <w:r>
        <w:rPr>
          <w:i/>
        </w:rPr>
        <w:t xml:space="preserve">: Dynamic bandwidth indication and state-based bandwidth management should be considered </w:t>
      </w:r>
      <w:r w:rsidR="0048731E">
        <w:rPr>
          <w:i/>
        </w:rPr>
        <w:t xml:space="preserve">as design options </w:t>
      </w:r>
      <w:r>
        <w:rPr>
          <w:i/>
        </w:rPr>
        <w:t xml:space="preserve">to </w:t>
      </w:r>
      <w:r w:rsidR="0048731E">
        <w:rPr>
          <w:i/>
        </w:rPr>
        <w:t xml:space="preserve">support </w:t>
      </w:r>
      <w:r>
        <w:rPr>
          <w:i/>
        </w:rPr>
        <w:t>dynamic bandwidth adaptation.</w:t>
      </w:r>
    </w:p>
    <w:p w14:paraId="7B3BF883" w14:textId="77777777" w:rsidR="00AF0093" w:rsidRPr="00AF0093" w:rsidRDefault="00AF0093" w:rsidP="00396925">
      <w:pPr>
        <w:jc w:val="both"/>
        <w:rPr>
          <w:i/>
        </w:rPr>
      </w:pPr>
    </w:p>
    <w:p w14:paraId="4A0481E0" w14:textId="31D95DDC" w:rsidR="00396925" w:rsidRDefault="00BF62F7" w:rsidP="00BF62F7">
      <w:pPr>
        <w:pStyle w:val="Heading3"/>
      </w:pPr>
      <w:bookmarkStart w:id="4" w:name="_Ref466054559"/>
      <w:r>
        <w:t>Less than a Few Symbols</w:t>
      </w:r>
      <w:bookmarkEnd w:id="4"/>
    </w:p>
    <w:p w14:paraId="707E2188" w14:textId="519251DB" w:rsidR="00BF62F7" w:rsidRDefault="0080474E" w:rsidP="00BF62F7">
      <w:pPr>
        <w:rPr>
          <w:lang w:val="en-GB"/>
        </w:rPr>
      </w:pPr>
      <w:r>
        <w:rPr>
          <w:lang w:val="en-GB"/>
        </w:rPr>
        <w:t xml:space="preserve">For DL centric slot, if a gap is introduced between the end of the control </w:t>
      </w:r>
      <w:r w:rsidR="00BC025C">
        <w:rPr>
          <w:lang w:val="en-GB"/>
        </w:rPr>
        <w:t>duration</w:t>
      </w:r>
      <w:r>
        <w:rPr>
          <w:lang w:val="en-GB"/>
        </w:rPr>
        <w:t xml:space="preserve"> and the start of the data </w:t>
      </w:r>
      <w:r w:rsidR="00BC025C">
        <w:rPr>
          <w:lang w:val="en-GB"/>
        </w:rPr>
        <w:t>duration</w:t>
      </w:r>
      <w:r>
        <w:rPr>
          <w:lang w:val="en-GB"/>
        </w:rPr>
        <w:t xml:space="preserve"> (assuming they are TDM), and this gap is sufficient for RF bandwidth adaptation, then the following can be supported:</w:t>
      </w:r>
    </w:p>
    <w:p w14:paraId="05C9D997" w14:textId="02C0F34B" w:rsidR="0080474E" w:rsidRPr="0080474E" w:rsidRDefault="0080474E" w:rsidP="0080474E">
      <w:pPr>
        <w:pStyle w:val="ListParagraph"/>
        <w:numPr>
          <w:ilvl w:val="0"/>
          <w:numId w:val="35"/>
        </w:numPr>
        <w:rPr>
          <w:sz w:val="20"/>
          <w:szCs w:val="20"/>
        </w:rPr>
      </w:pPr>
      <w:r w:rsidRPr="00B345B9">
        <w:rPr>
          <w:sz w:val="20"/>
          <w:szCs w:val="20"/>
        </w:rPr>
        <w:t xml:space="preserve">RF bandwidth for control and data in the same slot </w:t>
      </w:r>
      <w:r>
        <w:rPr>
          <w:sz w:val="20"/>
          <w:szCs w:val="20"/>
        </w:rPr>
        <w:t>can be different</w:t>
      </w:r>
    </w:p>
    <w:p w14:paraId="2BAD1806" w14:textId="7CCB532C" w:rsidR="0080474E" w:rsidRPr="00B345B9" w:rsidRDefault="0080474E" w:rsidP="0080474E">
      <w:pPr>
        <w:pStyle w:val="ListParagraph"/>
        <w:numPr>
          <w:ilvl w:val="0"/>
          <w:numId w:val="35"/>
        </w:numPr>
        <w:rPr>
          <w:sz w:val="20"/>
          <w:szCs w:val="20"/>
        </w:rPr>
      </w:pPr>
      <w:r w:rsidRPr="00B345B9">
        <w:rPr>
          <w:sz w:val="20"/>
          <w:szCs w:val="20"/>
        </w:rPr>
        <w:t xml:space="preserve">RF center frequency for control and data in the same slot </w:t>
      </w:r>
      <w:r>
        <w:rPr>
          <w:sz w:val="20"/>
          <w:szCs w:val="20"/>
        </w:rPr>
        <w:t xml:space="preserve">can </w:t>
      </w:r>
      <w:r w:rsidRPr="00B345B9">
        <w:rPr>
          <w:sz w:val="20"/>
          <w:szCs w:val="20"/>
        </w:rPr>
        <w:t xml:space="preserve">be </w:t>
      </w:r>
      <w:r>
        <w:rPr>
          <w:sz w:val="20"/>
          <w:szCs w:val="20"/>
        </w:rPr>
        <w:t>different</w:t>
      </w:r>
    </w:p>
    <w:p w14:paraId="762F34DE" w14:textId="0E03D17A" w:rsidR="0080474E" w:rsidRDefault="0080474E" w:rsidP="0080474E">
      <w:pPr>
        <w:pStyle w:val="ListParagraph"/>
        <w:numPr>
          <w:ilvl w:val="0"/>
          <w:numId w:val="35"/>
        </w:numPr>
        <w:rPr>
          <w:sz w:val="20"/>
          <w:szCs w:val="20"/>
        </w:rPr>
      </w:pPr>
      <w:r w:rsidRPr="00B345B9">
        <w:rPr>
          <w:sz w:val="20"/>
          <w:szCs w:val="20"/>
        </w:rPr>
        <w:t xml:space="preserve">RF bandwidth and/or center frequency switching can happen during </w:t>
      </w:r>
      <w:r>
        <w:rPr>
          <w:sz w:val="20"/>
          <w:szCs w:val="20"/>
        </w:rPr>
        <w:t>the gap following the control region and before the data region</w:t>
      </w:r>
    </w:p>
    <w:p w14:paraId="25D2BBA5" w14:textId="77777777" w:rsidR="00BC025C" w:rsidRDefault="00BC025C" w:rsidP="00BC025C"/>
    <w:p w14:paraId="453EE3BA" w14:textId="44BF4561" w:rsidR="00BC025C" w:rsidRPr="00BC025C" w:rsidRDefault="00BC025C" w:rsidP="00BC025C">
      <w:r>
        <w:t>The following example illustrates bandwidth adaptation that can be performed independently for the control and data durations. Because of this decoupling, UE’s RF BW (i.e. bandwidth that the RF is configured to support) and the center frequency can be different for the control and data durations, as long as it is within UE capability and within the carrier bandwidth.</w:t>
      </w:r>
    </w:p>
    <w:p w14:paraId="442149A7" w14:textId="77777777" w:rsidR="00BC025C" w:rsidRDefault="00B862DB" w:rsidP="00BC025C">
      <w:pPr>
        <w:keepNext/>
      </w:pPr>
      <w:r w:rsidRPr="00BC025C">
        <w:object w:dxaOrig="9990" w:dyaOrig="5933" w14:anchorId="00B36171">
          <v:shape id="_x0000_i1025" type="#_x0000_t75" style="width:375pt;height:223.5pt" o:ole="">
            <v:imagedata r:id="rId14" o:title=""/>
          </v:shape>
          <o:OLEObject Type="Embed" ProgID="Visio.Drawing.11" ShapeID="_x0000_i1025" DrawAspect="Content" ObjectID="_1539875881" r:id="rId15"/>
        </w:object>
      </w:r>
    </w:p>
    <w:p w14:paraId="58AD5E34" w14:textId="0F044598" w:rsidR="0080474E" w:rsidRDefault="00BC025C" w:rsidP="00BC025C">
      <w:pPr>
        <w:pStyle w:val="Caption"/>
        <w:jc w:val="center"/>
      </w:pPr>
      <w:r>
        <w:t xml:space="preserve">Figure </w:t>
      </w:r>
      <w:r w:rsidR="00475B1B">
        <w:fldChar w:fldCharType="begin"/>
      </w:r>
      <w:r w:rsidR="00475B1B">
        <w:instrText xml:space="preserve"> SEQ Figure \* ARABIC </w:instrText>
      </w:r>
      <w:r w:rsidR="00475B1B">
        <w:fldChar w:fldCharType="separate"/>
      </w:r>
      <w:r>
        <w:rPr>
          <w:noProof/>
        </w:rPr>
        <w:t>2</w:t>
      </w:r>
      <w:r w:rsidR="00475B1B">
        <w:rPr>
          <w:noProof/>
        </w:rPr>
        <w:fldChar w:fldCharType="end"/>
      </w:r>
      <w:r>
        <w:t xml:space="preserve">: BW adaptation for control and data </w:t>
      </w:r>
      <w:r w:rsidR="00C55D2D">
        <w:t>durations</w:t>
      </w:r>
      <w:r w:rsidR="00BF6500">
        <w:t xml:space="preserve"> within a slot</w:t>
      </w:r>
    </w:p>
    <w:p w14:paraId="323F7459" w14:textId="0ACDFAA7" w:rsidR="004A17B4" w:rsidRDefault="004A17B4" w:rsidP="00BF62F7">
      <w:pPr>
        <w:rPr>
          <w:lang w:val="en-GB"/>
        </w:rPr>
      </w:pPr>
      <w:r>
        <w:rPr>
          <w:lang w:val="en-GB"/>
        </w:rPr>
        <w:t>The gap can be UE specific and displaces one or more of the control symbols at the end of the control duration, or displaces one or more of the data symbols at the start of the data duration, or a combination of both.</w:t>
      </w:r>
      <w:r w:rsidR="00B75299">
        <w:rPr>
          <w:lang w:val="en-GB"/>
        </w:rPr>
        <w:t xml:space="preserve"> eNB would not </w:t>
      </w:r>
      <w:r w:rsidR="005E10FB">
        <w:rPr>
          <w:lang w:val="en-GB"/>
        </w:rPr>
        <w:t xml:space="preserve">use the displaced symbols to carry </w:t>
      </w:r>
      <w:r w:rsidR="00B75299">
        <w:rPr>
          <w:lang w:val="en-GB"/>
        </w:rPr>
        <w:t xml:space="preserve">control or data information </w:t>
      </w:r>
      <w:r w:rsidR="005E10FB">
        <w:rPr>
          <w:lang w:val="en-GB"/>
        </w:rPr>
        <w:t>for the UE</w:t>
      </w:r>
      <w:r w:rsidR="00B75299">
        <w:rPr>
          <w:lang w:val="en-GB"/>
        </w:rPr>
        <w:t>.</w:t>
      </w:r>
    </w:p>
    <w:p w14:paraId="4C8C35EB" w14:textId="0C1D8AA9" w:rsidR="00ED7CF8" w:rsidRDefault="00ED7CF8" w:rsidP="00BF62F7">
      <w:pPr>
        <w:rPr>
          <w:lang w:val="en-GB"/>
        </w:rPr>
      </w:pPr>
      <w:r>
        <w:rPr>
          <w:lang w:val="en-GB"/>
        </w:rPr>
        <w:t xml:space="preserve">One main benefit of this scheme is that </w:t>
      </w:r>
      <w:r w:rsidR="00D17DF7">
        <w:rPr>
          <w:lang w:val="en-GB"/>
        </w:rPr>
        <w:t>BW adaptation response is also “self-contained” within the slot. Compared to cross-slot scheduling and/or state-based switching as described in the previous section (</w:t>
      </w:r>
      <w:r w:rsidR="00D17DF7">
        <w:rPr>
          <w:lang w:val="en-GB"/>
        </w:rPr>
        <w:fldChar w:fldCharType="begin"/>
      </w:r>
      <w:r w:rsidR="00D17DF7">
        <w:rPr>
          <w:lang w:val="en-GB"/>
        </w:rPr>
        <w:instrText xml:space="preserve"> REF _Ref466058817 \r \h </w:instrText>
      </w:r>
      <w:r w:rsidR="00D17DF7">
        <w:rPr>
          <w:lang w:val="en-GB"/>
        </w:rPr>
      </w:r>
      <w:r w:rsidR="00D17DF7">
        <w:rPr>
          <w:lang w:val="en-GB"/>
        </w:rPr>
        <w:fldChar w:fldCharType="separate"/>
      </w:r>
      <w:r w:rsidR="00D17DF7">
        <w:rPr>
          <w:lang w:val="en-GB"/>
        </w:rPr>
        <w:t>2.1.1</w:t>
      </w:r>
      <w:r w:rsidR="00D17DF7">
        <w:rPr>
          <w:lang w:val="en-GB"/>
        </w:rPr>
        <w:fldChar w:fldCharType="end"/>
      </w:r>
      <w:r w:rsidR="00D17DF7">
        <w:rPr>
          <w:lang w:val="en-GB"/>
        </w:rPr>
        <w:t>), this scheme has no dependencies outside the slot.</w:t>
      </w:r>
    </w:p>
    <w:p w14:paraId="1A9B1042" w14:textId="3B8C63B2" w:rsidR="0080474E" w:rsidRDefault="00530BD0" w:rsidP="00BF62F7">
      <w:pPr>
        <w:rPr>
          <w:lang w:val="en-GB"/>
        </w:rPr>
      </w:pPr>
      <w:r>
        <w:rPr>
          <w:lang w:val="en-GB"/>
        </w:rPr>
        <w:t>The drawback for this scheme is that if the gap cannot be multiplexed and utilized for other signal, it could be a significant overhead in terms of air interface resources.</w:t>
      </w:r>
      <w:r w:rsidR="00D17DF7">
        <w:rPr>
          <w:lang w:val="en-GB"/>
        </w:rPr>
        <w:t xml:space="preserve"> Also, </w:t>
      </w:r>
      <w:r w:rsidR="00C55D2D">
        <w:rPr>
          <w:lang w:val="en-GB"/>
        </w:rPr>
        <w:t xml:space="preserve">during </w:t>
      </w:r>
      <w:r w:rsidR="00D17DF7">
        <w:rPr>
          <w:lang w:val="en-GB"/>
        </w:rPr>
        <w:t>the gap</w:t>
      </w:r>
      <w:r w:rsidR="00C55D2D">
        <w:rPr>
          <w:lang w:val="en-GB"/>
        </w:rPr>
        <w:t>,</w:t>
      </w:r>
      <w:r w:rsidR="00D17DF7">
        <w:rPr>
          <w:lang w:val="en-GB"/>
        </w:rPr>
        <w:t xml:space="preserve"> the chipset and RF circuitry continues to consume power,</w:t>
      </w:r>
      <w:r w:rsidR="00C55D2D">
        <w:rPr>
          <w:lang w:val="en-GB"/>
        </w:rPr>
        <w:t xml:space="preserve"> so the power saving from bandwidth adaptation </w:t>
      </w:r>
      <w:r w:rsidR="00905CAB">
        <w:rPr>
          <w:lang w:val="en-GB"/>
        </w:rPr>
        <w:t>on</w:t>
      </w:r>
      <w:r w:rsidR="00C55D2D">
        <w:rPr>
          <w:lang w:val="en-GB"/>
        </w:rPr>
        <w:t xml:space="preserve"> the control and data durations must outweight the overhead in order to have a net power saving.</w:t>
      </w:r>
    </w:p>
    <w:p w14:paraId="0CE0ED2A" w14:textId="7821B63B" w:rsidR="00C55D2D" w:rsidRDefault="00C55D2D" w:rsidP="00BF62F7">
      <w:pPr>
        <w:rPr>
          <w:i/>
          <w:lang w:val="en-GB"/>
        </w:rPr>
      </w:pPr>
      <w:r w:rsidRPr="00C55D2D">
        <w:rPr>
          <w:b/>
          <w:i/>
          <w:u w:val="single"/>
          <w:lang w:val="en-GB"/>
        </w:rPr>
        <w:t>Observation</w:t>
      </w:r>
      <w:r w:rsidR="00AF0093">
        <w:rPr>
          <w:b/>
          <w:i/>
          <w:u w:val="single"/>
          <w:lang w:val="en-GB"/>
        </w:rPr>
        <w:t xml:space="preserve"> 2</w:t>
      </w:r>
      <w:r w:rsidRPr="00C55D2D">
        <w:rPr>
          <w:i/>
          <w:lang w:val="en-GB"/>
        </w:rPr>
        <w:t>: For small data</w:t>
      </w:r>
      <w:r w:rsidR="00BF6500">
        <w:rPr>
          <w:i/>
          <w:lang w:val="en-GB"/>
        </w:rPr>
        <w:t xml:space="preserve"> / </w:t>
      </w:r>
      <w:r w:rsidRPr="00C55D2D">
        <w:rPr>
          <w:i/>
          <w:lang w:val="en-GB"/>
        </w:rPr>
        <w:t xml:space="preserve">RB allocation, the power saving from </w:t>
      </w:r>
      <w:r w:rsidR="00630729">
        <w:rPr>
          <w:i/>
          <w:lang w:val="en-GB"/>
        </w:rPr>
        <w:t xml:space="preserve">BW </w:t>
      </w:r>
      <w:r w:rsidRPr="00C55D2D">
        <w:rPr>
          <w:i/>
          <w:lang w:val="en-GB"/>
        </w:rPr>
        <w:t xml:space="preserve">adaptation can be substantial, and the resource loss due to the gap for BW </w:t>
      </w:r>
      <w:r w:rsidR="00630729">
        <w:rPr>
          <w:i/>
          <w:lang w:val="en-GB"/>
        </w:rPr>
        <w:t>adaptation</w:t>
      </w:r>
      <w:r w:rsidRPr="00C55D2D">
        <w:rPr>
          <w:i/>
          <w:lang w:val="en-GB"/>
        </w:rPr>
        <w:t xml:space="preserve"> may be justified and acceptable.</w:t>
      </w:r>
    </w:p>
    <w:p w14:paraId="01D1651F" w14:textId="4058F26A" w:rsidR="00BF6500" w:rsidRPr="00BF6500" w:rsidRDefault="00BF6500" w:rsidP="00BF62F7">
      <w:pPr>
        <w:rPr>
          <w:i/>
          <w:lang w:val="en-GB"/>
        </w:rPr>
      </w:pPr>
      <w:r w:rsidRPr="00BF6500">
        <w:rPr>
          <w:b/>
          <w:i/>
          <w:u w:val="single"/>
          <w:lang w:val="en-GB"/>
        </w:rPr>
        <w:t>Proposal</w:t>
      </w:r>
      <w:r w:rsidR="00AF0093">
        <w:rPr>
          <w:b/>
          <w:i/>
          <w:u w:val="single"/>
          <w:lang w:val="en-GB"/>
        </w:rPr>
        <w:t xml:space="preserve"> 2</w:t>
      </w:r>
      <w:r>
        <w:rPr>
          <w:i/>
          <w:lang w:val="en-GB"/>
        </w:rPr>
        <w:t xml:space="preserve">: BW </w:t>
      </w:r>
      <w:r w:rsidR="00630729">
        <w:rPr>
          <w:i/>
          <w:lang w:val="en-GB"/>
        </w:rPr>
        <w:t xml:space="preserve">adaptation </w:t>
      </w:r>
      <w:r>
        <w:rPr>
          <w:i/>
          <w:lang w:val="en-GB"/>
        </w:rPr>
        <w:t xml:space="preserve">during </w:t>
      </w:r>
      <w:r w:rsidR="00630729">
        <w:rPr>
          <w:i/>
          <w:lang w:val="en-GB"/>
        </w:rPr>
        <w:t xml:space="preserve">a </w:t>
      </w:r>
      <w:r>
        <w:rPr>
          <w:i/>
          <w:lang w:val="en-GB"/>
        </w:rPr>
        <w:t>gap between control and data durations within a slot should be considered for UEs operating with small data / RB allocation.</w:t>
      </w:r>
    </w:p>
    <w:p w14:paraId="5D0FE8BE" w14:textId="77777777" w:rsidR="00530BD0" w:rsidRDefault="00530BD0" w:rsidP="00BF62F7">
      <w:pPr>
        <w:rPr>
          <w:lang w:val="en-GB"/>
        </w:rPr>
      </w:pPr>
    </w:p>
    <w:p w14:paraId="13F47BA6" w14:textId="39B7DB97" w:rsidR="00530BD0" w:rsidRDefault="00530BD0" w:rsidP="00530BD0">
      <w:pPr>
        <w:pStyle w:val="Heading3"/>
      </w:pPr>
      <w:r>
        <w:t>Fraction of the Cyclic Prefix</w:t>
      </w:r>
    </w:p>
    <w:p w14:paraId="1455CC11" w14:textId="026E5C6B" w:rsidR="00530BD0" w:rsidRDefault="00530BD0" w:rsidP="00530BD0">
      <w:pPr>
        <w:rPr>
          <w:lang w:val="en-GB"/>
        </w:rPr>
      </w:pPr>
      <w:r>
        <w:rPr>
          <w:lang w:val="en-GB"/>
        </w:rPr>
        <w:t>Ideally, if the bandwidth switching time can be a small fraction of the cyclic prefix (CP), the bandwidth adaptation scheme described in the previous section (</w:t>
      </w:r>
      <w:r>
        <w:rPr>
          <w:lang w:val="en-GB"/>
        </w:rPr>
        <w:fldChar w:fldCharType="begin"/>
      </w:r>
      <w:r>
        <w:rPr>
          <w:lang w:val="en-GB"/>
        </w:rPr>
        <w:instrText xml:space="preserve"> REF _Ref466054559 \r \h </w:instrText>
      </w:r>
      <w:r>
        <w:rPr>
          <w:lang w:val="en-GB"/>
        </w:rPr>
      </w:r>
      <w:r>
        <w:rPr>
          <w:lang w:val="en-GB"/>
        </w:rPr>
        <w:fldChar w:fldCharType="separate"/>
      </w:r>
      <w:r>
        <w:rPr>
          <w:lang w:val="en-GB"/>
        </w:rPr>
        <w:t>2.1.2</w:t>
      </w:r>
      <w:r>
        <w:rPr>
          <w:lang w:val="en-GB"/>
        </w:rPr>
        <w:fldChar w:fldCharType="end"/>
      </w:r>
      <w:r>
        <w:rPr>
          <w:lang w:val="en-GB"/>
        </w:rPr>
        <w:t>) can be implemented with no gap between the control and data durations. As a result, no air interface resource is potentially wasted.</w:t>
      </w:r>
    </w:p>
    <w:p w14:paraId="3ABF59AE" w14:textId="0807BBF8" w:rsidR="000A22FB" w:rsidRDefault="000A22FB" w:rsidP="00530BD0">
      <w:pPr>
        <w:rPr>
          <w:lang w:val="en-GB"/>
        </w:rPr>
      </w:pPr>
      <w:r>
        <w:rPr>
          <w:lang w:val="en-GB"/>
        </w:rPr>
        <w:t xml:space="preserve">The fraction of CP taken up by RF bandwidth switching would reduce the effectiveness of CP in combating </w:t>
      </w:r>
      <w:r w:rsidR="007460CB">
        <w:rPr>
          <w:lang w:val="en-GB"/>
        </w:rPr>
        <w:t xml:space="preserve">channel </w:t>
      </w:r>
      <w:r>
        <w:rPr>
          <w:lang w:val="en-GB"/>
        </w:rPr>
        <w:t xml:space="preserve">impairments due to long delay spread. </w:t>
      </w:r>
      <w:r w:rsidR="007460CB">
        <w:rPr>
          <w:lang w:val="en-GB"/>
        </w:rPr>
        <w:t xml:space="preserve">As a result, </w:t>
      </w:r>
      <w:r>
        <w:rPr>
          <w:lang w:val="en-GB"/>
        </w:rPr>
        <w:t>orthogonality of OFDM may be impaired, leading t</w:t>
      </w:r>
      <w:r w:rsidR="007460CB">
        <w:rPr>
          <w:lang w:val="en-GB"/>
        </w:rPr>
        <w:t>o demodulation performance loss.</w:t>
      </w:r>
    </w:p>
    <w:p w14:paraId="6F64A081" w14:textId="5BF7C717" w:rsidR="00530BD0" w:rsidRDefault="000A22FB" w:rsidP="00530BD0">
      <w:pPr>
        <w:rPr>
          <w:lang w:val="en-GB"/>
        </w:rPr>
      </w:pPr>
      <w:r>
        <w:rPr>
          <w:lang w:val="en-GB"/>
        </w:rPr>
        <w:t>It is envisioned that t</w:t>
      </w:r>
      <w:r w:rsidR="00530BD0">
        <w:rPr>
          <w:lang w:val="en-GB"/>
        </w:rPr>
        <w:t xml:space="preserve">he </w:t>
      </w:r>
      <w:r>
        <w:rPr>
          <w:lang w:val="en-GB"/>
        </w:rPr>
        <w:t xml:space="preserve">prevalent </w:t>
      </w:r>
      <w:r w:rsidR="00530BD0">
        <w:rPr>
          <w:lang w:val="en-GB"/>
        </w:rPr>
        <w:t xml:space="preserve">numerology </w:t>
      </w:r>
      <w:r>
        <w:rPr>
          <w:lang w:val="en-GB"/>
        </w:rPr>
        <w:t>for NR would have shorter symbol and CP duration compared to LTE. For example, if subcarrier spacing (SCS) is 30kHz, the symbol duration would be 35.7 µs with CP length of approximately 2.4 µs. Practical RF bandwidth switch time with state-of-the-art technology is in the order of several µs. As a result, this scheme is not feasible with current RF hardware technology</w:t>
      </w:r>
      <w:r w:rsidR="007460CB">
        <w:rPr>
          <w:lang w:val="en-GB"/>
        </w:rPr>
        <w:t>. Even for 15kHz SCS</w:t>
      </w:r>
      <w:r w:rsidR="007362FD">
        <w:rPr>
          <w:lang w:val="en-GB"/>
        </w:rPr>
        <w:t xml:space="preserve"> (same as LTE)</w:t>
      </w:r>
      <w:r w:rsidR="007460CB">
        <w:rPr>
          <w:lang w:val="en-GB"/>
        </w:rPr>
        <w:t>, the CP length is 4.8 µs which is still small compared to the required switching time.</w:t>
      </w:r>
    </w:p>
    <w:p w14:paraId="7AF299B5" w14:textId="77777777" w:rsidR="00BF62F7" w:rsidRPr="00BF62F7" w:rsidRDefault="00BF62F7" w:rsidP="00BF62F7">
      <w:pPr>
        <w:rPr>
          <w:lang w:val="en-GB"/>
        </w:rPr>
      </w:pPr>
    </w:p>
    <w:p w14:paraId="56D28D4B" w14:textId="26018A49" w:rsidR="00067CA8" w:rsidRPr="00226FE2" w:rsidRDefault="004503F9" w:rsidP="00067CA8">
      <w:pPr>
        <w:pStyle w:val="Heading1"/>
        <w:rPr>
          <w:lang w:eastAsia="zh-CN"/>
        </w:rPr>
      </w:pPr>
      <w:r>
        <w:rPr>
          <w:lang w:eastAsia="zh-CN"/>
        </w:rPr>
        <w:lastRenderedPageBreak/>
        <w:t>Conclusions</w:t>
      </w:r>
    </w:p>
    <w:p w14:paraId="0FCBB930" w14:textId="0A8183F3" w:rsidR="00AF0093" w:rsidRDefault="00B8163C" w:rsidP="00AF0093">
      <w:pPr>
        <w:jc w:val="both"/>
        <w:rPr>
          <w:i/>
        </w:rPr>
      </w:pPr>
      <w:r>
        <w:rPr>
          <w:b/>
          <w:i/>
          <w:u w:val="single"/>
        </w:rPr>
        <w:t>Observation 1</w:t>
      </w:r>
      <w:r>
        <w:rPr>
          <w:i/>
        </w:rPr>
        <w:t>: Cross-slot scheduling achieves dynamic BW adaptation and power saving, at the expense of introducing dependency between slots, which deviate from self-contained slot design, and incurring slightly higher latency</w:t>
      </w:r>
      <w:r w:rsidR="00AF0093">
        <w:rPr>
          <w:i/>
        </w:rPr>
        <w:t>.</w:t>
      </w:r>
    </w:p>
    <w:p w14:paraId="158C1B0A" w14:textId="7F909869" w:rsidR="00AF0093" w:rsidRDefault="00AF0093" w:rsidP="00AF0093">
      <w:pPr>
        <w:jc w:val="both"/>
        <w:rPr>
          <w:i/>
        </w:rPr>
      </w:pPr>
      <w:r w:rsidRPr="00AF0093">
        <w:rPr>
          <w:b/>
          <w:i/>
          <w:u w:val="single"/>
        </w:rPr>
        <w:t>Proposal</w:t>
      </w:r>
      <w:r>
        <w:rPr>
          <w:b/>
          <w:i/>
          <w:u w:val="single"/>
        </w:rPr>
        <w:t xml:space="preserve"> 1</w:t>
      </w:r>
      <w:r>
        <w:rPr>
          <w:i/>
        </w:rPr>
        <w:t>: Dynamic bandwidth indication and state-based bandwidth management should be considered to facilitate dynamic bandwidth adaptation.</w:t>
      </w:r>
    </w:p>
    <w:p w14:paraId="24A540FB" w14:textId="77777777" w:rsidR="00AF0093" w:rsidRDefault="00AF0093" w:rsidP="00AF0093">
      <w:pPr>
        <w:rPr>
          <w:i/>
          <w:lang w:val="en-GB"/>
        </w:rPr>
      </w:pPr>
      <w:r w:rsidRPr="00C55D2D">
        <w:rPr>
          <w:b/>
          <w:i/>
          <w:u w:val="single"/>
          <w:lang w:val="en-GB"/>
        </w:rPr>
        <w:t>Observation</w:t>
      </w:r>
      <w:r>
        <w:rPr>
          <w:b/>
          <w:i/>
          <w:u w:val="single"/>
          <w:lang w:val="en-GB"/>
        </w:rPr>
        <w:t xml:space="preserve"> 2</w:t>
      </w:r>
      <w:r w:rsidRPr="00C55D2D">
        <w:rPr>
          <w:i/>
          <w:lang w:val="en-GB"/>
        </w:rPr>
        <w:t>: For small data</w:t>
      </w:r>
      <w:r>
        <w:rPr>
          <w:i/>
          <w:lang w:val="en-GB"/>
        </w:rPr>
        <w:t xml:space="preserve"> / </w:t>
      </w:r>
      <w:r w:rsidRPr="00C55D2D">
        <w:rPr>
          <w:i/>
          <w:lang w:val="en-GB"/>
        </w:rPr>
        <w:t xml:space="preserve">RB allocation, the power saving from </w:t>
      </w:r>
      <w:r>
        <w:rPr>
          <w:i/>
          <w:lang w:val="en-GB"/>
        </w:rPr>
        <w:t xml:space="preserve">BW </w:t>
      </w:r>
      <w:r w:rsidRPr="00C55D2D">
        <w:rPr>
          <w:i/>
          <w:lang w:val="en-GB"/>
        </w:rPr>
        <w:t xml:space="preserve">adaptation can be substantial, and the resource loss due to the gap for BW </w:t>
      </w:r>
      <w:r>
        <w:rPr>
          <w:i/>
          <w:lang w:val="en-GB"/>
        </w:rPr>
        <w:t>adaptation</w:t>
      </w:r>
      <w:r w:rsidRPr="00C55D2D">
        <w:rPr>
          <w:i/>
          <w:lang w:val="en-GB"/>
        </w:rPr>
        <w:t xml:space="preserve"> may be justified and acceptable.</w:t>
      </w:r>
    </w:p>
    <w:p w14:paraId="72BAB3CC" w14:textId="77777777" w:rsidR="00AF0093" w:rsidRPr="00BF6500" w:rsidRDefault="00AF0093" w:rsidP="00AF0093">
      <w:pPr>
        <w:rPr>
          <w:i/>
          <w:lang w:val="en-GB"/>
        </w:rPr>
      </w:pPr>
      <w:r w:rsidRPr="00BF6500">
        <w:rPr>
          <w:b/>
          <w:i/>
          <w:u w:val="single"/>
          <w:lang w:val="en-GB"/>
        </w:rPr>
        <w:t>Proposal</w:t>
      </w:r>
      <w:r>
        <w:rPr>
          <w:b/>
          <w:i/>
          <w:u w:val="single"/>
          <w:lang w:val="en-GB"/>
        </w:rPr>
        <w:t xml:space="preserve"> 2</w:t>
      </w:r>
      <w:r>
        <w:rPr>
          <w:i/>
          <w:lang w:val="en-GB"/>
        </w:rPr>
        <w:t>: BW adaptation during a gap between control and data durations within a slot should be considered for UEs operating with small data / RB allocation.</w:t>
      </w:r>
    </w:p>
    <w:p w14:paraId="2358E711" w14:textId="77777777" w:rsidR="00AF0093" w:rsidRDefault="00AF0093" w:rsidP="00AF0093">
      <w:pPr>
        <w:jc w:val="both"/>
        <w:rPr>
          <w:i/>
        </w:rPr>
      </w:pPr>
    </w:p>
    <w:p w14:paraId="48311529" w14:textId="77777777" w:rsidR="00531C5A" w:rsidRDefault="00531C5A" w:rsidP="00531C5A"/>
    <w:p w14:paraId="43B7F896" w14:textId="5D50D665" w:rsidR="00E523F3" w:rsidRPr="000A64D8" w:rsidRDefault="00E523F3" w:rsidP="00E523F3">
      <w:pPr>
        <w:pStyle w:val="Heading1"/>
        <w:rPr>
          <w:lang w:val="en-US"/>
        </w:rPr>
      </w:pPr>
      <w:r w:rsidRPr="000A64D8">
        <w:rPr>
          <w:lang w:val="en-US"/>
        </w:rPr>
        <w:t>References</w:t>
      </w:r>
    </w:p>
    <w:p w14:paraId="10F2ADD3" w14:textId="53C973B4" w:rsidR="00AD095A" w:rsidRPr="001A2F35" w:rsidRDefault="00AD095A" w:rsidP="00AD095A">
      <w:pPr>
        <w:numPr>
          <w:ilvl w:val="0"/>
          <w:numId w:val="2"/>
        </w:numPr>
        <w:spacing w:before="100" w:beforeAutospacing="1" w:after="100" w:afterAutospacing="1"/>
        <w:rPr>
          <w:szCs w:val="22"/>
        </w:rPr>
      </w:pPr>
      <w:r>
        <w:rPr>
          <w:szCs w:val="22"/>
        </w:rPr>
        <w:t>R1-161</w:t>
      </w:r>
      <w:r w:rsidR="00E10E30">
        <w:rPr>
          <w:szCs w:val="22"/>
        </w:rPr>
        <w:t>1041</w:t>
      </w:r>
      <w:r>
        <w:rPr>
          <w:szCs w:val="22"/>
        </w:rPr>
        <w:t>, “</w:t>
      </w:r>
      <w:r w:rsidR="00E10E30">
        <w:rPr>
          <w:szCs w:val="22"/>
        </w:rPr>
        <w:t>Way Forward on bandwidth adaptation in NR</w:t>
      </w:r>
      <w:r>
        <w:rPr>
          <w:szCs w:val="22"/>
        </w:rPr>
        <w:t xml:space="preserve">”, </w:t>
      </w:r>
      <w:r w:rsidR="008C77E0">
        <w:rPr>
          <w:szCs w:val="22"/>
        </w:rPr>
        <w:t>RAN1#86bis</w:t>
      </w:r>
      <w:r w:rsidR="008C77E0">
        <w:rPr>
          <w:rFonts w:eastAsia="MS Mincho"/>
          <w:lang w:eastAsia="ja-JP"/>
        </w:rPr>
        <w:t xml:space="preserve">, </w:t>
      </w:r>
      <w:r w:rsidR="00E10E30" w:rsidRPr="00E7530A">
        <w:rPr>
          <w:rFonts w:eastAsia="MS Mincho"/>
          <w:lang w:eastAsia="ja-JP"/>
        </w:rPr>
        <w:t>MediaTek, Acer, CHTTL, III, Panasonic, Ericsson, Nokia, ASB, Samsung, LG, Intel…</w:t>
      </w:r>
      <w:r>
        <w:rPr>
          <w:szCs w:val="22"/>
        </w:rPr>
        <w:t xml:space="preserve"> </w:t>
      </w:r>
    </w:p>
    <w:p w14:paraId="0C7DDD9B" w14:textId="38235F53" w:rsidR="00396925" w:rsidRDefault="009336C8" w:rsidP="00B15485">
      <w:pPr>
        <w:numPr>
          <w:ilvl w:val="0"/>
          <w:numId w:val="2"/>
        </w:numPr>
        <w:spacing w:before="100" w:beforeAutospacing="1" w:after="100" w:afterAutospacing="1"/>
        <w:rPr>
          <w:szCs w:val="22"/>
        </w:rPr>
      </w:pPr>
      <w:r>
        <w:rPr>
          <w:szCs w:val="22"/>
        </w:rPr>
        <w:t>R1-1608841, “Support of flexible bandwidth”</w:t>
      </w:r>
      <w:r w:rsidR="008C77E0">
        <w:rPr>
          <w:szCs w:val="22"/>
        </w:rPr>
        <w:t>, RAN1#86bis</w:t>
      </w:r>
      <w:r>
        <w:rPr>
          <w:szCs w:val="22"/>
        </w:rPr>
        <w:t>, Huawei</w:t>
      </w:r>
      <w:r w:rsidR="008C77E0">
        <w:rPr>
          <w:szCs w:val="22"/>
        </w:rPr>
        <w:t>/</w:t>
      </w:r>
      <w:r>
        <w:rPr>
          <w:szCs w:val="22"/>
        </w:rPr>
        <w:t>HiSilicon</w:t>
      </w:r>
    </w:p>
    <w:p w14:paraId="557F8B8B" w14:textId="5E0F6B17" w:rsidR="009336C8" w:rsidRDefault="009336C8" w:rsidP="00B15485">
      <w:pPr>
        <w:numPr>
          <w:ilvl w:val="0"/>
          <w:numId w:val="2"/>
        </w:numPr>
        <w:spacing w:before="100" w:beforeAutospacing="1" w:after="100" w:afterAutospacing="1"/>
        <w:rPr>
          <w:szCs w:val="22"/>
        </w:rPr>
      </w:pPr>
      <w:r>
        <w:rPr>
          <w:szCs w:val="22"/>
        </w:rPr>
        <w:t>R1</w:t>
      </w:r>
      <w:r w:rsidR="008C77E0">
        <w:rPr>
          <w:szCs w:val="22"/>
        </w:rPr>
        <w:t>-1609557, “On Techniques for Enhanced UE Power Efficiency”, RAN1#86bis, Mediatek</w:t>
      </w:r>
    </w:p>
    <w:p w14:paraId="08A113C6" w14:textId="5CA90853" w:rsidR="008C77E0" w:rsidRDefault="008C77E0" w:rsidP="008C77E0">
      <w:pPr>
        <w:numPr>
          <w:ilvl w:val="0"/>
          <w:numId w:val="2"/>
        </w:numPr>
        <w:spacing w:before="100" w:beforeAutospacing="1" w:after="100" w:afterAutospacing="1"/>
        <w:rPr>
          <w:szCs w:val="22"/>
        </w:rPr>
      </w:pPr>
      <w:r>
        <w:rPr>
          <w:szCs w:val="22"/>
        </w:rPr>
        <w:t>R1-</w:t>
      </w:r>
      <w:r w:rsidRPr="008C77E0">
        <w:rPr>
          <w:szCs w:val="22"/>
        </w:rPr>
        <w:t>1610135</w:t>
      </w:r>
      <w:r>
        <w:rPr>
          <w:szCs w:val="22"/>
        </w:rPr>
        <w:t>, “</w:t>
      </w:r>
      <w:r w:rsidRPr="008C77E0">
        <w:rPr>
          <w:szCs w:val="22"/>
        </w:rPr>
        <w:t>Evaluation of Frame Structure Design for UE Power</w:t>
      </w:r>
      <w:r>
        <w:rPr>
          <w:szCs w:val="22"/>
        </w:rPr>
        <w:t>”, RAN1#86bis, Qualcomm</w:t>
      </w:r>
    </w:p>
    <w:p w14:paraId="33600D42" w14:textId="2C65B7EA" w:rsidR="00CC6E06" w:rsidRPr="00396925" w:rsidRDefault="00CC6E06" w:rsidP="00CC6E06">
      <w:pPr>
        <w:numPr>
          <w:ilvl w:val="0"/>
          <w:numId w:val="2"/>
        </w:numPr>
        <w:spacing w:before="100" w:beforeAutospacing="1" w:after="100" w:afterAutospacing="1"/>
        <w:rPr>
          <w:szCs w:val="22"/>
        </w:rPr>
      </w:pPr>
      <w:r>
        <w:rPr>
          <w:szCs w:val="22"/>
        </w:rPr>
        <w:t>R1-</w:t>
      </w:r>
      <w:r w:rsidRPr="00CC6E06">
        <w:rPr>
          <w:szCs w:val="22"/>
        </w:rPr>
        <w:t>1612065</w:t>
      </w:r>
      <w:r>
        <w:rPr>
          <w:szCs w:val="22"/>
        </w:rPr>
        <w:t>, “</w:t>
      </w:r>
      <w:r w:rsidRPr="00CC6E06">
        <w:rPr>
          <w:szCs w:val="22"/>
        </w:rPr>
        <w:t>UE power saving for PDCCH monitoring</w:t>
      </w:r>
      <w:r>
        <w:rPr>
          <w:szCs w:val="22"/>
        </w:rPr>
        <w:t>”, RAN1#87, Qualcomm</w:t>
      </w:r>
    </w:p>
    <w:sectPr w:rsidR="00CC6E06" w:rsidRPr="00396925"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7F134" w14:textId="77777777" w:rsidR="00475B1B" w:rsidRDefault="00475B1B">
      <w:r>
        <w:separator/>
      </w:r>
    </w:p>
  </w:endnote>
  <w:endnote w:type="continuationSeparator" w:id="0">
    <w:p w14:paraId="11EE8066" w14:textId="77777777" w:rsidR="00475B1B" w:rsidRDefault="00475B1B">
      <w:r>
        <w:continuationSeparator/>
      </w:r>
    </w:p>
  </w:endnote>
  <w:endnote w:type="continuationNotice" w:id="1">
    <w:p w14:paraId="43F20507" w14:textId="77777777" w:rsidR="00475B1B" w:rsidRDefault="00475B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862D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62DB">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BF161D" w14:textId="77777777" w:rsidR="00475B1B" w:rsidRDefault="00475B1B">
      <w:r>
        <w:separator/>
      </w:r>
    </w:p>
  </w:footnote>
  <w:footnote w:type="continuationSeparator" w:id="0">
    <w:p w14:paraId="3CDAED45" w14:textId="77777777" w:rsidR="00475B1B" w:rsidRDefault="00475B1B">
      <w:r>
        <w:continuationSeparator/>
      </w:r>
    </w:p>
  </w:footnote>
  <w:footnote w:type="continuationNotice" w:id="1">
    <w:p w14:paraId="20B5AE27" w14:textId="77777777" w:rsidR="00475B1B" w:rsidRDefault="00475B1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6" type="#_x0000_t75" style="width:15.75pt;height:15.7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740E2"/>
    <w:multiLevelType w:val="hybridMultilevel"/>
    <w:tmpl w:val="AEB27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0B4651"/>
    <w:multiLevelType w:val="hybridMultilevel"/>
    <w:tmpl w:val="C35C2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0FA07DB"/>
    <w:multiLevelType w:val="hybridMultilevel"/>
    <w:tmpl w:val="C35C2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E4E0607"/>
    <w:multiLevelType w:val="hybridMultilevel"/>
    <w:tmpl w:val="EBD62E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2E68B8"/>
    <w:multiLevelType w:val="hybridMultilevel"/>
    <w:tmpl w:val="05469ED2"/>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E926F13"/>
    <w:multiLevelType w:val="hybridMultilevel"/>
    <w:tmpl w:val="E6723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4"/>
  </w:num>
  <w:num w:numId="4">
    <w:abstractNumId w:val="19"/>
  </w:num>
  <w:num w:numId="5">
    <w:abstractNumId w:val="5"/>
  </w:num>
  <w:num w:numId="6">
    <w:abstractNumId w:val="10"/>
  </w:num>
  <w:num w:numId="7">
    <w:abstractNumId w:val="12"/>
  </w:num>
  <w:num w:numId="8">
    <w:abstractNumId w:val="1"/>
  </w:num>
  <w:num w:numId="9">
    <w:abstractNumId w:val="32"/>
    <w:lvlOverride w:ilvl="0">
      <w:startOverride w:val="1"/>
    </w:lvlOverride>
  </w:num>
  <w:num w:numId="10">
    <w:abstractNumId w:val="22"/>
  </w:num>
  <w:num w:numId="11">
    <w:abstractNumId w:val="25"/>
  </w:num>
  <w:num w:numId="12">
    <w:abstractNumId w:val="26"/>
  </w:num>
  <w:num w:numId="13">
    <w:abstractNumId w:val="16"/>
  </w:num>
  <w:num w:numId="14">
    <w:abstractNumId w:val="24"/>
  </w:num>
  <w:num w:numId="15">
    <w:abstractNumId w:val="8"/>
  </w:num>
  <w:num w:numId="16">
    <w:abstractNumId w:val="18"/>
  </w:num>
  <w:num w:numId="17">
    <w:abstractNumId w:val="14"/>
  </w:num>
  <w:num w:numId="18">
    <w:abstractNumId w:val="30"/>
  </w:num>
  <w:num w:numId="19">
    <w:abstractNumId w:val="34"/>
  </w:num>
  <w:num w:numId="20">
    <w:abstractNumId w:val="13"/>
  </w:num>
  <w:num w:numId="21">
    <w:abstractNumId w:val="29"/>
  </w:num>
  <w:num w:numId="22">
    <w:abstractNumId w:val="3"/>
  </w:num>
  <w:num w:numId="23">
    <w:abstractNumId w:val="15"/>
  </w:num>
  <w:num w:numId="24">
    <w:abstractNumId w:val="11"/>
  </w:num>
  <w:num w:numId="25">
    <w:abstractNumId w:val="7"/>
  </w:num>
  <w:num w:numId="26">
    <w:abstractNumId w:val="23"/>
  </w:num>
  <w:num w:numId="27">
    <w:abstractNumId w:val="28"/>
  </w:num>
  <w:num w:numId="28">
    <w:abstractNumId w:val="21"/>
  </w:num>
  <w:num w:numId="29">
    <w:abstractNumId w:val="31"/>
  </w:num>
  <w:num w:numId="30">
    <w:abstractNumId w:val="33"/>
  </w:num>
  <w:num w:numId="31">
    <w:abstractNumId w:val="2"/>
  </w:num>
  <w:num w:numId="32">
    <w:abstractNumId w:val="27"/>
  </w:num>
  <w:num w:numId="33">
    <w:abstractNumId w:val="9"/>
  </w:num>
  <w:num w:numId="34">
    <w:abstractNumId w:val="20"/>
  </w:num>
  <w:num w:numId="3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CF0"/>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B8F"/>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2FB"/>
    <w:rsid w:val="000A23E5"/>
    <w:rsid w:val="000A26E4"/>
    <w:rsid w:val="000A2BE5"/>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12F"/>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11A"/>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B62"/>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12"/>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BCC"/>
    <w:rsid w:val="002530D6"/>
    <w:rsid w:val="002530D9"/>
    <w:rsid w:val="0025325D"/>
    <w:rsid w:val="002533FF"/>
    <w:rsid w:val="00253400"/>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DDB"/>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3E13"/>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AC3"/>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DB2"/>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869"/>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54E"/>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21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925"/>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0B7"/>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8E8"/>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193"/>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E31"/>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1B"/>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31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7B4"/>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0CA"/>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0BD0"/>
    <w:rsid w:val="00531562"/>
    <w:rsid w:val="0053173A"/>
    <w:rsid w:val="00531824"/>
    <w:rsid w:val="00531AF4"/>
    <w:rsid w:val="00531C5A"/>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A1C"/>
    <w:rsid w:val="00563FD2"/>
    <w:rsid w:val="0056434D"/>
    <w:rsid w:val="00564597"/>
    <w:rsid w:val="00564EB9"/>
    <w:rsid w:val="00566BE7"/>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A7D"/>
    <w:rsid w:val="005B0F18"/>
    <w:rsid w:val="005B1197"/>
    <w:rsid w:val="005B16CC"/>
    <w:rsid w:val="005B18BB"/>
    <w:rsid w:val="005B2899"/>
    <w:rsid w:val="005B2DA2"/>
    <w:rsid w:val="005B2EB8"/>
    <w:rsid w:val="005B355C"/>
    <w:rsid w:val="005B36F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3C0"/>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0FB"/>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95E"/>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6E"/>
    <w:rsid w:val="006300D7"/>
    <w:rsid w:val="00630333"/>
    <w:rsid w:val="00630729"/>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4B51"/>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4A"/>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0D11"/>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2E7"/>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47EC"/>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2FD"/>
    <w:rsid w:val="0073637C"/>
    <w:rsid w:val="00736886"/>
    <w:rsid w:val="00736CD8"/>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0C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9C2"/>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46F"/>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74E"/>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B32"/>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0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7E0"/>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3FB"/>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CAB"/>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6C8"/>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6D7E"/>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CAC"/>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5E80"/>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4EC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46A"/>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D59"/>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095A"/>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093"/>
    <w:rsid w:val="00AF09D1"/>
    <w:rsid w:val="00AF0FFE"/>
    <w:rsid w:val="00AF1414"/>
    <w:rsid w:val="00AF15C3"/>
    <w:rsid w:val="00AF19CD"/>
    <w:rsid w:val="00AF25F3"/>
    <w:rsid w:val="00AF27F2"/>
    <w:rsid w:val="00AF28B0"/>
    <w:rsid w:val="00AF2DED"/>
    <w:rsid w:val="00AF3560"/>
    <w:rsid w:val="00AF3C80"/>
    <w:rsid w:val="00AF3C8C"/>
    <w:rsid w:val="00AF4095"/>
    <w:rsid w:val="00AF41FC"/>
    <w:rsid w:val="00AF4447"/>
    <w:rsid w:val="00AF457C"/>
    <w:rsid w:val="00AF4ABD"/>
    <w:rsid w:val="00AF5363"/>
    <w:rsid w:val="00AF5EDD"/>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45B9"/>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299"/>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3C"/>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2DB"/>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1ED"/>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25C"/>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2F7"/>
    <w:rsid w:val="00BF6500"/>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D2D"/>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6E06"/>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DFE"/>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DF7"/>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6AE"/>
    <w:rsid w:val="00D25866"/>
    <w:rsid w:val="00D25A61"/>
    <w:rsid w:val="00D25E03"/>
    <w:rsid w:val="00D25E4B"/>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09"/>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79"/>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A0C"/>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0E30"/>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4CAF"/>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7DF"/>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A3B"/>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D7CF8"/>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572"/>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8B6"/>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2FE3"/>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37E70"/>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0F5"/>
    <w:rsid w:val="00F8111D"/>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HR33RHYHUWRF-4-557</_dlc_DocId>
    <_dlc_DocIdUrl xmlns="c06861ca-3f08-4d07-bff7-bb15bac121f4">
      <Url>https://projects.qualcomm.com/sites/pentari/_layouts/15/DocIdRedir.aspx?ID=HR33RHYHUWRF-4-557</Url>
      <Description>HR33RHYHUWRF-4-557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AC2FBE-2D7B-410B-B89A-8C55C176A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1732</Words>
  <Characters>9874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TSG-RAN WG1 #86bis</vt:lpstr>
    </vt:vector>
  </TitlesOfParts>
  <Company>Qualcomm Inc.</Company>
  <LinksUpToDate>false</LinksUpToDate>
  <CharactersWithSpaces>11583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#86bis</dc:title>
  <dc:subject/>
  <dc:creator>Qualcomm Inc.</dc:creator>
  <cp:keywords/>
  <cp:lastModifiedBy>Ang, Peter</cp:lastModifiedBy>
  <cp:revision>3</cp:revision>
  <cp:lastPrinted>2014-11-07T05:38:00Z</cp:lastPrinted>
  <dcterms:created xsi:type="dcterms:W3CDTF">2016-11-06T01:07:00Z</dcterms:created>
  <dcterms:modified xsi:type="dcterms:W3CDTF">2016-11-06T01:13:00Z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d61e779a-ab6d-4d3f-b973-76560b697a3a</vt:lpwstr>
  </property>
</Properties>
</file>