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65FE761"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575E09">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DF7BB2" w:rsidRPr="00961A61">
        <w:rPr>
          <w:rFonts w:ascii="Arial" w:hAnsi="Arial" w:cs="Arial"/>
          <w:b/>
          <w:sz w:val="24"/>
          <w:szCs w:val="24"/>
        </w:rPr>
        <w:t>1</w:t>
      </w:r>
      <w:r w:rsidR="00DF7BB2">
        <w:rPr>
          <w:rFonts w:ascii="Arial" w:hAnsi="Arial" w:cs="Arial"/>
          <w:b/>
          <w:sz w:val="24"/>
          <w:szCs w:val="24"/>
        </w:rPr>
        <w:t>612065</w:t>
      </w:r>
    </w:p>
    <w:p w14:paraId="43B7F879" w14:textId="311A507E"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w:t>
      </w:r>
      <w:r w:rsidR="00575E09">
        <w:rPr>
          <w:rFonts w:ascii="Arial" w:hAnsi="Arial" w:cs="Arial"/>
          <w:b/>
          <w:sz w:val="24"/>
          <w:szCs w:val="24"/>
        </w:rPr>
        <w:t>4</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w:t>
      </w:r>
      <w:r w:rsidR="00575E09">
        <w:rPr>
          <w:rFonts w:ascii="Arial" w:hAnsi="Arial" w:cs="Arial"/>
          <w:b/>
          <w:sz w:val="24"/>
          <w:szCs w:val="24"/>
        </w:rPr>
        <w:t>8</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575E09">
        <w:rPr>
          <w:rFonts w:ascii="Arial" w:hAnsi="Arial" w:cs="Arial"/>
          <w:b/>
          <w:sz w:val="24"/>
          <w:szCs w:val="24"/>
        </w:rPr>
        <w:t>November</w:t>
      </w:r>
      <w:r w:rsidR="00CA6BDF">
        <w:rPr>
          <w:rFonts w:ascii="Arial" w:hAnsi="Arial" w:cs="Arial"/>
          <w:b/>
          <w:sz w:val="24"/>
          <w:szCs w:val="24"/>
        </w:rPr>
        <w:t xml:space="preserve"> 2016</w:t>
      </w:r>
    </w:p>
    <w:p w14:paraId="43B7F87A" w14:textId="558CE6CB" w:rsidR="00D1303E" w:rsidRPr="00FD021C" w:rsidRDefault="00575E09" w:rsidP="00D1303E">
      <w:pPr>
        <w:spacing w:after="0"/>
        <w:jc w:val="both"/>
        <w:rPr>
          <w:rFonts w:ascii="Arial" w:hAnsi="Arial" w:cs="Arial"/>
          <w:b/>
          <w:sz w:val="24"/>
          <w:szCs w:val="24"/>
        </w:rPr>
      </w:pPr>
      <w:r>
        <w:rPr>
          <w:rFonts w:ascii="Arial" w:hAnsi="Arial" w:cs="Arial"/>
          <w:b/>
          <w:sz w:val="24"/>
          <w:szCs w:val="24"/>
        </w:rPr>
        <w:t>Reno, Nevada, USA</w:t>
      </w:r>
    </w:p>
    <w:p w14:paraId="43B7F87B" w14:textId="77777777" w:rsidR="0068226B" w:rsidRPr="000A64D8" w:rsidRDefault="0068226B" w:rsidP="00480B03">
      <w:pPr>
        <w:pStyle w:val="Footer"/>
        <w:jc w:val="both"/>
        <w:rPr>
          <w:noProof w:val="0"/>
        </w:rPr>
      </w:pPr>
    </w:p>
    <w:p w14:paraId="43B7F87C" w14:textId="583C7CF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F7BB2">
        <w:rPr>
          <w:rFonts w:ascii="Arial" w:hAnsi="Arial"/>
          <w:sz w:val="24"/>
        </w:rPr>
        <w:t>7.1.4.1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2EC5134"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36CD8">
        <w:rPr>
          <w:rFonts w:ascii="Arial" w:hAnsi="Arial"/>
          <w:sz w:val="24"/>
          <w:szCs w:val="24"/>
        </w:rPr>
        <w:t>UE power saving for PDCCH monitoring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6F13A9B1" w14:textId="10B8D90D" w:rsidR="00F32FE3" w:rsidRDefault="00F32FE3" w:rsidP="00F32FE3">
      <w:pPr>
        <w:jc w:val="both"/>
        <w:rPr>
          <w:szCs w:val="22"/>
        </w:rPr>
      </w:pPr>
      <w:r>
        <w:rPr>
          <w:szCs w:val="22"/>
        </w:rPr>
        <w:t xml:space="preserve">This contribution discusses UE power saving aspects related to PDCCH monitoring continuing from [1], including </w:t>
      </w:r>
      <w:r w:rsidR="002B4AC3">
        <w:rPr>
          <w:szCs w:val="22"/>
        </w:rPr>
        <w:t>reduction on PDCCH blind decoding hypotheses</w:t>
      </w:r>
      <w:r w:rsidR="00531C5A">
        <w:rPr>
          <w:szCs w:val="22"/>
        </w:rPr>
        <w:t>, dynamic BW switching with</w:t>
      </w:r>
      <w:r>
        <w:rPr>
          <w:szCs w:val="22"/>
        </w:rPr>
        <w:t xml:space="preserve"> cross slot scheduling and activation/deactivation of control subband.</w:t>
      </w:r>
    </w:p>
    <w:p w14:paraId="5ADE699D" w14:textId="27B4C318" w:rsidR="0044173B" w:rsidRPr="0044173B" w:rsidRDefault="0044173B" w:rsidP="004503F9">
      <w:pPr>
        <w:jc w:val="both"/>
        <w:rPr>
          <w:szCs w:val="22"/>
        </w:rPr>
      </w:pPr>
    </w:p>
    <w:p w14:paraId="0B3BE98D" w14:textId="7F0E4311" w:rsidR="0044173B" w:rsidRDefault="00F32FE3" w:rsidP="0044173B">
      <w:pPr>
        <w:pStyle w:val="Heading1"/>
      </w:pPr>
      <w:r>
        <w:t>PDCCH monitoring considering UE power saving</w:t>
      </w:r>
    </w:p>
    <w:p w14:paraId="3B17EBC1" w14:textId="3A70E27F" w:rsidR="00736CD8" w:rsidRDefault="002B4AC3" w:rsidP="00736CD8">
      <w:pPr>
        <w:pStyle w:val="Heading2"/>
      </w:pPr>
      <w:r>
        <w:t xml:space="preserve">Reduction on </w:t>
      </w:r>
      <w:r w:rsidR="00736CD8">
        <w:t xml:space="preserve">PDCCH </w:t>
      </w:r>
      <w:r>
        <w:t>blind decoding</w:t>
      </w:r>
    </w:p>
    <w:p w14:paraId="1FBC2A59" w14:textId="3119AAED" w:rsidR="00736CD8" w:rsidRDefault="00736CD8" w:rsidP="00736CD8">
      <w:pPr>
        <w:jc w:val="both"/>
        <w:rPr>
          <w:szCs w:val="22"/>
        </w:rPr>
      </w:pPr>
      <w:r>
        <w:rPr>
          <w:szCs w:val="22"/>
        </w:rPr>
        <w:t xml:space="preserve">To further reduce the complexity for PDCCH decoding and improve the timeline, </w:t>
      </w:r>
      <w:r w:rsidR="002B4AC3">
        <w:rPr>
          <w:szCs w:val="22"/>
        </w:rPr>
        <w:t xml:space="preserve">companies </w:t>
      </w:r>
      <w:r>
        <w:rPr>
          <w:szCs w:val="22"/>
        </w:rPr>
        <w:t>consider fewer hypotheses of blind decoding for PDCCH.</w:t>
      </w:r>
    </w:p>
    <w:p w14:paraId="10B16D01" w14:textId="77777777" w:rsidR="00736CD8" w:rsidRDefault="00736CD8" w:rsidP="00736CD8">
      <w:pPr>
        <w:jc w:val="both"/>
        <w:rPr>
          <w:szCs w:val="22"/>
        </w:rPr>
      </w:pPr>
      <w:r>
        <w:rPr>
          <w:szCs w:val="22"/>
        </w:rPr>
        <w:t>In LTE, there are 44 blind decodes.</w:t>
      </w:r>
    </w:p>
    <w:p w14:paraId="01AF7C95" w14:textId="77777777" w:rsidR="00736CD8" w:rsidRPr="00F75671" w:rsidRDefault="00736CD8" w:rsidP="00736CD8">
      <w:pPr>
        <w:pStyle w:val="ListParagraph"/>
        <w:numPr>
          <w:ilvl w:val="0"/>
          <w:numId w:val="31"/>
        </w:numPr>
        <w:jc w:val="both"/>
        <w:rPr>
          <w:rFonts w:ascii="Times New Roman" w:hAnsi="Times New Roman"/>
          <w:sz w:val="20"/>
        </w:rPr>
      </w:pPr>
      <w:r w:rsidRPr="00F75671">
        <w:rPr>
          <w:rFonts w:ascii="Times New Roman" w:hAnsi="Times New Roman"/>
          <w:bCs/>
          <w:sz w:val="20"/>
        </w:rPr>
        <w:t>UE specific</w:t>
      </w:r>
      <w:r w:rsidRPr="00F75671">
        <w:rPr>
          <w:rFonts w:ascii="Times New Roman" w:hAnsi="Times New Roman"/>
          <w:sz w:val="20"/>
        </w:rPr>
        <w:t>: (6xAL1; 6xAL2; 2xAL4; 2xAL8) x (2 DCI lengths) = 32</w:t>
      </w:r>
    </w:p>
    <w:p w14:paraId="444B22F7" w14:textId="77777777" w:rsidR="00736CD8" w:rsidRPr="00F75671" w:rsidRDefault="00736CD8" w:rsidP="00736CD8">
      <w:pPr>
        <w:pStyle w:val="ListParagraph"/>
        <w:numPr>
          <w:ilvl w:val="0"/>
          <w:numId w:val="31"/>
        </w:numPr>
        <w:jc w:val="both"/>
        <w:rPr>
          <w:rFonts w:ascii="Times New Roman" w:hAnsi="Times New Roman"/>
          <w:sz w:val="20"/>
        </w:rPr>
      </w:pPr>
      <w:r w:rsidRPr="00F75671">
        <w:rPr>
          <w:rFonts w:ascii="Times New Roman" w:hAnsi="Times New Roman"/>
          <w:bCs/>
          <w:sz w:val="20"/>
        </w:rPr>
        <w:t>Common</w:t>
      </w:r>
      <w:r w:rsidRPr="00F75671">
        <w:rPr>
          <w:rFonts w:ascii="Times New Roman" w:hAnsi="Times New Roman"/>
          <w:sz w:val="20"/>
        </w:rPr>
        <w:t>: (4xAL4; 2xAL8) x (2 DCI lengths) = 12</w:t>
      </w:r>
    </w:p>
    <w:p w14:paraId="11893879" w14:textId="77777777" w:rsidR="00736CD8" w:rsidRDefault="00736CD8" w:rsidP="00736CD8">
      <w:pPr>
        <w:jc w:val="both"/>
      </w:pPr>
      <w:r>
        <w:t>There could be multiple ways to reduce the number of hypotheses.</w:t>
      </w:r>
    </w:p>
    <w:p w14:paraId="58484329" w14:textId="5564A6A9"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Limit the DCI length options via quantized DCI length</w:t>
      </w:r>
      <w:r w:rsidR="002B4AC3" w:rsidRPr="00F75671">
        <w:rPr>
          <w:rFonts w:ascii="Times New Roman" w:hAnsi="Times New Roman"/>
          <w:sz w:val="20"/>
        </w:rPr>
        <w:t>.</w:t>
      </w:r>
    </w:p>
    <w:p w14:paraId="40BF009E" w14:textId="3B8FEA04"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be pursued once NR sub-features are settled and DCI contents are determined.</w:t>
      </w:r>
    </w:p>
    <w:p w14:paraId="7A8781EA" w14:textId="75CD21FB"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Multi-part PDCCH can be also utilized to minimize DCI length options.</w:t>
      </w:r>
    </w:p>
    <w:p w14:paraId="6745677D" w14:textId="77777777"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Use nested search space for each subband (example shown in Figure 1)</w:t>
      </w:r>
    </w:p>
    <w:p w14:paraId="599D907E" w14:textId="0CBD2AC9"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help reducing UE processing for multiple AL hypotheses.</w:t>
      </w:r>
    </w:p>
    <w:p w14:paraId="6CA02051" w14:textId="501F21E8"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Reduce the number of options for each aggregation level compared to LTE</w:t>
      </w:r>
      <w:r w:rsidR="002B4AC3" w:rsidRPr="00F75671">
        <w:rPr>
          <w:rFonts w:ascii="Times New Roman" w:hAnsi="Times New Roman"/>
          <w:sz w:val="20"/>
        </w:rPr>
        <w:t>.</w:t>
      </w:r>
    </w:p>
    <w:p w14:paraId="5604B192" w14:textId="60831E1C" w:rsidR="00736CD8" w:rsidRDefault="00736CD8" w:rsidP="00736CD8">
      <w:r w:rsidRPr="00C17521">
        <w:rPr>
          <w:b/>
          <w:u w:val="single"/>
        </w:rPr>
        <w:t xml:space="preserve">Proposal </w:t>
      </w:r>
      <w:r w:rsidR="0063006E">
        <w:rPr>
          <w:b/>
          <w:u w:val="single"/>
        </w:rPr>
        <w:t>1</w:t>
      </w:r>
      <w:r w:rsidRPr="00C17521">
        <w:rPr>
          <w:b/>
          <w:u w:val="single"/>
        </w:rPr>
        <w:t>:</w:t>
      </w:r>
      <w:r>
        <w:t xml:space="preserve"> Consider fewer hypotheses for PDCCH blind decoding based on the presented ways.</w:t>
      </w:r>
    </w:p>
    <w:p w14:paraId="0D1D087B" w14:textId="77777777" w:rsidR="00736CD8" w:rsidRDefault="00736CD8" w:rsidP="00736CD8"/>
    <w:p w14:paraId="2DDB1360" w14:textId="77777777" w:rsidR="00736CD8" w:rsidRDefault="00736CD8" w:rsidP="00736CD8">
      <w:pPr>
        <w:keepNext/>
        <w:jc w:val="center"/>
      </w:pPr>
      <w:r w:rsidRPr="00F706FC">
        <w:rPr>
          <w:noProof/>
          <w:lang w:eastAsia="ko-KR"/>
        </w:rPr>
        <w:lastRenderedPageBreak/>
        <w:drawing>
          <wp:inline distT="0" distB="0" distL="0" distR="0" wp14:anchorId="09C80F3B" wp14:editId="5AFD08FF">
            <wp:extent cx="1170432" cy="2642616"/>
            <wp:effectExtent l="0" t="0" r="0" b="571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1170432" cy="2642616"/>
                    </a:xfrm>
                    <a:prstGeom prst="rect">
                      <a:avLst/>
                    </a:prstGeom>
                    <a:solidFill>
                      <a:schemeClr val="bg1"/>
                    </a:solidFill>
                  </pic:spPr>
                </pic:pic>
              </a:graphicData>
            </a:graphic>
          </wp:inline>
        </w:drawing>
      </w:r>
    </w:p>
    <w:p w14:paraId="488328A9" w14:textId="77777777" w:rsidR="00736CD8" w:rsidRDefault="00736CD8" w:rsidP="00736CD8">
      <w:pPr>
        <w:pStyle w:val="Caption"/>
        <w:jc w:val="center"/>
      </w:pPr>
      <w:r>
        <w:t xml:space="preserve">Figure </w:t>
      </w:r>
      <w:r w:rsidR="00883D75">
        <w:fldChar w:fldCharType="begin"/>
      </w:r>
      <w:r w:rsidR="00883D75">
        <w:instrText xml:space="preserve"> SEQ Figure \* ARABIC </w:instrText>
      </w:r>
      <w:r w:rsidR="00883D75">
        <w:fldChar w:fldCharType="separate"/>
      </w:r>
      <w:r>
        <w:rPr>
          <w:noProof/>
        </w:rPr>
        <w:t>1</w:t>
      </w:r>
      <w:r w:rsidR="00883D75">
        <w:rPr>
          <w:noProof/>
        </w:rPr>
        <w:fldChar w:fldCharType="end"/>
      </w:r>
      <w:r>
        <w:t>: Illustration of nested search space</w:t>
      </w:r>
    </w:p>
    <w:p w14:paraId="49422958" w14:textId="77777777" w:rsidR="00736CD8" w:rsidRDefault="00736CD8" w:rsidP="00736CD8"/>
    <w:p w14:paraId="0A38E153" w14:textId="561C5B8C" w:rsidR="00736CD8" w:rsidRDefault="0063006E" w:rsidP="00736CD8">
      <w:pPr>
        <w:pStyle w:val="Heading2"/>
      </w:pPr>
      <w:r>
        <w:t>Adaptive PDCCH monitoring BW</w:t>
      </w:r>
    </w:p>
    <w:p w14:paraId="4328E426" w14:textId="5C2F2470" w:rsidR="00736CD8" w:rsidRDefault="0063006E" w:rsidP="00736CD8">
      <w:pPr>
        <w:jc w:val="both"/>
        <w:rPr>
          <w:szCs w:val="22"/>
        </w:rPr>
      </w:pPr>
      <w:r>
        <w:rPr>
          <w:szCs w:val="22"/>
          <w:lang w:val="en-GB"/>
        </w:rPr>
        <w:t xml:space="preserve">It was agreed to support cross slot scheduling in previous RAN1 meeting. </w:t>
      </w:r>
      <w:r w:rsidR="00736CD8">
        <w:rPr>
          <w:szCs w:val="22"/>
        </w:rPr>
        <w:t xml:space="preserve">With </w:t>
      </w:r>
      <w:r>
        <w:rPr>
          <w:szCs w:val="22"/>
        </w:rPr>
        <w:t>cross slot scheduling</w:t>
      </w:r>
      <w:r w:rsidR="00736CD8">
        <w:rPr>
          <w:szCs w:val="22"/>
        </w:rPr>
        <w:t>, dynamic BW switching can be also allowed for UE power saving between active/non-active traffic.</w:t>
      </w:r>
      <w:r>
        <w:rPr>
          <w:szCs w:val="22"/>
        </w:rPr>
        <w:t xml:space="preserve"> It is proposed to allow dynamic BW switching together with cross slot scheduling.</w:t>
      </w:r>
    </w:p>
    <w:p w14:paraId="12C56C16" w14:textId="77777777" w:rsidR="00736CD8" w:rsidRPr="00345832" w:rsidRDefault="00736CD8" w:rsidP="00736CD8">
      <w:pPr>
        <w:jc w:val="both"/>
      </w:pPr>
      <w:r>
        <w:t xml:space="preserve">Note that </w:t>
      </w:r>
      <w:r w:rsidRPr="00345832">
        <w:t>RF BW determines the sampling rate. ADC/BBF power consumption is significant</w:t>
      </w:r>
      <w:r>
        <w:t>. Thus, s</w:t>
      </w:r>
      <w:r w:rsidRPr="00345832">
        <w:t xml:space="preserve">ignificant </w:t>
      </w:r>
      <w:r>
        <w:t>power saving can be achieved</w:t>
      </w:r>
      <w:r w:rsidRPr="00345832">
        <w:t xml:space="preserve"> if (i) UE’s full BW &gt;&gt; monitored control subband BW, (ii) Percentage of no DL assignment is significant, but not bursty enough to switch to DRX mode</w:t>
      </w:r>
      <w:r>
        <w:t>.</w:t>
      </w:r>
    </w:p>
    <w:p w14:paraId="1B3C037C" w14:textId="47B95F83" w:rsidR="00736CD8" w:rsidRDefault="00736CD8" w:rsidP="00736CD8">
      <w:r w:rsidRPr="00C17521">
        <w:rPr>
          <w:b/>
          <w:u w:val="single"/>
        </w:rPr>
        <w:t xml:space="preserve">Proposal </w:t>
      </w:r>
      <w:r>
        <w:rPr>
          <w:b/>
          <w:u w:val="single"/>
        </w:rPr>
        <w:t>2</w:t>
      </w:r>
      <w:r w:rsidRPr="00C17521">
        <w:rPr>
          <w:b/>
          <w:u w:val="single"/>
        </w:rPr>
        <w:t>:</w:t>
      </w:r>
      <w:r>
        <w:t xml:space="preserve"> Introduce dynamic BW switching</w:t>
      </w:r>
      <w:r w:rsidR="0063006E">
        <w:t xml:space="preserve"> with cross slot scheduling.</w:t>
      </w:r>
    </w:p>
    <w:p w14:paraId="685E6EA8" w14:textId="43FCC0E7" w:rsidR="00736CD8" w:rsidRDefault="00DF7BB2" w:rsidP="00736CD8">
      <w:pPr>
        <w:jc w:val="both"/>
        <w:rPr>
          <w:szCs w:val="22"/>
        </w:rPr>
      </w:pPr>
      <w:r>
        <w:object w:dxaOrig="13950" w:dyaOrig="5933" w14:anchorId="7B7EF40B">
          <v:shape id="_x0000_i1025" type="#_x0000_t75" style="width:497.9pt;height:211.25pt" o:ole="">
            <v:imagedata r:id="rId13" o:title=""/>
          </v:shape>
          <o:OLEObject Type="Embed" ProgID="Visio.Drawing.11" ShapeID="_x0000_i1025" DrawAspect="Content" ObjectID="_1539804626" r:id="rId14"/>
        </w:object>
      </w:r>
    </w:p>
    <w:p w14:paraId="238CF62D" w14:textId="5DB190C2" w:rsidR="00396925" w:rsidRDefault="00396925" w:rsidP="00396925">
      <w:pPr>
        <w:pStyle w:val="Caption"/>
        <w:jc w:val="center"/>
      </w:pPr>
      <w:r>
        <w:t xml:space="preserve">Figure </w:t>
      </w:r>
      <w:r w:rsidR="00883D75">
        <w:fldChar w:fldCharType="begin"/>
      </w:r>
      <w:r w:rsidR="00883D75">
        <w:instrText xml:space="preserve"> SEQ Figure \* ARABIC </w:instrText>
      </w:r>
      <w:r w:rsidR="00883D75">
        <w:fldChar w:fldCharType="separate"/>
      </w:r>
      <w:r>
        <w:rPr>
          <w:noProof/>
        </w:rPr>
        <w:t>2</w:t>
      </w:r>
      <w:r w:rsidR="00883D75">
        <w:rPr>
          <w:noProof/>
        </w:rPr>
        <w:fldChar w:fldCharType="end"/>
      </w:r>
      <w:r>
        <w:t>: Dynamic BW switching with cross slot scheduling</w:t>
      </w:r>
    </w:p>
    <w:p w14:paraId="3E293906" w14:textId="7DDB5D4E" w:rsidR="0029660E" w:rsidRDefault="0029660E" w:rsidP="00BC4D50"/>
    <w:p w14:paraId="58787619" w14:textId="4C654BE9" w:rsidR="00396925" w:rsidRDefault="00396925" w:rsidP="00396925">
      <w:pPr>
        <w:jc w:val="both"/>
      </w:pPr>
      <w:r>
        <w:lastRenderedPageBreak/>
        <w:t xml:space="preserve">In [3], common control subband and UE-specific control subband were discussed. It is expected that UE monitors configured subband only including common control and UE-specific control. If UE is required to monitor both common control and UE-specific control subbands, UE RF BW is subject to the entire BW including both. Therefore, it may be helpful to minimize the monitoring BW when both are not necessary. One option could be to allow NW to configure UE-specific </w:t>
      </w:r>
      <w:r w:rsidR="00531C5A">
        <w:t xml:space="preserve">control </w:t>
      </w:r>
      <w:r>
        <w:t>subband (e.g., RRC configuration) but activate and deactivate the UE-specific</w:t>
      </w:r>
      <w:r w:rsidR="00531C5A">
        <w:t xml:space="preserve"> control</w:t>
      </w:r>
      <w:r>
        <w:t xml:space="preserve"> subband based on the need similar to LTE CA. </w:t>
      </w:r>
      <w:r w:rsidR="00531C5A">
        <w:t>Common control subband may be activated/deactivated as well.</w:t>
      </w:r>
    </w:p>
    <w:p w14:paraId="29F73A21" w14:textId="779CE8AC" w:rsidR="00396925" w:rsidRPr="00345832" w:rsidRDefault="00396925" w:rsidP="00396925">
      <w:pPr>
        <w:jc w:val="both"/>
      </w:pPr>
      <w:r>
        <w:t>UE in power saving mode may</w:t>
      </w:r>
      <w:r w:rsidRPr="00345832">
        <w:t xml:space="preserve"> </w:t>
      </w:r>
      <w:r>
        <w:t xml:space="preserve">also </w:t>
      </w:r>
      <w:r w:rsidRPr="00345832">
        <w:t xml:space="preserve">negotiate not monitoring common search space and to monitor only the </w:t>
      </w:r>
      <w:r w:rsidR="00531C5A">
        <w:t>UE specific search space.</w:t>
      </w:r>
    </w:p>
    <w:p w14:paraId="362BA262" w14:textId="15F79F41" w:rsidR="00396925" w:rsidRDefault="00396925" w:rsidP="00396925">
      <w:r w:rsidRPr="00C17521">
        <w:rPr>
          <w:b/>
          <w:u w:val="single"/>
        </w:rPr>
        <w:t xml:space="preserve">Proposal </w:t>
      </w:r>
      <w:r>
        <w:rPr>
          <w:b/>
          <w:u w:val="single"/>
        </w:rPr>
        <w:t>3</w:t>
      </w:r>
      <w:r w:rsidRPr="00C17521">
        <w:rPr>
          <w:b/>
          <w:u w:val="single"/>
        </w:rPr>
        <w:t>:</w:t>
      </w:r>
      <w:r>
        <w:t xml:space="preserve"> Introduce activation/deactivation of </w:t>
      </w:r>
      <w:r w:rsidR="00531C5A">
        <w:t xml:space="preserve">control </w:t>
      </w:r>
      <w:r>
        <w:t>subband</w:t>
      </w:r>
      <w:r w:rsidR="00531C5A">
        <w:t xml:space="preserve"> via L1 channel (e.g., MAC CE command)</w:t>
      </w:r>
      <w:r>
        <w:t>.</w:t>
      </w:r>
    </w:p>
    <w:p w14:paraId="4A0481E0" w14:textId="77777777" w:rsidR="00396925" w:rsidRDefault="00396925" w:rsidP="00BC4D50"/>
    <w:p w14:paraId="56D28D4B" w14:textId="26018A49" w:rsidR="00067CA8" w:rsidRPr="00226FE2" w:rsidRDefault="004503F9" w:rsidP="00067CA8">
      <w:pPr>
        <w:pStyle w:val="Heading1"/>
        <w:rPr>
          <w:lang w:eastAsia="zh-CN"/>
        </w:rPr>
      </w:pPr>
      <w:r>
        <w:rPr>
          <w:lang w:eastAsia="zh-CN"/>
        </w:rPr>
        <w:t>Conclusions</w:t>
      </w:r>
    </w:p>
    <w:p w14:paraId="104D2FA2" w14:textId="2E70B869" w:rsidR="00EF3FCB" w:rsidRDefault="00531C5A" w:rsidP="00531C5A">
      <w:pPr>
        <w:jc w:val="both"/>
        <w:rPr>
          <w:lang w:eastAsia="ja-JP"/>
        </w:rPr>
      </w:pPr>
      <w:r>
        <w:rPr>
          <w:szCs w:val="22"/>
        </w:rPr>
        <w:t>This contribution has discussed UE power saving aspects related to PDCCH monitoring, including reduction on PDCCH blind decoding hypotheses, dynamic BW switching with cross slot scheduling and activation/deactivation of control subband. The following proposals have been made:</w:t>
      </w:r>
    </w:p>
    <w:p w14:paraId="35C01B5A" w14:textId="577B663A" w:rsidR="00736CD8" w:rsidRDefault="00736CD8" w:rsidP="00736CD8">
      <w:r w:rsidRPr="00BA0646">
        <w:rPr>
          <w:b/>
          <w:u w:val="single"/>
        </w:rPr>
        <w:t xml:space="preserve">Proposal </w:t>
      </w:r>
      <w:r w:rsidR="00531C5A">
        <w:rPr>
          <w:b/>
          <w:u w:val="single"/>
        </w:rPr>
        <w:t>1</w:t>
      </w:r>
      <w:r w:rsidRPr="00BA0646">
        <w:rPr>
          <w:b/>
          <w:u w:val="single"/>
        </w:rPr>
        <w:t>:</w:t>
      </w:r>
      <w:r>
        <w:t xml:space="preserve"> Consider fewer hypotheses for PDCCH blind decoding based on the presented ways.</w:t>
      </w:r>
    </w:p>
    <w:p w14:paraId="64703CED" w14:textId="77777777" w:rsidR="00531C5A" w:rsidRDefault="00531C5A" w:rsidP="00531C5A">
      <w:pPr>
        <w:pStyle w:val="ListParagraph"/>
        <w:numPr>
          <w:ilvl w:val="0"/>
          <w:numId w:val="30"/>
        </w:numPr>
        <w:jc w:val="both"/>
      </w:pPr>
      <w:r>
        <w:t>Limit the DCI length options via quantized DCI length.</w:t>
      </w:r>
    </w:p>
    <w:p w14:paraId="40DE3C38" w14:textId="77777777" w:rsidR="00531C5A" w:rsidRDefault="00531C5A" w:rsidP="00531C5A">
      <w:pPr>
        <w:pStyle w:val="ListParagraph"/>
        <w:numPr>
          <w:ilvl w:val="1"/>
          <w:numId w:val="30"/>
        </w:numPr>
        <w:jc w:val="both"/>
      </w:pPr>
      <w:r>
        <w:t>This can be pursued once NR sub-features are settled and DCI contents are determined.</w:t>
      </w:r>
    </w:p>
    <w:p w14:paraId="28B90E4E" w14:textId="77777777" w:rsidR="00531C5A" w:rsidRDefault="00531C5A" w:rsidP="00531C5A">
      <w:pPr>
        <w:pStyle w:val="ListParagraph"/>
        <w:numPr>
          <w:ilvl w:val="1"/>
          <w:numId w:val="30"/>
        </w:numPr>
        <w:jc w:val="both"/>
      </w:pPr>
      <w:r>
        <w:t>Multi-part PDCCH can be also utilized to minimize DCI length options.</w:t>
      </w:r>
    </w:p>
    <w:p w14:paraId="5E6697A2" w14:textId="046CCD5E" w:rsidR="00531C5A" w:rsidRDefault="00531C5A" w:rsidP="00531C5A">
      <w:pPr>
        <w:pStyle w:val="ListParagraph"/>
        <w:numPr>
          <w:ilvl w:val="0"/>
          <w:numId w:val="30"/>
        </w:numPr>
        <w:jc w:val="both"/>
      </w:pPr>
      <w:r>
        <w:t>Use nested search space for each subband</w:t>
      </w:r>
    </w:p>
    <w:p w14:paraId="7FE161AB" w14:textId="77777777" w:rsidR="00531C5A" w:rsidRDefault="00531C5A" w:rsidP="00531C5A">
      <w:pPr>
        <w:pStyle w:val="ListParagraph"/>
        <w:numPr>
          <w:ilvl w:val="0"/>
          <w:numId w:val="30"/>
        </w:numPr>
        <w:jc w:val="both"/>
      </w:pPr>
      <w:r>
        <w:t>Reduce the number of options for each aggregation level compared to LTE.</w:t>
      </w:r>
    </w:p>
    <w:p w14:paraId="77C029D0" w14:textId="77777777" w:rsidR="00531C5A" w:rsidRDefault="00531C5A" w:rsidP="00531C5A">
      <w:r w:rsidRPr="00C17521">
        <w:rPr>
          <w:b/>
          <w:u w:val="single"/>
        </w:rPr>
        <w:t xml:space="preserve">Proposal </w:t>
      </w:r>
      <w:r>
        <w:rPr>
          <w:b/>
          <w:u w:val="single"/>
        </w:rPr>
        <w:t>2</w:t>
      </w:r>
      <w:r w:rsidRPr="00C17521">
        <w:rPr>
          <w:b/>
          <w:u w:val="single"/>
        </w:rPr>
        <w:t>:</w:t>
      </w:r>
      <w:r>
        <w:t xml:space="preserve"> Introduce dynamic BW switching with cross slot scheduling.</w:t>
      </w:r>
    </w:p>
    <w:p w14:paraId="016CDB98" w14:textId="77777777" w:rsidR="00531C5A" w:rsidRDefault="00531C5A" w:rsidP="00531C5A">
      <w:r w:rsidRPr="00C17521">
        <w:rPr>
          <w:b/>
          <w:u w:val="single"/>
        </w:rPr>
        <w:t xml:space="preserve">Proposal </w:t>
      </w:r>
      <w:r>
        <w:rPr>
          <w:b/>
          <w:u w:val="single"/>
        </w:rPr>
        <w:t>3</w:t>
      </w:r>
      <w:r w:rsidRPr="00C17521">
        <w:rPr>
          <w:b/>
          <w:u w:val="single"/>
        </w:rPr>
        <w:t>:</w:t>
      </w:r>
      <w:r>
        <w:t xml:space="preserve"> Introduce activation/deactivation of control subband via L1 channel (e.g</w:t>
      </w:r>
      <w:bookmarkStart w:id="2" w:name="_GoBack"/>
      <w:bookmarkEnd w:id="2"/>
      <w:r>
        <w:t>., MAC CE command).</w:t>
      </w:r>
    </w:p>
    <w:p w14:paraId="48311529" w14:textId="77777777" w:rsidR="00531C5A" w:rsidRDefault="00531C5A" w:rsidP="00531C5A"/>
    <w:p w14:paraId="43B7F896" w14:textId="5D50D665" w:rsidR="00E523F3" w:rsidRPr="000A64D8" w:rsidRDefault="00E523F3" w:rsidP="00E523F3">
      <w:pPr>
        <w:pStyle w:val="Heading1"/>
        <w:rPr>
          <w:lang w:val="en-US"/>
        </w:rPr>
      </w:pPr>
      <w:r w:rsidRPr="000A64D8">
        <w:rPr>
          <w:lang w:val="en-US"/>
        </w:rPr>
        <w:t>References</w:t>
      </w:r>
    </w:p>
    <w:p w14:paraId="10F2ADD3" w14:textId="77777777" w:rsidR="00AD095A" w:rsidRPr="001A2F35" w:rsidRDefault="00AD095A" w:rsidP="00AD095A">
      <w:pPr>
        <w:numPr>
          <w:ilvl w:val="0"/>
          <w:numId w:val="2"/>
        </w:numPr>
        <w:spacing w:before="100" w:beforeAutospacing="1" w:after="100" w:afterAutospacing="1"/>
        <w:rPr>
          <w:szCs w:val="22"/>
        </w:rPr>
      </w:pPr>
      <w:r>
        <w:rPr>
          <w:szCs w:val="22"/>
        </w:rPr>
        <w:t>R1-1610177, “DL control channels overview”, Qualcomm Incorporated, RAN1#86b</w:t>
      </w:r>
    </w:p>
    <w:p w14:paraId="70F21215" w14:textId="2393960E" w:rsidR="00804B56" w:rsidRDefault="002B4AC3" w:rsidP="00AD095A">
      <w:pPr>
        <w:numPr>
          <w:ilvl w:val="0"/>
          <w:numId w:val="2"/>
        </w:numPr>
        <w:spacing w:before="100" w:beforeAutospacing="1" w:after="100" w:afterAutospacing="1"/>
        <w:rPr>
          <w:szCs w:val="22"/>
        </w:rPr>
      </w:pPr>
      <w:r>
        <w:rPr>
          <w:szCs w:val="22"/>
        </w:rPr>
        <w:t>R1-</w:t>
      </w:r>
      <w:r w:rsidR="00DF7BB2">
        <w:rPr>
          <w:szCs w:val="22"/>
        </w:rPr>
        <w:t>1612063</w:t>
      </w:r>
      <w:r>
        <w:rPr>
          <w:szCs w:val="22"/>
        </w:rPr>
        <w:t>, “Single-part/multi-part PDCCH”, Qualcomm Incorporated, RAN1#87</w:t>
      </w:r>
    </w:p>
    <w:p w14:paraId="0C7DDD9B" w14:textId="6FF06E00" w:rsidR="00396925" w:rsidRPr="00396925" w:rsidRDefault="00396925" w:rsidP="00B15485">
      <w:pPr>
        <w:numPr>
          <w:ilvl w:val="0"/>
          <w:numId w:val="2"/>
        </w:numPr>
        <w:spacing w:before="100" w:beforeAutospacing="1" w:after="100" w:afterAutospacing="1"/>
        <w:rPr>
          <w:szCs w:val="22"/>
        </w:rPr>
      </w:pPr>
      <w:r w:rsidRPr="00396925">
        <w:rPr>
          <w:szCs w:val="22"/>
        </w:rPr>
        <w:t>R1-</w:t>
      </w:r>
      <w:r w:rsidR="00DF7BB2" w:rsidRPr="00396925">
        <w:rPr>
          <w:szCs w:val="22"/>
        </w:rPr>
        <w:t>16</w:t>
      </w:r>
      <w:r w:rsidR="00DF7BB2">
        <w:rPr>
          <w:szCs w:val="22"/>
        </w:rPr>
        <w:t>12064</w:t>
      </w:r>
      <w:r w:rsidRPr="00396925">
        <w:rPr>
          <w:szCs w:val="22"/>
        </w:rPr>
        <w:t>, “</w:t>
      </w:r>
      <w:r>
        <w:rPr>
          <w:szCs w:val="22"/>
        </w:rPr>
        <w:t>Subband PDCCH with broadcast/unicast</w:t>
      </w:r>
      <w:r w:rsidRPr="00396925">
        <w:rPr>
          <w:szCs w:val="22"/>
        </w:rPr>
        <w:t>”, Qualcomm Incorporated, RAN1#87</w:t>
      </w:r>
    </w:p>
    <w:sectPr w:rsidR="00396925" w:rsidRPr="00396925"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2B66E" w14:textId="77777777" w:rsidR="00883D75" w:rsidRDefault="00883D75">
      <w:r>
        <w:separator/>
      </w:r>
    </w:p>
  </w:endnote>
  <w:endnote w:type="continuationSeparator" w:id="0">
    <w:p w14:paraId="544010D4" w14:textId="77777777" w:rsidR="00883D75" w:rsidRDefault="00883D75">
      <w:r>
        <w:continuationSeparator/>
      </w:r>
    </w:p>
  </w:endnote>
  <w:endnote w:type="continuationNotice" w:id="1">
    <w:p w14:paraId="7DB6E4EC" w14:textId="77777777" w:rsidR="00883D75" w:rsidRDefault="00883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2AF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2AF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56DE4" w14:textId="77777777" w:rsidR="00883D75" w:rsidRDefault="00883D75">
      <w:r>
        <w:separator/>
      </w:r>
    </w:p>
  </w:footnote>
  <w:footnote w:type="continuationSeparator" w:id="0">
    <w:p w14:paraId="38D6A247" w14:textId="77777777" w:rsidR="00883D75" w:rsidRDefault="00883D75">
      <w:r>
        <w:continuationSeparator/>
      </w:r>
    </w:p>
  </w:footnote>
  <w:footnote w:type="continuationNotice" w:id="1">
    <w:p w14:paraId="639CD08C" w14:textId="77777777" w:rsidR="00883D75" w:rsidRDefault="00883D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7"/>
  </w:num>
  <w:num w:numId="5">
    <w:abstractNumId w:val="5"/>
  </w:num>
  <w:num w:numId="6">
    <w:abstractNumId w:val="8"/>
  </w:num>
  <w:num w:numId="7">
    <w:abstractNumId w:val="10"/>
  </w:num>
  <w:num w:numId="8">
    <w:abstractNumId w:val="1"/>
  </w:num>
  <w:num w:numId="9">
    <w:abstractNumId w:val="28"/>
    <w:lvlOverride w:ilvl="0">
      <w:startOverride w:val="1"/>
    </w:lvlOverride>
  </w:num>
  <w:num w:numId="10">
    <w:abstractNumId w:val="19"/>
  </w:num>
  <w:num w:numId="11">
    <w:abstractNumId w:val="22"/>
  </w:num>
  <w:num w:numId="12">
    <w:abstractNumId w:val="23"/>
  </w:num>
  <w:num w:numId="13">
    <w:abstractNumId w:val="14"/>
  </w:num>
  <w:num w:numId="14">
    <w:abstractNumId w:val="21"/>
  </w:num>
  <w:num w:numId="15">
    <w:abstractNumId w:val="7"/>
  </w:num>
  <w:num w:numId="16">
    <w:abstractNumId w:val="16"/>
  </w:num>
  <w:num w:numId="17">
    <w:abstractNumId w:val="12"/>
  </w:num>
  <w:num w:numId="18">
    <w:abstractNumId w:val="26"/>
  </w:num>
  <w:num w:numId="19">
    <w:abstractNumId w:val="30"/>
  </w:num>
  <w:num w:numId="20">
    <w:abstractNumId w:val="11"/>
  </w:num>
  <w:num w:numId="21">
    <w:abstractNumId w:val="25"/>
  </w:num>
  <w:num w:numId="22">
    <w:abstractNumId w:val="3"/>
  </w:num>
  <w:num w:numId="23">
    <w:abstractNumId w:val="13"/>
  </w:num>
  <w:num w:numId="24">
    <w:abstractNumId w:val="9"/>
  </w:num>
  <w:num w:numId="25">
    <w:abstractNumId w:val="6"/>
  </w:num>
  <w:num w:numId="26">
    <w:abstractNumId w:val="20"/>
  </w:num>
  <w:num w:numId="27">
    <w:abstractNumId w:val="24"/>
  </w:num>
  <w:num w:numId="28">
    <w:abstractNumId w:val="18"/>
  </w:num>
  <w:num w:numId="29">
    <w:abstractNumId w:val="27"/>
  </w:num>
  <w:num w:numId="30">
    <w:abstractNumId w:val="29"/>
  </w:num>
  <w:num w:numId="3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5"/>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15E"/>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3AC"/>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AF9"/>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52"/>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87E"/>
    <w:rsid w:val="00DF7BB2"/>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671"/>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HR33RHYHUWRF-4-557</_dlc_DocId>
    <_dlc_DocIdUrl xmlns="c06861ca-3f08-4d07-bff7-bb15bac121f4">
      <Url>https://projects.qualcomm.com/sites/pentari/_layouts/15/DocIdRedir.aspx?ID=HR33RHYHUWRF-4-557</Url>
      <Description>HR33RHYHUWRF-4-557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B24C7B5-CD7F-4425-8B10-1ADE089B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Heechoon Lee</cp:lastModifiedBy>
  <cp:revision>2</cp:revision>
  <cp:lastPrinted>2014-11-07T05:38:00Z</cp:lastPrinted>
  <dcterms:created xsi:type="dcterms:W3CDTF">2016-11-05T05:44:00Z</dcterms:created>
  <dcterms:modified xsi:type="dcterms:W3CDTF">2016-11-05T05:44:00Z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d61e779a-ab6d-4d3f-b973-76560b697a3a</vt:lpwstr>
  </property>
  <property fmtid="{D5CDD505-2E9C-101B-9397-08002B2CF9AE}" pid="4" name="_AdHocReviewCycleID">
    <vt:i4>939187194</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