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923F47">
        <w:rPr>
          <w:rFonts w:ascii="Arial" w:hAnsi="Arial" w:cs="Arial"/>
          <w:b/>
          <w:bCs/>
          <w:sz w:val="22"/>
          <w:lang w:val="en-GB"/>
        </w:rPr>
        <w:t>7</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D93D1F">
        <w:rPr>
          <w:rFonts w:ascii="Arial" w:hAnsi="Arial" w:cs="Arial"/>
          <w:b/>
          <w:bCs/>
          <w:sz w:val="22"/>
          <w:lang w:val="en-GB"/>
        </w:rPr>
        <w:t>11276</w:t>
      </w:r>
      <w:r w:rsidR="00A569A4" w:rsidRPr="00525CF4">
        <w:rPr>
          <w:rFonts w:ascii="Arial" w:hAnsi="Arial" w:cs="Arial" w:hint="eastAsia"/>
          <w:b/>
          <w:bCs/>
          <w:sz w:val="22"/>
          <w:lang w:val="en-GB"/>
        </w:rPr>
        <w:t xml:space="preserve"> </w:t>
      </w:r>
    </w:p>
    <w:p w:rsidR="00A569A4" w:rsidRPr="00525CF4" w:rsidRDefault="00923F4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Reno</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4</w:t>
      </w:r>
      <w:r w:rsidR="00DF219B">
        <w:rPr>
          <w:rFonts w:ascii="Arial" w:hAnsi="Arial" w:cs="Arial"/>
          <w:b/>
          <w:bCs/>
          <w:sz w:val="22"/>
          <w:lang w:val="en-GB"/>
        </w:rPr>
        <w:t>th</w:t>
      </w:r>
      <w:r w:rsidR="00A569A4" w:rsidRPr="00525CF4">
        <w:rPr>
          <w:rFonts w:ascii="Arial" w:hAnsi="Arial" w:cs="Arial"/>
          <w:b/>
          <w:bCs/>
          <w:sz w:val="22"/>
          <w:lang w:val="en-GB"/>
        </w:rPr>
        <w:t xml:space="preserve"> - </w:t>
      </w:r>
      <w:r w:rsidR="00DF219B">
        <w:rPr>
          <w:rFonts w:ascii="Arial" w:hAnsi="Arial" w:cs="Arial"/>
          <w:b/>
          <w:bCs/>
          <w:sz w:val="22"/>
          <w:lang w:val="en-GB"/>
        </w:rPr>
        <w:t>1</w:t>
      </w:r>
      <w:r>
        <w:rPr>
          <w:rFonts w:ascii="Arial" w:hAnsi="Arial" w:cs="Arial"/>
          <w:b/>
          <w:bCs/>
          <w:sz w:val="22"/>
          <w:lang w:val="en-GB"/>
        </w:rPr>
        <w:t>8</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Novem</w:t>
      </w:r>
      <w:r w:rsidR="00DF219B">
        <w:rPr>
          <w:rFonts w:ascii="Arial" w:hAnsi="Arial" w:cs="Arial"/>
          <w:b/>
          <w:bCs/>
          <w:sz w:val="22"/>
          <w:lang w:val="en-GB"/>
        </w:rPr>
        <w:t>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D93D1F">
        <w:rPr>
          <w:rFonts w:ascii="Arial" w:hAnsi="Arial" w:cs="Arial"/>
          <w:b/>
          <w:bCs/>
          <w:sz w:val="22"/>
          <w:lang w:val="en-GB"/>
        </w:rPr>
        <w:t>Connected</w:t>
      </w:r>
      <w:r w:rsidR="008721F4">
        <w:rPr>
          <w:rFonts w:ascii="Arial" w:hAnsi="Arial" w:cs="Arial"/>
          <w:b/>
          <w:bCs/>
          <w:sz w:val="22"/>
          <w:lang w:val="en-GB"/>
        </w:rPr>
        <w:t xml:space="preserve"> mode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23F47">
        <w:rPr>
          <w:rFonts w:ascii="Arial" w:hAnsi="Arial" w:cs="Arial"/>
          <w:b/>
          <w:bCs/>
          <w:sz w:val="22"/>
          <w:lang w:val="en-GB"/>
        </w:rPr>
        <w:t>7.1.2.6</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92A32" w:rsidRDefault="002C1206" w:rsidP="009E555F">
      <w:pPr>
        <w:adjustRightInd/>
        <w:snapToGrid w:val="0"/>
        <w:spacing w:after="120"/>
        <w:jc w:val="both"/>
      </w:pPr>
      <w:r>
        <w:t>In RAN2</w:t>
      </w:r>
      <w:r w:rsidR="00892A32">
        <w:t>#94</w:t>
      </w:r>
      <w:r w:rsidR="00D21A5C">
        <w:t xml:space="preserve"> </w:t>
      </w:r>
      <w:r w:rsidR="007132D3">
        <w:fldChar w:fldCharType="begin"/>
      </w:r>
      <w:r w:rsidR="00D21A5C">
        <w:instrText xml:space="preserve"> REF _Ref462778606 \r \h </w:instrText>
      </w:r>
      <w:r w:rsidR="007132D3">
        <w:fldChar w:fldCharType="separate"/>
      </w:r>
      <w:r w:rsidR="007062F7">
        <w:t>[1]</w:t>
      </w:r>
      <w:r w:rsidR="007132D3">
        <w:fldChar w:fldCharType="end"/>
      </w:r>
      <w:r>
        <w:t xml:space="preserve">, it </w:t>
      </w:r>
      <w:r w:rsidR="00D21A5C">
        <w:t>was</w:t>
      </w:r>
      <w:r>
        <w:t xml:space="preserve"> agreed that </w:t>
      </w:r>
      <w:r w:rsidR="00123655">
        <w:t>there are two levels of mobility in RRC_CONNECTED (active), one level with zero/minimum RRC involvement and one level with RRC based mobility driven at ‘cell’ level.</w:t>
      </w:r>
      <w:r w:rsidR="00892A32">
        <w:t xml:space="preserve"> </w:t>
      </w:r>
    </w:p>
    <w:p w:rsidR="006C4DEE" w:rsidRDefault="004860DF" w:rsidP="009E555F">
      <w:pPr>
        <w:adjustRightInd/>
        <w:snapToGrid w:val="0"/>
        <w:spacing w:after="120"/>
        <w:jc w:val="both"/>
      </w:pPr>
      <w:r>
        <w:t xml:space="preserve">The UE should be able to identify and measure individual beams and it should be able to distinguish between serving and neighbor cell beams </w:t>
      </w:r>
      <w:r w:rsidR="007132D3">
        <w:fldChar w:fldCharType="begin"/>
      </w:r>
      <w:r>
        <w:instrText xml:space="preserve"> REF _Ref462778614 \r \h </w:instrText>
      </w:r>
      <w:r w:rsidR="007132D3">
        <w:fldChar w:fldCharType="separate"/>
      </w:r>
      <w:r w:rsidR="007062F7">
        <w:t>[2]</w:t>
      </w:r>
      <w:r w:rsidR="007132D3">
        <w:fldChar w:fldCharType="end"/>
      </w:r>
      <w:r>
        <w:t>.</w:t>
      </w:r>
      <w:r w:rsidR="006C4DEE">
        <w:t xml:space="preserve"> For the cell-level RRC based mobility, measurements of individual beams can be combined into a ‘cell’-level quantity. </w:t>
      </w:r>
    </w:p>
    <w:p w:rsidR="00AE4560" w:rsidRDefault="006C4DEE" w:rsidP="009E555F">
      <w:pPr>
        <w:adjustRightInd/>
        <w:snapToGrid w:val="0"/>
        <w:spacing w:after="120"/>
        <w:jc w:val="both"/>
      </w:pPr>
      <w:r>
        <w:t>In RAN1, the mobility with zero/minimum RRC involvement is mainly discussed in the context of L1/L2 beam management.</w:t>
      </w:r>
      <w:r w:rsidR="00AE4560">
        <w:t xml:space="preserve"> Our views on </w:t>
      </w:r>
      <w:r w:rsidR="00B50FD8">
        <w:t xml:space="preserve">measurement RS and </w:t>
      </w:r>
      <w:r w:rsidR="00AE4560">
        <w:t xml:space="preserve">beam management are presented in the companion contributions </w:t>
      </w:r>
      <w:r w:rsidR="007132D3">
        <w:fldChar w:fldCharType="begin"/>
      </w:r>
      <w:r w:rsidR="00B44E9F">
        <w:instrText xml:space="preserve"> REF _Ref465938262 \n \h </w:instrText>
      </w:r>
      <w:r w:rsidR="007132D3">
        <w:fldChar w:fldCharType="separate"/>
      </w:r>
      <w:r w:rsidR="007062F7">
        <w:t>[3]</w:t>
      </w:r>
      <w:r w:rsidR="007132D3">
        <w:fldChar w:fldCharType="end"/>
      </w:r>
      <w:r w:rsidR="007132D3">
        <w:fldChar w:fldCharType="begin"/>
      </w:r>
      <w:r w:rsidR="00095581">
        <w:instrText xml:space="preserve"> REF _Ref465938719 \n \h </w:instrText>
      </w:r>
      <w:r w:rsidR="007132D3">
        <w:fldChar w:fldCharType="separate"/>
      </w:r>
      <w:r w:rsidR="007062F7">
        <w:t>[4]</w:t>
      </w:r>
      <w:r w:rsidR="007132D3">
        <w:fldChar w:fldCharType="end"/>
      </w:r>
      <w:r w:rsidR="007132D3">
        <w:fldChar w:fldCharType="begin"/>
      </w:r>
      <w:r w:rsidR="00095581">
        <w:instrText xml:space="preserve"> REF _Ref465938723 \n \h </w:instrText>
      </w:r>
      <w:r w:rsidR="007132D3">
        <w:fldChar w:fldCharType="separate"/>
      </w:r>
      <w:r w:rsidR="007062F7">
        <w:t>[5]</w:t>
      </w:r>
      <w:r w:rsidR="007132D3">
        <w:fldChar w:fldCharType="end"/>
      </w:r>
      <w:r w:rsidR="00095581">
        <w:t>.</w:t>
      </w:r>
    </w:p>
    <w:p w:rsidR="004860DF" w:rsidRDefault="006C4DEE" w:rsidP="009E555F">
      <w:pPr>
        <w:adjustRightInd/>
        <w:snapToGrid w:val="0"/>
        <w:spacing w:after="120"/>
        <w:jc w:val="both"/>
      </w:pPr>
      <w:r>
        <w:t xml:space="preserve">The ‘cell’ level RRC driven mobility has been called </w:t>
      </w:r>
      <w:r w:rsidR="00247F79">
        <w:t>‘</w:t>
      </w:r>
      <w:r>
        <w:t>L3 mobility</w:t>
      </w:r>
      <w:r w:rsidR="00247F79">
        <w:t>’</w:t>
      </w:r>
      <w:r>
        <w:t xml:space="preserve"> in RAN1.</w:t>
      </w:r>
      <w:r w:rsidR="00AE4560">
        <w:t xml:space="preserve"> For L3 mobility in connected mode, it was agreed that at least non-UE-specific DL signals can be used for RRM measurements </w:t>
      </w:r>
      <w:r w:rsidR="007132D3">
        <w:fldChar w:fldCharType="begin"/>
      </w:r>
      <w:r w:rsidR="00AE4560">
        <w:instrText xml:space="preserve"> REF _Ref465668215 \r \h </w:instrText>
      </w:r>
      <w:r w:rsidR="007132D3">
        <w:fldChar w:fldCharType="separate"/>
      </w:r>
      <w:r w:rsidR="007062F7">
        <w:t>[6]</w:t>
      </w:r>
      <w:r w:rsidR="007132D3">
        <w:fldChar w:fldCharType="end"/>
      </w:r>
      <w:r w:rsidR="00AE4560">
        <w:t>. Furthermore, the following candidates signals should be studied:</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1: Cell related RS which is carrying Cell-ID (e.g. NR-PSS, NR-SSS)</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2: RS for mobility</w:t>
      </w:r>
    </w:p>
    <w:p w:rsidR="00AE4560" w:rsidRPr="00AE4560" w:rsidRDefault="00AE4560" w:rsidP="00AE4560">
      <w:pPr>
        <w:numPr>
          <w:ilvl w:val="1"/>
          <w:numId w:val="14"/>
        </w:numPr>
        <w:adjustRightInd/>
        <w:spacing w:line="240" w:lineRule="auto"/>
        <w:rPr>
          <w:rFonts w:eastAsia="MS Mincho"/>
          <w:lang w:eastAsia="ja-JP"/>
        </w:rPr>
      </w:pPr>
      <w:r w:rsidRPr="00AE4560">
        <w:rPr>
          <w:rFonts w:eastAsia="MS Mincho"/>
          <w:lang w:eastAsia="ja-JP"/>
        </w:rPr>
        <w:t>FFS how to associate it with beam-ID and/or Cell-ID</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3: RS for demodulating broadcast channel</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4: A combination of option 1 and 2</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Other options are not precluded</w:t>
      </w:r>
    </w:p>
    <w:p w:rsidR="00AE4560" w:rsidRDefault="00AE4560" w:rsidP="009C4BD7">
      <w:pPr>
        <w:adjustRightInd/>
        <w:snapToGrid w:val="0"/>
        <w:spacing w:before="240" w:after="120"/>
        <w:jc w:val="both"/>
      </w:pPr>
      <w:r>
        <w:t>For the reporting of the RRM measurements for L3 mobility, the following options should be studied:</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1: derived per cell (e.g., if multi-beam, as a function of multi-beam measurements)</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2: derived per beam</w:t>
      </w:r>
    </w:p>
    <w:p w:rsidR="00AE4560" w:rsidRPr="00AE4560" w:rsidRDefault="00AE4560" w:rsidP="00AE4560">
      <w:pPr>
        <w:numPr>
          <w:ilvl w:val="0"/>
          <w:numId w:val="14"/>
        </w:numPr>
        <w:adjustRightInd/>
        <w:spacing w:line="240" w:lineRule="auto"/>
        <w:rPr>
          <w:rFonts w:eastAsia="MS Mincho"/>
          <w:lang w:eastAsia="ja-JP"/>
        </w:rPr>
      </w:pPr>
      <w:r w:rsidRPr="00AE4560">
        <w:rPr>
          <w:rFonts w:eastAsia="MS Mincho"/>
          <w:lang w:eastAsia="ja-JP"/>
        </w:rPr>
        <w:t>Option 3: A combination of option 1 and 2</w:t>
      </w:r>
    </w:p>
    <w:p w:rsidR="00AE4560" w:rsidRDefault="00AE4560" w:rsidP="009C4BD7">
      <w:pPr>
        <w:numPr>
          <w:ilvl w:val="0"/>
          <w:numId w:val="14"/>
        </w:numPr>
        <w:adjustRightInd/>
        <w:spacing w:line="240" w:lineRule="auto"/>
        <w:rPr>
          <w:rFonts w:eastAsia="MS Mincho"/>
          <w:lang w:eastAsia="ja-JP"/>
        </w:rPr>
      </w:pPr>
      <w:r w:rsidRPr="00AE4560">
        <w:rPr>
          <w:rFonts w:eastAsia="MS Mincho"/>
          <w:lang w:eastAsia="ja-JP"/>
        </w:rPr>
        <w:t>Other options are not precluded</w:t>
      </w:r>
    </w:p>
    <w:p w:rsidR="009C4BD7" w:rsidRDefault="006A00D0" w:rsidP="009C4BD7">
      <w:pPr>
        <w:adjustRightInd/>
        <w:spacing w:before="240" w:line="240" w:lineRule="auto"/>
        <w:rPr>
          <w:rFonts w:eastAsia="MS Mincho"/>
          <w:lang w:eastAsia="ja-JP"/>
        </w:rPr>
      </w:pPr>
      <w:r>
        <w:rPr>
          <w:rFonts w:eastAsia="MS Mincho"/>
          <w:lang w:eastAsia="ja-JP"/>
        </w:rPr>
        <w:t>In this contribution, we further discuss the connected mode ‘cell’ concept and DL signals for connected mode L3 mobility.</w:t>
      </w:r>
    </w:p>
    <w:p w:rsidR="009345A5" w:rsidRDefault="009005E0" w:rsidP="009345A5">
      <w:pPr>
        <w:pStyle w:val="Heading2"/>
        <w:numPr>
          <w:ilvl w:val="0"/>
          <w:numId w:val="12"/>
        </w:numPr>
      </w:pPr>
      <w:r>
        <w:t>Cells for</w:t>
      </w:r>
      <w:r w:rsidR="009C4BD7">
        <w:t xml:space="preserve"> </w:t>
      </w:r>
      <w:r w:rsidR="00AE4560">
        <w:t>Connected Mode L3 Mobility</w:t>
      </w:r>
    </w:p>
    <w:p w:rsidR="009C4BD7" w:rsidRDefault="009C4BD7" w:rsidP="004E6CD1">
      <w:pPr>
        <w:spacing w:after="240"/>
        <w:rPr>
          <w:lang w:val="en-GB" w:eastAsia="en-US"/>
        </w:rPr>
      </w:pPr>
      <w:r>
        <w:rPr>
          <w:lang w:val="en-GB" w:eastAsia="en-US"/>
        </w:rPr>
        <w:t xml:space="preserve">L3 mobility is based on ‘cell’-level RRM measurements. </w:t>
      </w:r>
      <w:r w:rsidR="000A2DC7">
        <w:rPr>
          <w:lang w:val="en-GB" w:eastAsia="en-US"/>
        </w:rPr>
        <w:t>However, t</w:t>
      </w:r>
      <w:r>
        <w:rPr>
          <w:lang w:val="en-GB" w:eastAsia="en-US"/>
        </w:rPr>
        <w:t>he relation between the ‘NR cell</w:t>
      </w:r>
      <w:r w:rsidR="00694A8E">
        <w:rPr>
          <w:lang w:val="en-GB" w:eastAsia="en-US"/>
        </w:rPr>
        <w:t>s</w:t>
      </w:r>
      <w:r>
        <w:rPr>
          <w:lang w:val="en-GB" w:eastAsia="en-US"/>
        </w:rPr>
        <w:t xml:space="preserve">’ </w:t>
      </w:r>
      <w:r w:rsidR="00694A8E">
        <w:rPr>
          <w:lang w:val="en-GB" w:eastAsia="en-US"/>
        </w:rPr>
        <w:t xml:space="preserve">seen by idle mode UEs and the connected mode ‘cells’ has not yet been agreed. </w:t>
      </w:r>
      <w:r w:rsidR="000A2DC7">
        <w:rPr>
          <w:lang w:val="en-GB" w:eastAsia="en-US"/>
        </w:rPr>
        <w:t>T</w:t>
      </w:r>
      <w:r w:rsidR="00694A8E">
        <w:rPr>
          <w:lang w:val="en-GB" w:eastAsia="en-US"/>
        </w:rPr>
        <w:t xml:space="preserve">he need to </w:t>
      </w:r>
      <w:r w:rsidR="000A2DC7">
        <w:rPr>
          <w:lang w:val="en-GB" w:eastAsia="en-US"/>
        </w:rPr>
        <w:t>use</w:t>
      </w:r>
      <w:r w:rsidR="00694A8E">
        <w:rPr>
          <w:lang w:val="en-GB" w:eastAsia="en-US"/>
        </w:rPr>
        <w:t xml:space="preserve"> different ‘NR cells’ (idle) </w:t>
      </w:r>
      <w:r w:rsidR="003D2633">
        <w:rPr>
          <w:lang w:val="en-GB" w:eastAsia="en-US"/>
        </w:rPr>
        <w:t>or</w:t>
      </w:r>
      <w:r w:rsidR="00694A8E">
        <w:rPr>
          <w:lang w:val="en-GB" w:eastAsia="en-US"/>
        </w:rPr>
        <w:t xml:space="preserve"> ‘cells’ (connected) is largely based on the </w:t>
      </w:r>
      <w:r w:rsidR="000A2DC7">
        <w:rPr>
          <w:lang w:val="en-GB" w:eastAsia="en-US"/>
        </w:rPr>
        <w:t xml:space="preserve">network </w:t>
      </w:r>
      <w:r w:rsidR="00694A8E">
        <w:rPr>
          <w:lang w:val="en-GB" w:eastAsia="en-US"/>
        </w:rPr>
        <w:t>deployment. TRPs that are unsynchronized, connected with non-ideal backhaul and/or ha</w:t>
      </w:r>
      <w:r w:rsidR="000A2DC7">
        <w:rPr>
          <w:lang w:val="en-GB" w:eastAsia="en-US"/>
        </w:rPr>
        <w:t>ve</w:t>
      </w:r>
      <w:r w:rsidR="00694A8E">
        <w:rPr>
          <w:lang w:val="en-GB" w:eastAsia="en-US"/>
        </w:rPr>
        <w:t xml:space="preserve"> limited coordination capabilities typically need to create different cells. This</w:t>
      </w:r>
      <w:r w:rsidR="003D2633">
        <w:rPr>
          <w:lang w:val="en-GB" w:eastAsia="en-US"/>
        </w:rPr>
        <w:t xml:space="preserve"> </w:t>
      </w:r>
      <w:r w:rsidR="003D2633">
        <w:rPr>
          <w:lang w:val="en-GB" w:eastAsia="en-US"/>
        </w:rPr>
        <w:lastRenderedPageBreak/>
        <w:t>deployment-dependency</w:t>
      </w:r>
      <w:r w:rsidR="00694A8E">
        <w:rPr>
          <w:lang w:val="en-GB" w:eastAsia="en-US"/>
        </w:rPr>
        <w:t xml:space="preserve"> is valid for both idle mode ‘NR cells’ </w:t>
      </w:r>
      <w:r w:rsidR="003D2633">
        <w:rPr>
          <w:lang w:val="en-GB" w:eastAsia="en-US"/>
        </w:rPr>
        <w:t>and</w:t>
      </w:r>
      <w:r w:rsidR="00694A8E">
        <w:rPr>
          <w:lang w:val="en-GB" w:eastAsia="en-US"/>
        </w:rPr>
        <w:t xml:space="preserve"> connected mode ‘cells’. From this point of view, it is reasonable to assume that idle mode ‘NR cells’ significantly overlap with connected mode ‘cells’. On the other hand, synchronized TRPs with ideal backhaul do not have to create different </w:t>
      </w:r>
      <w:r w:rsidR="00DA4ADA">
        <w:rPr>
          <w:lang w:val="en-GB" w:eastAsia="en-US"/>
        </w:rPr>
        <w:t xml:space="preserve">idle mode ‘NR </w:t>
      </w:r>
      <w:r w:rsidR="00694A8E">
        <w:rPr>
          <w:lang w:val="en-GB" w:eastAsia="en-US"/>
        </w:rPr>
        <w:t>cells</w:t>
      </w:r>
      <w:r w:rsidR="00DA4ADA">
        <w:rPr>
          <w:lang w:val="en-GB" w:eastAsia="en-US"/>
        </w:rPr>
        <w:t>’ or connected mode ‘cells’</w:t>
      </w:r>
      <w:r w:rsidR="00694A8E">
        <w:rPr>
          <w:lang w:val="en-GB" w:eastAsia="en-US"/>
        </w:rPr>
        <w:t xml:space="preserve">. </w:t>
      </w:r>
      <w:r w:rsidR="00DA4ADA">
        <w:rPr>
          <w:lang w:val="en-GB" w:eastAsia="en-US"/>
        </w:rPr>
        <w:t>For connected-mode</w:t>
      </w:r>
      <w:r w:rsidR="00B65945">
        <w:rPr>
          <w:lang w:val="en-GB" w:eastAsia="en-US"/>
        </w:rPr>
        <w:t>, intra-cell mobility can be used</w:t>
      </w:r>
      <w:r w:rsidR="00DA4ADA">
        <w:rPr>
          <w:lang w:val="en-GB" w:eastAsia="en-US"/>
        </w:rPr>
        <w:t xml:space="preserve"> instead</w:t>
      </w:r>
      <w:r w:rsidR="00B65945">
        <w:rPr>
          <w:lang w:val="en-GB" w:eastAsia="en-US"/>
        </w:rPr>
        <w:t>.</w:t>
      </w:r>
      <w:r w:rsidR="004E6CD1">
        <w:rPr>
          <w:lang w:val="en-GB" w:eastAsia="en-US"/>
        </w:rPr>
        <w:t xml:space="preserve"> Hence, we propose the following.</w:t>
      </w:r>
    </w:p>
    <w:p w:rsidR="007132D3" w:rsidRDefault="004E6CD1" w:rsidP="007062F7">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7132D3" w:rsidRDefault="003D2633" w:rsidP="007062F7">
      <w:pPr>
        <w:adjustRightInd/>
        <w:snapToGrid w:val="0"/>
        <w:spacing w:afterLines="50" w:line="360" w:lineRule="auto"/>
        <w:jc w:val="both"/>
        <w:rPr>
          <w:lang w:val="en-GB" w:eastAsia="en-US"/>
        </w:rPr>
      </w:pPr>
      <w:r>
        <w:rPr>
          <w:lang w:val="en-GB" w:eastAsia="en-US"/>
        </w:rPr>
        <w:t xml:space="preserve">Note that the use of cells for L3 mobility does not mean that the same cell concept has be used for L1/L2 mobility. Instead, L1/L2 mobility should allow sufficient flexibility to use concepts such as virtual cells and beam groups. </w:t>
      </w:r>
    </w:p>
    <w:p w:rsidR="007132D3" w:rsidRDefault="003D2633" w:rsidP="007062F7">
      <w:pPr>
        <w:adjustRightInd/>
        <w:snapToGrid w:val="0"/>
        <w:spacing w:afterLines="50" w:line="360" w:lineRule="auto"/>
        <w:jc w:val="both"/>
        <w:rPr>
          <w:lang w:val="en-GB" w:eastAsia="en-US"/>
        </w:rPr>
      </w:pPr>
      <w:r>
        <w:rPr>
          <w:lang w:val="en-GB" w:eastAsia="en-US"/>
        </w:rPr>
        <w:t>In some scenarios, it may be motivated to let different TRPs create different cells, even though the TRPs have sufficient synchronization and coordination capabilities and connectivity to support same cell operation. At least in such scenarios</w:t>
      </w:r>
      <w:r w:rsidR="00F12491">
        <w:rPr>
          <w:lang w:val="en-GB" w:eastAsia="en-US"/>
        </w:rPr>
        <w:t>, and when the TRPs share the same MAC entity</w:t>
      </w:r>
      <w:r>
        <w:rPr>
          <w:lang w:val="en-GB" w:eastAsia="en-US"/>
        </w:rPr>
        <w:t xml:space="preserve">, it should be possible to employ L1/L2 mobility </w:t>
      </w:r>
      <w:r w:rsidR="00F12491">
        <w:rPr>
          <w:lang w:val="en-GB" w:eastAsia="en-US"/>
        </w:rPr>
        <w:t>between the TRPs, even though they serve different cells.</w:t>
      </w:r>
      <w:r w:rsidR="00B5527C">
        <w:rPr>
          <w:lang w:val="en-GB" w:eastAsia="en-US"/>
        </w:rPr>
        <w:t xml:space="preserve"> This is discussed in more detail in </w:t>
      </w:r>
      <w:fldSimple w:instr=" REF _Ref466039874 \n \h  \* MERGEFORMAT ">
        <w:r w:rsidR="007062F7" w:rsidRPr="007062F7">
          <w:rPr>
            <w:lang w:val="en-GB" w:eastAsia="en-US"/>
          </w:rPr>
          <w:t>[11]</w:t>
        </w:r>
      </w:fldSimple>
      <w:r w:rsidR="007C5E33">
        <w:rPr>
          <w:lang w:val="en-GB" w:eastAsia="en-US"/>
        </w:rPr>
        <w:t>.</w:t>
      </w:r>
    </w:p>
    <w:p w:rsidR="007132D3" w:rsidRDefault="00F12491" w:rsidP="007062F7">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9005E0" w:rsidRDefault="009005E0" w:rsidP="009005E0">
      <w:pPr>
        <w:pStyle w:val="Heading2"/>
        <w:numPr>
          <w:ilvl w:val="0"/>
          <w:numId w:val="12"/>
        </w:numPr>
      </w:pPr>
      <w:r>
        <w:t>DL Signals for Connected Mode L3 Mobility</w:t>
      </w:r>
    </w:p>
    <w:p w:rsidR="00865DE0" w:rsidRPr="00865DE0" w:rsidRDefault="00DA4ADA" w:rsidP="00865DE0">
      <w:pPr>
        <w:rPr>
          <w:lang w:val="en-GB" w:eastAsia="en-US"/>
        </w:rPr>
      </w:pPr>
      <w:r>
        <w:rPr>
          <w:lang w:val="en-GB" w:eastAsia="en-US"/>
        </w:rPr>
        <w:t>As a result</w:t>
      </w:r>
      <w:r w:rsidR="00865DE0">
        <w:rPr>
          <w:lang w:val="en-GB" w:eastAsia="en-US"/>
        </w:rPr>
        <w:t xml:space="preserve"> of Proposal 1</w:t>
      </w:r>
      <w:r w:rsidR="009C4BD7">
        <w:rPr>
          <w:lang w:val="en-GB" w:eastAsia="en-US"/>
        </w:rPr>
        <w:t>, it is reasonable to consider</w:t>
      </w:r>
      <w:r w:rsidR="004E6CD1">
        <w:rPr>
          <w:lang w:val="en-GB" w:eastAsia="en-US"/>
        </w:rPr>
        <w:t xml:space="preserve"> the DL signals used for idle mode</w:t>
      </w:r>
      <w:r w:rsidR="009C4BD7">
        <w:rPr>
          <w:lang w:val="en-GB" w:eastAsia="en-US"/>
        </w:rPr>
        <w:t xml:space="preserve"> </w:t>
      </w:r>
      <w:r w:rsidR="004E6CD1">
        <w:rPr>
          <w:lang w:val="en-GB" w:eastAsia="en-US"/>
        </w:rPr>
        <w:t xml:space="preserve">RRM measurements also for connected mode RRM measurements. As discussed in the companion contribution </w:t>
      </w:r>
      <w:r w:rsidR="007132D3">
        <w:rPr>
          <w:lang w:val="en-GB" w:eastAsia="en-US"/>
        </w:rPr>
        <w:fldChar w:fldCharType="begin"/>
      </w:r>
      <w:r w:rsidR="004E6CD1">
        <w:rPr>
          <w:lang w:val="en-GB" w:eastAsia="en-US"/>
        </w:rPr>
        <w:instrText xml:space="preserve"> REF _Ref465689494 \r \h </w:instrText>
      </w:r>
      <w:r w:rsidR="007132D3">
        <w:rPr>
          <w:lang w:val="en-GB" w:eastAsia="en-US"/>
        </w:rPr>
      </w:r>
      <w:r w:rsidR="007132D3">
        <w:rPr>
          <w:lang w:val="en-GB" w:eastAsia="en-US"/>
        </w:rPr>
        <w:fldChar w:fldCharType="separate"/>
      </w:r>
      <w:r w:rsidR="007062F7">
        <w:rPr>
          <w:lang w:val="en-GB" w:eastAsia="en-US"/>
        </w:rPr>
        <w:t>[7]</w:t>
      </w:r>
      <w:r w:rsidR="007132D3">
        <w:rPr>
          <w:lang w:val="en-GB" w:eastAsia="en-US"/>
        </w:rPr>
        <w:fldChar w:fldCharType="end"/>
      </w:r>
      <w:r w:rsidR="004E6CD1">
        <w:rPr>
          <w:lang w:val="en-GB" w:eastAsia="en-US"/>
        </w:rPr>
        <w:t xml:space="preserve">, </w:t>
      </w:r>
      <w:r w:rsidR="004375F4">
        <w:rPr>
          <w:lang w:val="en-GB" w:eastAsia="en-US"/>
        </w:rPr>
        <w:t>the amount of DL signals used for idle mode RRM measurements should be minimized, in order to reduce network power consumption and interference. Candidate signals</w:t>
      </w:r>
      <w:r>
        <w:rPr>
          <w:lang w:val="en-GB" w:eastAsia="en-US"/>
        </w:rPr>
        <w:t xml:space="preserve"> for idle mode RRM measurements</w:t>
      </w:r>
      <w:r w:rsidR="004375F4">
        <w:rPr>
          <w:lang w:val="en-GB" w:eastAsia="en-US"/>
        </w:rPr>
        <w:t xml:space="preserve"> include NR-SS and an additional mobility-RS, that are transmitted sparsely to just meet the requirements for idle mode UEs. </w:t>
      </w:r>
      <w:r w:rsidR="00865DE0">
        <w:rPr>
          <w:lang w:eastAsia="en-US"/>
        </w:rPr>
        <w:t>In order to support connected mode detection and RRM measurement of cells that only transmit these sparse always-on signals, also connected-mode RRM measurements and reporting based on the signals used by idle mode UEs should be supported.</w:t>
      </w:r>
    </w:p>
    <w:p w:rsidR="00865DE0" w:rsidRDefault="00865DE0"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3</w:t>
      </w:r>
      <w:r w:rsidRPr="00910DF5">
        <w:rPr>
          <w:b/>
          <w:i/>
        </w:rPr>
        <w:t>:</w:t>
      </w:r>
      <w:r w:rsidRPr="00910DF5">
        <w:rPr>
          <w:rFonts w:hint="eastAsia"/>
          <w:b/>
          <w:i/>
        </w:rPr>
        <w:t xml:space="preserve"> </w:t>
      </w:r>
      <w:r>
        <w:rPr>
          <w:b/>
          <w:i/>
        </w:rPr>
        <w:t>NR supports connected mode cell-level RRM measurements and reporting based on always-on signals used for idle mode mobility.</w:t>
      </w:r>
    </w:p>
    <w:p w:rsidR="009C4BD7" w:rsidRDefault="00A7473A" w:rsidP="009345A5">
      <w:pPr>
        <w:rPr>
          <w:lang w:val="en-GB" w:eastAsia="en-US"/>
        </w:rPr>
      </w:pPr>
      <w:r>
        <w:rPr>
          <w:lang w:eastAsia="en-US"/>
        </w:rPr>
        <w:t xml:space="preserve">Various schemes to translate measurements on multiple SS blocks into a cell-level quantity could be further considered, for example the alternatives listed in Table 1 in </w:t>
      </w:r>
      <w:r w:rsidR="007132D3">
        <w:rPr>
          <w:lang w:eastAsia="en-US"/>
        </w:rPr>
        <w:fldChar w:fldCharType="begin"/>
      </w:r>
      <w:r>
        <w:rPr>
          <w:lang w:eastAsia="en-US"/>
        </w:rPr>
        <w:instrText xml:space="preserve"> REF _Ref465692501 \n \h </w:instrText>
      </w:r>
      <w:r w:rsidR="007132D3">
        <w:rPr>
          <w:lang w:eastAsia="en-US"/>
        </w:rPr>
      </w:r>
      <w:r w:rsidR="007132D3">
        <w:rPr>
          <w:lang w:eastAsia="en-US"/>
        </w:rPr>
        <w:fldChar w:fldCharType="separate"/>
      </w:r>
      <w:r w:rsidR="007062F7">
        <w:rPr>
          <w:lang w:eastAsia="en-US"/>
        </w:rPr>
        <w:t>[9]</w:t>
      </w:r>
      <w:r w:rsidR="007132D3">
        <w:rPr>
          <w:lang w:eastAsia="en-US"/>
        </w:rPr>
        <w:fldChar w:fldCharType="end"/>
      </w:r>
      <w:r>
        <w:rPr>
          <w:lang w:eastAsia="en-US"/>
        </w:rPr>
        <w:t xml:space="preserve">. </w:t>
      </w:r>
      <w:r w:rsidR="00865DE0">
        <w:rPr>
          <w:lang w:val="en-GB" w:eastAsia="en-US"/>
        </w:rPr>
        <w:t>However</w:t>
      </w:r>
      <w:r w:rsidR="004375F4">
        <w:rPr>
          <w:lang w:val="en-GB" w:eastAsia="en-US"/>
        </w:rPr>
        <w:t xml:space="preserve">, these </w:t>
      </w:r>
      <w:r w:rsidR="00865DE0">
        <w:rPr>
          <w:lang w:val="en-GB" w:eastAsia="en-US"/>
        </w:rPr>
        <w:t xml:space="preserve">sparsely transmitted </w:t>
      </w:r>
      <w:r w:rsidR="004375F4">
        <w:rPr>
          <w:lang w:val="en-GB" w:eastAsia="en-US"/>
        </w:rPr>
        <w:t>signals are probably not sufficient for meeting connected mode RRM measurement requirements</w:t>
      </w:r>
      <w:r w:rsidR="00865DE0">
        <w:rPr>
          <w:lang w:val="en-GB" w:eastAsia="en-US"/>
        </w:rPr>
        <w:t>, in particular for handover between cells</w:t>
      </w:r>
      <w:r w:rsidR="004375F4">
        <w:rPr>
          <w:lang w:val="en-GB" w:eastAsia="en-US"/>
        </w:rPr>
        <w:t>.</w:t>
      </w:r>
      <w:r w:rsidR="006F0F9F">
        <w:rPr>
          <w:lang w:val="en-GB" w:eastAsia="en-US"/>
        </w:rPr>
        <w:t xml:space="preserve"> </w:t>
      </w:r>
      <w:r w:rsidR="00865DE0">
        <w:rPr>
          <w:lang w:val="en-GB" w:eastAsia="en-US"/>
        </w:rPr>
        <w:t xml:space="preserve">One way to achieve this is to simply transmit the signals for idle mode mobility more frequently. Even though it is a simple solution, it may not be the most efficient. Instead, </w:t>
      </w:r>
      <w:r w:rsidR="003B0808">
        <w:rPr>
          <w:lang w:val="en-GB" w:eastAsia="en-US"/>
        </w:rPr>
        <w:t>the reuse of R</w:t>
      </w:r>
      <w:r w:rsidR="00CC024C">
        <w:rPr>
          <w:lang w:val="en-GB" w:eastAsia="en-US"/>
        </w:rPr>
        <w:t xml:space="preserve">S for L1/L2 mobility </w:t>
      </w:r>
      <w:r w:rsidR="003B0808">
        <w:rPr>
          <w:lang w:val="en-GB" w:eastAsia="en-US"/>
        </w:rPr>
        <w:t xml:space="preserve">for </w:t>
      </w:r>
      <w:r w:rsidR="00CC024C">
        <w:rPr>
          <w:lang w:val="en-GB" w:eastAsia="en-US"/>
        </w:rPr>
        <w:t xml:space="preserve">L3 mobility should be considered. In </w:t>
      </w:r>
      <w:r w:rsidR="007132D3">
        <w:rPr>
          <w:lang w:val="en-GB" w:eastAsia="en-US"/>
        </w:rPr>
        <w:fldChar w:fldCharType="begin"/>
      </w:r>
      <w:r w:rsidR="003B0808">
        <w:rPr>
          <w:lang w:val="en-GB" w:eastAsia="en-US"/>
        </w:rPr>
        <w:instrText xml:space="preserve"> REF _Ref465860079 \r \h </w:instrText>
      </w:r>
      <w:r w:rsidR="007132D3">
        <w:rPr>
          <w:lang w:val="en-GB" w:eastAsia="en-US"/>
        </w:rPr>
      </w:r>
      <w:r w:rsidR="007132D3">
        <w:rPr>
          <w:lang w:val="en-GB" w:eastAsia="en-US"/>
        </w:rPr>
        <w:fldChar w:fldCharType="separate"/>
      </w:r>
      <w:r w:rsidR="007062F7">
        <w:rPr>
          <w:lang w:val="en-GB" w:eastAsia="en-US"/>
        </w:rPr>
        <w:t>[8]</w:t>
      </w:r>
      <w:r w:rsidR="007132D3">
        <w:rPr>
          <w:lang w:val="en-GB" w:eastAsia="en-US"/>
        </w:rPr>
        <w:fldChar w:fldCharType="end"/>
      </w:r>
      <w:r w:rsidR="003B0808">
        <w:rPr>
          <w:lang w:val="en-GB" w:eastAsia="en-US"/>
        </w:rPr>
        <w:t xml:space="preserve">, we propose a multi-level RS design for NR, where the first-level </w:t>
      </w:r>
      <w:r w:rsidR="00532A42">
        <w:rPr>
          <w:lang w:val="en-GB" w:eastAsia="en-US"/>
        </w:rPr>
        <w:t>periodic/</w:t>
      </w:r>
      <w:r w:rsidR="003B0808">
        <w:rPr>
          <w:lang w:val="en-GB" w:eastAsia="en-US"/>
        </w:rPr>
        <w:t xml:space="preserve">multi-shot RS is used for measuring large-scale channel properties such as RSRP. </w:t>
      </w:r>
      <w:r w:rsidR="00532A42">
        <w:rPr>
          <w:lang w:val="en-GB" w:eastAsia="en-US"/>
        </w:rPr>
        <w:t xml:space="preserve">Such measurements could form the base also for L3 mobility. </w:t>
      </w:r>
      <w:r w:rsidR="005C37EF">
        <w:rPr>
          <w:lang w:val="en-GB" w:eastAsia="en-US"/>
        </w:rPr>
        <w:t>However, the beam-level  measurement results</w:t>
      </w:r>
      <w:r w:rsidR="00E4405C">
        <w:rPr>
          <w:lang w:val="en-GB" w:eastAsia="en-US"/>
        </w:rPr>
        <w:t xml:space="preserve"> based on first-level RS</w:t>
      </w:r>
      <w:r w:rsidR="00532A42">
        <w:rPr>
          <w:lang w:val="en-GB" w:eastAsia="en-US"/>
        </w:rPr>
        <w:t xml:space="preserve"> </w:t>
      </w:r>
      <w:r w:rsidR="00532A42">
        <w:rPr>
          <w:lang w:val="en-GB" w:eastAsia="en-US"/>
        </w:rPr>
        <w:lastRenderedPageBreak/>
        <w:t>available in L1/L2</w:t>
      </w:r>
      <w:r w:rsidR="005C37EF">
        <w:rPr>
          <w:lang w:val="en-GB" w:eastAsia="en-US"/>
        </w:rPr>
        <w:t xml:space="preserve"> </w:t>
      </w:r>
      <w:r w:rsidR="00532A42">
        <w:rPr>
          <w:lang w:val="en-GB" w:eastAsia="en-US"/>
        </w:rPr>
        <w:t xml:space="preserve">at the network side may </w:t>
      </w:r>
      <w:r w:rsidR="005C37EF">
        <w:rPr>
          <w:lang w:val="en-GB" w:eastAsia="en-US"/>
        </w:rPr>
        <w:t xml:space="preserve">need to be translated into a cell-level quantity, as discussed in detail in </w:t>
      </w:r>
      <w:r w:rsidR="007132D3">
        <w:rPr>
          <w:lang w:val="en-GB" w:eastAsia="en-US"/>
        </w:rPr>
        <w:fldChar w:fldCharType="begin"/>
      </w:r>
      <w:r w:rsidR="005C37EF">
        <w:rPr>
          <w:lang w:val="en-GB" w:eastAsia="en-US"/>
        </w:rPr>
        <w:instrText xml:space="preserve"> REF _Ref465692501 \r \h </w:instrText>
      </w:r>
      <w:r w:rsidR="007132D3">
        <w:rPr>
          <w:lang w:val="en-GB" w:eastAsia="en-US"/>
        </w:rPr>
      </w:r>
      <w:r w:rsidR="007132D3">
        <w:rPr>
          <w:lang w:val="en-GB" w:eastAsia="en-US"/>
        </w:rPr>
        <w:fldChar w:fldCharType="separate"/>
      </w:r>
      <w:r w:rsidR="007062F7">
        <w:rPr>
          <w:lang w:val="en-GB" w:eastAsia="en-US"/>
        </w:rPr>
        <w:t>[9]</w:t>
      </w:r>
      <w:r w:rsidR="007132D3">
        <w:rPr>
          <w:lang w:val="en-GB" w:eastAsia="en-US"/>
        </w:rPr>
        <w:fldChar w:fldCharType="end"/>
      </w:r>
      <w:r w:rsidR="005C37EF">
        <w:rPr>
          <w:lang w:val="en-GB" w:eastAsia="en-US"/>
        </w:rPr>
        <w:t xml:space="preserve">. </w:t>
      </w:r>
      <w:r w:rsidR="009A1C7D">
        <w:rPr>
          <w:lang w:val="en-GB" w:eastAsia="en-US"/>
        </w:rPr>
        <w:t xml:space="preserve">Also </w:t>
      </w:r>
      <w:r w:rsidR="00AD3030">
        <w:rPr>
          <w:lang w:val="en-GB" w:eastAsia="en-US"/>
        </w:rPr>
        <w:t xml:space="preserve">the </w:t>
      </w:r>
      <w:r w:rsidR="00532A42">
        <w:rPr>
          <w:lang w:val="en-GB" w:eastAsia="en-US"/>
        </w:rPr>
        <w:t>translation into</w:t>
      </w:r>
      <w:r w:rsidR="009A1C7D">
        <w:rPr>
          <w:lang w:val="en-GB" w:eastAsia="en-US"/>
        </w:rPr>
        <w:t xml:space="preserve"> a cell-level quantity based on beam-level measurements </w:t>
      </w:r>
      <w:r w:rsidR="00532A42">
        <w:rPr>
          <w:lang w:val="en-GB" w:eastAsia="en-US"/>
        </w:rPr>
        <w:t xml:space="preserve">at the UE side, with a corresponding cell-level measurement report </w:t>
      </w:r>
      <w:r w:rsidR="009A1C7D">
        <w:rPr>
          <w:lang w:val="en-GB" w:eastAsia="en-US"/>
        </w:rPr>
        <w:t>could be considered.</w:t>
      </w:r>
    </w:p>
    <w:p w:rsidR="007132D3" w:rsidRDefault="00DB1E11"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4</w:t>
      </w:r>
      <w:r w:rsidRPr="00910DF5">
        <w:rPr>
          <w:b/>
          <w:i/>
        </w:rPr>
        <w:t>:</w:t>
      </w:r>
      <w:r w:rsidRPr="00910DF5">
        <w:rPr>
          <w:rFonts w:hint="eastAsia"/>
          <w:b/>
          <w:i/>
        </w:rPr>
        <w:t xml:space="preserve"> </w:t>
      </w:r>
      <w:r>
        <w:rPr>
          <w:b/>
          <w:i/>
        </w:rPr>
        <w:t>NR supports connected mode L3 mobility based on RRM measurements on RS</w:t>
      </w:r>
      <w:r w:rsidR="000F2AB2">
        <w:rPr>
          <w:b/>
          <w:i/>
        </w:rPr>
        <w:t xml:space="preserve"> (e.g. a first-level RS)</w:t>
      </w:r>
      <w:r>
        <w:rPr>
          <w:b/>
          <w:i/>
        </w:rPr>
        <w:t xml:space="preserve"> defined in the L1/L2 beam management framework.</w:t>
      </w:r>
    </w:p>
    <w:p w:rsidR="007132D3" w:rsidRDefault="00D849D4"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5</w:t>
      </w:r>
      <w:r w:rsidRPr="00910DF5">
        <w:rPr>
          <w:b/>
          <w:i/>
        </w:rPr>
        <w:t>:</w:t>
      </w:r>
      <w:r w:rsidRPr="00910DF5">
        <w:rPr>
          <w:rFonts w:hint="eastAsia"/>
          <w:b/>
          <w:i/>
        </w:rPr>
        <w:t xml:space="preserve"> </w:t>
      </w:r>
      <w:r>
        <w:rPr>
          <w:b/>
          <w:i/>
        </w:rPr>
        <w:t>RAN1 studies the translation of beam-level measurement results into a cell-level quantity, to be used for L3 mobility.</w:t>
      </w:r>
    </w:p>
    <w:p w:rsidR="003126CC" w:rsidRDefault="003126CC" w:rsidP="009345A5">
      <w:pPr>
        <w:rPr>
          <w:lang w:eastAsia="en-US"/>
        </w:rPr>
      </w:pPr>
      <w:r>
        <w:rPr>
          <w:lang w:eastAsia="en-US"/>
        </w:rPr>
        <w:t>In other words, connected mode L3 mobility is based on two levels of RRM measurements:</w:t>
      </w:r>
    </w:p>
    <w:p w:rsidR="003126CC" w:rsidRDefault="003126CC" w:rsidP="003126CC">
      <w:pPr>
        <w:pStyle w:val="ListParagraph"/>
        <w:numPr>
          <w:ilvl w:val="0"/>
          <w:numId w:val="19"/>
        </w:numPr>
        <w:ind w:firstLineChars="0"/>
        <w:rPr>
          <w:lang w:eastAsia="en-US"/>
        </w:rPr>
      </w:pPr>
      <w:r>
        <w:rPr>
          <w:lang w:eastAsia="en-US"/>
        </w:rPr>
        <w:t>RRM measurements on signals used for idle mode mobility – discovery of cells that only transmit always-on signals</w:t>
      </w:r>
    </w:p>
    <w:p w:rsidR="003126CC" w:rsidRDefault="003126CC" w:rsidP="003126CC">
      <w:pPr>
        <w:pStyle w:val="ListParagraph"/>
        <w:numPr>
          <w:ilvl w:val="0"/>
          <w:numId w:val="19"/>
        </w:numPr>
        <w:ind w:firstLineChars="0"/>
        <w:rPr>
          <w:lang w:eastAsia="en-US"/>
        </w:rPr>
      </w:pPr>
      <w:r>
        <w:rPr>
          <w:lang w:eastAsia="en-US"/>
        </w:rPr>
        <w:t>RRM measurement</w:t>
      </w:r>
      <w:r w:rsidR="00532A42">
        <w:rPr>
          <w:lang w:eastAsia="en-US"/>
        </w:rPr>
        <w:t>s</w:t>
      </w:r>
      <w:r>
        <w:rPr>
          <w:lang w:eastAsia="en-US"/>
        </w:rPr>
        <w:t xml:space="preserve"> on RS defined in the L1/L2 beam management framework – providing sufficient accuracy for connected-mode L3 mobility</w:t>
      </w:r>
    </w:p>
    <w:p w:rsidR="00247F79" w:rsidRDefault="00247F79" w:rsidP="009345A5">
      <w:pPr>
        <w:rPr>
          <w:rFonts w:eastAsia="MS Mincho"/>
          <w:lang w:eastAsia="ja-JP"/>
        </w:rPr>
      </w:pPr>
      <w:r>
        <w:rPr>
          <w:lang w:eastAsia="en-US"/>
        </w:rPr>
        <w:t xml:space="preserve">This means that we propose to adopt “Option </w:t>
      </w:r>
      <w:r w:rsidRPr="00AE4560">
        <w:rPr>
          <w:rFonts w:eastAsia="MS Mincho"/>
          <w:lang w:eastAsia="ja-JP"/>
        </w:rPr>
        <w:t>4: A combination of option 1 and 2</w:t>
      </w:r>
      <w:r>
        <w:rPr>
          <w:rFonts w:eastAsia="MS Mincho"/>
          <w:lang w:eastAsia="ja-JP"/>
        </w:rPr>
        <w:t>”.</w:t>
      </w:r>
    </w:p>
    <w:p w:rsidR="007132D3" w:rsidRDefault="00247F79"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6</w:t>
      </w:r>
      <w:r w:rsidRPr="00910DF5">
        <w:rPr>
          <w:b/>
          <w:i/>
        </w:rPr>
        <w:t>:</w:t>
      </w:r>
      <w:r w:rsidRPr="00910DF5">
        <w:rPr>
          <w:rFonts w:hint="eastAsia"/>
          <w:b/>
          <w:i/>
        </w:rPr>
        <w:t xml:space="preserve"> </w:t>
      </w:r>
      <w:r>
        <w:rPr>
          <w:b/>
          <w:i/>
        </w:rPr>
        <w:t xml:space="preserve">DL signals for connected mode RRM measurements are based on </w:t>
      </w:r>
      <w:r w:rsidR="00930CFC">
        <w:rPr>
          <w:b/>
          <w:i/>
        </w:rPr>
        <w:t>O</w:t>
      </w:r>
      <w:r>
        <w:rPr>
          <w:b/>
          <w:i/>
        </w:rPr>
        <w:t>ption 4 (</w:t>
      </w:r>
      <w:r w:rsidRPr="00247F79">
        <w:rPr>
          <w:b/>
          <w:i/>
        </w:rPr>
        <w:t>A combination of option 1 and 2</w:t>
      </w:r>
      <w:r>
        <w:rPr>
          <w:b/>
          <w:i/>
        </w:rPr>
        <w:t>).</w:t>
      </w:r>
    </w:p>
    <w:p w:rsidR="00F2040B" w:rsidRDefault="00F2040B" w:rsidP="00F2040B">
      <w:pPr>
        <w:pStyle w:val="Heading2"/>
        <w:numPr>
          <w:ilvl w:val="0"/>
          <w:numId w:val="12"/>
        </w:numPr>
      </w:pPr>
      <w:r>
        <w:t>Triggering of Denser DL Signals Transmission for Connected Mode L3 Mobility</w:t>
      </w:r>
    </w:p>
    <w:p w:rsidR="003126CC" w:rsidRDefault="00F2040B" w:rsidP="009345A5">
      <w:pPr>
        <w:rPr>
          <w:lang w:eastAsia="en-US"/>
        </w:rPr>
      </w:pPr>
      <w:r>
        <w:rPr>
          <w:lang w:eastAsia="en-US"/>
        </w:rPr>
        <w:t>Standalone cells that do not serve any connected UE should be able to transmit only the sparse always-on signals. Such cells will be discoverable and measurable by connected UEs in neighbor cells. However, these sparse signals may not be sufficient for connected mode mobility, as discussed above. Therefore, it would be useful for a</w:t>
      </w:r>
      <w:r w:rsidR="003126CC">
        <w:rPr>
          <w:lang w:eastAsia="en-US"/>
        </w:rPr>
        <w:t xml:space="preserve"> serving </w:t>
      </w:r>
      <w:r w:rsidR="009005E0">
        <w:rPr>
          <w:lang w:eastAsia="en-US"/>
        </w:rPr>
        <w:t>gNB</w:t>
      </w:r>
      <w:r w:rsidR="003126CC">
        <w:rPr>
          <w:lang w:eastAsia="en-US"/>
        </w:rPr>
        <w:t xml:space="preserve"> </w:t>
      </w:r>
      <w:r>
        <w:rPr>
          <w:lang w:eastAsia="en-US"/>
        </w:rPr>
        <w:t>to</w:t>
      </w:r>
      <w:r w:rsidR="003126CC">
        <w:rPr>
          <w:lang w:eastAsia="en-US"/>
        </w:rPr>
        <w:t xml:space="preserve"> be able to request a candidate cell to turn on the more dense RS, for example </w:t>
      </w:r>
      <w:r w:rsidR="009005E0">
        <w:rPr>
          <w:lang w:eastAsia="en-US"/>
        </w:rPr>
        <w:t>as part of handover preparation, in order to enable higher-accuracy RRM measurements for connected mode.</w:t>
      </w:r>
    </w:p>
    <w:p w:rsidR="009005E0" w:rsidRDefault="009005E0"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sidR="00247F79">
        <w:rPr>
          <w:b/>
          <w:i/>
        </w:rPr>
        <w:t>6</w:t>
      </w:r>
      <w:r w:rsidRPr="00910DF5">
        <w:rPr>
          <w:b/>
          <w:i/>
        </w:rPr>
        <w:t>:</w:t>
      </w:r>
      <w:r w:rsidRPr="00910DF5">
        <w:rPr>
          <w:rFonts w:hint="eastAsia"/>
          <w:b/>
          <w:i/>
        </w:rPr>
        <w:t xml:space="preserve"> </w:t>
      </w:r>
      <w:r>
        <w:rPr>
          <w:b/>
          <w:i/>
        </w:rPr>
        <w:t xml:space="preserve">A serving gNB can request a candidate cell to turn on </w:t>
      </w:r>
      <w:r w:rsidR="00F2040B">
        <w:rPr>
          <w:b/>
          <w:i/>
        </w:rPr>
        <w:t xml:space="preserve">dense </w:t>
      </w:r>
      <w:r>
        <w:rPr>
          <w:b/>
          <w:i/>
        </w:rPr>
        <w:t>RS for mobility, for example as part of handover preparation.</w:t>
      </w:r>
    </w:p>
    <w:p w:rsidR="00F2040B" w:rsidRDefault="00F2040B" w:rsidP="007062F7">
      <w:pPr>
        <w:adjustRightInd/>
        <w:snapToGrid w:val="0"/>
        <w:spacing w:before="240" w:afterLines="50" w:line="360" w:lineRule="auto"/>
        <w:jc w:val="both"/>
        <w:rPr>
          <w:lang w:eastAsia="en-US"/>
        </w:rPr>
      </w:pPr>
      <w:r>
        <w:rPr>
          <w:lang w:eastAsia="en-US"/>
        </w:rPr>
        <w:t xml:space="preserve">Alternatively, the dense RS transmission can be triggered by UL signal measurements, even without standard support of UL mobility. This is illustrated in </w:t>
      </w:r>
      <w:fldSimple w:instr=" REF _Ref465862007 \h  \* MERGEFORMAT ">
        <w:r w:rsidR="007062F7">
          <w:t xml:space="preserve">Figure </w:t>
        </w:r>
        <w:r w:rsidR="007062F7">
          <w:rPr>
            <w:noProof/>
          </w:rPr>
          <w:t>1</w:t>
        </w:r>
      </w:fldSimple>
      <w:r w:rsidR="006D3FDD">
        <w:rPr>
          <w:lang w:eastAsia="en-US"/>
        </w:rPr>
        <w:t>, in which there is a single connected UE in a cell. The two closest candidate cells have turned on denser transmission of RS for L3 mobility. The other cells (dashed) only transmit the sparse always-on signals, which enables support for idle mode UEs. It also makes the cells discoverable and measureable for the connected mode UE.</w:t>
      </w:r>
      <w:r w:rsidR="00E32ACC">
        <w:rPr>
          <w:lang w:eastAsia="en-US"/>
        </w:rPr>
        <w:t xml:space="preserve"> Additionally, the triggering of RS for beam management and RRM measurement by a preamble during initial access could be considered, in order to allow fine beam searching before RRC connection is established . </w:t>
      </w:r>
    </w:p>
    <w:p w:rsidR="007132D3" w:rsidRDefault="00C74F47" w:rsidP="007062F7">
      <w:pPr>
        <w:adjustRightInd/>
        <w:snapToGrid w:val="0"/>
        <w:spacing w:before="240" w:afterLines="50" w:line="276" w:lineRule="auto"/>
        <w:jc w:val="both"/>
        <w:rPr>
          <w:b/>
        </w:rPr>
      </w:pPr>
      <w:r>
        <w:rPr>
          <w:b/>
          <w:noProof/>
          <w:lang w:eastAsia="en-US"/>
        </w:rPr>
        <w:lastRenderedPageBreak/>
        <w:drawing>
          <wp:inline distT="0" distB="0" distL="0" distR="0">
            <wp:extent cx="5731510" cy="2520865"/>
            <wp:effectExtent l="19050" t="0" r="254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554200" cy="6400800"/>
                      <a:chOff x="-4343400" y="381000"/>
                      <a:chExt cx="14554200" cy="6400800"/>
                    </a:xfrm>
                  </a:grpSpPr>
                  <a:grpSp>
                    <a:nvGrpSpPr>
                      <a:cNvPr id="3" name="Group 62"/>
                      <a:cNvGrpSpPr/>
                    </a:nvGrpSpPr>
                    <a:grpSpPr>
                      <a:xfrm>
                        <a:off x="4314324" y="4191000"/>
                        <a:ext cx="1095877" cy="1270575"/>
                        <a:chOff x="3776836" y="3505200"/>
                        <a:chExt cx="85740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76836" y="4191000"/>
                          <a:ext cx="8574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3284810"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Sparse always-on signals</a:t>
                          </a:r>
                        </a:p>
                        <a:p>
                          <a:pPr marL="342900" indent="-342900">
                            <a:buAutoNum type="arabicParenR"/>
                          </a:pPr>
                          <a:r>
                            <a:rPr lang="sv-SE" smtClean="0"/>
                            <a:t>Denser signals for L3 mobility</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343400" y="3886200"/>
                        <a:ext cx="2821478"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Sparse always-on signals</a:t>
                          </a:r>
                        </a:p>
                      </a:txBody>
                      <a:useSpRect/>
                    </a:txSp>
                  </a:sp>
                  <a:cxnSp>
                    <a:nvCxnSpPr>
                      <a:cNvPr id="27" name="Straight Arrow Connector 26"/>
                      <a:cNvCxnSpPr>
                        <a:stCxn id="25" idx="3"/>
                      </a:cNvCxnSpPr>
                    </a:nvCxnSpPr>
                    <a:spPr>
                      <a:xfrm>
                        <a:off x="-1521922" y="4209366"/>
                        <a:ext cx="378922" cy="1340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1521922" y="3733800"/>
                        <a:ext cx="302722" cy="4755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84B28" w:rsidRDefault="006D3FDD" w:rsidP="002525F2">
      <w:pPr>
        <w:pStyle w:val="Caption"/>
        <w:spacing w:after="156"/>
        <w:jc w:val="center"/>
        <w:rPr>
          <w:b w:val="0"/>
        </w:rPr>
      </w:pPr>
      <w:bookmarkStart w:id="2" w:name="_Ref465862007"/>
      <w:r>
        <w:t xml:space="preserve">Figure </w:t>
      </w:r>
      <w:r w:rsidR="007132D3">
        <w:fldChar w:fldCharType="begin"/>
      </w:r>
      <w:r>
        <w:instrText xml:space="preserve"> SEQ Figure \* ARABIC </w:instrText>
      </w:r>
      <w:r w:rsidR="007132D3">
        <w:fldChar w:fldCharType="separate"/>
      </w:r>
      <w:r w:rsidR="007062F7">
        <w:rPr>
          <w:noProof/>
        </w:rPr>
        <w:t>1</w:t>
      </w:r>
      <w:r w:rsidR="007132D3">
        <w:fldChar w:fldCharType="end"/>
      </w:r>
      <w:bookmarkEnd w:id="2"/>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CC2AB5" w:rsidRDefault="00CC2AB5" w:rsidP="007062F7">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CC2AB5" w:rsidRDefault="00CC2AB5" w:rsidP="007062F7">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CC2AB5" w:rsidRDefault="00CC2AB5"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NR supports connected mode cell-level RRM measurements and reporting based on always-on signals used for idle mode mobility.</w:t>
      </w:r>
    </w:p>
    <w:p w:rsidR="00CC2AB5" w:rsidRDefault="00CC2AB5"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4</w:t>
      </w:r>
      <w:r w:rsidRPr="00910DF5">
        <w:rPr>
          <w:b/>
          <w:i/>
        </w:rPr>
        <w:t>:</w:t>
      </w:r>
      <w:r w:rsidRPr="00910DF5">
        <w:rPr>
          <w:rFonts w:hint="eastAsia"/>
          <w:b/>
          <w:i/>
        </w:rPr>
        <w:t xml:space="preserve"> </w:t>
      </w:r>
      <w:r>
        <w:rPr>
          <w:b/>
          <w:i/>
        </w:rPr>
        <w:t>NR supports connected mode L3 mobility based on RRM measurements on RS (e.g. a first-level RS) defined in the L1/L2 beam management framework.</w:t>
      </w:r>
    </w:p>
    <w:p w:rsidR="00CC2AB5" w:rsidRDefault="00CC2AB5"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RAN1 studies the translation of beam-level measurement results into a cell-level quantity, to be used for L3 mobility.</w:t>
      </w:r>
    </w:p>
    <w:p w:rsidR="00CC2AB5" w:rsidRPr="00CC2AB5" w:rsidRDefault="00CC2AB5" w:rsidP="007062F7">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6</w:t>
      </w:r>
      <w:r w:rsidRPr="00910DF5">
        <w:rPr>
          <w:b/>
          <w:i/>
        </w:rPr>
        <w:t>:</w:t>
      </w:r>
      <w:r w:rsidRPr="00910DF5">
        <w:rPr>
          <w:rFonts w:hint="eastAsia"/>
          <w:b/>
          <w:i/>
        </w:rPr>
        <w:t xml:space="preserve"> </w:t>
      </w:r>
      <w:r>
        <w:rPr>
          <w:b/>
          <w:i/>
        </w:rPr>
        <w:t>A serving gNB can request a candidate cell to turn on dense RS for mobility, for example as part of handover preparation.</w:t>
      </w:r>
    </w:p>
    <w:p w:rsidR="00A569A4" w:rsidRDefault="00A569A4" w:rsidP="00F1510A">
      <w:pPr>
        <w:pStyle w:val="Heading2"/>
        <w:rPr>
          <w:b/>
        </w:rPr>
      </w:pPr>
      <w:r>
        <w:t>References</w:t>
      </w:r>
    </w:p>
    <w:p w:rsidR="009E555F" w:rsidRDefault="00AB0FB3" w:rsidP="00FC35D7">
      <w:pPr>
        <w:pStyle w:val="ListParagraph"/>
        <w:numPr>
          <w:ilvl w:val="0"/>
          <w:numId w:val="11"/>
        </w:numPr>
        <w:ind w:left="426" w:firstLineChars="0"/>
        <w:jc w:val="both"/>
        <w:rPr>
          <w:iCs/>
          <w:szCs w:val="20"/>
        </w:rPr>
      </w:pPr>
      <w:bookmarkStart w:id="3" w:name="_Ref462778606"/>
      <w:bookmarkStart w:id="4" w:name="OLE_LINK3"/>
      <w:bookmarkStart w:id="5" w:name="OLE_LINK4"/>
      <w:bookmarkStart w:id="6" w:name="_Ref449620942"/>
      <w:r>
        <w:t>RAN2#9</w:t>
      </w:r>
      <w:r w:rsidR="00892A32">
        <w:t>4</w:t>
      </w:r>
      <w:r>
        <w:t xml:space="preserve"> Chairman’s notes</w:t>
      </w:r>
      <w:bookmarkEnd w:id="3"/>
    </w:p>
    <w:p w:rsidR="00AB0FB3" w:rsidRPr="00B44E9F" w:rsidRDefault="00AB0FB3" w:rsidP="00FC35D7">
      <w:pPr>
        <w:pStyle w:val="ListParagraph"/>
        <w:numPr>
          <w:ilvl w:val="0"/>
          <w:numId w:val="11"/>
        </w:numPr>
        <w:ind w:left="426" w:firstLineChars="0"/>
        <w:rPr>
          <w:iCs/>
          <w:szCs w:val="20"/>
        </w:rPr>
      </w:pPr>
      <w:bookmarkStart w:id="7" w:name="_Ref462778614"/>
      <w:bookmarkEnd w:id="4"/>
      <w:bookmarkEnd w:id="5"/>
      <w:r>
        <w:t>RAN2#95</w:t>
      </w:r>
      <w:r w:rsidR="009B4D79">
        <w:t>b</w:t>
      </w:r>
      <w:r>
        <w:t xml:space="preserve"> Chairman’s notes</w:t>
      </w:r>
      <w:bookmarkEnd w:id="7"/>
    </w:p>
    <w:p w:rsidR="00B44E9F" w:rsidRDefault="00B44E9F" w:rsidP="00FC35D7">
      <w:pPr>
        <w:pStyle w:val="ListParagraph"/>
        <w:numPr>
          <w:ilvl w:val="0"/>
          <w:numId w:val="11"/>
        </w:numPr>
        <w:ind w:left="426" w:firstLineChars="0"/>
        <w:rPr>
          <w:iCs/>
          <w:szCs w:val="20"/>
        </w:rPr>
      </w:pPr>
      <w:bookmarkStart w:id="8" w:name="_Ref465938262"/>
      <w:r>
        <w:t>R1-1611412, “</w:t>
      </w:r>
      <w:r w:rsidRPr="00B44E9F">
        <w:t>Discussion on measurement related reference signals</w:t>
      </w:r>
      <w:bookmarkEnd w:id="8"/>
      <w:r>
        <w:rPr>
          <w:iCs/>
          <w:szCs w:val="20"/>
        </w:rPr>
        <w:t>”, ZTE, ZTE Microelectronics</w:t>
      </w:r>
    </w:p>
    <w:p w:rsidR="00D22A73" w:rsidRDefault="00D22A73" w:rsidP="00FC35D7">
      <w:pPr>
        <w:pStyle w:val="ListParagraph"/>
        <w:numPr>
          <w:ilvl w:val="0"/>
          <w:numId w:val="11"/>
        </w:numPr>
        <w:ind w:left="426" w:firstLineChars="0"/>
        <w:rPr>
          <w:iCs/>
          <w:szCs w:val="20"/>
        </w:rPr>
      </w:pPr>
      <w:bookmarkStart w:id="9" w:name="_Ref465938719"/>
      <w:r>
        <w:rPr>
          <w:iCs/>
          <w:szCs w:val="20"/>
        </w:rPr>
        <w:t>R1-1611415, “</w:t>
      </w:r>
      <w:r w:rsidRPr="00D22A73">
        <w:rPr>
          <w:iCs/>
          <w:szCs w:val="20"/>
        </w:rPr>
        <w:t>Group based beam management</w:t>
      </w:r>
      <w:r>
        <w:rPr>
          <w:iCs/>
          <w:szCs w:val="20"/>
        </w:rPr>
        <w:t>”, ZTE, ZTE Microelectronics</w:t>
      </w:r>
      <w:bookmarkEnd w:id="9"/>
    </w:p>
    <w:p w:rsidR="00E367EE" w:rsidRPr="00D21A5C" w:rsidRDefault="00E367EE" w:rsidP="00FC35D7">
      <w:pPr>
        <w:pStyle w:val="ListParagraph"/>
        <w:numPr>
          <w:ilvl w:val="0"/>
          <w:numId w:val="11"/>
        </w:numPr>
        <w:ind w:left="426" w:firstLineChars="0"/>
        <w:rPr>
          <w:iCs/>
          <w:szCs w:val="20"/>
        </w:rPr>
      </w:pPr>
      <w:bookmarkStart w:id="10" w:name="_Ref465938723"/>
      <w:r>
        <w:rPr>
          <w:iCs/>
          <w:szCs w:val="20"/>
        </w:rPr>
        <w:t>R1-11474, “</w:t>
      </w:r>
      <w:r w:rsidRPr="00E367EE">
        <w:rPr>
          <w:iCs/>
          <w:szCs w:val="20"/>
        </w:rPr>
        <w:t>High level views on beam management for NR-MIMO</w:t>
      </w:r>
      <w:r>
        <w:rPr>
          <w:iCs/>
          <w:szCs w:val="20"/>
        </w:rPr>
        <w:t>”, ZTE, ZTE Microelectronics</w:t>
      </w:r>
      <w:bookmarkEnd w:id="10"/>
    </w:p>
    <w:p w:rsidR="00D21A5C" w:rsidRDefault="00D21A5C" w:rsidP="00D21A5C">
      <w:pPr>
        <w:pStyle w:val="ListParagraph"/>
        <w:numPr>
          <w:ilvl w:val="0"/>
          <w:numId w:val="11"/>
        </w:numPr>
        <w:ind w:left="426" w:firstLineChars="0"/>
        <w:rPr>
          <w:iCs/>
          <w:szCs w:val="20"/>
        </w:rPr>
      </w:pPr>
      <w:bookmarkStart w:id="11" w:name="_Ref465668215"/>
      <w:r>
        <w:t>RAN1#86b Chairman’s notes</w:t>
      </w:r>
      <w:bookmarkEnd w:id="11"/>
    </w:p>
    <w:p w:rsidR="00D21A5C" w:rsidRDefault="004E6CD1" w:rsidP="00FC35D7">
      <w:pPr>
        <w:pStyle w:val="ListParagraph"/>
        <w:numPr>
          <w:ilvl w:val="0"/>
          <w:numId w:val="11"/>
        </w:numPr>
        <w:ind w:left="426" w:firstLineChars="0"/>
        <w:rPr>
          <w:iCs/>
          <w:szCs w:val="20"/>
        </w:rPr>
      </w:pPr>
      <w:bookmarkStart w:id="12" w:name="_Ref465675933"/>
      <w:bookmarkStart w:id="13" w:name="_Ref465689494"/>
      <w:r>
        <w:rPr>
          <w:iCs/>
          <w:szCs w:val="20"/>
        </w:rPr>
        <w:t>R1-1611275</w:t>
      </w:r>
      <w:r w:rsidR="00E3121B">
        <w:rPr>
          <w:iCs/>
          <w:szCs w:val="20"/>
        </w:rPr>
        <w:t xml:space="preserve">, </w:t>
      </w:r>
      <w:r w:rsidR="00FF6A6C">
        <w:rPr>
          <w:iCs/>
          <w:szCs w:val="20"/>
        </w:rPr>
        <w:t>“</w:t>
      </w:r>
      <w:r>
        <w:rPr>
          <w:iCs/>
          <w:szCs w:val="20"/>
        </w:rPr>
        <w:t xml:space="preserve">Idle mode </w:t>
      </w:r>
      <w:r w:rsidR="00B5527C">
        <w:rPr>
          <w:iCs/>
          <w:szCs w:val="20"/>
        </w:rPr>
        <w:t>m</w:t>
      </w:r>
      <w:r>
        <w:rPr>
          <w:iCs/>
          <w:szCs w:val="20"/>
        </w:rPr>
        <w:t>obility</w:t>
      </w:r>
      <w:r w:rsidR="00FF6A6C">
        <w:rPr>
          <w:iCs/>
          <w:szCs w:val="20"/>
        </w:rPr>
        <w:t>”</w:t>
      </w:r>
      <w:r w:rsidR="00E3121B">
        <w:rPr>
          <w:iCs/>
          <w:szCs w:val="20"/>
        </w:rPr>
        <w:t>, ZTE</w:t>
      </w:r>
      <w:bookmarkEnd w:id="12"/>
      <w:r w:rsidR="00617400">
        <w:rPr>
          <w:iCs/>
          <w:szCs w:val="20"/>
        </w:rPr>
        <w:t>, ZTE Microelectronics</w:t>
      </w:r>
      <w:bookmarkEnd w:id="13"/>
    </w:p>
    <w:p w:rsidR="00CC024C" w:rsidRDefault="00CC024C" w:rsidP="00FC35D7">
      <w:pPr>
        <w:pStyle w:val="ListParagraph"/>
        <w:numPr>
          <w:ilvl w:val="0"/>
          <w:numId w:val="11"/>
        </w:numPr>
        <w:ind w:left="426" w:firstLineChars="0"/>
        <w:rPr>
          <w:iCs/>
          <w:szCs w:val="20"/>
        </w:rPr>
      </w:pPr>
      <w:bookmarkStart w:id="14" w:name="_Ref465860079"/>
      <w:r>
        <w:rPr>
          <w:iCs/>
          <w:szCs w:val="20"/>
        </w:rPr>
        <w:lastRenderedPageBreak/>
        <w:t>R1-1608674, “</w:t>
      </w:r>
      <w:r w:rsidRPr="00CC024C">
        <w:rPr>
          <w:iCs/>
          <w:szCs w:val="20"/>
        </w:rPr>
        <w:t>Discussion on measurement related reference signal for NR-MIMO</w:t>
      </w:r>
      <w:r>
        <w:rPr>
          <w:iCs/>
          <w:szCs w:val="20"/>
        </w:rPr>
        <w:t>”, ZTE, ZTE Microelectronics</w:t>
      </w:r>
      <w:bookmarkEnd w:id="14"/>
    </w:p>
    <w:p w:rsidR="005C37EF" w:rsidRDefault="005C37EF" w:rsidP="00FC35D7">
      <w:pPr>
        <w:pStyle w:val="ListParagraph"/>
        <w:numPr>
          <w:ilvl w:val="0"/>
          <w:numId w:val="11"/>
        </w:numPr>
        <w:ind w:left="426" w:firstLineChars="0"/>
        <w:rPr>
          <w:iCs/>
          <w:szCs w:val="20"/>
        </w:rPr>
      </w:pPr>
      <w:bookmarkStart w:id="15" w:name="_Ref465692501"/>
      <w:r>
        <w:rPr>
          <w:iCs/>
          <w:szCs w:val="20"/>
        </w:rPr>
        <w:t>R2-166337, “</w:t>
      </w:r>
      <w:r w:rsidRPr="005C37EF">
        <w:rPr>
          <w:iCs/>
          <w:szCs w:val="20"/>
        </w:rPr>
        <w:t>Consideration on the RRM Measurement for NR</w:t>
      </w:r>
      <w:r>
        <w:rPr>
          <w:iCs/>
          <w:szCs w:val="20"/>
        </w:rPr>
        <w:t>”, ZTE, ZTE Microelectronics</w:t>
      </w:r>
      <w:bookmarkEnd w:id="15"/>
    </w:p>
    <w:p w:rsidR="00E32ACC" w:rsidRDefault="00E32ACC" w:rsidP="00FC35D7">
      <w:pPr>
        <w:pStyle w:val="ListParagraph"/>
        <w:numPr>
          <w:ilvl w:val="0"/>
          <w:numId w:val="11"/>
        </w:numPr>
        <w:ind w:left="426" w:firstLineChars="0"/>
        <w:rPr>
          <w:iCs/>
          <w:szCs w:val="20"/>
        </w:rPr>
      </w:pPr>
      <w:r>
        <w:rPr>
          <w:iCs/>
          <w:szCs w:val="20"/>
        </w:rPr>
        <w:t>R1-1611268, “</w:t>
      </w:r>
      <w:r w:rsidRPr="00E32ACC">
        <w:rPr>
          <w:iCs/>
          <w:szCs w:val="20"/>
        </w:rPr>
        <w:t>Considerations on SS block design</w:t>
      </w:r>
      <w:r>
        <w:rPr>
          <w:iCs/>
          <w:szCs w:val="20"/>
        </w:rPr>
        <w:t>”, ZTE, ZTE Microelectronics</w:t>
      </w:r>
    </w:p>
    <w:p w:rsidR="00B5527C" w:rsidRDefault="00B5527C" w:rsidP="00FC35D7">
      <w:pPr>
        <w:pStyle w:val="ListParagraph"/>
        <w:numPr>
          <w:ilvl w:val="0"/>
          <w:numId w:val="11"/>
        </w:numPr>
        <w:ind w:left="426" w:firstLineChars="0"/>
        <w:rPr>
          <w:iCs/>
          <w:szCs w:val="20"/>
        </w:rPr>
      </w:pPr>
      <w:bookmarkStart w:id="16" w:name="_Ref466039874"/>
      <w:r>
        <w:rPr>
          <w:iCs/>
          <w:szCs w:val="20"/>
        </w:rPr>
        <w:t>R2-</w:t>
      </w:r>
      <w:r w:rsidRPr="00B5527C">
        <w:rPr>
          <w:iCs/>
          <w:szCs w:val="20"/>
        </w:rPr>
        <w:t>167837</w:t>
      </w:r>
      <w:r>
        <w:rPr>
          <w:iCs/>
          <w:szCs w:val="20"/>
        </w:rPr>
        <w:t>, “</w:t>
      </w:r>
      <w:r w:rsidRPr="00B5527C">
        <w:rPr>
          <w:iCs/>
          <w:szCs w:val="20"/>
        </w:rPr>
        <w:t>Consideration on the Mobility without RRC involvement</w:t>
      </w:r>
      <w:r>
        <w:rPr>
          <w:iCs/>
          <w:szCs w:val="20"/>
        </w:rPr>
        <w:t>”, ZTE, ZTE Microelectronics</w:t>
      </w:r>
      <w:bookmarkEnd w:id="16"/>
    </w:p>
    <w:bookmarkEnd w:id="6"/>
    <w:p w:rsidR="00496CF4" w:rsidRPr="00E87771" w:rsidRDefault="00496CF4" w:rsidP="00E87771">
      <w:pPr>
        <w:ind w:left="66"/>
        <w:rPr>
          <w:iCs/>
          <w:szCs w:val="20"/>
        </w:rPr>
      </w:pPr>
    </w:p>
    <w:sectPr w:rsidR="00496CF4" w:rsidRPr="00E87771"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DB9" w:rsidRDefault="004C0DB9" w:rsidP="00FF0AAD">
      <w:r>
        <w:separator/>
      </w:r>
    </w:p>
  </w:endnote>
  <w:endnote w:type="continuationSeparator" w:id="0">
    <w:p w:rsidR="004C0DB9" w:rsidRDefault="004C0DB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132D3">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DB9" w:rsidRDefault="004C0DB9" w:rsidP="00FF0AAD">
      <w:r>
        <w:separator/>
      </w:r>
    </w:p>
  </w:footnote>
  <w:footnote w:type="continuationSeparator" w:id="0">
    <w:p w:rsidR="004C0DB9" w:rsidRDefault="004C0DB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
  </w:num>
  <w:num w:numId="3">
    <w:abstractNumId w:val="8"/>
  </w:num>
  <w:num w:numId="4">
    <w:abstractNumId w:val="5"/>
  </w:num>
  <w:num w:numId="5">
    <w:abstractNumId w:val="12"/>
  </w:num>
  <w:num w:numId="6">
    <w:abstractNumId w:val="18"/>
  </w:num>
  <w:num w:numId="7">
    <w:abstractNumId w:val="13"/>
  </w:num>
  <w:num w:numId="8">
    <w:abstractNumId w:val="9"/>
  </w:num>
  <w:num w:numId="9">
    <w:abstractNumId w:val="16"/>
  </w:num>
  <w:num w:numId="10">
    <w:abstractNumId w:val="6"/>
  </w:num>
  <w:num w:numId="11">
    <w:abstractNumId w:val="2"/>
  </w:num>
  <w:num w:numId="12">
    <w:abstractNumId w:val="15"/>
  </w:num>
  <w:num w:numId="13">
    <w:abstractNumId w:val="7"/>
  </w:num>
  <w:num w:numId="14">
    <w:abstractNumId w:val="3"/>
  </w:num>
  <w:num w:numId="15">
    <w:abstractNumId w:val="10"/>
  </w:num>
  <w:num w:numId="16">
    <w:abstractNumId w:val="14"/>
  </w:num>
  <w:num w:numId="17">
    <w:abstractNumId w:val="0"/>
  </w:num>
  <w:num w:numId="18">
    <w:abstractNumId w:val="1"/>
  </w:num>
  <w:num w:numId="19">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99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4E"/>
    <w:rsid w:val="0001696F"/>
    <w:rsid w:val="00027F39"/>
    <w:rsid w:val="000314BE"/>
    <w:rsid w:val="0003612C"/>
    <w:rsid w:val="000411C0"/>
    <w:rsid w:val="0004434E"/>
    <w:rsid w:val="00051194"/>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BAE"/>
    <w:rsid w:val="00083A58"/>
    <w:rsid w:val="00083F29"/>
    <w:rsid w:val="00083F98"/>
    <w:rsid w:val="00086A29"/>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3FBD"/>
    <w:rsid w:val="000F2AB2"/>
    <w:rsid w:val="000F4F40"/>
    <w:rsid w:val="00100B78"/>
    <w:rsid w:val="0010212F"/>
    <w:rsid w:val="001072DE"/>
    <w:rsid w:val="00111185"/>
    <w:rsid w:val="00112AC8"/>
    <w:rsid w:val="0011367A"/>
    <w:rsid w:val="00116121"/>
    <w:rsid w:val="0011709C"/>
    <w:rsid w:val="00117508"/>
    <w:rsid w:val="00123655"/>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7DF3"/>
    <w:rsid w:val="00161014"/>
    <w:rsid w:val="00161A9A"/>
    <w:rsid w:val="00164066"/>
    <w:rsid w:val="0016721B"/>
    <w:rsid w:val="00171139"/>
    <w:rsid w:val="001721E6"/>
    <w:rsid w:val="001742D5"/>
    <w:rsid w:val="00174436"/>
    <w:rsid w:val="001767E6"/>
    <w:rsid w:val="0018036E"/>
    <w:rsid w:val="00180466"/>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F96"/>
    <w:rsid w:val="001D6048"/>
    <w:rsid w:val="001E0A05"/>
    <w:rsid w:val="001E6124"/>
    <w:rsid w:val="001E6819"/>
    <w:rsid w:val="001F0617"/>
    <w:rsid w:val="001F5B0C"/>
    <w:rsid w:val="0020218A"/>
    <w:rsid w:val="002049B8"/>
    <w:rsid w:val="0020686F"/>
    <w:rsid w:val="00217556"/>
    <w:rsid w:val="00220CE0"/>
    <w:rsid w:val="00221120"/>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47F79"/>
    <w:rsid w:val="002519B7"/>
    <w:rsid w:val="00251E7C"/>
    <w:rsid w:val="002525F2"/>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9127B"/>
    <w:rsid w:val="002938A5"/>
    <w:rsid w:val="00294907"/>
    <w:rsid w:val="00295775"/>
    <w:rsid w:val="002960F4"/>
    <w:rsid w:val="00296698"/>
    <w:rsid w:val="002973B9"/>
    <w:rsid w:val="002973C9"/>
    <w:rsid w:val="002974D4"/>
    <w:rsid w:val="002A2FA8"/>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441D"/>
    <w:rsid w:val="002E4C97"/>
    <w:rsid w:val="002E5332"/>
    <w:rsid w:val="002E794D"/>
    <w:rsid w:val="002F0126"/>
    <w:rsid w:val="002F2FF2"/>
    <w:rsid w:val="002F3759"/>
    <w:rsid w:val="002F5517"/>
    <w:rsid w:val="002F7C7C"/>
    <w:rsid w:val="0030773F"/>
    <w:rsid w:val="00310227"/>
    <w:rsid w:val="00310A97"/>
    <w:rsid w:val="003126CC"/>
    <w:rsid w:val="003128D3"/>
    <w:rsid w:val="00312C1A"/>
    <w:rsid w:val="00312DD1"/>
    <w:rsid w:val="00313E5D"/>
    <w:rsid w:val="0031570F"/>
    <w:rsid w:val="003162A2"/>
    <w:rsid w:val="00320818"/>
    <w:rsid w:val="00326600"/>
    <w:rsid w:val="0033176D"/>
    <w:rsid w:val="00337150"/>
    <w:rsid w:val="00341B32"/>
    <w:rsid w:val="00346CE0"/>
    <w:rsid w:val="003504B5"/>
    <w:rsid w:val="003533A7"/>
    <w:rsid w:val="00360683"/>
    <w:rsid w:val="003631E5"/>
    <w:rsid w:val="003664A9"/>
    <w:rsid w:val="00373017"/>
    <w:rsid w:val="00377306"/>
    <w:rsid w:val="00386553"/>
    <w:rsid w:val="0039092A"/>
    <w:rsid w:val="0039096E"/>
    <w:rsid w:val="00391673"/>
    <w:rsid w:val="00392963"/>
    <w:rsid w:val="003946D4"/>
    <w:rsid w:val="003962AF"/>
    <w:rsid w:val="003969B2"/>
    <w:rsid w:val="003A13E4"/>
    <w:rsid w:val="003A2A06"/>
    <w:rsid w:val="003A3800"/>
    <w:rsid w:val="003A54C5"/>
    <w:rsid w:val="003A6500"/>
    <w:rsid w:val="003B0808"/>
    <w:rsid w:val="003B3883"/>
    <w:rsid w:val="003B40ED"/>
    <w:rsid w:val="003B46C8"/>
    <w:rsid w:val="003B5CF4"/>
    <w:rsid w:val="003C18A9"/>
    <w:rsid w:val="003C361A"/>
    <w:rsid w:val="003C3674"/>
    <w:rsid w:val="003C3FCC"/>
    <w:rsid w:val="003C70DA"/>
    <w:rsid w:val="003C7F12"/>
    <w:rsid w:val="003D2633"/>
    <w:rsid w:val="003D2D35"/>
    <w:rsid w:val="003D3730"/>
    <w:rsid w:val="003D472E"/>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5AD0"/>
    <w:rsid w:val="004375F4"/>
    <w:rsid w:val="00441AA1"/>
    <w:rsid w:val="00443CA7"/>
    <w:rsid w:val="00446005"/>
    <w:rsid w:val="00446AE1"/>
    <w:rsid w:val="0044782C"/>
    <w:rsid w:val="0046088D"/>
    <w:rsid w:val="00461C5A"/>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B0201"/>
    <w:rsid w:val="004B321C"/>
    <w:rsid w:val="004B77E3"/>
    <w:rsid w:val="004C0DB9"/>
    <w:rsid w:val="004C1005"/>
    <w:rsid w:val="004C145A"/>
    <w:rsid w:val="004C17E9"/>
    <w:rsid w:val="004C46E1"/>
    <w:rsid w:val="004C5861"/>
    <w:rsid w:val="004C63EE"/>
    <w:rsid w:val="004C6A8B"/>
    <w:rsid w:val="004D10DB"/>
    <w:rsid w:val="004D15BB"/>
    <w:rsid w:val="004D1EE6"/>
    <w:rsid w:val="004D28B9"/>
    <w:rsid w:val="004D6142"/>
    <w:rsid w:val="004E6CD1"/>
    <w:rsid w:val="004E72AC"/>
    <w:rsid w:val="004E78E8"/>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A42"/>
    <w:rsid w:val="00532C95"/>
    <w:rsid w:val="00532D9C"/>
    <w:rsid w:val="005343AC"/>
    <w:rsid w:val="005363C8"/>
    <w:rsid w:val="00536B5C"/>
    <w:rsid w:val="00546F7A"/>
    <w:rsid w:val="00551D99"/>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A0289"/>
    <w:rsid w:val="005A22CF"/>
    <w:rsid w:val="005A41EA"/>
    <w:rsid w:val="005A6174"/>
    <w:rsid w:val="005B000C"/>
    <w:rsid w:val="005B0B97"/>
    <w:rsid w:val="005B3EF1"/>
    <w:rsid w:val="005B6C81"/>
    <w:rsid w:val="005C15A0"/>
    <w:rsid w:val="005C37EF"/>
    <w:rsid w:val="005D06C2"/>
    <w:rsid w:val="005D4B24"/>
    <w:rsid w:val="005D6743"/>
    <w:rsid w:val="005D680C"/>
    <w:rsid w:val="005E2AE9"/>
    <w:rsid w:val="005F0BCE"/>
    <w:rsid w:val="005F2183"/>
    <w:rsid w:val="005F34F7"/>
    <w:rsid w:val="005F56A6"/>
    <w:rsid w:val="006012C6"/>
    <w:rsid w:val="00602802"/>
    <w:rsid w:val="0060538B"/>
    <w:rsid w:val="00612F9F"/>
    <w:rsid w:val="00613EFD"/>
    <w:rsid w:val="00614401"/>
    <w:rsid w:val="00617400"/>
    <w:rsid w:val="00617630"/>
    <w:rsid w:val="00620346"/>
    <w:rsid w:val="00620555"/>
    <w:rsid w:val="006221A9"/>
    <w:rsid w:val="00624BB7"/>
    <w:rsid w:val="00625409"/>
    <w:rsid w:val="0062638D"/>
    <w:rsid w:val="0063642D"/>
    <w:rsid w:val="0064134B"/>
    <w:rsid w:val="00641942"/>
    <w:rsid w:val="006506EE"/>
    <w:rsid w:val="00650B77"/>
    <w:rsid w:val="00652B56"/>
    <w:rsid w:val="00656384"/>
    <w:rsid w:val="00657662"/>
    <w:rsid w:val="006653D4"/>
    <w:rsid w:val="00666E6D"/>
    <w:rsid w:val="00667F6E"/>
    <w:rsid w:val="00671904"/>
    <w:rsid w:val="006722CE"/>
    <w:rsid w:val="00676281"/>
    <w:rsid w:val="00677F9F"/>
    <w:rsid w:val="00690BB8"/>
    <w:rsid w:val="0069278C"/>
    <w:rsid w:val="00693A87"/>
    <w:rsid w:val="00694A8E"/>
    <w:rsid w:val="00696B73"/>
    <w:rsid w:val="006A00D0"/>
    <w:rsid w:val="006A185C"/>
    <w:rsid w:val="006A4230"/>
    <w:rsid w:val="006A42F6"/>
    <w:rsid w:val="006A6E0F"/>
    <w:rsid w:val="006B176F"/>
    <w:rsid w:val="006B48F1"/>
    <w:rsid w:val="006C2467"/>
    <w:rsid w:val="006C4DEE"/>
    <w:rsid w:val="006C60A2"/>
    <w:rsid w:val="006C720A"/>
    <w:rsid w:val="006C7454"/>
    <w:rsid w:val="006D20FE"/>
    <w:rsid w:val="006D3FDD"/>
    <w:rsid w:val="006D4C4D"/>
    <w:rsid w:val="006D512F"/>
    <w:rsid w:val="006D52EC"/>
    <w:rsid w:val="006D7CA8"/>
    <w:rsid w:val="006E5253"/>
    <w:rsid w:val="006E6B9A"/>
    <w:rsid w:val="006F0F9F"/>
    <w:rsid w:val="006F5508"/>
    <w:rsid w:val="00701EF9"/>
    <w:rsid w:val="007048C3"/>
    <w:rsid w:val="007057D5"/>
    <w:rsid w:val="007062F7"/>
    <w:rsid w:val="00710C7C"/>
    <w:rsid w:val="00712655"/>
    <w:rsid w:val="007132D3"/>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1F1C"/>
    <w:rsid w:val="0076369E"/>
    <w:rsid w:val="00765BB9"/>
    <w:rsid w:val="00765F0F"/>
    <w:rsid w:val="00766C46"/>
    <w:rsid w:val="00766FA3"/>
    <w:rsid w:val="00767B6F"/>
    <w:rsid w:val="00771468"/>
    <w:rsid w:val="00772D0C"/>
    <w:rsid w:val="00773E97"/>
    <w:rsid w:val="00784191"/>
    <w:rsid w:val="00784B28"/>
    <w:rsid w:val="0078762A"/>
    <w:rsid w:val="007911DF"/>
    <w:rsid w:val="0079178D"/>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C5E33"/>
    <w:rsid w:val="007D3894"/>
    <w:rsid w:val="007D3E2E"/>
    <w:rsid w:val="007E04D4"/>
    <w:rsid w:val="007E267A"/>
    <w:rsid w:val="007E5CF8"/>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39F9"/>
    <w:rsid w:val="0083545E"/>
    <w:rsid w:val="00836840"/>
    <w:rsid w:val="00840AB6"/>
    <w:rsid w:val="00842222"/>
    <w:rsid w:val="00842932"/>
    <w:rsid w:val="008459AF"/>
    <w:rsid w:val="00846CBF"/>
    <w:rsid w:val="00846FAB"/>
    <w:rsid w:val="008505E8"/>
    <w:rsid w:val="00852480"/>
    <w:rsid w:val="00853203"/>
    <w:rsid w:val="00853251"/>
    <w:rsid w:val="00856CC3"/>
    <w:rsid w:val="00865DE0"/>
    <w:rsid w:val="00870BF0"/>
    <w:rsid w:val="00870FE7"/>
    <w:rsid w:val="008716FA"/>
    <w:rsid w:val="00871D7E"/>
    <w:rsid w:val="008721F4"/>
    <w:rsid w:val="00872250"/>
    <w:rsid w:val="00872C28"/>
    <w:rsid w:val="00874050"/>
    <w:rsid w:val="00881A67"/>
    <w:rsid w:val="0088624E"/>
    <w:rsid w:val="00886503"/>
    <w:rsid w:val="00892A32"/>
    <w:rsid w:val="00893B8E"/>
    <w:rsid w:val="00897F2F"/>
    <w:rsid w:val="008A0730"/>
    <w:rsid w:val="008A1ED0"/>
    <w:rsid w:val="008A2594"/>
    <w:rsid w:val="008A34A6"/>
    <w:rsid w:val="008A4707"/>
    <w:rsid w:val="008A5F17"/>
    <w:rsid w:val="008C2ADD"/>
    <w:rsid w:val="008C4C00"/>
    <w:rsid w:val="008C4EB6"/>
    <w:rsid w:val="008D251E"/>
    <w:rsid w:val="008D2554"/>
    <w:rsid w:val="008D347B"/>
    <w:rsid w:val="008D3EF6"/>
    <w:rsid w:val="008E27D5"/>
    <w:rsid w:val="008F03A6"/>
    <w:rsid w:val="009005E0"/>
    <w:rsid w:val="0090352C"/>
    <w:rsid w:val="0090427E"/>
    <w:rsid w:val="0090516B"/>
    <w:rsid w:val="00905828"/>
    <w:rsid w:val="00905C53"/>
    <w:rsid w:val="009146DD"/>
    <w:rsid w:val="00915D34"/>
    <w:rsid w:val="00916155"/>
    <w:rsid w:val="00916A11"/>
    <w:rsid w:val="00921D45"/>
    <w:rsid w:val="00923F47"/>
    <w:rsid w:val="00930CFC"/>
    <w:rsid w:val="00931C9D"/>
    <w:rsid w:val="00932248"/>
    <w:rsid w:val="00932BEF"/>
    <w:rsid w:val="00934221"/>
    <w:rsid w:val="009345A5"/>
    <w:rsid w:val="0093734D"/>
    <w:rsid w:val="009402E9"/>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A1C7D"/>
    <w:rsid w:val="009A5D9D"/>
    <w:rsid w:val="009B147D"/>
    <w:rsid w:val="009B2AA7"/>
    <w:rsid w:val="009B4D79"/>
    <w:rsid w:val="009B5573"/>
    <w:rsid w:val="009C1507"/>
    <w:rsid w:val="009C4BD7"/>
    <w:rsid w:val="009D03F9"/>
    <w:rsid w:val="009D1A30"/>
    <w:rsid w:val="009D1EE1"/>
    <w:rsid w:val="009D2D92"/>
    <w:rsid w:val="009D31B7"/>
    <w:rsid w:val="009D464B"/>
    <w:rsid w:val="009D4E27"/>
    <w:rsid w:val="009D7EE2"/>
    <w:rsid w:val="009E0835"/>
    <w:rsid w:val="009E27A5"/>
    <w:rsid w:val="009E2BBA"/>
    <w:rsid w:val="009E555F"/>
    <w:rsid w:val="009E748B"/>
    <w:rsid w:val="009F35E1"/>
    <w:rsid w:val="009F4300"/>
    <w:rsid w:val="009F5202"/>
    <w:rsid w:val="009F6F2F"/>
    <w:rsid w:val="00A02E6B"/>
    <w:rsid w:val="00A0363B"/>
    <w:rsid w:val="00A044DF"/>
    <w:rsid w:val="00A07D6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464CF"/>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473A"/>
    <w:rsid w:val="00A76243"/>
    <w:rsid w:val="00A762D5"/>
    <w:rsid w:val="00A773F5"/>
    <w:rsid w:val="00A805A8"/>
    <w:rsid w:val="00A80B01"/>
    <w:rsid w:val="00A84D84"/>
    <w:rsid w:val="00A91ACA"/>
    <w:rsid w:val="00A93646"/>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7216"/>
    <w:rsid w:val="00AD0C4F"/>
    <w:rsid w:val="00AD20A2"/>
    <w:rsid w:val="00AD3030"/>
    <w:rsid w:val="00AD54E8"/>
    <w:rsid w:val="00AD5E2B"/>
    <w:rsid w:val="00AD5EB6"/>
    <w:rsid w:val="00AD668A"/>
    <w:rsid w:val="00AE052F"/>
    <w:rsid w:val="00AE26C5"/>
    <w:rsid w:val="00AE3567"/>
    <w:rsid w:val="00AE4560"/>
    <w:rsid w:val="00AE4706"/>
    <w:rsid w:val="00AE6A29"/>
    <w:rsid w:val="00AE6AE8"/>
    <w:rsid w:val="00AE775A"/>
    <w:rsid w:val="00AE7C57"/>
    <w:rsid w:val="00AF18EF"/>
    <w:rsid w:val="00AF1A64"/>
    <w:rsid w:val="00AF3B2C"/>
    <w:rsid w:val="00AF3BF9"/>
    <w:rsid w:val="00B03B2F"/>
    <w:rsid w:val="00B03BCC"/>
    <w:rsid w:val="00B05888"/>
    <w:rsid w:val="00B07901"/>
    <w:rsid w:val="00B1029B"/>
    <w:rsid w:val="00B107DB"/>
    <w:rsid w:val="00B12666"/>
    <w:rsid w:val="00B139DE"/>
    <w:rsid w:val="00B22638"/>
    <w:rsid w:val="00B243F4"/>
    <w:rsid w:val="00B24CFC"/>
    <w:rsid w:val="00B26A4A"/>
    <w:rsid w:val="00B26DD1"/>
    <w:rsid w:val="00B31627"/>
    <w:rsid w:val="00B31DEC"/>
    <w:rsid w:val="00B32C30"/>
    <w:rsid w:val="00B35602"/>
    <w:rsid w:val="00B37427"/>
    <w:rsid w:val="00B40B53"/>
    <w:rsid w:val="00B44E9F"/>
    <w:rsid w:val="00B46077"/>
    <w:rsid w:val="00B50FD8"/>
    <w:rsid w:val="00B5527C"/>
    <w:rsid w:val="00B55FA9"/>
    <w:rsid w:val="00B56B1F"/>
    <w:rsid w:val="00B578C5"/>
    <w:rsid w:val="00B60DCF"/>
    <w:rsid w:val="00B61268"/>
    <w:rsid w:val="00B65945"/>
    <w:rsid w:val="00B67AF4"/>
    <w:rsid w:val="00B72D05"/>
    <w:rsid w:val="00B73E13"/>
    <w:rsid w:val="00B76024"/>
    <w:rsid w:val="00B765A4"/>
    <w:rsid w:val="00B816F5"/>
    <w:rsid w:val="00B8312D"/>
    <w:rsid w:val="00B83E85"/>
    <w:rsid w:val="00B846EC"/>
    <w:rsid w:val="00B86BDA"/>
    <w:rsid w:val="00B87244"/>
    <w:rsid w:val="00B87640"/>
    <w:rsid w:val="00BA1C72"/>
    <w:rsid w:val="00BA48BD"/>
    <w:rsid w:val="00BB6344"/>
    <w:rsid w:val="00BC0F95"/>
    <w:rsid w:val="00BC1F67"/>
    <w:rsid w:val="00BC2EC5"/>
    <w:rsid w:val="00BC7528"/>
    <w:rsid w:val="00BC7924"/>
    <w:rsid w:val="00BD1F36"/>
    <w:rsid w:val="00BD285A"/>
    <w:rsid w:val="00BD42C1"/>
    <w:rsid w:val="00BD4AC8"/>
    <w:rsid w:val="00BE2E7D"/>
    <w:rsid w:val="00BF2C7E"/>
    <w:rsid w:val="00BF4E61"/>
    <w:rsid w:val="00C02F16"/>
    <w:rsid w:val="00C030FD"/>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74F47"/>
    <w:rsid w:val="00C766A6"/>
    <w:rsid w:val="00C81BB1"/>
    <w:rsid w:val="00C8562D"/>
    <w:rsid w:val="00C86B00"/>
    <w:rsid w:val="00C86B68"/>
    <w:rsid w:val="00C93EDD"/>
    <w:rsid w:val="00C953EF"/>
    <w:rsid w:val="00C97311"/>
    <w:rsid w:val="00CA1AEB"/>
    <w:rsid w:val="00CA32E5"/>
    <w:rsid w:val="00CA7B1E"/>
    <w:rsid w:val="00CB0EE0"/>
    <w:rsid w:val="00CC0088"/>
    <w:rsid w:val="00CC024C"/>
    <w:rsid w:val="00CC2AB5"/>
    <w:rsid w:val="00CC39FD"/>
    <w:rsid w:val="00CD329D"/>
    <w:rsid w:val="00CD3FBE"/>
    <w:rsid w:val="00CD478F"/>
    <w:rsid w:val="00CE1B6E"/>
    <w:rsid w:val="00CE4DE5"/>
    <w:rsid w:val="00CE6174"/>
    <w:rsid w:val="00CF356A"/>
    <w:rsid w:val="00CF527B"/>
    <w:rsid w:val="00D00BD8"/>
    <w:rsid w:val="00D02F5A"/>
    <w:rsid w:val="00D0360C"/>
    <w:rsid w:val="00D04B88"/>
    <w:rsid w:val="00D12160"/>
    <w:rsid w:val="00D15C08"/>
    <w:rsid w:val="00D15E25"/>
    <w:rsid w:val="00D21A5C"/>
    <w:rsid w:val="00D22A73"/>
    <w:rsid w:val="00D22B56"/>
    <w:rsid w:val="00D2405C"/>
    <w:rsid w:val="00D25CA2"/>
    <w:rsid w:val="00D26398"/>
    <w:rsid w:val="00D273EF"/>
    <w:rsid w:val="00D2780E"/>
    <w:rsid w:val="00D32A1B"/>
    <w:rsid w:val="00D3302E"/>
    <w:rsid w:val="00D45706"/>
    <w:rsid w:val="00D462B9"/>
    <w:rsid w:val="00D51AB5"/>
    <w:rsid w:val="00D5308D"/>
    <w:rsid w:val="00D53D01"/>
    <w:rsid w:val="00D56DBA"/>
    <w:rsid w:val="00D62003"/>
    <w:rsid w:val="00D673E0"/>
    <w:rsid w:val="00D70674"/>
    <w:rsid w:val="00D7074E"/>
    <w:rsid w:val="00D72F23"/>
    <w:rsid w:val="00D743AA"/>
    <w:rsid w:val="00D76E1B"/>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254A"/>
    <w:rsid w:val="00DC4081"/>
    <w:rsid w:val="00DD34F8"/>
    <w:rsid w:val="00DD646B"/>
    <w:rsid w:val="00DD71A4"/>
    <w:rsid w:val="00DD785D"/>
    <w:rsid w:val="00DE0E7D"/>
    <w:rsid w:val="00DE31A3"/>
    <w:rsid w:val="00DE54C5"/>
    <w:rsid w:val="00DF219B"/>
    <w:rsid w:val="00DF25FD"/>
    <w:rsid w:val="00DF56D1"/>
    <w:rsid w:val="00DF65B2"/>
    <w:rsid w:val="00DF6FEC"/>
    <w:rsid w:val="00E0055C"/>
    <w:rsid w:val="00E00801"/>
    <w:rsid w:val="00E0278A"/>
    <w:rsid w:val="00E03A4D"/>
    <w:rsid w:val="00E03DF4"/>
    <w:rsid w:val="00E051E3"/>
    <w:rsid w:val="00E05567"/>
    <w:rsid w:val="00E06260"/>
    <w:rsid w:val="00E07960"/>
    <w:rsid w:val="00E07B15"/>
    <w:rsid w:val="00E1495E"/>
    <w:rsid w:val="00E14F87"/>
    <w:rsid w:val="00E153F6"/>
    <w:rsid w:val="00E20171"/>
    <w:rsid w:val="00E3121B"/>
    <w:rsid w:val="00E32ACC"/>
    <w:rsid w:val="00E3415B"/>
    <w:rsid w:val="00E34CA4"/>
    <w:rsid w:val="00E35457"/>
    <w:rsid w:val="00E35B00"/>
    <w:rsid w:val="00E367EE"/>
    <w:rsid w:val="00E4164A"/>
    <w:rsid w:val="00E43842"/>
    <w:rsid w:val="00E4405C"/>
    <w:rsid w:val="00E4509B"/>
    <w:rsid w:val="00E4633B"/>
    <w:rsid w:val="00E47699"/>
    <w:rsid w:val="00E47AE4"/>
    <w:rsid w:val="00E52E3C"/>
    <w:rsid w:val="00E53CC2"/>
    <w:rsid w:val="00E540F5"/>
    <w:rsid w:val="00E569C1"/>
    <w:rsid w:val="00E57329"/>
    <w:rsid w:val="00E6253B"/>
    <w:rsid w:val="00E631F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0506"/>
    <w:rsid w:val="00F1145E"/>
    <w:rsid w:val="00F12491"/>
    <w:rsid w:val="00F1510A"/>
    <w:rsid w:val="00F15DDF"/>
    <w:rsid w:val="00F17791"/>
    <w:rsid w:val="00F2040B"/>
    <w:rsid w:val="00F22144"/>
    <w:rsid w:val="00F313F6"/>
    <w:rsid w:val="00F3170B"/>
    <w:rsid w:val="00F32506"/>
    <w:rsid w:val="00F40727"/>
    <w:rsid w:val="00F422C3"/>
    <w:rsid w:val="00F423D3"/>
    <w:rsid w:val="00F42709"/>
    <w:rsid w:val="00F43013"/>
    <w:rsid w:val="00F44478"/>
    <w:rsid w:val="00F56558"/>
    <w:rsid w:val="00F57C13"/>
    <w:rsid w:val="00F610CA"/>
    <w:rsid w:val="00F644FF"/>
    <w:rsid w:val="00F7227E"/>
    <w:rsid w:val="00F8225E"/>
    <w:rsid w:val="00F924D8"/>
    <w:rsid w:val="00F96864"/>
    <w:rsid w:val="00FA10BA"/>
    <w:rsid w:val="00FA4444"/>
    <w:rsid w:val="00FA6853"/>
    <w:rsid w:val="00FA75B7"/>
    <w:rsid w:val="00FB01B6"/>
    <w:rsid w:val="00FB1555"/>
    <w:rsid w:val="00FB29EF"/>
    <w:rsid w:val="00FB412A"/>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99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64DED-4396-4546-8ADD-B10A5DAB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2763</TotalTime>
  <Pages>5</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120</cp:revision>
  <cp:lastPrinted>2016-09-15T07:38:00Z</cp:lastPrinted>
  <dcterms:created xsi:type="dcterms:W3CDTF">2016-09-16T06:54:00Z</dcterms:created>
  <dcterms:modified xsi:type="dcterms:W3CDTF">2016-11-04T21:20:00Z</dcterms:modified>
</cp:coreProperties>
</file>