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42F49" w14:textId="10122955" w:rsidR="000637E7" w:rsidRPr="00836FE9" w:rsidRDefault="002C306D" w:rsidP="000637E7">
      <w:pPr>
        <w:pStyle w:val="Header"/>
        <w:rPr>
          <w:bCs/>
          <w:noProof w:val="0"/>
          <w:sz w:val="24"/>
          <w:lang w:val="de-DE"/>
        </w:rPr>
      </w:pPr>
      <w:r w:rsidRPr="00836FE9">
        <w:rPr>
          <w:bCs/>
          <w:noProof w:val="0"/>
          <w:sz w:val="24"/>
          <w:lang w:val="de-DE"/>
        </w:rPr>
        <w:t>3GPP TSG-RAN WG1 #86 Bis</w:t>
      </w:r>
      <w:r w:rsidRPr="00836FE9">
        <w:rPr>
          <w:bCs/>
          <w:noProof w:val="0"/>
          <w:sz w:val="24"/>
          <w:lang w:val="de-DE"/>
        </w:rPr>
        <w:tab/>
      </w:r>
      <w:r w:rsidRPr="00836FE9">
        <w:rPr>
          <w:bCs/>
          <w:noProof w:val="0"/>
          <w:sz w:val="24"/>
          <w:lang w:val="de-DE"/>
        </w:rPr>
        <w:tab/>
      </w:r>
      <w:r w:rsidRPr="00836FE9">
        <w:rPr>
          <w:bCs/>
          <w:noProof w:val="0"/>
          <w:sz w:val="24"/>
          <w:lang w:val="de-DE"/>
        </w:rPr>
        <w:tab/>
      </w:r>
      <w:r w:rsidRPr="00836FE9">
        <w:rPr>
          <w:bCs/>
          <w:noProof w:val="0"/>
          <w:sz w:val="24"/>
          <w:lang w:val="de-DE"/>
        </w:rPr>
        <w:tab/>
      </w:r>
      <w:r w:rsidRPr="00836FE9">
        <w:rPr>
          <w:bCs/>
          <w:noProof w:val="0"/>
          <w:sz w:val="24"/>
          <w:lang w:val="de-DE"/>
        </w:rPr>
        <w:tab/>
      </w:r>
      <w:r w:rsidRPr="00836FE9">
        <w:rPr>
          <w:bCs/>
          <w:noProof w:val="0"/>
          <w:sz w:val="24"/>
          <w:lang w:val="de-DE"/>
        </w:rPr>
        <w:tab/>
      </w:r>
      <w:r w:rsidRPr="00836FE9">
        <w:rPr>
          <w:bCs/>
          <w:noProof w:val="0"/>
          <w:sz w:val="24"/>
          <w:lang w:val="de-DE"/>
        </w:rPr>
        <w:tab/>
      </w:r>
      <w:r w:rsidRPr="00836FE9">
        <w:rPr>
          <w:bCs/>
          <w:noProof w:val="0"/>
          <w:sz w:val="24"/>
          <w:lang w:val="de-DE"/>
        </w:rPr>
        <w:tab/>
      </w:r>
      <w:r w:rsidRPr="00836FE9">
        <w:rPr>
          <w:bCs/>
          <w:noProof w:val="0"/>
          <w:sz w:val="24"/>
          <w:lang w:val="de-DE"/>
        </w:rPr>
        <w:tab/>
      </w:r>
      <w:r w:rsidRPr="00836FE9">
        <w:rPr>
          <w:bCs/>
          <w:noProof w:val="0"/>
          <w:sz w:val="24"/>
          <w:lang w:val="de-DE"/>
        </w:rPr>
        <w:tab/>
      </w:r>
      <w:r w:rsidRPr="00836FE9">
        <w:rPr>
          <w:bCs/>
          <w:noProof w:val="0"/>
          <w:sz w:val="24"/>
          <w:lang w:val="de-DE"/>
        </w:rPr>
        <w:tab/>
      </w:r>
      <w:r w:rsidRPr="00836FE9">
        <w:rPr>
          <w:bCs/>
          <w:noProof w:val="0"/>
          <w:sz w:val="24"/>
          <w:lang w:val="de-DE"/>
        </w:rPr>
        <w:tab/>
      </w:r>
      <w:r w:rsidRPr="00836FE9">
        <w:rPr>
          <w:bCs/>
          <w:noProof w:val="0"/>
          <w:sz w:val="24"/>
          <w:lang w:val="de-DE"/>
        </w:rPr>
        <w:tab/>
      </w:r>
      <w:r w:rsidRPr="00836FE9">
        <w:rPr>
          <w:bCs/>
          <w:noProof w:val="0"/>
          <w:sz w:val="24"/>
          <w:lang w:val="de-DE"/>
        </w:rPr>
        <w:tab/>
      </w:r>
      <w:r w:rsidRPr="00836FE9">
        <w:rPr>
          <w:bCs/>
          <w:noProof w:val="0"/>
          <w:sz w:val="24"/>
          <w:lang w:val="de-DE"/>
        </w:rPr>
        <w:tab/>
      </w:r>
      <w:r w:rsidRPr="00836FE9">
        <w:rPr>
          <w:bCs/>
          <w:noProof w:val="0"/>
          <w:sz w:val="24"/>
          <w:lang w:val="de-DE"/>
        </w:rPr>
        <w:tab/>
      </w:r>
      <w:r w:rsidRPr="00836FE9">
        <w:rPr>
          <w:bCs/>
          <w:noProof w:val="0"/>
          <w:sz w:val="24"/>
          <w:lang w:val="de-DE"/>
        </w:rPr>
        <w:tab/>
      </w:r>
      <w:r w:rsidRPr="00836FE9">
        <w:rPr>
          <w:bCs/>
          <w:noProof w:val="0"/>
          <w:sz w:val="24"/>
          <w:lang w:val="de-DE"/>
        </w:rPr>
        <w:tab/>
        <w:t>R1-16</w:t>
      </w:r>
      <w:r w:rsidR="009B59E5">
        <w:rPr>
          <w:bCs/>
          <w:noProof w:val="0"/>
          <w:sz w:val="24"/>
          <w:lang w:val="de-DE"/>
        </w:rPr>
        <w:t>09663</w:t>
      </w:r>
    </w:p>
    <w:p w14:paraId="2106DCE9" w14:textId="23C86757" w:rsidR="000637E7" w:rsidRDefault="000637E7" w:rsidP="000637E7">
      <w:pPr>
        <w:pStyle w:val="Header"/>
        <w:rPr>
          <w:bCs/>
          <w:noProof w:val="0"/>
          <w:sz w:val="24"/>
          <w:lang w:val="en-GB"/>
        </w:rPr>
      </w:pPr>
      <w:r w:rsidRPr="00CA26CE">
        <w:rPr>
          <w:bCs/>
          <w:noProof w:val="0"/>
          <w:sz w:val="24"/>
          <w:lang w:val="en-GB"/>
        </w:rPr>
        <w:t>Lisbon, Portugal, October 10-14, 2016</w:t>
      </w:r>
    </w:p>
    <w:p w14:paraId="1F55A4DF" w14:textId="77777777" w:rsidR="000637E7" w:rsidRPr="0016316A" w:rsidRDefault="000637E7" w:rsidP="000637E7">
      <w:pPr>
        <w:pStyle w:val="Header"/>
        <w:rPr>
          <w:bCs/>
          <w:noProof w:val="0"/>
          <w:sz w:val="24"/>
          <w:lang w:val="en-GB" w:eastAsia="ja-JP"/>
        </w:rPr>
      </w:pPr>
    </w:p>
    <w:p w14:paraId="33A2CAC4" w14:textId="5A3136B1" w:rsidR="000637E7" w:rsidRPr="001E5981" w:rsidRDefault="000637E7" w:rsidP="000637E7">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9B59E5" w:rsidRPr="00836FE9">
        <w:rPr>
          <w:rFonts w:cs="Arial"/>
          <w:b/>
          <w:bCs/>
          <w:sz w:val="24"/>
        </w:rPr>
        <w:t>8.1.2.2</w:t>
      </w:r>
    </w:p>
    <w:p w14:paraId="07498D2F"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2BB9FE98" w14:textId="7777777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DA2F9E">
        <w:rPr>
          <w:rFonts w:ascii="Arial" w:hAnsi="Arial" w:cs="Arial"/>
          <w:b/>
          <w:bCs/>
          <w:sz w:val="24"/>
        </w:rPr>
        <w:t xml:space="preserve">On </w:t>
      </w:r>
      <w:r w:rsidR="00F70A64">
        <w:rPr>
          <w:rFonts w:ascii="Arial" w:hAnsi="Arial" w:cs="Arial"/>
          <w:b/>
          <w:bCs/>
          <w:sz w:val="24"/>
        </w:rPr>
        <w:t>the mini-slot structures</w:t>
      </w:r>
      <w:r w:rsidR="00B95247">
        <w:rPr>
          <w:rFonts w:ascii="Arial" w:hAnsi="Arial" w:cs="Arial"/>
          <w:b/>
          <w:bCs/>
          <w:sz w:val="24"/>
        </w:rPr>
        <w:t xml:space="preserve"> in NR</w:t>
      </w:r>
    </w:p>
    <w:p w14:paraId="1968E1BE"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67A8E54D" w14:textId="77777777" w:rsidR="0034111C" w:rsidRPr="0016316A" w:rsidRDefault="0034111C">
      <w:pPr>
        <w:pStyle w:val="Heading1"/>
      </w:pPr>
      <w:r w:rsidRPr="0016316A">
        <w:t>1</w:t>
      </w:r>
      <w:r w:rsidRPr="0016316A">
        <w:tab/>
      </w:r>
      <w:r w:rsidR="00EE7FA7" w:rsidRPr="0016316A">
        <w:t>Introduction</w:t>
      </w:r>
    </w:p>
    <w:p w14:paraId="5571AC6A" w14:textId="77777777" w:rsidR="00341E60" w:rsidRDefault="002256D9" w:rsidP="00604B31">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14:paraId="04F03880" w14:textId="2D0C0615" w:rsidR="006427E0" w:rsidRPr="002E758C" w:rsidRDefault="006427E0" w:rsidP="006427E0">
      <w:pPr>
        <w:spacing w:after="120"/>
        <w:jc w:val="both"/>
        <w:rPr>
          <w:bCs/>
        </w:rPr>
      </w:pPr>
      <w:r>
        <w:rPr>
          <w:bCs/>
        </w:rPr>
        <w:t xml:space="preserve">This contribution relates to </w:t>
      </w:r>
      <w:r w:rsidR="000F24EC">
        <w:rPr>
          <w:bCs/>
        </w:rPr>
        <w:t>f</w:t>
      </w:r>
      <w:r w:rsidR="000F24EC" w:rsidRPr="00BD1AC1">
        <w:rPr>
          <w:bCs/>
        </w:rPr>
        <w:t xml:space="preserve">rame structure design for the new RAT based on the assumption that the waveform is </w:t>
      </w:r>
      <w:r w:rsidR="00C02628">
        <w:rPr>
          <w:bCs/>
        </w:rPr>
        <w:t>b</w:t>
      </w:r>
      <w:r w:rsidR="006E169B">
        <w:rPr>
          <w:bCs/>
        </w:rPr>
        <w:t>a</w:t>
      </w:r>
      <w:r w:rsidR="00C02628">
        <w:rPr>
          <w:bCs/>
        </w:rPr>
        <w:t>sed on CP-OFDMA</w:t>
      </w:r>
      <w:r>
        <w:rPr>
          <w:bCs/>
        </w:rPr>
        <w:t xml:space="preserve">. </w:t>
      </w:r>
      <w:r w:rsidR="00C01DD5">
        <w:rPr>
          <w:bCs/>
        </w:rPr>
        <w:t xml:space="preserve">We focus on the mini-slot structure. </w:t>
      </w:r>
      <w:r>
        <w:rPr>
          <w:rFonts w:eastAsia="Malgun Gothic"/>
        </w:rPr>
        <w:t xml:space="preserve">In RAN1 #86, the following agreements related to </w:t>
      </w:r>
      <w:r w:rsidR="00F70A64">
        <w:rPr>
          <w:rFonts w:eastAsia="Malgun Gothic"/>
        </w:rPr>
        <w:t>mini-slot</w:t>
      </w:r>
      <w:r>
        <w:rPr>
          <w:rFonts w:eastAsia="Malgun Gothic"/>
        </w:rPr>
        <w:t xml:space="preserve"> </w:t>
      </w:r>
      <w:r>
        <w:rPr>
          <w:bCs/>
        </w:rPr>
        <w:t>were made [3]</w:t>
      </w:r>
      <w:r>
        <w:rPr>
          <w:rFonts w:eastAsia="Malgun Gothic"/>
        </w:rPr>
        <w:t>:</w:t>
      </w:r>
    </w:p>
    <w:p w14:paraId="0EB43FC0" w14:textId="77777777" w:rsidR="00676809" w:rsidRDefault="00676809" w:rsidP="006427E0">
      <w:pPr>
        <w:spacing w:after="0"/>
        <w:ind w:firstLine="284"/>
        <w:rPr>
          <w:rFonts w:eastAsia="MS Mincho"/>
          <w:b/>
          <w:sz w:val="18"/>
          <w:highlight w:val="green"/>
          <w:u w:val="single"/>
          <w:lang w:val="en-US" w:eastAsia="ja-JP"/>
        </w:rPr>
      </w:pPr>
    </w:p>
    <w:p w14:paraId="33FE5389" w14:textId="77777777" w:rsidR="006427E0" w:rsidRPr="000C1D59" w:rsidRDefault="006427E0" w:rsidP="006427E0">
      <w:pPr>
        <w:spacing w:after="0"/>
        <w:ind w:firstLine="284"/>
        <w:rPr>
          <w:rFonts w:eastAsia="MS Mincho"/>
          <w:b/>
          <w:sz w:val="18"/>
          <w:u w:val="single"/>
          <w:lang w:val="en-US" w:eastAsia="ja-JP"/>
        </w:rPr>
      </w:pPr>
      <w:r w:rsidRPr="000C1D59">
        <w:rPr>
          <w:rFonts w:eastAsia="MS Mincho" w:hint="eastAsia"/>
          <w:b/>
          <w:sz w:val="18"/>
          <w:highlight w:val="green"/>
          <w:u w:val="single"/>
          <w:lang w:val="en-US" w:eastAsia="ja-JP"/>
        </w:rPr>
        <w:t>Agreements:</w:t>
      </w:r>
    </w:p>
    <w:p w14:paraId="3ED77DBF" w14:textId="77777777" w:rsidR="000F24EC" w:rsidRPr="000F24EC" w:rsidRDefault="000F24EC" w:rsidP="00C856DE">
      <w:pPr>
        <w:numPr>
          <w:ilvl w:val="0"/>
          <w:numId w:val="2"/>
        </w:numPr>
        <w:overflowPunct/>
        <w:autoSpaceDE/>
        <w:autoSpaceDN/>
        <w:adjustRightInd/>
        <w:spacing w:after="0"/>
        <w:textAlignment w:val="auto"/>
        <w:rPr>
          <w:rFonts w:eastAsia="MS Mincho"/>
          <w:sz w:val="18"/>
          <w:lang w:val="en-US" w:eastAsia="ja-JP"/>
        </w:rPr>
      </w:pPr>
      <w:r w:rsidRPr="000F24EC">
        <w:rPr>
          <w:rFonts w:eastAsia="MS Mincho" w:hint="eastAsia"/>
          <w:sz w:val="18"/>
          <w:lang w:val="en-US" w:eastAsia="ja-JP"/>
        </w:rPr>
        <w:t xml:space="preserve">Followings are considered as starting points of NR frame structure at least within the CP overhead </w:t>
      </w:r>
    </w:p>
    <w:p w14:paraId="6BFFCD18" w14:textId="77777777" w:rsidR="000F24EC" w:rsidRPr="000F24EC" w:rsidRDefault="000F24EC" w:rsidP="00C856DE">
      <w:pPr>
        <w:numPr>
          <w:ilvl w:val="1"/>
          <w:numId w:val="2"/>
        </w:numPr>
        <w:overflowPunct/>
        <w:autoSpaceDE/>
        <w:autoSpaceDN/>
        <w:adjustRightInd/>
        <w:spacing w:after="0"/>
        <w:textAlignment w:val="auto"/>
        <w:rPr>
          <w:rFonts w:eastAsia="MS Mincho"/>
          <w:sz w:val="18"/>
          <w:lang w:val="en-US" w:eastAsia="ja-JP"/>
        </w:rPr>
      </w:pPr>
      <w:r w:rsidRPr="000F24EC">
        <w:rPr>
          <w:rFonts w:eastAsia="MS Mincho"/>
          <w:sz w:val="18"/>
          <w:lang w:val="en-US" w:eastAsia="ja-JP"/>
        </w:rPr>
        <w:t>Mini-slot</w:t>
      </w:r>
    </w:p>
    <w:p w14:paraId="4F6C0136" w14:textId="77777777" w:rsidR="000F24EC" w:rsidRPr="000F24EC" w:rsidRDefault="000F24EC" w:rsidP="00C856DE">
      <w:pPr>
        <w:numPr>
          <w:ilvl w:val="2"/>
          <w:numId w:val="2"/>
        </w:numPr>
        <w:overflowPunct/>
        <w:autoSpaceDE/>
        <w:autoSpaceDN/>
        <w:adjustRightInd/>
        <w:spacing w:after="0"/>
        <w:textAlignment w:val="auto"/>
        <w:rPr>
          <w:rFonts w:eastAsia="MS Mincho"/>
          <w:sz w:val="18"/>
          <w:lang w:val="en-US" w:eastAsia="ja-JP"/>
        </w:rPr>
      </w:pPr>
      <w:r w:rsidRPr="000F24EC">
        <w:rPr>
          <w:rFonts w:eastAsia="MS Mincho"/>
          <w:sz w:val="18"/>
          <w:lang w:val="en-US" w:eastAsia="ja-JP"/>
        </w:rPr>
        <w:t>Should at least support transmission shorter than y OFDM symbols in the numerology used for transmission</w:t>
      </w:r>
    </w:p>
    <w:p w14:paraId="7D77593E" w14:textId="77777777" w:rsidR="000F24EC" w:rsidRPr="000F24EC" w:rsidRDefault="000F24EC" w:rsidP="00C856DE">
      <w:pPr>
        <w:numPr>
          <w:ilvl w:val="2"/>
          <w:numId w:val="2"/>
        </w:numPr>
        <w:overflowPunct/>
        <w:autoSpaceDE/>
        <w:autoSpaceDN/>
        <w:adjustRightInd/>
        <w:spacing w:after="0"/>
        <w:textAlignment w:val="auto"/>
        <w:rPr>
          <w:rFonts w:eastAsia="MS Mincho"/>
          <w:sz w:val="18"/>
          <w:lang w:val="en-US" w:eastAsia="ja-JP"/>
        </w:rPr>
      </w:pPr>
      <w:r w:rsidRPr="000F24EC">
        <w:rPr>
          <w:rFonts w:eastAsia="MS Mincho"/>
          <w:sz w:val="18"/>
          <w:lang w:val="en-US" w:eastAsia="ja-JP"/>
        </w:rPr>
        <w:t>May contain ctrl at the beginning and/or ctrl at the end</w:t>
      </w:r>
    </w:p>
    <w:p w14:paraId="66A79D8D" w14:textId="77777777" w:rsidR="000F24EC" w:rsidRPr="000F24EC" w:rsidRDefault="000F24EC" w:rsidP="00C856DE">
      <w:pPr>
        <w:numPr>
          <w:ilvl w:val="2"/>
          <w:numId w:val="2"/>
        </w:numPr>
        <w:overflowPunct/>
        <w:autoSpaceDE/>
        <w:autoSpaceDN/>
        <w:adjustRightInd/>
        <w:spacing w:after="0"/>
        <w:ind w:hanging="357"/>
        <w:textAlignment w:val="auto"/>
        <w:rPr>
          <w:rFonts w:eastAsia="MS Mincho"/>
          <w:sz w:val="18"/>
          <w:lang w:val="en-US" w:eastAsia="ja-JP"/>
        </w:rPr>
      </w:pPr>
      <w:r w:rsidRPr="000F24EC">
        <w:rPr>
          <w:rFonts w:eastAsia="MS Mincho"/>
          <w:sz w:val="18"/>
          <w:lang w:val="en-US" w:eastAsia="ja-JP"/>
        </w:rPr>
        <w:t>The smallest mini-slot is the smallest possible scheduling unit (FFS: smallest number of symbols)</w:t>
      </w:r>
    </w:p>
    <w:p w14:paraId="47541824" w14:textId="77777777" w:rsidR="000F24EC" w:rsidRPr="000F24EC" w:rsidRDefault="000F24EC" w:rsidP="00C856DE">
      <w:pPr>
        <w:numPr>
          <w:ilvl w:val="1"/>
          <w:numId w:val="2"/>
        </w:numPr>
        <w:overflowPunct/>
        <w:autoSpaceDE/>
        <w:autoSpaceDN/>
        <w:adjustRightInd/>
        <w:spacing w:after="0"/>
        <w:ind w:hanging="357"/>
        <w:jc w:val="both"/>
        <w:textAlignment w:val="auto"/>
        <w:rPr>
          <w:rFonts w:eastAsia="MS Mincho"/>
          <w:sz w:val="18"/>
          <w:lang w:val="en-US" w:eastAsia="ja-JP"/>
        </w:rPr>
      </w:pPr>
      <w:r w:rsidRPr="000F24EC">
        <w:rPr>
          <w:rFonts w:eastAsia="MS Mincho"/>
          <w:sz w:val="18"/>
          <w:lang w:val="en-US" w:eastAsia="ja-JP"/>
        </w:rPr>
        <w:t>Note: the names are for the purpose of discussion. Whether some terms can be merged or not is FFS</w:t>
      </w:r>
    </w:p>
    <w:p w14:paraId="002F08D4" w14:textId="77777777" w:rsidR="00E27749" w:rsidRPr="000F24EC" w:rsidRDefault="000F24EC" w:rsidP="00C856DE">
      <w:pPr>
        <w:numPr>
          <w:ilvl w:val="1"/>
          <w:numId w:val="2"/>
        </w:numPr>
        <w:overflowPunct/>
        <w:autoSpaceDE/>
        <w:autoSpaceDN/>
        <w:adjustRightInd/>
        <w:spacing w:after="120"/>
        <w:jc w:val="both"/>
        <w:textAlignment w:val="auto"/>
        <w:rPr>
          <w:rFonts w:eastAsia="MS Mincho"/>
          <w:sz w:val="18"/>
          <w:lang w:val="en-US" w:eastAsia="ja-JP"/>
        </w:rPr>
      </w:pPr>
      <w:r w:rsidRPr="000F24EC">
        <w:rPr>
          <w:rFonts w:eastAsia="MS Mincho" w:hint="eastAsia"/>
          <w:sz w:val="18"/>
          <w:lang w:val="en-US" w:eastAsia="ja-JP"/>
        </w:rPr>
        <w:t>FFS whether NR frame structure needs to support both slot and mini-slot or these can be merged</w:t>
      </w:r>
    </w:p>
    <w:p w14:paraId="27726823" w14:textId="77777777" w:rsidR="006E169B" w:rsidRDefault="006E169B" w:rsidP="006E169B">
      <w:pPr>
        <w:spacing w:after="0"/>
        <w:jc w:val="both"/>
        <w:rPr>
          <w:bCs/>
        </w:rPr>
      </w:pPr>
    </w:p>
    <w:p w14:paraId="0DE8D56F" w14:textId="37580B80" w:rsidR="00C758C6" w:rsidRDefault="00C85277" w:rsidP="00C758C6">
      <w:pPr>
        <w:overflowPunct/>
        <w:autoSpaceDE/>
        <w:adjustRightInd/>
        <w:spacing w:after="120"/>
        <w:jc w:val="both"/>
        <w:rPr>
          <w:rFonts w:eastAsia="MS Mincho"/>
          <w:lang w:val="en-US" w:eastAsia="ja-JP"/>
        </w:rPr>
      </w:pPr>
      <w:r>
        <w:rPr>
          <w:bCs/>
        </w:rPr>
        <w:t xml:space="preserve">In </w:t>
      </w:r>
      <w:r w:rsidRPr="00BD1AC1">
        <w:rPr>
          <w:bCs/>
        </w:rPr>
        <w:t xml:space="preserve">this contribution we </w:t>
      </w:r>
      <w:r w:rsidR="00604B31" w:rsidRPr="00BD1AC1">
        <w:rPr>
          <w:bCs/>
        </w:rPr>
        <w:t>provide</w:t>
      </w:r>
      <w:r w:rsidRPr="00BD1AC1">
        <w:rPr>
          <w:bCs/>
        </w:rPr>
        <w:t xml:space="preserve"> </w:t>
      </w:r>
      <w:r w:rsidR="00B95247">
        <w:rPr>
          <w:bCs/>
        </w:rPr>
        <w:t>our views on</w:t>
      </w:r>
      <w:r w:rsidR="00DA2F9E">
        <w:rPr>
          <w:bCs/>
        </w:rPr>
        <w:t xml:space="preserve"> the </w:t>
      </w:r>
      <w:r w:rsidR="00F70A64">
        <w:rPr>
          <w:bCs/>
        </w:rPr>
        <w:t>mini-slot design</w:t>
      </w:r>
      <w:r w:rsidRPr="00BD1AC1">
        <w:rPr>
          <w:bCs/>
        </w:rPr>
        <w:t>.</w:t>
      </w:r>
      <w:r w:rsidR="00164171" w:rsidRPr="00BD1AC1">
        <w:rPr>
          <w:bCs/>
        </w:rPr>
        <w:t xml:space="preserve"> </w:t>
      </w:r>
      <w:r w:rsidR="00C758C6">
        <w:rPr>
          <w:rFonts w:eastAsia="MS Mincho"/>
          <w:lang w:val="en-US" w:eastAsia="ja-JP"/>
        </w:rPr>
        <w:t>In a companion contribution [</w:t>
      </w:r>
      <w:r w:rsidR="00836FE9">
        <w:rPr>
          <w:rFonts w:eastAsia="MS Mincho"/>
          <w:lang w:val="en-US" w:eastAsia="ja-JP"/>
        </w:rPr>
        <w:t>5</w:t>
      </w:r>
      <w:r w:rsidR="00C758C6">
        <w:rPr>
          <w:rFonts w:eastAsia="MS Mincho"/>
          <w:lang w:val="en-US" w:eastAsia="ja-JP"/>
        </w:rPr>
        <w:t>] we evaluate the mini-slot performance against slot-based approach.</w:t>
      </w:r>
    </w:p>
    <w:p w14:paraId="23EF950A" w14:textId="77777777" w:rsidR="004B23AD" w:rsidRDefault="008D4B8A" w:rsidP="004B23AD">
      <w:pPr>
        <w:pStyle w:val="Heading1"/>
      </w:pPr>
      <w:r>
        <w:rPr>
          <w:color w:val="000000"/>
        </w:rPr>
        <w:t>2</w:t>
      </w:r>
      <w:r w:rsidR="004B23AD" w:rsidRPr="00A51522">
        <w:rPr>
          <w:color w:val="000000"/>
        </w:rPr>
        <w:tab/>
      </w:r>
      <w:r w:rsidR="004E4650">
        <w:t>Mini-slot scenarios</w:t>
      </w:r>
    </w:p>
    <w:p w14:paraId="393569FD" w14:textId="77777777" w:rsidR="00AF48D5" w:rsidRDefault="00AF48D5" w:rsidP="00105ED8">
      <w:pPr>
        <w:overflowPunct/>
        <w:autoSpaceDE/>
        <w:autoSpaceDN/>
        <w:adjustRightInd/>
        <w:spacing w:after="0"/>
        <w:textAlignment w:val="auto"/>
        <w:rPr>
          <w:rFonts w:eastAsia="MS Mincho"/>
          <w:lang w:val="en-US" w:eastAsia="ja-JP"/>
        </w:rPr>
      </w:pPr>
      <w:r>
        <w:rPr>
          <w:rFonts w:eastAsia="MS Mincho"/>
          <w:lang w:val="en-US" w:eastAsia="ja-JP"/>
        </w:rPr>
        <w:t>We think that two main scenarios that could benefit from mini-slots are:</w:t>
      </w:r>
    </w:p>
    <w:p w14:paraId="512FE214" w14:textId="77777777" w:rsidR="00AF48D5" w:rsidRDefault="00AF48D5" w:rsidP="00AF48D5">
      <w:pPr>
        <w:pStyle w:val="ListParagraph"/>
        <w:numPr>
          <w:ilvl w:val="0"/>
          <w:numId w:val="9"/>
        </w:numPr>
        <w:rPr>
          <w:rFonts w:eastAsia="MS Mincho"/>
          <w:sz w:val="20"/>
          <w:lang w:val="en-US" w:eastAsia="ja-JP"/>
        </w:rPr>
      </w:pPr>
      <w:r>
        <w:rPr>
          <w:rFonts w:eastAsia="MS Mincho"/>
          <w:sz w:val="20"/>
          <w:lang w:val="en-US" w:eastAsia="ja-JP"/>
        </w:rPr>
        <w:t>Latency reduction</w:t>
      </w:r>
    </w:p>
    <w:p w14:paraId="35010AEF" w14:textId="77777777" w:rsidR="00AF48D5" w:rsidRDefault="00AF48D5" w:rsidP="00AF48D5">
      <w:pPr>
        <w:pStyle w:val="ListParagraph"/>
        <w:numPr>
          <w:ilvl w:val="0"/>
          <w:numId w:val="9"/>
        </w:numPr>
        <w:rPr>
          <w:rFonts w:eastAsia="MS Mincho"/>
          <w:sz w:val="20"/>
          <w:lang w:val="en-US" w:eastAsia="ja-JP"/>
        </w:rPr>
      </w:pPr>
      <w:r>
        <w:rPr>
          <w:rFonts w:eastAsia="MS Mincho"/>
          <w:sz w:val="20"/>
          <w:lang w:val="en-US" w:eastAsia="ja-JP"/>
        </w:rPr>
        <w:t xml:space="preserve">Unlicensed band operation. </w:t>
      </w:r>
    </w:p>
    <w:p w14:paraId="040D3B5C" w14:textId="77777777" w:rsidR="00AF48D5" w:rsidRDefault="00AF48D5" w:rsidP="00AF48D5">
      <w:pPr>
        <w:rPr>
          <w:rFonts w:eastAsia="MS Mincho"/>
          <w:lang w:val="en-US" w:eastAsia="ja-JP"/>
        </w:rPr>
      </w:pPr>
      <w:r>
        <w:rPr>
          <w:rFonts w:eastAsia="MS Mincho"/>
          <w:lang w:val="en-US" w:eastAsia="ja-JP"/>
        </w:rPr>
        <w:t>In the following we provide more details on these scenarios.</w:t>
      </w:r>
    </w:p>
    <w:p w14:paraId="0AAAE54F" w14:textId="77777777" w:rsidR="00AF48D5" w:rsidRPr="00AF48D5" w:rsidRDefault="00575738" w:rsidP="00AF48D5">
      <w:pPr>
        <w:pStyle w:val="Heading2"/>
        <w:rPr>
          <w:sz w:val="28"/>
        </w:rPr>
      </w:pPr>
      <w:r>
        <w:rPr>
          <w:sz w:val="28"/>
          <w:lang w:eastAsia="zh-CN"/>
        </w:rPr>
        <w:t>2</w:t>
      </w:r>
      <w:r w:rsidR="00AF48D5" w:rsidRPr="00AF48D5">
        <w:rPr>
          <w:sz w:val="28"/>
          <w:lang w:eastAsia="zh-CN"/>
        </w:rPr>
        <w:t>.</w:t>
      </w:r>
      <w:r>
        <w:rPr>
          <w:sz w:val="28"/>
          <w:lang w:eastAsia="zh-CN"/>
        </w:rPr>
        <w:t>1</w:t>
      </w:r>
      <w:r w:rsidR="00AF48D5" w:rsidRPr="00AF48D5">
        <w:rPr>
          <w:sz w:val="28"/>
        </w:rPr>
        <w:tab/>
        <w:t>Latency reduction</w:t>
      </w:r>
    </w:p>
    <w:p w14:paraId="592BB39B" w14:textId="41522F0B" w:rsidR="00A51A87" w:rsidRDefault="00F70A64" w:rsidP="00105ED8">
      <w:pPr>
        <w:overflowPunct/>
        <w:autoSpaceDE/>
        <w:autoSpaceDN/>
        <w:adjustRightInd/>
        <w:spacing w:after="0"/>
        <w:textAlignment w:val="auto"/>
        <w:rPr>
          <w:rFonts w:eastAsia="MS Mincho"/>
          <w:lang w:eastAsia="ja-JP"/>
        </w:rPr>
      </w:pPr>
      <w:r>
        <w:rPr>
          <w:rFonts w:eastAsia="MS Mincho"/>
          <w:lang w:val="en-US" w:eastAsia="ja-JP"/>
        </w:rPr>
        <w:t>As</w:t>
      </w:r>
      <w:r>
        <w:rPr>
          <w:rFonts w:eastAsia="MS Mincho"/>
          <w:lang w:eastAsia="ja-JP"/>
        </w:rPr>
        <w:t xml:space="preserve"> agreed in RAN1#86, two possible scheduling units being considered for the NR</w:t>
      </w:r>
      <w:r w:rsidR="00A51A87">
        <w:rPr>
          <w:rFonts w:eastAsia="MS Mincho"/>
          <w:lang w:eastAsia="ja-JP"/>
        </w:rPr>
        <w:t xml:space="preserve"> </w:t>
      </w:r>
      <w:r w:rsidR="00B752B7">
        <w:rPr>
          <w:rFonts w:eastAsia="MS Mincho"/>
          <w:lang w:eastAsia="ja-JP"/>
        </w:rPr>
        <w:t xml:space="preserve">are </w:t>
      </w:r>
      <w:r w:rsidR="00A51A87">
        <w:rPr>
          <w:rFonts w:eastAsia="MS Mincho"/>
          <w:lang w:eastAsia="ja-JP"/>
        </w:rPr>
        <w:t xml:space="preserve">1) </w:t>
      </w:r>
      <w:r>
        <w:rPr>
          <w:rFonts w:eastAsia="MS Mincho"/>
          <w:lang w:eastAsia="ja-JP"/>
        </w:rPr>
        <w:t xml:space="preserve">slot and </w:t>
      </w:r>
      <w:r w:rsidR="00A51A87">
        <w:rPr>
          <w:rFonts w:eastAsia="MS Mincho"/>
          <w:lang w:eastAsia="ja-JP"/>
        </w:rPr>
        <w:t xml:space="preserve">2) </w:t>
      </w:r>
      <w:r>
        <w:rPr>
          <w:rFonts w:eastAsia="MS Mincho"/>
          <w:lang w:eastAsia="ja-JP"/>
        </w:rPr>
        <w:t xml:space="preserve">mini-slot. </w:t>
      </w:r>
    </w:p>
    <w:p w14:paraId="7C962C14" w14:textId="77777777" w:rsidR="00A51A87" w:rsidRPr="00A51A87" w:rsidRDefault="00A51A87" w:rsidP="00A51A87">
      <w:pPr>
        <w:pStyle w:val="ListParagraph"/>
        <w:numPr>
          <w:ilvl w:val="0"/>
          <w:numId w:val="6"/>
        </w:numPr>
        <w:rPr>
          <w:rFonts w:eastAsia="MS Mincho"/>
          <w:lang w:val="en-US" w:eastAsia="ja-JP"/>
        </w:rPr>
      </w:pPr>
      <w:r w:rsidRPr="00A51A87">
        <w:rPr>
          <w:rFonts w:eastAsia="MS Mincho"/>
          <w:sz w:val="20"/>
          <w:lang w:val="en-US" w:eastAsia="ja-JP"/>
        </w:rPr>
        <w:t xml:space="preserve">The length of </w:t>
      </w:r>
      <w:r w:rsidR="002A40F9">
        <w:rPr>
          <w:rFonts w:eastAsia="MS Mincho"/>
          <w:sz w:val="20"/>
          <w:lang w:val="en-US" w:eastAsia="ja-JP"/>
        </w:rPr>
        <w:t xml:space="preserve">a </w:t>
      </w:r>
      <w:r w:rsidRPr="00A51A87">
        <w:rPr>
          <w:rFonts w:eastAsia="MS Mincho"/>
          <w:sz w:val="20"/>
          <w:lang w:val="en-US" w:eastAsia="ja-JP"/>
        </w:rPr>
        <w:t>slot is either 7 or 14 OFDMA symbol</w:t>
      </w:r>
      <w:r>
        <w:rPr>
          <w:rFonts w:eastAsia="MS Mincho"/>
          <w:sz w:val="20"/>
          <w:lang w:val="en-US" w:eastAsia="ja-JP"/>
        </w:rPr>
        <w:t xml:space="preserve"> (y=7, or y=14)</w:t>
      </w:r>
    </w:p>
    <w:p w14:paraId="2825F540" w14:textId="77777777" w:rsidR="00A51A87" w:rsidRPr="00A51A87" w:rsidRDefault="00A51A87" w:rsidP="00A51A87">
      <w:pPr>
        <w:pStyle w:val="ListParagraph"/>
        <w:numPr>
          <w:ilvl w:val="0"/>
          <w:numId w:val="6"/>
        </w:numPr>
        <w:rPr>
          <w:rFonts w:eastAsia="MS Mincho"/>
          <w:lang w:val="en-US" w:eastAsia="ja-JP"/>
        </w:rPr>
      </w:pPr>
      <w:r>
        <w:rPr>
          <w:rFonts w:eastAsia="MS Mincho"/>
          <w:sz w:val="20"/>
          <w:lang w:val="en-US" w:eastAsia="ja-JP"/>
        </w:rPr>
        <w:t xml:space="preserve">Provided that mini-slot should support transmission shorter than y OFDMA symbols, the mini-slot length </w:t>
      </w:r>
      <w:r w:rsidR="00F277EC">
        <w:rPr>
          <w:rFonts w:eastAsia="MS Mincho"/>
          <w:sz w:val="20"/>
          <w:lang w:val="en-US" w:eastAsia="ja-JP"/>
        </w:rPr>
        <w:t>may vary</w:t>
      </w:r>
      <w:r>
        <w:rPr>
          <w:rFonts w:eastAsia="MS Mincho"/>
          <w:sz w:val="20"/>
          <w:lang w:val="en-US" w:eastAsia="ja-JP"/>
        </w:rPr>
        <w:t xml:space="preserve"> between 1 and 6 OFDMA symbols</w:t>
      </w:r>
      <w:r w:rsidR="00575738">
        <w:rPr>
          <w:rFonts w:eastAsia="MS Mincho"/>
          <w:sz w:val="20"/>
          <w:lang w:val="en-US" w:eastAsia="ja-JP"/>
        </w:rPr>
        <w:t>.</w:t>
      </w:r>
    </w:p>
    <w:p w14:paraId="533E6700" w14:textId="77777777" w:rsidR="00A51A87" w:rsidRPr="00A51A87" w:rsidRDefault="00A51A87" w:rsidP="00A51A87">
      <w:pPr>
        <w:pStyle w:val="ListParagraph"/>
        <w:rPr>
          <w:rFonts w:eastAsia="MS Mincho"/>
          <w:lang w:val="en-US" w:eastAsia="ja-JP"/>
        </w:rPr>
      </w:pPr>
    </w:p>
    <w:p w14:paraId="1C02412C" w14:textId="08E3838E" w:rsidR="00A51A87" w:rsidRDefault="00AF48D5" w:rsidP="00105ED8">
      <w:pPr>
        <w:overflowPunct/>
        <w:autoSpaceDE/>
        <w:autoSpaceDN/>
        <w:adjustRightInd/>
        <w:spacing w:after="0"/>
        <w:textAlignment w:val="auto"/>
        <w:rPr>
          <w:bCs/>
        </w:rPr>
      </w:pPr>
      <w:r>
        <w:rPr>
          <w:bCs/>
        </w:rPr>
        <w:t>A</w:t>
      </w:r>
      <w:r w:rsidR="00F70A64">
        <w:rPr>
          <w:bCs/>
        </w:rPr>
        <w:t xml:space="preserve"> motivation </w:t>
      </w:r>
      <w:r w:rsidR="00A51A87">
        <w:rPr>
          <w:bCs/>
        </w:rPr>
        <w:t>behind</w:t>
      </w:r>
      <w:r w:rsidR="00F70A64">
        <w:rPr>
          <w:bCs/>
        </w:rPr>
        <w:t xml:space="preserve"> </w:t>
      </w:r>
      <w:r w:rsidR="00A51A87">
        <w:rPr>
          <w:bCs/>
        </w:rPr>
        <w:t xml:space="preserve">introduction of mini-slot on top of NR frame structure is </w:t>
      </w:r>
      <w:r w:rsidR="0053529E">
        <w:rPr>
          <w:bCs/>
        </w:rPr>
        <w:t>latency reduction. On the other hand, as</w:t>
      </w:r>
      <w:r w:rsidR="00A51A87">
        <w:rPr>
          <w:bCs/>
        </w:rPr>
        <w:t xml:space="preserve"> discussed </w:t>
      </w:r>
      <w:r w:rsidR="006E169B">
        <w:rPr>
          <w:bCs/>
        </w:rPr>
        <w:t xml:space="preserve">e.g. </w:t>
      </w:r>
      <w:r w:rsidR="00A51A87">
        <w:rPr>
          <w:bCs/>
        </w:rPr>
        <w:t>in [5] s</w:t>
      </w:r>
      <w:r w:rsidR="00A51A87" w:rsidRPr="00A51A87">
        <w:rPr>
          <w:bCs/>
        </w:rPr>
        <w:t>hort symbol/</w:t>
      </w:r>
      <w:r w:rsidR="00A51A87">
        <w:rPr>
          <w:bCs/>
        </w:rPr>
        <w:t xml:space="preserve">slot duration </w:t>
      </w:r>
      <w:r w:rsidR="00A51A87" w:rsidRPr="00A51A87">
        <w:rPr>
          <w:bCs/>
        </w:rPr>
        <w:t>on top of bi-directional subframe pr</w:t>
      </w:r>
      <w:r w:rsidR="0053529E">
        <w:rPr>
          <w:bCs/>
        </w:rPr>
        <w:t>ovides inbuilt support for low latency</w:t>
      </w:r>
      <w:r w:rsidR="00A51A87" w:rsidRPr="00A51A87">
        <w:rPr>
          <w:bCs/>
        </w:rPr>
        <w:t>, provided that UE/eNB processing times are reduced accordingly.</w:t>
      </w:r>
      <w:r w:rsidR="00A51A87">
        <w:rPr>
          <w:bCs/>
        </w:rPr>
        <w:t xml:space="preserve"> </w:t>
      </w:r>
      <w:r w:rsidR="0053529E">
        <w:rPr>
          <w:bCs/>
        </w:rPr>
        <w:t xml:space="preserve">For example, </w:t>
      </w:r>
    </w:p>
    <w:p w14:paraId="745E1009" w14:textId="1B3A87CD" w:rsidR="00F432C7" w:rsidRPr="003B2ABE" w:rsidRDefault="0053529E" w:rsidP="00C0656E">
      <w:pPr>
        <w:pStyle w:val="ListParagraph"/>
        <w:numPr>
          <w:ilvl w:val="0"/>
          <w:numId w:val="8"/>
        </w:numPr>
        <w:rPr>
          <w:bCs/>
          <w:lang w:val="en-US"/>
        </w:rPr>
      </w:pPr>
      <w:r w:rsidRPr="00C0656E">
        <w:rPr>
          <w:bCs/>
          <w:sz w:val="20"/>
          <w:lang w:val="en-GB"/>
        </w:rPr>
        <w:t xml:space="preserve">Assuming slot length of 7 OFDMA symbols and subcarrier spacing of 60 kHz, it is possible to achieve the URLLC 0.5ms user plane latency target for both </w:t>
      </w:r>
      <w:r w:rsidR="006E169B" w:rsidRPr="00C0656E">
        <w:rPr>
          <w:bCs/>
          <w:sz w:val="20"/>
          <w:lang w:val="en-GB"/>
        </w:rPr>
        <w:t>FDD and TDD.</w:t>
      </w:r>
      <w:r w:rsidR="003B2ABE" w:rsidRPr="00836FE9">
        <w:rPr>
          <w:bCs/>
          <w:lang w:val="en-US"/>
        </w:rPr>
        <w:t xml:space="preserve"> </w:t>
      </w:r>
      <w:r w:rsidR="00F432C7" w:rsidRPr="00C0656E">
        <w:rPr>
          <w:bCs/>
          <w:sz w:val="20"/>
          <w:lang w:val="en-GB"/>
        </w:rPr>
        <w:t>In this case, it is also very challenging from UE/eNB processing time perspective if the sch</w:t>
      </w:r>
      <w:r w:rsidR="00F432C7" w:rsidRPr="003B2ABE">
        <w:rPr>
          <w:bCs/>
          <w:sz w:val="20"/>
          <w:lang w:val="en-GB"/>
        </w:rPr>
        <w:t>eduling unit is further reduced to be less than 7 symbols.</w:t>
      </w:r>
    </w:p>
    <w:p w14:paraId="579A31DD" w14:textId="2F787334" w:rsidR="0053529E" w:rsidRPr="00836FE9" w:rsidRDefault="0053529E" w:rsidP="00C30695">
      <w:pPr>
        <w:pStyle w:val="ListParagraph"/>
        <w:numPr>
          <w:ilvl w:val="0"/>
          <w:numId w:val="8"/>
        </w:numPr>
        <w:rPr>
          <w:bCs/>
          <w:lang w:val="en-US"/>
        </w:rPr>
      </w:pPr>
      <w:r w:rsidRPr="0053529E">
        <w:rPr>
          <w:bCs/>
          <w:sz w:val="20"/>
          <w:lang w:val="en-US"/>
        </w:rPr>
        <w:t xml:space="preserve">With slot length of 7 OFDMA symbols and subcarrier spacing of 60 kHz, it is possible to achieve URLLC latency target </w:t>
      </w:r>
      <w:r>
        <w:rPr>
          <w:bCs/>
          <w:sz w:val="20"/>
          <w:lang w:val="en-US"/>
        </w:rPr>
        <w:t xml:space="preserve">with reasonable processing times </w:t>
      </w:r>
      <w:r w:rsidRPr="0053529E">
        <w:rPr>
          <w:bCs/>
          <w:sz w:val="20"/>
          <w:lang w:val="en-US"/>
        </w:rPr>
        <w:t xml:space="preserve">also in the </w:t>
      </w:r>
      <w:r>
        <w:rPr>
          <w:bCs/>
          <w:sz w:val="20"/>
          <w:lang w:val="en-US"/>
        </w:rPr>
        <w:t>scenario</w:t>
      </w:r>
      <w:r w:rsidRPr="0053529E">
        <w:rPr>
          <w:bCs/>
          <w:sz w:val="20"/>
          <w:lang w:val="en-US"/>
        </w:rPr>
        <w:t xml:space="preserve"> of </w:t>
      </w:r>
      <w:r w:rsidR="004F718B">
        <w:rPr>
          <w:bCs/>
          <w:sz w:val="20"/>
          <w:lang w:val="en-US"/>
        </w:rPr>
        <w:t>dynamic scheduling based</w:t>
      </w:r>
      <w:r w:rsidRPr="0053529E">
        <w:rPr>
          <w:bCs/>
          <w:sz w:val="20"/>
          <w:lang w:val="en-US"/>
        </w:rPr>
        <w:t xml:space="preserve"> access</w:t>
      </w:r>
      <w:r>
        <w:rPr>
          <w:bCs/>
          <w:sz w:val="20"/>
          <w:lang w:val="en-US"/>
        </w:rPr>
        <w:t>.</w:t>
      </w:r>
    </w:p>
    <w:p w14:paraId="5177CA38" w14:textId="77777777" w:rsidR="001B5AB7" w:rsidRDefault="001B5AB7" w:rsidP="00836FE9">
      <w:pPr>
        <w:pStyle w:val="ListParagraph"/>
        <w:rPr>
          <w:bCs/>
          <w:lang w:val="en-US"/>
        </w:rPr>
      </w:pPr>
    </w:p>
    <w:p w14:paraId="592A6316" w14:textId="2D8FC697" w:rsidR="007C57B0" w:rsidRDefault="00540AA4" w:rsidP="00836FE9">
      <w:pPr>
        <w:rPr>
          <w:bCs/>
        </w:rPr>
      </w:pPr>
      <w:r>
        <w:rPr>
          <w:bCs/>
          <w:lang w:val="en-US"/>
        </w:rPr>
        <w:lastRenderedPageBreak/>
        <w:t xml:space="preserve">Based on the discussion above, it </w:t>
      </w:r>
      <w:r w:rsidR="0097587B">
        <w:rPr>
          <w:bCs/>
          <w:lang w:val="en-US"/>
        </w:rPr>
        <w:t xml:space="preserve">seems that when operating with large subcarrier spacings the need for mini-slot is quite limited </w:t>
      </w:r>
      <w:r w:rsidR="00B752B7">
        <w:rPr>
          <w:bCs/>
          <w:lang w:val="en-US"/>
        </w:rPr>
        <w:t xml:space="preserve">at least </w:t>
      </w:r>
      <w:r w:rsidR="0097587B">
        <w:rPr>
          <w:bCs/>
          <w:lang w:val="en-US"/>
        </w:rPr>
        <w:t>from latency reduction point of view. On the contrary, when operating with small</w:t>
      </w:r>
      <w:r w:rsidR="00B752B7">
        <w:rPr>
          <w:bCs/>
          <w:lang w:val="en-US"/>
        </w:rPr>
        <w:t>er</w:t>
      </w:r>
      <w:r w:rsidR="0097587B">
        <w:rPr>
          <w:bCs/>
          <w:lang w:val="en-US"/>
        </w:rPr>
        <w:t xml:space="preserve"> subcarrier spacings (such as 15 kHz), mini-slot can be seen as a reasonable option</w:t>
      </w:r>
      <w:r w:rsidR="00B752B7">
        <w:rPr>
          <w:bCs/>
          <w:lang w:val="en-US"/>
        </w:rPr>
        <w:t xml:space="preserve"> for latency reduction</w:t>
      </w:r>
      <w:r w:rsidR="00C758C6">
        <w:rPr>
          <w:bCs/>
          <w:lang w:val="en-US"/>
        </w:rPr>
        <w:t>, as discussed in [</w:t>
      </w:r>
      <w:r w:rsidR="00836FE9">
        <w:rPr>
          <w:bCs/>
          <w:lang w:val="en-US"/>
        </w:rPr>
        <w:t>5</w:t>
      </w:r>
      <w:r w:rsidR="00C758C6">
        <w:rPr>
          <w:bCs/>
          <w:lang w:val="en-US"/>
        </w:rPr>
        <w:t>].</w:t>
      </w:r>
    </w:p>
    <w:p w14:paraId="4A2832C9" w14:textId="5277D50C" w:rsidR="00575738" w:rsidRPr="00AF48D5" w:rsidRDefault="00575738" w:rsidP="00575738">
      <w:pPr>
        <w:pStyle w:val="Heading2"/>
        <w:rPr>
          <w:sz w:val="28"/>
        </w:rPr>
      </w:pPr>
      <w:r w:rsidRPr="00D33569">
        <w:rPr>
          <w:sz w:val="28"/>
          <w:lang w:eastAsia="zh-CN"/>
        </w:rPr>
        <w:t>2.2</w:t>
      </w:r>
      <w:r w:rsidRPr="00D33569">
        <w:rPr>
          <w:sz w:val="28"/>
        </w:rPr>
        <w:tab/>
      </w:r>
      <w:r w:rsidR="00F277EC" w:rsidRPr="00D33569">
        <w:rPr>
          <w:sz w:val="28"/>
        </w:rPr>
        <w:t xml:space="preserve">Unlicensed band operation </w:t>
      </w:r>
    </w:p>
    <w:p w14:paraId="1B059480" w14:textId="37234704" w:rsidR="00B4147D" w:rsidRDefault="0056599B" w:rsidP="00D33569">
      <w:pPr>
        <w:overflowPunct/>
        <w:autoSpaceDE/>
        <w:autoSpaceDN/>
        <w:adjustRightInd/>
        <w:spacing w:after="0"/>
        <w:textAlignment w:val="auto"/>
        <w:rPr>
          <w:rFonts w:eastAsia="MS Mincho"/>
          <w:lang w:eastAsia="ja-JP"/>
        </w:rPr>
      </w:pPr>
      <w:r>
        <w:rPr>
          <w:rFonts w:eastAsia="MS Mincho"/>
          <w:lang w:eastAsia="ja-JP"/>
        </w:rPr>
        <w:t xml:space="preserve">When NR is applied on unlicensed band requiring contention based channel access procedure, it is beneficial that eNB or UE can swiftly </w:t>
      </w:r>
      <w:r w:rsidR="005F0F8E">
        <w:rPr>
          <w:rFonts w:eastAsia="MS Mincho"/>
          <w:lang w:eastAsia="ja-JP"/>
        </w:rPr>
        <w:t xml:space="preserve">occupy </w:t>
      </w:r>
      <w:r>
        <w:rPr>
          <w:rFonts w:eastAsia="MS Mincho"/>
          <w:lang w:eastAsia="ja-JP"/>
        </w:rPr>
        <w:t>channel once the channel access procedure indicates the channel to be vacant.</w:t>
      </w:r>
      <w:r w:rsidR="00B4147D">
        <w:rPr>
          <w:rFonts w:eastAsia="MS Mincho"/>
          <w:lang w:eastAsia="ja-JP"/>
        </w:rPr>
        <w:t xml:space="preserve"> If eNB or UE waits for too long in self-deferral to align transmissions with slot boundary, more agile systems may occupy the channel in </w:t>
      </w:r>
      <w:r w:rsidR="00BC5A27">
        <w:rPr>
          <w:rFonts w:eastAsia="MS Mincho"/>
          <w:lang w:eastAsia="ja-JP"/>
        </w:rPr>
        <w:t xml:space="preserve">the </w:t>
      </w:r>
      <w:r w:rsidR="00B4147D">
        <w:rPr>
          <w:rFonts w:eastAsia="MS Mincho"/>
          <w:lang w:eastAsia="ja-JP"/>
        </w:rPr>
        <w:t xml:space="preserve">meanwhile. </w:t>
      </w:r>
    </w:p>
    <w:p w14:paraId="75A698E6" w14:textId="77777777" w:rsidR="00B4147D" w:rsidRDefault="00B4147D" w:rsidP="00D33569">
      <w:pPr>
        <w:overflowPunct/>
        <w:autoSpaceDE/>
        <w:autoSpaceDN/>
        <w:adjustRightInd/>
        <w:spacing w:after="0"/>
        <w:textAlignment w:val="auto"/>
        <w:rPr>
          <w:rFonts w:eastAsia="MS Mincho"/>
          <w:lang w:eastAsia="ja-JP"/>
        </w:rPr>
      </w:pPr>
    </w:p>
    <w:p w14:paraId="7447D4C9" w14:textId="3EBD02D0" w:rsidR="00B4147D" w:rsidRDefault="00B4147D" w:rsidP="00D33569">
      <w:pPr>
        <w:overflowPunct/>
        <w:autoSpaceDE/>
        <w:autoSpaceDN/>
        <w:adjustRightInd/>
        <w:spacing w:after="0"/>
        <w:textAlignment w:val="auto"/>
        <w:rPr>
          <w:rFonts w:eastAsia="MS Mincho"/>
          <w:lang w:eastAsia="ja-JP"/>
        </w:rPr>
      </w:pPr>
      <w:r>
        <w:rPr>
          <w:rFonts w:eastAsia="MS Mincho"/>
          <w:lang w:eastAsia="ja-JP"/>
        </w:rPr>
        <w:t xml:space="preserve">There are </w:t>
      </w:r>
      <w:r w:rsidR="00BC5A27">
        <w:rPr>
          <w:rFonts w:eastAsia="MS Mincho"/>
          <w:lang w:eastAsia="ja-JP"/>
        </w:rPr>
        <w:t xml:space="preserve">a </w:t>
      </w:r>
      <w:r>
        <w:rPr>
          <w:rFonts w:eastAsia="MS Mincho"/>
          <w:lang w:eastAsia="ja-JP"/>
        </w:rPr>
        <w:t>few options to occupy</w:t>
      </w:r>
      <w:r w:rsidR="00BC5A27">
        <w:rPr>
          <w:rFonts w:eastAsia="MS Mincho"/>
          <w:lang w:eastAsia="ja-JP"/>
        </w:rPr>
        <w:t xml:space="preserve"> the</w:t>
      </w:r>
      <w:r>
        <w:rPr>
          <w:rFonts w:eastAsia="MS Mincho"/>
          <w:lang w:eastAsia="ja-JP"/>
        </w:rPr>
        <w:t xml:space="preserve"> channel in a swift manner: </w:t>
      </w:r>
    </w:p>
    <w:p w14:paraId="53653BB5" w14:textId="0FCFF8E3" w:rsidR="006B3497" w:rsidRPr="00836FE9" w:rsidRDefault="006B3497" w:rsidP="00836FE9">
      <w:pPr>
        <w:pStyle w:val="ListParagraph"/>
        <w:numPr>
          <w:ilvl w:val="0"/>
          <w:numId w:val="12"/>
        </w:numPr>
        <w:rPr>
          <w:rFonts w:eastAsia="MS Mincho"/>
          <w:lang w:val="en-US" w:eastAsia="ja-JP"/>
        </w:rPr>
      </w:pPr>
      <w:r>
        <w:rPr>
          <w:rFonts w:eastAsia="MS Mincho"/>
          <w:sz w:val="20"/>
          <w:szCs w:val="20"/>
          <w:lang w:val="en-GB" w:eastAsia="ja-JP"/>
        </w:rPr>
        <w:t xml:space="preserve">Time scale between </w:t>
      </w:r>
      <w:r w:rsidR="00463F33">
        <w:rPr>
          <w:rFonts w:eastAsia="MS Mincho"/>
          <w:sz w:val="20"/>
          <w:szCs w:val="20"/>
          <w:lang w:val="en-GB" w:eastAsia="ja-JP"/>
        </w:rPr>
        <w:t xml:space="preserve">the </w:t>
      </w:r>
      <w:r>
        <w:rPr>
          <w:rFonts w:eastAsia="MS Mincho"/>
          <w:sz w:val="20"/>
          <w:szCs w:val="20"/>
          <w:lang w:val="en-GB" w:eastAsia="ja-JP"/>
        </w:rPr>
        <w:t xml:space="preserve">consecutive </w:t>
      </w:r>
      <w:r w:rsidR="00463F33">
        <w:rPr>
          <w:rFonts w:eastAsia="MS Mincho"/>
          <w:sz w:val="20"/>
          <w:szCs w:val="20"/>
          <w:lang w:val="en-GB" w:eastAsia="ja-JP"/>
        </w:rPr>
        <w:t xml:space="preserve">possible </w:t>
      </w:r>
      <w:r>
        <w:rPr>
          <w:rFonts w:eastAsia="MS Mincho"/>
          <w:sz w:val="20"/>
          <w:szCs w:val="20"/>
          <w:lang w:val="en-GB" w:eastAsia="ja-JP"/>
        </w:rPr>
        <w:t xml:space="preserve">transmission starting positions is </w:t>
      </w:r>
      <w:r w:rsidR="00FD721A">
        <w:rPr>
          <w:rFonts w:eastAsia="MS Mincho"/>
          <w:sz w:val="20"/>
          <w:szCs w:val="20"/>
          <w:lang w:val="en-GB" w:eastAsia="ja-JP"/>
        </w:rPr>
        <w:t>sufficiently short in light of</w:t>
      </w:r>
      <w:r>
        <w:rPr>
          <w:rFonts w:eastAsia="MS Mincho"/>
          <w:sz w:val="20"/>
          <w:szCs w:val="20"/>
          <w:lang w:val="en-GB" w:eastAsia="ja-JP"/>
        </w:rPr>
        <w:t xml:space="preserve"> the channel access procedure time scale</w:t>
      </w:r>
      <w:r w:rsidR="00FD721A">
        <w:rPr>
          <w:rFonts w:eastAsia="MS Mincho"/>
          <w:sz w:val="20"/>
          <w:szCs w:val="20"/>
          <w:lang w:val="en-GB" w:eastAsia="ja-JP"/>
        </w:rPr>
        <w:t>s</w:t>
      </w:r>
      <w:r>
        <w:rPr>
          <w:rFonts w:eastAsia="MS Mincho"/>
          <w:sz w:val="20"/>
          <w:szCs w:val="20"/>
          <w:lang w:val="en-GB" w:eastAsia="ja-JP"/>
        </w:rPr>
        <w:t xml:space="preserve"> determined e.g. in regulations.     </w:t>
      </w:r>
    </w:p>
    <w:p w14:paraId="25297DE1" w14:textId="6020475E" w:rsidR="005F0F8E" w:rsidRPr="00836FE9" w:rsidRDefault="005F0F8E" w:rsidP="00836FE9">
      <w:pPr>
        <w:pStyle w:val="ListParagraph"/>
        <w:numPr>
          <w:ilvl w:val="0"/>
          <w:numId w:val="12"/>
        </w:numPr>
        <w:rPr>
          <w:rFonts w:eastAsia="MS Mincho"/>
          <w:lang w:val="en-US" w:eastAsia="ja-JP"/>
        </w:rPr>
      </w:pPr>
      <w:r w:rsidRPr="00836FE9">
        <w:rPr>
          <w:rFonts w:eastAsia="MS Mincho"/>
          <w:sz w:val="20"/>
          <w:szCs w:val="20"/>
          <w:lang w:val="en-GB" w:eastAsia="ja-JP"/>
        </w:rPr>
        <w:t xml:space="preserve">Slot timing is made floating. </w:t>
      </w:r>
      <w:r>
        <w:rPr>
          <w:rFonts w:eastAsia="MS Mincho"/>
          <w:sz w:val="20"/>
          <w:szCs w:val="20"/>
          <w:lang w:val="en-GB" w:eastAsia="ja-JP"/>
        </w:rPr>
        <w:t>This approach significantly deviates from the basic paradigm of frame based access and, hence, introduces</w:t>
      </w:r>
      <w:r w:rsidR="00FB7FCA">
        <w:rPr>
          <w:rFonts w:eastAsia="MS Mincho"/>
          <w:sz w:val="20"/>
          <w:szCs w:val="20"/>
          <w:lang w:val="en-GB" w:eastAsia="ja-JP"/>
        </w:rPr>
        <w:t xml:space="preserve"> </w:t>
      </w:r>
      <w:r w:rsidR="006B3497">
        <w:rPr>
          <w:rFonts w:eastAsia="MS Mincho"/>
          <w:sz w:val="20"/>
          <w:szCs w:val="20"/>
          <w:lang w:val="en-GB" w:eastAsia="ja-JP"/>
        </w:rPr>
        <w:t>complexity e.g. in multiplexing of periodic signals bound to the frame structure</w:t>
      </w:r>
      <w:r w:rsidR="00DA7E5F">
        <w:rPr>
          <w:rFonts w:eastAsia="MS Mincho"/>
          <w:sz w:val="20"/>
          <w:szCs w:val="20"/>
          <w:lang w:val="en-GB" w:eastAsia="ja-JP"/>
        </w:rPr>
        <w:t xml:space="preserve"> and in control signal timing</w:t>
      </w:r>
      <w:r w:rsidR="00F87D1A">
        <w:rPr>
          <w:rFonts w:eastAsia="MS Mincho"/>
          <w:sz w:val="20"/>
          <w:szCs w:val="20"/>
          <w:lang w:val="en-GB" w:eastAsia="ja-JP"/>
        </w:rPr>
        <w:t>.</w:t>
      </w:r>
    </w:p>
    <w:p w14:paraId="344653B4" w14:textId="515EDBA8" w:rsidR="0056599B" w:rsidRPr="00836FE9" w:rsidRDefault="006B3497" w:rsidP="00836FE9">
      <w:pPr>
        <w:pStyle w:val="ListParagraph"/>
        <w:numPr>
          <w:ilvl w:val="0"/>
          <w:numId w:val="12"/>
        </w:numPr>
        <w:rPr>
          <w:rFonts w:eastAsia="MS Mincho"/>
          <w:lang w:eastAsia="ja-JP"/>
        </w:rPr>
      </w:pPr>
      <w:r>
        <w:rPr>
          <w:rFonts w:eastAsia="MS Mincho"/>
          <w:sz w:val="20"/>
          <w:szCs w:val="20"/>
          <w:lang w:val="en-GB" w:eastAsia="ja-JP"/>
        </w:rPr>
        <w:t>eNB or UE transmits reservation signal from channel access to the next slot boundary. However, reservation signal is unnecessary overhead.</w:t>
      </w:r>
    </w:p>
    <w:p w14:paraId="451B5E14" w14:textId="77777777" w:rsidR="0056599B" w:rsidRDefault="0056599B" w:rsidP="00D33569">
      <w:pPr>
        <w:overflowPunct/>
        <w:autoSpaceDE/>
        <w:autoSpaceDN/>
        <w:adjustRightInd/>
        <w:spacing w:after="0"/>
        <w:textAlignment w:val="auto"/>
        <w:rPr>
          <w:rFonts w:eastAsia="MS Mincho"/>
          <w:lang w:eastAsia="ja-JP"/>
        </w:rPr>
      </w:pPr>
    </w:p>
    <w:p w14:paraId="41BD6004" w14:textId="0CC6594A" w:rsidR="0056599B" w:rsidRDefault="00463F33" w:rsidP="00D33569">
      <w:pPr>
        <w:overflowPunct/>
        <w:autoSpaceDE/>
        <w:autoSpaceDN/>
        <w:adjustRightInd/>
        <w:spacing w:after="0"/>
        <w:textAlignment w:val="auto"/>
        <w:rPr>
          <w:rFonts w:eastAsia="MS Mincho"/>
          <w:lang w:eastAsia="ja-JP"/>
        </w:rPr>
      </w:pPr>
      <w:r>
        <w:rPr>
          <w:rFonts w:eastAsia="MS Mincho"/>
          <w:lang w:eastAsia="ja-JP"/>
        </w:rPr>
        <w:t xml:space="preserve">Mini-slot presents </w:t>
      </w:r>
      <w:r w:rsidR="00BC5A27">
        <w:rPr>
          <w:rFonts w:eastAsia="MS Mincho"/>
          <w:lang w:eastAsia="ja-JP"/>
        </w:rPr>
        <w:t xml:space="preserve">an </w:t>
      </w:r>
      <w:r>
        <w:rPr>
          <w:rFonts w:eastAsia="MS Mincho"/>
          <w:lang w:eastAsia="ja-JP"/>
        </w:rPr>
        <w:t>efficient way to reduce the time between the consecutive possible transmission starting positions. However, more frequent transmission starting positions increase control channel blind</w:t>
      </w:r>
      <w:r w:rsidR="00DB459D">
        <w:rPr>
          <w:rFonts w:eastAsia="MS Mincho"/>
          <w:lang w:eastAsia="ja-JP"/>
        </w:rPr>
        <w:t xml:space="preserve"> dec</w:t>
      </w:r>
      <w:r w:rsidR="009B59E5">
        <w:rPr>
          <w:rFonts w:eastAsia="MS Mincho"/>
          <w:lang w:eastAsia="ja-JP"/>
        </w:rPr>
        <w:t>oding burden on the UE side</w:t>
      </w:r>
      <w:r w:rsidR="00DB459D">
        <w:rPr>
          <w:rFonts w:eastAsia="MS Mincho"/>
          <w:lang w:eastAsia="ja-JP"/>
        </w:rPr>
        <w:t xml:space="preserve"> and reasonable</w:t>
      </w:r>
      <w:r>
        <w:rPr>
          <w:rFonts w:eastAsia="MS Mincho"/>
          <w:lang w:eastAsia="ja-JP"/>
        </w:rPr>
        <w:t xml:space="preserve"> trade-off between the control channel decoding burden and frequency of tra</w:t>
      </w:r>
      <w:r w:rsidR="00DB459D">
        <w:rPr>
          <w:rFonts w:eastAsia="MS Mincho"/>
          <w:lang w:eastAsia="ja-JP"/>
        </w:rPr>
        <w:t>nsmission starting positions is needed</w:t>
      </w:r>
      <w:r>
        <w:rPr>
          <w:rFonts w:eastAsia="MS Mincho"/>
          <w:lang w:eastAsia="ja-JP"/>
        </w:rPr>
        <w:t xml:space="preserve">. </w:t>
      </w:r>
      <w:r w:rsidR="00DB459D">
        <w:rPr>
          <w:rFonts w:eastAsia="MS Mincho"/>
          <w:lang w:eastAsia="ja-JP"/>
        </w:rPr>
        <w:t xml:space="preserve">The benefit from having transmission starting position intervals in the order of Clear Channel Assessment observation time (9us – 20us) is unclear. Instead transmission starting position intervals </w:t>
      </w:r>
      <w:r w:rsidR="00C571B4">
        <w:rPr>
          <w:rFonts w:eastAsia="MS Mincho"/>
          <w:lang w:eastAsia="ja-JP"/>
        </w:rPr>
        <w:t xml:space="preserve">that are </w:t>
      </w:r>
      <w:r w:rsidR="00DB459D">
        <w:rPr>
          <w:rFonts w:eastAsia="MS Mincho"/>
          <w:lang w:eastAsia="ja-JP"/>
        </w:rPr>
        <w:t>roughly an order of magnitude longer than CCA observation time could be investigated. It can be noted that the slot duration</w:t>
      </w:r>
      <w:r w:rsidR="00B510FE">
        <w:rPr>
          <w:rFonts w:eastAsia="MS Mincho"/>
          <w:lang w:eastAsia="ja-JP"/>
        </w:rPr>
        <w:t xml:space="preserve"> is already in that kind of order of magnitude</w:t>
      </w:r>
      <w:r w:rsidR="00DB459D">
        <w:rPr>
          <w:rFonts w:eastAsia="MS Mincho"/>
          <w:lang w:eastAsia="ja-JP"/>
        </w:rPr>
        <w:t xml:space="preserve"> with a large subcarrier spacing, e.g. 60 kHz, and </w:t>
      </w:r>
      <w:r w:rsidR="00DB459D">
        <w:rPr>
          <w:bCs/>
        </w:rPr>
        <w:t>slot length of 7 OFDMA symbols</w:t>
      </w:r>
      <w:r w:rsidR="00B510FE">
        <w:rPr>
          <w:bCs/>
        </w:rPr>
        <w:t xml:space="preserve">. </w:t>
      </w:r>
      <w:r w:rsidR="00B510FE">
        <w:rPr>
          <w:bCs/>
          <w:lang w:val="en-US"/>
        </w:rPr>
        <w:t>However, when operating with smaller subcarrier spacing, e.g. 15 kHz, mini-slot may provide a reasonable option for increasing the number of potential transmission starting positions on unlicensed band operation.</w:t>
      </w:r>
      <w:r w:rsidR="00DB459D">
        <w:rPr>
          <w:rFonts w:eastAsia="MS Mincho"/>
          <w:lang w:eastAsia="ja-JP"/>
        </w:rPr>
        <w:t xml:space="preserve"> </w:t>
      </w:r>
      <w:r>
        <w:rPr>
          <w:rFonts w:eastAsia="MS Mincho"/>
          <w:lang w:eastAsia="ja-JP"/>
        </w:rPr>
        <w:t xml:space="preserve">  </w:t>
      </w:r>
    </w:p>
    <w:p w14:paraId="79A62C8C" w14:textId="77777777" w:rsidR="0056599B" w:rsidRDefault="0056599B" w:rsidP="00D33569">
      <w:pPr>
        <w:overflowPunct/>
        <w:autoSpaceDE/>
        <w:autoSpaceDN/>
        <w:adjustRightInd/>
        <w:spacing w:after="0"/>
        <w:textAlignment w:val="auto"/>
        <w:rPr>
          <w:rFonts w:eastAsia="MS Mincho"/>
          <w:lang w:eastAsia="ja-JP"/>
        </w:rPr>
      </w:pPr>
    </w:p>
    <w:p w14:paraId="3DE99BEB" w14:textId="3F1D9532" w:rsidR="00D33569" w:rsidRDefault="0056599B" w:rsidP="00836FE9">
      <w:pPr>
        <w:spacing w:after="120"/>
        <w:jc w:val="both"/>
        <w:rPr>
          <w:rFonts w:eastAsia="MS Mincho"/>
          <w:lang w:eastAsia="ja-JP"/>
        </w:rPr>
      </w:pPr>
      <w:r w:rsidRPr="0097587B">
        <w:rPr>
          <w:b/>
        </w:rPr>
        <w:t>Observation #1</w:t>
      </w:r>
      <w:r>
        <w:t xml:space="preserve">: </w:t>
      </w:r>
      <w:r>
        <w:rPr>
          <w:i/>
        </w:rPr>
        <w:t>15 kHz subcarrier spacing can be seen as the most relevant mini-slot scenario from latency reduction and unlicensed operation point of view.</w:t>
      </w:r>
      <w:r w:rsidR="00D33569">
        <w:rPr>
          <w:rFonts w:eastAsia="MS Mincho"/>
          <w:lang w:eastAsia="ja-JP"/>
        </w:rPr>
        <w:t xml:space="preserve"> </w:t>
      </w:r>
    </w:p>
    <w:p w14:paraId="2562FF2D" w14:textId="77777777" w:rsidR="00C01DD5" w:rsidRDefault="00C01DD5" w:rsidP="00C01DD5">
      <w:pPr>
        <w:pStyle w:val="Heading1"/>
      </w:pPr>
      <w:r>
        <w:rPr>
          <w:color w:val="000000"/>
        </w:rPr>
        <w:t>3</w:t>
      </w:r>
      <w:r w:rsidRPr="00A51522">
        <w:rPr>
          <w:color w:val="000000"/>
        </w:rPr>
        <w:tab/>
      </w:r>
      <w:r w:rsidR="00EE3FA9">
        <w:t xml:space="preserve">Mini-slot design </w:t>
      </w:r>
      <w:r w:rsidR="00304C3E">
        <w:t>considerations</w:t>
      </w:r>
    </w:p>
    <w:p w14:paraId="61E421B6" w14:textId="77777777" w:rsidR="00C01DD5" w:rsidRDefault="00EE3FA9" w:rsidP="00EE3FA9">
      <w:pPr>
        <w:spacing w:after="0"/>
        <w:rPr>
          <w:rFonts w:eastAsia="MS Mincho"/>
          <w:lang w:val="en-US" w:eastAsia="ja-JP"/>
        </w:rPr>
      </w:pPr>
      <w:r>
        <w:rPr>
          <w:rFonts w:eastAsia="MS Mincho"/>
          <w:lang w:val="en-US" w:eastAsia="ja-JP"/>
        </w:rPr>
        <w:t xml:space="preserve">In the preferred case, there is just one mini-slot </w:t>
      </w:r>
      <w:r w:rsidR="00F360CE">
        <w:rPr>
          <w:rFonts w:eastAsia="MS Mincho"/>
          <w:lang w:val="en-US" w:eastAsia="ja-JP"/>
        </w:rPr>
        <w:t>design</w:t>
      </w:r>
      <w:r>
        <w:rPr>
          <w:rFonts w:eastAsia="MS Mincho"/>
          <w:lang w:val="en-US" w:eastAsia="ja-JP"/>
        </w:rPr>
        <w:t>, which scales to different NR scenarios</w:t>
      </w:r>
      <w:r w:rsidR="00B752B7">
        <w:rPr>
          <w:rFonts w:eastAsia="MS Mincho"/>
          <w:lang w:val="en-US" w:eastAsia="ja-JP"/>
        </w:rPr>
        <w:t xml:space="preserve"> including</w:t>
      </w:r>
      <w:r>
        <w:rPr>
          <w:rFonts w:eastAsia="MS Mincho"/>
          <w:lang w:val="en-US" w:eastAsia="ja-JP"/>
        </w:rPr>
        <w:t>:</w:t>
      </w:r>
    </w:p>
    <w:p w14:paraId="07EE1E15" w14:textId="77777777" w:rsidR="00EE3FA9" w:rsidRPr="00F360CE" w:rsidRDefault="00F360CE" w:rsidP="00EE3FA9">
      <w:pPr>
        <w:pStyle w:val="ListParagraph"/>
        <w:numPr>
          <w:ilvl w:val="0"/>
          <w:numId w:val="10"/>
        </w:numPr>
        <w:rPr>
          <w:rFonts w:eastAsia="MS Mincho"/>
          <w:sz w:val="20"/>
          <w:lang w:val="en-US" w:eastAsia="ja-JP"/>
        </w:rPr>
      </w:pPr>
      <w:r>
        <w:rPr>
          <w:rFonts w:eastAsia="MS Mincho"/>
          <w:sz w:val="20"/>
          <w:lang w:val="en-US" w:eastAsia="ja-JP"/>
        </w:rPr>
        <w:t>Different slot length (y=7, y=14)</w:t>
      </w:r>
    </w:p>
    <w:p w14:paraId="5504D2BC" w14:textId="77777777" w:rsidR="00EE3FA9" w:rsidRPr="00F360CE" w:rsidRDefault="00F360CE" w:rsidP="00EE3FA9">
      <w:pPr>
        <w:pStyle w:val="ListParagraph"/>
        <w:numPr>
          <w:ilvl w:val="0"/>
          <w:numId w:val="10"/>
        </w:numPr>
        <w:rPr>
          <w:rFonts w:eastAsia="MS Mincho"/>
          <w:sz w:val="20"/>
          <w:lang w:val="en-US" w:eastAsia="ja-JP"/>
        </w:rPr>
      </w:pPr>
      <w:r>
        <w:rPr>
          <w:rFonts w:eastAsia="MS Mincho"/>
          <w:sz w:val="20"/>
          <w:lang w:val="en-US" w:eastAsia="ja-JP"/>
        </w:rPr>
        <w:t>Different duplexing schemes, FDD/TDD</w:t>
      </w:r>
    </w:p>
    <w:p w14:paraId="35155E99" w14:textId="77777777" w:rsidR="00EE3FA9" w:rsidRDefault="00F360CE" w:rsidP="00EE3FA9">
      <w:pPr>
        <w:pStyle w:val="ListParagraph"/>
        <w:numPr>
          <w:ilvl w:val="0"/>
          <w:numId w:val="10"/>
        </w:numPr>
        <w:rPr>
          <w:rFonts w:eastAsia="MS Mincho"/>
          <w:sz w:val="20"/>
          <w:lang w:val="en-US" w:eastAsia="ja-JP"/>
        </w:rPr>
      </w:pPr>
      <w:r>
        <w:rPr>
          <w:rFonts w:eastAsia="MS Mincho"/>
          <w:sz w:val="20"/>
          <w:lang w:val="en-US" w:eastAsia="ja-JP"/>
        </w:rPr>
        <w:t>Different GP lengths (TDD only)</w:t>
      </w:r>
    </w:p>
    <w:p w14:paraId="0FDAE76E" w14:textId="77777777" w:rsidR="00F360CE" w:rsidRPr="00F360CE" w:rsidRDefault="00F360CE" w:rsidP="00EE3FA9">
      <w:pPr>
        <w:pStyle w:val="ListParagraph"/>
        <w:numPr>
          <w:ilvl w:val="0"/>
          <w:numId w:val="10"/>
        </w:numPr>
        <w:rPr>
          <w:rFonts w:eastAsia="MS Mincho"/>
          <w:sz w:val="20"/>
          <w:lang w:val="en-US" w:eastAsia="ja-JP"/>
        </w:rPr>
      </w:pPr>
      <w:r>
        <w:rPr>
          <w:rFonts w:eastAsia="MS Mincho"/>
          <w:sz w:val="20"/>
          <w:lang w:val="en-US" w:eastAsia="ja-JP"/>
        </w:rPr>
        <w:t>Different CP lengths (in the case multiple CP length options are supported)</w:t>
      </w:r>
    </w:p>
    <w:p w14:paraId="5BED2440" w14:textId="77777777" w:rsidR="00F360CE" w:rsidRDefault="00F360CE" w:rsidP="00EE3FA9">
      <w:pPr>
        <w:pStyle w:val="ListParagraph"/>
        <w:numPr>
          <w:ilvl w:val="0"/>
          <w:numId w:val="10"/>
        </w:numPr>
        <w:rPr>
          <w:rFonts w:eastAsia="MS Mincho"/>
          <w:sz w:val="20"/>
          <w:lang w:val="en-US" w:eastAsia="ja-JP"/>
        </w:rPr>
      </w:pPr>
      <w:r>
        <w:rPr>
          <w:rFonts w:eastAsia="MS Mincho"/>
          <w:sz w:val="20"/>
          <w:lang w:val="en-US" w:eastAsia="ja-JP"/>
        </w:rPr>
        <w:t xml:space="preserve">Licensed band and unlicensed band </w:t>
      </w:r>
      <w:r w:rsidR="00124E16">
        <w:rPr>
          <w:rFonts w:eastAsia="MS Mincho"/>
          <w:sz w:val="20"/>
          <w:lang w:val="en-US" w:eastAsia="ja-JP"/>
        </w:rPr>
        <w:t>scenarios</w:t>
      </w:r>
    </w:p>
    <w:p w14:paraId="671B2E7C" w14:textId="77777777" w:rsidR="00F360CE" w:rsidRDefault="00F360CE" w:rsidP="00F360CE">
      <w:pPr>
        <w:spacing w:after="120"/>
        <w:jc w:val="both"/>
        <w:rPr>
          <w:b/>
        </w:rPr>
      </w:pPr>
    </w:p>
    <w:p w14:paraId="18D34A5A" w14:textId="1C9C19A3" w:rsidR="00F360CE" w:rsidRDefault="00F360CE" w:rsidP="00F360CE">
      <w:pPr>
        <w:rPr>
          <w:rFonts w:eastAsia="MS Mincho"/>
          <w:lang w:val="en-US" w:eastAsia="ja-JP"/>
        </w:rPr>
      </w:pPr>
      <w:r>
        <w:rPr>
          <w:rFonts w:eastAsia="MS Mincho"/>
          <w:lang w:val="en-US" w:eastAsia="ja-JP"/>
        </w:rPr>
        <w:t>Furthermore, we think that</w:t>
      </w:r>
      <w:r w:rsidRPr="00F360CE">
        <w:rPr>
          <w:rFonts w:eastAsia="MS Mincho"/>
          <w:lang w:val="en-US" w:eastAsia="ja-JP"/>
        </w:rPr>
        <w:t xml:space="preserve"> mini-slot should not exceed the slot</w:t>
      </w:r>
      <w:r>
        <w:rPr>
          <w:rFonts w:eastAsia="MS Mincho"/>
          <w:lang w:val="en-US" w:eastAsia="ja-JP"/>
        </w:rPr>
        <w:t>/subframe</w:t>
      </w:r>
      <w:r w:rsidRPr="00F360CE">
        <w:rPr>
          <w:rFonts w:eastAsia="MS Mincho"/>
          <w:lang w:val="en-US" w:eastAsia="ja-JP"/>
        </w:rPr>
        <w:t xml:space="preserve"> boundaries. Otherwise, </w:t>
      </w:r>
      <w:r>
        <w:rPr>
          <w:rFonts w:eastAsia="MS Mincho"/>
          <w:lang w:val="en-US" w:eastAsia="ja-JP"/>
        </w:rPr>
        <w:t>it</w:t>
      </w:r>
      <w:r w:rsidRPr="00F360CE">
        <w:rPr>
          <w:rFonts w:eastAsia="MS Mincho"/>
          <w:lang w:val="en-US" w:eastAsia="ja-JP"/>
        </w:rPr>
        <w:t xml:space="preserve"> start</w:t>
      </w:r>
      <w:r>
        <w:rPr>
          <w:rFonts w:eastAsia="MS Mincho"/>
          <w:lang w:val="en-US" w:eastAsia="ja-JP"/>
        </w:rPr>
        <w:t>s creating too much scheduling dependencies</w:t>
      </w:r>
      <w:r w:rsidRPr="00F360CE">
        <w:rPr>
          <w:rFonts w:eastAsia="MS Mincho"/>
          <w:lang w:val="en-US" w:eastAsia="ja-JP"/>
        </w:rPr>
        <w:t xml:space="preserve"> between consecutive slots</w:t>
      </w:r>
      <w:r w:rsidR="000D5DD5">
        <w:rPr>
          <w:rFonts w:eastAsia="MS Mincho"/>
          <w:lang w:val="en-US" w:eastAsia="ja-JP"/>
        </w:rPr>
        <w:t>, as indicated in Figure 1.</w:t>
      </w:r>
      <w:r>
        <w:rPr>
          <w:rFonts w:eastAsia="MS Mincho"/>
          <w:lang w:val="en-US" w:eastAsia="ja-JP"/>
        </w:rPr>
        <w:t xml:space="preserve"> These can be seen as a problem not only from scheduler complexity but also from forward compatibility point of view.</w:t>
      </w:r>
    </w:p>
    <w:p w14:paraId="0BBBEB70" w14:textId="77777777" w:rsidR="00334CDE" w:rsidRDefault="00334CDE" w:rsidP="00334CDE">
      <w:pPr>
        <w:spacing w:after="120"/>
        <w:jc w:val="both"/>
        <w:rPr>
          <w:bCs/>
        </w:rPr>
      </w:pPr>
      <w:r>
        <w:rPr>
          <w:b/>
        </w:rPr>
        <w:t xml:space="preserve">Proposal </w:t>
      </w:r>
      <w:r w:rsidRPr="0097587B">
        <w:rPr>
          <w:b/>
        </w:rPr>
        <w:t>#1</w:t>
      </w:r>
      <w:r>
        <w:t xml:space="preserve">: </w:t>
      </w:r>
      <w:r>
        <w:rPr>
          <w:i/>
        </w:rPr>
        <w:t>Aim at single mini-slot design scalable to any NR scenario.</w:t>
      </w:r>
    </w:p>
    <w:p w14:paraId="4343F17E" w14:textId="77777777" w:rsidR="00F360CE" w:rsidRDefault="00F360CE" w:rsidP="00F360CE">
      <w:pPr>
        <w:spacing w:after="120"/>
        <w:jc w:val="both"/>
        <w:rPr>
          <w:i/>
        </w:rPr>
      </w:pPr>
      <w:r>
        <w:rPr>
          <w:b/>
        </w:rPr>
        <w:t xml:space="preserve">Proposal </w:t>
      </w:r>
      <w:r w:rsidRPr="0097587B">
        <w:rPr>
          <w:b/>
        </w:rPr>
        <w:t>#</w:t>
      </w:r>
      <w:r>
        <w:rPr>
          <w:b/>
        </w:rPr>
        <w:t>2</w:t>
      </w:r>
      <w:r>
        <w:t xml:space="preserve">: </w:t>
      </w:r>
      <w:r>
        <w:rPr>
          <w:i/>
        </w:rPr>
        <w:t xml:space="preserve">Mini-slot should not exceed the slot/subframe boundaries. </w:t>
      </w:r>
    </w:p>
    <w:p w14:paraId="20944565" w14:textId="77777777" w:rsidR="00124E16" w:rsidRDefault="00124E16" w:rsidP="00F360CE">
      <w:pPr>
        <w:spacing w:after="120"/>
        <w:jc w:val="both"/>
        <w:rPr>
          <w:i/>
        </w:rPr>
      </w:pPr>
    </w:p>
    <w:p w14:paraId="7336E644" w14:textId="77777777" w:rsidR="001B5AB7" w:rsidRDefault="001B5AB7" w:rsidP="00836FE9">
      <w:pPr>
        <w:spacing w:after="120"/>
        <w:jc w:val="center"/>
        <w:rPr>
          <w:i/>
        </w:rPr>
      </w:pPr>
      <w:r>
        <w:rPr>
          <w:noProof/>
          <w:lang w:val="en-US"/>
        </w:rPr>
        <w:drawing>
          <wp:inline distT="0" distB="0" distL="0" distR="0" wp14:anchorId="7C56FAC6" wp14:editId="2FDF83E7">
            <wp:extent cx="3218082" cy="107189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63791" cy="1087115"/>
                    </a:xfrm>
                    <a:prstGeom prst="rect">
                      <a:avLst/>
                    </a:prstGeom>
                    <a:noFill/>
                    <a:ln>
                      <a:noFill/>
                    </a:ln>
                  </pic:spPr>
                </pic:pic>
              </a:graphicData>
            </a:graphic>
          </wp:inline>
        </w:drawing>
      </w:r>
    </w:p>
    <w:p w14:paraId="1C2CAFD9" w14:textId="77777777" w:rsidR="00B752B7" w:rsidRPr="00334CDE" w:rsidRDefault="00B752B7" w:rsidP="00B752B7">
      <w:pPr>
        <w:pStyle w:val="Caption"/>
        <w:jc w:val="center"/>
        <w:rPr>
          <w:rFonts w:eastAsia="MS Mincho"/>
          <w:lang w:val="en-US" w:eastAsia="ja-JP"/>
        </w:rPr>
      </w:pPr>
      <w:r>
        <w:t xml:space="preserve">Figure </w:t>
      </w:r>
      <w:r w:rsidR="002C306D">
        <w:fldChar w:fldCharType="begin"/>
      </w:r>
      <w:r>
        <w:instrText xml:space="preserve"> SEQ Figure \* ARABIC </w:instrText>
      </w:r>
      <w:r w:rsidR="002C306D">
        <w:fldChar w:fldCharType="separate"/>
      </w:r>
      <w:r w:rsidR="008D02BC">
        <w:rPr>
          <w:noProof/>
        </w:rPr>
        <w:t>1</w:t>
      </w:r>
      <w:r w:rsidR="002C306D">
        <w:rPr>
          <w:noProof/>
        </w:rPr>
        <w:fldChar w:fldCharType="end"/>
      </w:r>
      <w:r w:rsidRPr="00334CDE">
        <w:rPr>
          <w:lang w:val="en-US"/>
        </w:rPr>
        <w:t xml:space="preserve">. </w:t>
      </w:r>
      <w:r>
        <w:rPr>
          <w:lang w:val="en-US"/>
        </w:rPr>
        <w:t>Mini-slot exceeding the slot boundary</w:t>
      </w:r>
    </w:p>
    <w:p w14:paraId="7962D618" w14:textId="77777777" w:rsidR="001B5AB7" w:rsidRPr="00836FE9" w:rsidRDefault="001B5AB7" w:rsidP="00836FE9">
      <w:pPr>
        <w:spacing w:after="120"/>
        <w:jc w:val="center"/>
        <w:rPr>
          <w:i/>
          <w:lang w:val="en-US"/>
        </w:rPr>
      </w:pPr>
    </w:p>
    <w:p w14:paraId="5FBC54BF" w14:textId="77777777" w:rsidR="00B752B7" w:rsidRDefault="00B752B7" w:rsidP="00F360CE">
      <w:pPr>
        <w:spacing w:after="120"/>
        <w:jc w:val="both"/>
        <w:rPr>
          <w:i/>
        </w:rPr>
      </w:pPr>
    </w:p>
    <w:p w14:paraId="570C114E" w14:textId="6C0C82AF" w:rsidR="00124E16" w:rsidRDefault="005F1CF0" w:rsidP="00F360CE">
      <w:pPr>
        <w:spacing w:after="120"/>
        <w:jc w:val="both"/>
        <w:rPr>
          <w:rFonts w:eastAsia="MS Mincho"/>
          <w:lang w:val="en-US" w:eastAsia="ja-JP"/>
        </w:rPr>
      </w:pPr>
      <w:r>
        <w:t>In the case of regular slots,</w:t>
      </w:r>
      <w:r w:rsidR="00124E16">
        <w:t xml:space="preserve"> m</w:t>
      </w:r>
      <w:r w:rsidR="00124E16">
        <w:rPr>
          <w:rFonts w:eastAsia="MS Mincho"/>
          <w:lang w:val="en-US" w:eastAsia="ja-JP"/>
        </w:rPr>
        <w:t>ultiplexing</w:t>
      </w:r>
      <w:r w:rsidR="00124E16" w:rsidRPr="005420DE">
        <w:rPr>
          <w:rFonts w:eastAsia="MS Mincho"/>
          <w:lang w:val="en-US" w:eastAsia="ja-JP"/>
        </w:rPr>
        <w:t xml:space="preserve"> </w:t>
      </w:r>
      <w:r>
        <w:rPr>
          <w:rFonts w:eastAsia="MS Mincho"/>
          <w:lang w:val="en-US" w:eastAsia="ja-JP"/>
        </w:rPr>
        <w:t>between DL control/data, as well UL</w:t>
      </w:r>
      <w:r w:rsidR="00124E16" w:rsidRPr="005420DE">
        <w:rPr>
          <w:rFonts w:eastAsia="MS Mincho"/>
          <w:lang w:val="en-US" w:eastAsia="ja-JP"/>
        </w:rPr>
        <w:t xml:space="preserve"> control</w:t>
      </w:r>
      <w:r>
        <w:rPr>
          <w:rFonts w:eastAsia="MS Mincho"/>
          <w:lang w:val="en-US" w:eastAsia="ja-JP"/>
        </w:rPr>
        <w:t>/data</w:t>
      </w:r>
      <w:r w:rsidR="00124E16" w:rsidRPr="005420DE">
        <w:rPr>
          <w:rFonts w:eastAsia="MS Mincho"/>
          <w:lang w:val="en-US" w:eastAsia="ja-JP"/>
        </w:rPr>
        <w:t xml:space="preserve"> </w:t>
      </w:r>
      <w:r w:rsidR="001778DA">
        <w:rPr>
          <w:rFonts w:eastAsia="MS Mincho"/>
          <w:lang w:val="en-US" w:eastAsia="ja-JP"/>
        </w:rPr>
        <w:t>is preferably</w:t>
      </w:r>
      <w:r w:rsidR="00B005DA" w:rsidRPr="005420DE">
        <w:rPr>
          <w:rFonts w:eastAsia="MS Mincho"/>
          <w:lang w:val="en-US" w:eastAsia="ja-JP"/>
        </w:rPr>
        <w:t xml:space="preserve"> </w:t>
      </w:r>
      <w:r w:rsidR="00124E16" w:rsidRPr="005420DE">
        <w:rPr>
          <w:rFonts w:eastAsia="MS Mincho"/>
          <w:lang w:val="en-US" w:eastAsia="ja-JP"/>
        </w:rPr>
        <w:t>based on time division multiplexing</w:t>
      </w:r>
      <w:r w:rsidR="00124E16">
        <w:rPr>
          <w:rFonts w:eastAsia="MS Mincho"/>
          <w:lang w:val="en-US" w:eastAsia="ja-JP"/>
        </w:rPr>
        <w:t xml:space="preserve"> </w:t>
      </w:r>
      <w:r w:rsidR="001778DA">
        <w:rPr>
          <w:rFonts w:eastAsia="MS Mincho"/>
          <w:lang w:val="en-US" w:eastAsia="ja-JP"/>
        </w:rPr>
        <w:t xml:space="preserve">when possible </w:t>
      </w:r>
      <w:r w:rsidR="00124E16">
        <w:rPr>
          <w:rFonts w:eastAsia="MS Mincho"/>
          <w:lang w:val="en-US" w:eastAsia="ja-JP"/>
        </w:rPr>
        <w:t>(</w:t>
      </w:r>
      <w:r w:rsidR="0064465A">
        <w:rPr>
          <w:rFonts w:eastAsia="MS Mincho"/>
          <w:lang w:val="en-US" w:eastAsia="ja-JP"/>
        </w:rPr>
        <w:t>exact multiplexing details are FFS</w:t>
      </w:r>
      <w:r w:rsidR="00124E16">
        <w:rPr>
          <w:rFonts w:eastAsia="MS Mincho"/>
          <w:lang w:val="en-US" w:eastAsia="ja-JP"/>
        </w:rPr>
        <w:t xml:space="preserve">). </w:t>
      </w:r>
      <w:r w:rsidRPr="005F1CF0">
        <w:rPr>
          <w:rFonts w:eastAsia="MS Mincho"/>
          <w:lang w:val="en-US" w:eastAsia="ja-JP"/>
        </w:rPr>
        <w:t>This allows not only fast energy efficient pipeline processing at the receiver but provides also favorable interference conditions for control signals, also in the case of flexible TDD.</w:t>
      </w:r>
      <w:r>
        <w:rPr>
          <w:rFonts w:eastAsia="MS Mincho"/>
          <w:lang w:val="en-US" w:eastAsia="ja-JP"/>
        </w:rPr>
        <w:t xml:space="preserve"> </w:t>
      </w:r>
    </w:p>
    <w:p w14:paraId="0500C916" w14:textId="7297803B" w:rsidR="005F1CF0" w:rsidRDefault="005F1CF0" w:rsidP="00F360CE">
      <w:pPr>
        <w:spacing w:after="120"/>
        <w:jc w:val="both"/>
      </w:pPr>
      <w:r>
        <w:rPr>
          <w:rFonts w:eastAsia="MS Mincho"/>
          <w:lang w:val="en-US" w:eastAsia="ja-JP"/>
        </w:rPr>
        <w:t xml:space="preserve">To some extent, this approach can be applied also to mini-slots. However, due to the fact that mini-slot duration in terms of number of OFDMA symbols can be relatively small (such as one or two OFDMA symbols), we think that FDM between control and data needs to be </w:t>
      </w:r>
      <w:r w:rsidR="000D5DD5">
        <w:rPr>
          <w:rFonts w:eastAsia="MS Mincho"/>
          <w:lang w:val="en-US" w:eastAsia="ja-JP"/>
        </w:rPr>
        <w:t>supported with</w:t>
      </w:r>
      <w:r>
        <w:rPr>
          <w:rFonts w:eastAsia="MS Mincho"/>
          <w:lang w:val="en-US" w:eastAsia="ja-JP"/>
        </w:rPr>
        <w:t xml:space="preserve"> mini-slots</w:t>
      </w:r>
      <w:r w:rsidR="000D5DD5">
        <w:rPr>
          <w:rFonts w:eastAsia="MS Mincho"/>
          <w:lang w:val="en-US" w:eastAsia="ja-JP"/>
        </w:rPr>
        <w:t>.</w:t>
      </w:r>
    </w:p>
    <w:p w14:paraId="0A2F0C1D" w14:textId="39A240AC" w:rsidR="00C957F4" w:rsidRDefault="00C957F4" w:rsidP="00C957F4">
      <w:pPr>
        <w:spacing w:after="120"/>
        <w:jc w:val="both"/>
        <w:rPr>
          <w:bCs/>
        </w:rPr>
      </w:pPr>
      <w:r>
        <w:rPr>
          <w:b/>
        </w:rPr>
        <w:t xml:space="preserve">Proposal </w:t>
      </w:r>
      <w:r w:rsidRPr="0097587B">
        <w:rPr>
          <w:b/>
        </w:rPr>
        <w:t>#</w:t>
      </w:r>
      <w:r>
        <w:rPr>
          <w:b/>
        </w:rPr>
        <w:t>3</w:t>
      </w:r>
      <w:r>
        <w:t xml:space="preserve">: </w:t>
      </w:r>
      <w:r>
        <w:rPr>
          <w:i/>
        </w:rPr>
        <w:t>Support FDM between control and data</w:t>
      </w:r>
      <w:r w:rsidR="000D5DD5">
        <w:rPr>
          <w:i/>
        </w:rPr>
        <w:t xml:space="preserve"> with mini-slots</w:t>
      </w:r>
      <w:r w:rsidR="001413DC">
        <w:rPr>
          <w:i/>
        </w:rPr>
        <w:t>.</w:t>
      </w:r>
      <w:r>
        <w:rPr>
          <w:i/>
        </w:rPr>
        <w:t xml:space="preserve">  </w:t>
      </w:r>
    </w:p>
    <w:p w14:paraId="49F07413" w14:textId="77777777" w:rsidR="00C957F4" w:rsidRDefault="00C957F4" w:rsidP="00F360CE">
      <w:pPr>
        <w:spacing w:after="120"/>
        <w:jc w:val="both"/>
        <w:rPr>
          <w:i/>
        </w:rPr>
      </w:pPr>
    </w:p>
    <w:p w14:paraId="28A1D7F1" w14:textId="391F498D" w:rsidR="00A15C9C" w:rsidRDefault="00DC4ACD" w:rsidP="00DC4ACD">
      <w:pPr>
        <w:spacing w:after="120"/>
        <w:jc w:val="both"/>
        <w:rPr>
          <w:rFonts w:eastAsia="MS Mincho"/>
          <w:lang w:val="en-US" w:eastAsia="ja-JP"/>
        </w:rPr>
      </w:pPr>
      <w:r>
        <w:rPr>
          <w:rFonts w:eastAsia="MS Mincho"/>
          <w:lang w:val="en-US" w:eastAsia="ja-JP"/>
        </w:rPr>
        <w:t>Link direction switching</w:t>
      </w:r>
      <w:r w:rsidR="009C3C7F">
        <w:rPr>
          <w:rFonts w:eastAsia="MS Mincho"/>
          <w:lang w:val="en-US" w:eastAsia="ja-JP"/>
        </w:rPr>
        <w:t xml:space="preserve"> in TDD mode </w:t>
      </w:r>
      <w:r w:rsidR="000E02B7">
        <w:rPr>
          <w:rFonts w:eastAsia="MS Mincho"/>
          <w:lang w:val="en-US" w:eastAsia="ja-JP"/>
        </w:rPr>
        <w:t>can be</w:t>
      </w:r>
      <w:r>
        <w:rPr>
          <w:rFonts w:eastAsia="MS Mincho"/>
          <w:lang w:val="en-US" w:eastAsia="ja-JP"/>
        </w:rPr>
        <w:t xml:space="preserve"> </w:t>
      </w:r>
      <w:r w:rsidR="009C3C7F">
        <w:rPr>
          <w:rFonts w:eastAsia="MS Mincho"/>
          <w:lang w:val="en-US" w:eastAsia="ja-JP"/>
        </w:rPr>
        <w:t xml:space="preserve">facilitated </w:t>
      </w:r>
      <w:r>
        <w:rPr>
          <w:rFonts w:eastAsia="MS Mincho"/>
          <w:lang w:val="en-US" w:eastAsia="ja-JP"/>
        </w:rPr>
        <w:t xml:space="preserve">by means </w:t>
      </w:r>
      <w:r w:rsidR="009C3C7F">
        <w:rPr>
          <w:rFonts w:eastAsia="MS Mincho"/>
          <w:lang w:val="en-US" w:eastAsia="ja-JP"/>
        </w:rPr>
        <w:t>of</w:t>
      </w:r>
      <w:r>
        <w:rPr>
          <w:rFonts w:eastAsia="MS Mincho"/>
          <w:lang w:val="en-US" w:eastAsia="ja-JP"/>
        </w:rPr>
        <w:t xml:space="preserve"> bi-directional </w:t>
      </w:r>
      <w:r w:rsidR="00A15C9C">
        <w:rPr>
          <w:rFonts w:eastAsia="MS Mincho"/>
          <w:lang w:val="en-US" w:eastAsia="ja-JP"/>
        </w:rPr>
        <w:t>slots. Half-duplex constraint w</w:t>
      </w:r>
      <w:r w:rsidR="0064465A">
        <w:rPr>
          <w:rFonts w:eastAsia="MS Mincho"/>
          <w:lang w:val="en-US" w:eastAsia="ja-JP"/>
        </w:rPr>
        <w:t xml:space="preserve">ill set boundary conditions for </w:t>
      </w:r>
      <w:r w:rsidR="00A15C9C">
        <w:rPr>
          <w:rFonts w:eastAsia="MS Mincho"/>
          <w:lang w:val="en-US" w:eastAsia="ja-JP"/>
        </w:rPr>
        <w:t>mini-slot allocation</w:t>
      </w:r>
      <w:r w:rsidR="0064465A">
        <w:rPr>
          <w:rFonts w:eastAsia="MS Mincho"/>
          <w:lang w:val="en-US" w:eastAsia="ja-JP"/>
        </w:rPr>
        <w:t>s</w:t>
      </w:r>
      <w:r w:rsidR="00A15C9C">
        <w:rPr>
          <w:rFonts w:eastAsia="MS Mincho"/>
          <w:lang w:val="en-US" w:eastAsia="ja-JP"/>
        </w:rPr>
        <w:t xml:space="preserve"> in TDD. </w:t>
      </w:r>
      <w:r w:rsidR="005A0865">
        <w:rPr>
          <w:rFonts w:eastAsia="MS Mincho"/>
          <w:lang w:val="en-US" w:eastAsia="ja-JP"/>
        </w:rPr>
        <w:t xml:space="preserve">This means that when a regular slot is in DL phase, also mini-slot needs be in the DL phase, and when regular slot is in UL phase, mini-slot needs to be in UL phase, respectively. </w:t>
      </w:r>
      <w:r w:rsidR="00642619">
        <w:rPr>
          <w:rFonts w:eastAsia="MS Mincho"/>
          <w:lang w:val="en-US" w:eastAsia="ja-JP"/>
        </w:rPr>
        <w:t xml:space="preserve">This principle is shown in Figure 2. Based on that, there </w:t>
      </w:r>
      <w:r w:rsidR="005A0865">
        <w:rPr>
          <w:rFonts w:eastAsia="MS Mincho"/>
          <w:lang w:val="en-US" w:eastAsia="ja-JP"/>
        </w:rPr>
        <w:t>seems</w:t>
      </w:r>
      <w:r w:rsidR="00642619">
        <w:rPr>
          <w:rFonts w:eastAsia="MS Mincho"/>
          <w:lang w:val="en-US" w:eastAsia="ja-JP"/>
        </w:rPr>
        <w:t xml:space="preserve"> to be no need for bi-directional mini-slot containing both DL and UL. This approach will also maximize the commonalities for mini-slot design between TDD and FDD. </w:t>
      </w:r>
    </w:p>
    <w:p w14:paraId="63E606A0" w14:textId="77777777" w:rsidR="00752002" w:rsidRDefault="00752002" w:rsidP="00DC4ACD">
      <w:pPr>
        <w:spacing w:after="120"/>
        <w:jc w:val="both"/>
        <w:rPr>
          <w:rFonts w:eastAsia="MS Mincho"/>
          <w:lang w:val="en-US" w:eastAsia="ja-JP"/>
        </w:rPr>
      </w:pPr>
      <w:r>
        <w:rPr>
          <w:rFonts w:eastAsia="MS Mincho"/>
          <w:lang w:val="en-US" w:eastAsia="ja-JP"/>
        </w:rPr>
        <w:t xml:space="preserve">In addition, the duration of mini-slots would be fairly short. Supporting DL-UL switching </w:t>
      </w:r>
      <w:r w:rsidR="00BE7288">
        <w:rPr>
          <w:rFonts w:eastAsia="MS Mincho"/>
          <w:lang w:val="en-US" w:eastAsia="ja-JP"/>
        </w:rPr>
        <w:t xml:space="preserve">within a min-slot </w:t>
      </w:r>
      <w:r>
        <w:rPr>
          <w:rFonts w:eastAsia="MS Mincho"/>
          <w:lang w:val="en-US" w:eastAsia="ja-JP"/>
        </w:rPr>
        <w:t>would result in additional non-negligible overhead.</w:t>
      </w:r>
    </w:p>
    <w:p w14:paraId="2C79E08F" w14:textId="00683ABE" w:rsidR="00C957F4" w:rsidRDefault="00C957F4" w:rsidP="00C957F4">
      <w:pPr>
        <w:spacing w:after="120"/>
        <w:jc w:val="both"/>
        <w:rPr>
          <w:i/>
        </w:rPr>
      </w:pPr>
      <w:r>
        <w:rPr>
          <w:b/>
        </w:rPr>
        <w:t xml:space="preserve">Proposal </w:t>
      </w:r>
      <w:r w:rsidRPr="0097587B">
        <w:rPr>
          <w:b/>
        </w:rPr>
        <w:t>#</w:t>
      </w:r>
      <w:r>
        <w:rPr>
          <w:b/>
        </w:rPr>
        <w:t>4</w:t>
      </w:r>
      <w:r>
        <w:t xml:space="preserve">: </w:t>
      </w:r>
      <w:r>
        <w:rPr>
          <w:i/>
        </w:rPr>
        <w:t>Mini-slot supports only one link direction</w:t>
      </w:r>
      <w:r w:rsidR="001413DC">
        <w:rPr>
          <w:i/>
        </w:rPr>
        <w:t>.</w:t>
      </w:r>
      <w:r>
        <w:rPr>
          <w:i/>
        </w:rPr>
        <w:t xml:space="preserve">  </w:t>
      </w:r>
    </w:p>
    <w:p w14:paraId="5AA887B8" w14:textId="77777777" w:rsidR="005A0865" w:rsidRDefault="005A0865" w:rsidP="00C957F4">
      <w:pPr>
        <w:spacing w:after="120"/>
        <w:jc w:val="both"/>
        <w:rPr>
          <w:i/>
        </w:rPr>
      </w:pPr>
    </w:p>
    <w:p w14:paraId="0E6B7969" w14:textId="77777777" w:rsidR="001B5AB7" w:rsidRDefault="001B5AB7" w:rsidP="00836FE9">
      <w:pPr>
        <w:spacing w:after="120"/>
        <w:jc w:val="center"/>
        <w:rPr>
          <w:bCs/>
        </w:rPr>
      </w:pPr>
      <w:r>
        <w:rPr>
          <w:noProof/>
          <w:lang w:val="en-US"/>
        </w:rPr>
        <w:drawing>
          <wp:inline distT="0" distB="0" distL="0" distR="0" wp14:anchorId="2CD40611" wp14:editId="5CF98926">
            <wp:extent cx="3574304" cy="1369397"/>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85635" cy="1373738"/>
                    </a:xfrm>
                    <a:prstGeom prst="rect">
                      <a:avLst/>
                    </a:prstGeom>
                    <a:noFill/>
                    <a:ln>
                      <a:noFill/>
                    </a:ln>
                  </pic:spPr>
                </pic:pic>
              </a:graphicData>
            </a:graphic>
          </wp:inline>
        </w:drawing>
      </w:r>
    </w:p>
    <w:p w14:paraId="4C1D6345" w14:textId="60D5DBB6" w:rsidR="005A0865" w:rsidRPr="00334CDE" w:rsidRDefault="005A0865" w:rsidP="008D02BC">
      <w:pPr>
        <w:pStyle w:val="Caption"/>
        <w:jc w:val="center"/>
        <w:rPr>
          <w:rFonts w:eastAsia="MS Mincho"/>
          <w:lang w:val="en-US" w:eastAsia="ja-JP"/>
        </w:rPr>
      </w:pPr>
      <w:r>
        <w:t xml:space="preserve">Figure </w:t>
      </w:r>
      <w:r w:rsidR="002C306D">
        <w:fldChar w:fldCharType="begin"/>
      </w:r>
      <w:r>
        <w:instrText xml:space="preserve"> SEQ Figure \* ARABIC </w:instrText>
      </w:r>
      <w:r w:rsidR="002C306D">
        <w:fldChar w:fldCharType="separate"/>
      </w:r>
      <w:r w:rsidR="008D02BC">
        <w:rPr>
          <w:noProof/>
        </w:rPr>
        <w:t>2</w:t>
      </w:r>
      <w:r w:rsidR="002C306D">
        <w:rPr>
          <w:noProof/>
        </w:rPr>
        <w:fldChar w:fldCharType="end"/>
      </w:r>
      <w:r w:rsidRPr="00334CDE">
        <w:rPr>
          <w:lang w:val="en-US"/>
        </w:rPr>
        <w:t xml:space="preserve">. </w:t>
      </w:r>
      <w:r w:rsidR="00642619">
        <w:rPr>
          <w:lang w:val="en-US"/>
        </w:rPr>
        <w:t>Mini-slot operation following half-duplex constraint.</w:t>
      </w:r>
    </w:p>
    <w:p w14:paraId="1E763BC4" w14:textId="77777777" w:rsidR="001B5AB7" w:rsidRPr="00836FE9" w:rsidRDefault="001B5AB7" w:rsidP="00836FE9">
      <w:pPr>
        <w:spacing w:after="120"/>
        <w:jc w:val="center"/>
        <w:rPr>
          <w:bCs/>
          <w:lang w:val="en-US"/>
        </w:rPr>
      </w:pPr>
    </w:p>
    <w:p w14:paraId="38DF7EAF" w14:textId="77777777" w:rsidR="00C957F4" w:rsidRDefault="00C957F4" w:rsidP="00F360CE">
      <w:pPr>
        <w:spacing w:after="120"/>
        <w:jc w:val="both"/>
        <w:rPr>
          <w:i/>
        </w:rPr>
      </w:pPr>
    </w:p>
    <w:p w14:paraId="710BC70E" w14:textId="075AD1BA" w:rsidR="00334CDE" w:rsidRPr="00334CDE" w:rsidRDefault="00334CDE" w:rsidP="00334CDE">
      <w:pPr>
        <w:spacing w:after="120"/>
        <w:jc w:val="both"/>
        <w:rPr>
          <w:bCs/>
        </w:rPr>
      </w:pPr>
      <w:r>
        <w:rPr>
          <w:bCs/>
        </w:rPr>
        <w:t>Figure</w:t>
      </w:r>
      <w:r w:rsidR="00304C3E">
        <w:rPr>
          <w:bCs/>
        </w:rPr>
        <w:t xml:space="preserve"> </w:t>
      </w:r>
      <w:r w:rsidR="00642619">
        <w:rPr>
          <w:bCs/>
        </w:rPr>
        <w:t xml:space="preserve">3 </w:t>
      </w:r>
      <w:r w:rsidR="00304C3E">
        <w:rPr>
          <w:bCs/>
        </w:rPr>
        <w:t xml:space="preserve">illustrates three options to arrange mini-slots on top </w:t>
      </w:r>
      <w:r w:rsidR="00BF6AFD">
        <w:rPr>
          <w:bCs/>
        </w:rPr>
        <w:t xml:space="preserve">of </w:t>
      </w:r>
      <w:r w:rsidR="00304C3E">
        <w:rPr>
          <w:bCs/>
        </w:rPr>
        <w:t>NR slot structure. The considered example covers two scenarios, DL only slot (y=7) and bi-directional DL slot (y=7).</w:t>
      </w:r>
      <w:r>
        <w:rPr>
          <w:bCs/>
        </w:rPr>
        <w:t xml:space="preserve"> </w:t>
      </w:r>
    </w:p>
    <w:p w14:paraId="6BE048DD" w14:textId="66D65F87" w:rsidR="007B1AFE" w:rsidRPr="00C957F4" w:rsidRDefault="00334CDE" w:rsidP="00C30695">
      <w:pPr>
        <w:pStyle w:val="ListParagraph"/>
        <w:numPr>
          <w:ilvl w:val="0"/>
          <w:numId w:val="11"/>
        </w:numPr>
        <w:spacing w:after="120"/>
        <w:jc w:val="both"/>
        <w:rPr>
          <w:bCs/>
          <w:sz w:val="20"/>
          <w:lang w:val="en-US"/>
        </w:rPr>
      </w:pPr>
      <w:r w:rsidRPr="00C957F4">
        <w:rPr>
          <w:b/>
          <w:bCs/>
          <w:sz w:val="20"/>
          <w:szCs w:val="20"/>
          <w:u w:val="single"/>
          <w:lang w:val="en-US"/>
        </w:rPr>
        <w:t>Opt</w:t>
      </w:r>
      <w:r w:rsidR="00B03FFE">
        <w:rPr>
          <w:b/>
          <w:bCs/>
          <w:sz w:val="20"/>
          <w:szCs w:val="20"/>
          <w:u w:val="single"/>
          <w:lang w:val="en-US"/>
        </w:rPr>
        <w:t>.</w:t>
      </w:r>
      <w:r w:rsidRPr="00C957F4">
        <w:rPr>
          <w:b/>
          <w:bCs/>
          <w:sz w:val="20"/>
          <w:szCs w:val="20"/>
          <w:u w:val="single"/>
          <w:lang w:val="en-US"/>
        </w:rPr>
        <w:t xml:space="preserve"> #1</w:t>
      </w:r>
      <w:r w:rsidRPr="00C957F4">
        <w:rPr>
          <w:bCs/>
          <w:sz w:val="20"/>
          <w:szCs w:val="20"/>
          <w:lang w:val="en-US"/>
        </w:rPr>
        <w:t xml:space="preserve">: </w:t>
      </w:r>
      <w:r w:rsidRPr="00C957F4">
        <w:rPr>
          <w:b/>
          <w:bCs/>
          <w:sz w:val="20"/>
          <w:szCs w:val="20"/>
          <w:lang w:val="en-US"/>
        </w:rPr>
        <w:t xml:space="preserve">Mini-slot with fixed length and fixed starting position. </w:t>
      </w:r>
      <w:r w:rsidR="00C957F4" w:rsidRPr="00C957F4">
        <w:rPr>
          <w:bCs/>
          <w:sz w:val="20"/>
          <w:szCs w:val="20"/>
          <w:lang w:val="en-US"/>
        </w:rPr>
        <w:t xml:space="preserve">The </w:t>
      </w:r>
      <w:r w:rsidR="00124E16">
        <w:rPr>
          <w:bCs/>
          <w:sz w:val="20"/>
          <w:szCs w:val="20"/>
          <w:lang w:val="en-US"/>
        </w:rPr>
        <w:t xml:space="preserve">most </w:t>
      </w:r>
      <w:r w:rsidR="007F7900">
        <w:rPr>
          <w:bCs/>
          <w:sz w:val="20"/>
          <w:szCs w:val="20"/>
          <w:lang w:val="en-US"/>
        </w:rPr>
        <w:t>relevant</w:t>
      </w:r>
      <w:r w:rsidR="007F7900" w:rsidRPr="00C957F4">
        <w:rPr>
          <w:bCs/>
          <w:sz w:val="20"/>
          <w:szCs w:val="20"/>
          <w:lang w:val="en-US"/>
        </w:rPr>
        <w:t xml:space="preserve"> </w:t>
      </w:r>
      <w:r w:rsidR="00C957F4" w:rsidRPr="00C957F4">
        <w:rPr>
          <w:bCs/>
          <w:sz w:val="20"/>
          <w:szCs w:val="20"/>
          <w:lang w:val="en-US"/>
        </w:rPr>
        <w:t>options for the mini-slot length are 1 and 2 OFDMA symbols. In many cases the number of OFDM symbols available for certain link direction is not a multiple of 2</w:t>
      </w:r>
      <w:r w:rsidR="00C957F4" w:rsidRPr="00C957F4">
        <w:rPr>
          <w:bCs/>
          <w:sz w:val="20"/>
          <w:lang w:val="en-US"/>
        </w:rPr>
        <w:t xml:space="preserve">. </w:t>
      </w:r>
      <w:r w:rsidR="007F7900">
        <w:rPr>
          <w:bCs/>
          <w:sz w:val="20"/>
          <w:lang w:val="en-US"/>
        </w:rPr>
        <w:t>Hence, i</w:t>
      </w:r>
      <w:r w:rsidR="00C957F4" w:rsidRPr="00C957F4">
        <w:rPr>
          <w:bCs/>
          <w:sz w:val="20"/>
          <w:lang w:val="en-US"/>
        </w:rPr>
        <w:t xml:space="preserve">n these cases, the only option for </w:t>
      </w:r>
      <w:r w:rsidR="00B03FFE">
        <w:rPr>
          <w:bCs/>
          <w:sz w:val="20"/>
          <w:lang w:val="en-US"/>
        </w:rPr>
        <w:t xml:space="preserve">the fixed length </w:t>
      </w:r>
      <w:r w:rsidR="00C957F4" w:rsidRPr="00C957F4">
        <w:rPr>
          <w:bCs/>
          <w:sz w:val="20"/>
          <w:lang w:val="en-US"/>
        </w:rPr>
        <w:t xml:space="preserve">mini-slot is 1 OFDMA symbol. </w:t>
      </w:r>
      <w:r w:rsidR="00C957F4">
        <w:rPr>
          <w:bCs/>
          <w:sz w:val="20"/>
          <w:lang w:val="en-US"/>
        </w:rPr>
        <w:t xml:space="preserve">The </w:t>
      </w:r>
      <w:r w:rsidR="00B03FFE">
        <w:rPr>
          <w:bCs/>
          <w:sz w:val="20"/>
          <w:lang w:val="en-US"/>
        </w:rPr>
        <w:t xml:space="preserve">main </w:t>
      </w:r>
      <w:r w:rsidR="00C957F4">
        <w:rPr>
          <w:bCs/>
          <w:sz w:val="20"/>
          <w:lang w:val="en-US"/>
        </w:rPr>
        <w:t xml:space="preserve">problem of this approach is that mini-slot with one OFDMA symbol involves relatively high </w:t>
      </w:r>
      <w:r w:rsidR="00124E16">
        <w:rPr>
          <w:bCs/>
          <w:sz w:val="20"/>
          <w:lang w:val="en-US"/>
        </w:rPr>
        <w:t xml:space="preserve">control/RS </w:t>
      </w:r>
      <w:r w:rsidR="00C957F4">
        <w:rPr>
          <w:bCs/>
          <w:sz w:val="20"/>
          <w:lang w:val="en-US"/>
        </w:rPr>
        <w:t>overhead</w:t>
      </w:r>
      <w:r w:rsidR="0064465A">
        <w:rPr>
          <w:bCs/>
          <w:sz w:val="20"/>
          <w:lang w:val="en-US"/>
        </w:rPr>
        <w:t>, which has negative impact to the performance (see performance comparison between mini-slot with one and two OFDMA symbols in [</w:t>
      </w:r>
      <w:r w:rsidR="00836FE9">
        <w:rPr>
          <w:bCs/>
          <w:sz w:val="20"/>
          <w:lang w:val="en-US"/>
        </w:rPr>
        <w:t>5</w:t>
      </w:r>
      <w:r w:rsidR="0064465A">
        <w:rPr>
          <w:bCs/>
          <w:sz w:val="20"/>
          <w:lang w:val="en-US"/>
        </w:rPr>
        <w:t>])</w:t>
      </w:r>
      <w:r w:rsidR="00C957F4">
        <w:rPr>
          <w:bCs/>
          <w:sz w:val="20"/>
          <w:lang w:val="en-US"/>
        </w:rPr>
        <w:t>.</w:t>
      </w:r>
    </w:p>
    <w:p w14:paraId="16582BF7" w14:textId="48BD55C9" w:rsidR="00334CDE" w:rsidRPr="00124E16" w:rsidRDefault="00334CDE" w:rsidP="00C30695">
      <w:pPr>
        <w:pStyle w:val="ListParagraph"/>
        <w:numPr>
          <w:ilvl w:val="0"/>
          <w:numId w:val="11"/>
        </w:numPr>
        <w:spacing w:after="120"/>
        <w:jc w:val="both"/>
        <w:rPr>
          <w:bCs/>
          <w:sz w:val="20"/>
          <w:lang w:val="en-US"/>
        </w:rPr>
      </w:pPr>
      <w:r w:rsidRPr="00124E16">
        <w:rPr>
          <w:b/>
          <w:bCs/>
          <w:sz w:val="20"/>
          <w:u w:val="single"/>
          <w:lang w:val="en-US"/>
        </w:rPr>
        <w:t>Opt</w:t>
      </w:r>
      <w:r w:rsidR="00B03FFE">
        <w:rPr>
          <w:b/>
          <w:bCs/>
          <w:sz w:val="20"/>
          <w:u w:val="single"/>
          <w:lang w:val="en-US"/>
        </w:rPr>
        <w:t>.</w:t>
      </w:r>
      <w:r w:rsidRPr="00124E16">
        <w:rPr>
          <w:b/>
          <w:bCs/>
          <w:sz w:val="20"/>
          <w:u w:val="single"/>
          <w:lang w:val="en-US"/>
        </w:rPr>
        <w:t xml:space="preserve"> #2:</w:t>
      </w:r>
      <w:r w:rsidRPr="00124E16">
        <w:rPr>
          <w:b/>
          <w:bCs/>
          <w:sz w:val="20"/>
          <w:lang w:val="en-US"/>
        </w:rPr>
        <w:t xml:space="preserve"> Mini-slot with fixed length and flexible starting position.</w:t>
      </w:r>
      <w:r w:rsidRPr="00124E16">
        <w:rPr>
          <w:bCs/>
          <w:sz w:val="20"/>
          <w:lang w:val="en-US"/>
        </w:rPr>
        <w:t xml:space="preserve"> The </w:t>
      </w:r>
      <w:r w:rsidR="00B03FFE">
        <w:rPr>
          <w:bCs/>
          <w:sz w:val="20"/>
          <w:lang w:val="en-US"/>
        </w:rPr>
        <w:t xml:space="preserve">main </w:t>
      </w:r>
      <w:r w:rsidRPr="00124E16">
        <w:rPr>
          <w:bCs/>
          <w:sz w:val="20"/>
          <w:lang w:val="en-US"/>
        </w:rPr>
        <w:t>problem of this approach is that depending on the mini-slot length and the number of symb</w:t>
      </w:r>
      <w:r w:rsidR="00124E16">
        <w:rPr>
          <w:bCs/>
          <w:sz w:val="20"/>
          <w:lang w:val="en-US"/>
        </w:rPr>
        <w:t>ols available in the slot, there can be orphan symbol(s)</w:t>
      </w:r>
      <w:r w:rsidRPr="00124E16">
        <w:rPr>
          <w:bCs/>
          <w:sz w:val="20"/>
          <w:lang w:val="en-US"/>
        </w:rPr>
        <w:t xml:space="preserve"> which cannot be utilized</w:t>
      </w:r>
      <w:r w:rsidR="00124E16">
        <w:rPr>
          <w:bCs/>
          <w:sz w:val="20"/>
          <w:lang w:val="en-US"/>
        </w:rPr>
        <w:t xml:space="preserve"> </w:t>
      </w:r>
      <w:r w:rsidR="00B03FFE">
        <w:rPr>
          <w:bCs/>
          <w:sz w:val="20"/>
          <w:lang w:val="en-US"/>
        </w:rPr>
        <w:t xml:space="preserve">by fixed length </w:t>
      </w:r>
      <w:r w:rsidR="00124E16">
        <w:rPr>
          <w:bCs/>
          <w:sz w:val="20"/>
          <w:lang w:val="en-US"/>
        </w:rPr>
        <w:t>mini-slots</w:t>
      </w:r>
      <w:r w:rsidRPr="00124E16">
        <w:rPr>
          <w:bCs/>
          <w:sz w:val="20"/>
          <w:lang w:val="en-US"/>
        </w:rPr>
        <w:t>.</w:t>
      </w:r>
    </w:p>
    <w:p w14:paraId="1815A099" w14:textId="790F621B" w:rsidR="00B03FFE" w:rsidRPr="00C461F1" w:rsidRDefault="00334CDE" w:rsidP="00334CDE">
      <w:pPr>
        <w:pStyle w:val="ListParagraph"/>
        <w:numPr>
          <w:ilvl w:val="0"/>
          <w:numId w:val="11"/>
        </w:numPr>
        <w:spacing w:after="120"/>
        <w:jc w:val="both"/>
        <w:rPr>
          <w:bCs/>
          <w:sz w:val="20"/>
          <w:lang w:val="en-US"/>
        </w:rPr>
      </w:pPr>
      <w:r w:rsidRPr="00C461F1">
        <w:rPr>
          <w:b/>
          <w:bCs/>
          <w:sz w:val="20"/>
          <w:u w:val="single"/>
          <w:lang w:val="en-US"/>
        </w:rPr>
        <w:t>Opt</w:t>
      </w:r>
      <w:r w:rsidR="00B03FFE">
        <w:rPr>
          <w:b/>
          <w:bCs/>
          <w:sz w:val="20"/>
          <w:u w:val="single"/>
          <w:lang w:val="en-US"/>
        </w:rPr>
        <w:t>.</w:t>
      </w:r>
      <w:r w:rsidRPr="00C461F1">
        <w:rPr>
          <w:b/>
          <w:bCs/>
          <w:sz w:val="20"/>
          <w:u w:val="single"/>
          <w:lang w:val="en-US"/>
        </w:rPr>
        <w:t xml:space="preserve"> #3:</w:t>
      </w:r>
      <w:r w:rsidRPr="00C461F1">
        <w:rPr>
          <w:b/>
          <w:bCs/>
          <w:sz w:val="20"/>
          <w:lang w:val="en-US"/>
        </w:rPr>
        <w:t xml:space="preserve"> Mini-slot with variable length and flexible starting position.</w:t>
      </w:r>
      <w:r w:rsidRPr="00C461F1">
        <w:rPr>
          <w:bCs/>
          <w:sz w:val="20"/>
          <w:lang w:val="en-US"/>
        </w:rPr>
        <w:t xml:space="preserve"> </w:t>
      </w:r>
      <w:r w:rsidR="00B03FFE">
        <w:rPr>
          <w:bCs/>
          <w:sz w:val="20"/>
          <w:lang w:val="en-US"/>
        </w:rPr>
        <w:t>Following this approach, the mini-slot length can be indicated using DL L1 control signaling. Hence, the</w:t>
      </w:r>
      <w:r w:rsidRPr="00C461F1">
        <w:rPr>
          <w:bCs/>
          <w:sz w:val="20"/>
          <w:lang w:val="en-US"/>
        </w:rPr>
        <w:t xml:space="preserve"> control</w:t>
      </w:r>
      <w:r w:rsidR="00B03FFE">
        <w:rPr>
          <w:bCs/>
          <w:sz w:val="20"/>
          <w:lang w:val="en-US"/>
        </w:rPr>
        <w:t xml:space="preserve"> signaling</w:t>
      </w:r>
      <w:r w:rsidRPr="00C461F1">
        <w:rPr>
          <w:bCs/>
          <w:sz w:val="20"/>
          <w:lang w:val="en-US"/>
        </w:rPr>
        <w:t xml:space="preserve"> </w:t>
      </w:r>
      <w:r w:rsidR="00B03FFE" w:rsidRPr="00C461F1">
        <w:rPr>
          <w:bCs/>
          <w:sz w:val="20"/>
          <w:lang w:val="en-US"/>
        </w:rPr>
        <w:t>overhead</w:t>
      </w:r>
      <w:r w:rsidRPr="00C461F1">
        <w:rPr>
          <w:bCs/>
          <w:sz w:val="20"/>
          <w:lang w:val="en-US"/>
        </w:rPr>
        <w:t xml:space="preserve"> increases slightly compared to other options.</w:t>
      </w:r>
      <w:r w:rsidR="00B03FFE">
        <w:rPr>
          <w:bCs/>
          <w:sz w:val="20"/>
          <w:lang w:val="en-US"/>
        </w:rPr>
        <w:t xml:space="preserve"> On the other hand, this provides the full flexibility to support all foreseen scenarios with a single design.</w:t>
      </w:r>
    </w:p>
    <w:p w14:paraId="01C4A555" w14:textId="77777777" w:rsidR="00B03FFE" w:rsidRDefault="00B03FFE" w:rsidP="00334CDE">
      <w:pPr>
        <w:spacing w:after="0"/>
        <w:rPr>
          <w:rFonts w:eastAsia="MS Mincho"/>
          <w:lang w:eastAsia="ja-JP"/>
        </w:rPr>
      </w:pPr>
    </w:p>
    <w:p w14:paraId="70075537" w14:textId="77777777" w:rsidR="00124E16" w:rsidRDefault="00124E16" w:rsidP="00334CDE">
      <w:pPr>
        <w:spacing w:after="0"/>
        <w:rPr>
          <w:rFonts w:eastAsia="MS Mincho"/>
          <w:lang w:eastAsia="ja-JP"/>
        </w:rPr>
      </w:pPr>
      <w:r>
        <w:rPr>
          <w:rFonts w:eastAsia="MS Mincho"/>
          <w:lang w:eastAsia="ja-JP"/>
        </w:rPr>
        <w:t>Based on the discussion above, we make the following proposal:</w:t>
      </w:r>
    </w:p>
    <w:p w14:paraId="645D06AF" w14:textId="77777777" w:rsidR="00124E16" w:rsidRDefault="00124E16" w:rsidP="00124E16">
      <w:pPr>
        <w:spacing w:after="120"/>
        <w:jc w:val="both"/>
        <w:rPr>
          <w:b/>
        </w:rPr>
      </w:pPr>
    </w:p>
    <w:p w14:paraId="5FD6411D" w14:textId="77777777" w:rsidR="00124E16" w:rsidRDefault="00124E16" w:rsidP="00124E16">
      <w:pPr>
        <w:spacing w:after="120"/>
        <w:jc w:val="both"/>
        <w:rPr>
          <w:bCs/>
        </w:rPr>
      </w:pPr>
      <w:r>
        <w:rPr>
          <w:b/>
        </w:rPr>
        <w:t xml:space="preserve">Proposal </w:t>
      </w:r>
      <w:r w:rsidRPr="0097587B">
        <w:rPr>
          <w:b/>
        </w:rPr>
        <w:t>#</w:t>
      </w:r>
      <w:r>
        <w:rPr>
          <w:b/>
        </w:rPr>
        <w:t>5</w:t>
      </w:r>
      <w:r>
        <w:t xml:space="preserve">: </w:t>
      </w:r>
      <w:r>
        <w:rPr>
          <w:i/>
        </w:rPr>
        <w:t xml:space="preserve">Support mini-slot </w:t>
      </w:r>
      <w:r w:rsidR="004E39CF">
        <w:rPr>
          <w:i/>
        </w:rPr>
        <w:t xml:space="preserve">design </w:t>
      </w:r>
      <w:r>
        <w:rPr>
          <w:i/>
        </w:rPr>
        <w:t xml:space="preserve">with variable length and flexible starting position.  </w:t>
      </w:r>
    </w:p>
    <w:p w14:paraId="398CD1B3" w14:textId="77777777" w:rsidR="00124E16" w:rsidRDefault="00124E16" w:rsidP="00334CDE">
      <w:pPr>
        <w:spacing w:after="0"/>
        <w:rPr>
          <w:rFonts w:eastAsia="MS Mincho"/>
          <w:lang w:eastAsia="ja-JP"/>
        </w:rPr>
      </w:pPr>
    </w:p>
    <w:p w14:paraId="6A558389" w14:textId="77777777" w:rsidR="00334CDE" w:rsidRDefault="00334CDE" w:rsidP="00334CDE">
      <w:pPr>
        <w:keepNext/>
        <w:spacing w:after="0"/>
        <w:jc w:val="center"/>
      </w:pPr>
      <w:r w:rsidRPr="00334CDE">
        <w:rPr>
          <w:rFonts w:eastAsia="MS Mincho"/>
          <w:noProof/>
          <w:lang w:val="en-US"/>
        </w:rPr>
        <w:lastRenderedPageBreak/>
        <w:drawing>
          <wp:inline distT="0" distB="0" distL="0" distR="0" wp14:anchorId="6C0F61E0" wp14:editId="252ABDDF">
            <wp:extent cx="3640711" cy="1918768"/>
            <wp:effectExtent l="0" t="0" r="0" b="5715"/>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pic:cNvPicPr>
                      <a:picLocks noChangeAspect="1"/>
                    </pic:cNvPicPr>
                  </pic:nvPicPr>
                  <pic:blipFill>
                    <a:blip r:embed="rId13" cstate="print"/>
                    <a:stretch>
                      <a:fillRect/>
                    </a:stretch>
                  </pic:blipFill>
                  <pic:spPr>
                    <a:xfrm>
                      <a:off x="0" y="0"/>
                      <a:ext cx="3654021" cy="1925783"/>
                    </a:xfrm>
                    <a:prstGeom prst="rect">
                      <a:avLst/>
                    </a:prstGeom>
                  </pic:spPr>
                </pic:pic>
              </a:graphicData>
            </a:graphic>
          </wp:inline>
        </w:drawing>
      </w:r>
    </w:p>
    <w:p w14:paraId="6DA411DB" w14:textId="7E2CB624" w:rsidR="00334CDE" w:rsidRDefault="00334CDE" w:rsidP="00334CDE">
      <w:pPr>
        <w:pStyle w:val="Caption"/>
        <w:jc w:val="center"/>
        <w:rPr>
          <w:lang w:val="en-US"/>
        </w:rPr>
      </w:pPr>
      <w:r>
        <w:t xml:space="preserve">Figure </w:t>
      </w:r>
      <w:r w:rsidR="003E0AD8">
        <w:fldChar w:fldCharType="begin"/>
      </w:r>
      <w:r w:rsidR="003E0AD8">
        <w:instrText xml:space="preserve"> SEQ Figure \* ARABIC </w:instrText>
      </w:r>
      <w:r w:rsidR="003E0AD8">
        <w:fldChar w:fldCharType="separate"/>
      </w:r>
      <w:r w:rsidR="008D02BC">
        <w:rPr>
          <w:noProof/>
        </w:rPr>
        <w:t>4</w:t>
      </w:r>
      <w:r w:rsidR="003E0AD8">
        <w:rPr>
          <w:noProof/>
        </w:rPr>
        <w:fldChar w:fldCharType="end"/>
      </w:r>
      <w:r w:rsidRPr="00334CDE">
        <w:rPr>
          <w:lang w:val="en-US"/>
        </w:rPr>
        <w:t xml:space="preserve">. Three design </w:t>
      </w:r>
      <w:r w:rsidR="005902EB" w:rsidRPr="00334CDE">
        <w:rPr>
          <w:lang w:val="en-US"/>
        </w:rPr>
        <w:t>options</w:t>
      </w:r>
      <w:r w:rsidRPr="00334CDE">
        <w:rPr>
          <w:lang w:val="en-US"/>
        </w:rPr>
        <w:t xml:space="preserve"> for mini-slot</w:t>
      </w:r>
      <w:r w:rsidR="00124E16">
        <w:rPr>
          <w:lang w:val="en-US"/>
        </w:rPr>
        <w:t>.</w:t>
      </w:r>
    </w:p>
    <w:p w14:paraId="7E8FF79F" w14:textId="77777777" w:rsidR="00C0656E" w:rsidRPr="00836FE9" w:rsidRDefault="00C0656E" w:rsidP="00836FE9">
      <w:pPr>
        <w:rPr>
          <w:lang w:val="en-US"/>
        </w:rPr>
      </w:pPr>
    </w:p>
    <w:p w14:paraId="470326D4" w14:textId="3B136412" w:rsidR="00F87D1A" w:rsidRPr="00836FE9" w:rsidRDefault="00F87D1A" w:rsidP="00124E16">
      <w:pPr>
        <w:spacing w:after="120"/>
        <w:jc w:val="both"/>
      </w:pPr>
      <w:r>
        <w:t>When eNB is contending for channel access on unlicensed band, eNB needs to have a mini-slot or slot ready for transmission, but it does not know when it can access channel and transmit the prepared mini-slot/slot. If mini-slot structure depends on the time, e.g. in terms of scrambling</w:t>
      </w:r>
      <w:r w:rsidR="001053E1">
        <w:t xml:space="preserve"> or pilot positions</w:t>
      </w:r>
      <w:r>
        <w:t xml:space="preserve">, eNB needs </w:t>
      </w:r>
      <w:r w:rsidR="0059693F">
        <w:t xml:space="preserve">to </w:t>
      </w:r>
      <w:r>
        <w:t xml:space="preserve">repeatedly re-build mini-slots with the same data while it is contending for channel access. A simpler implementation is achieved if </w:t>
      </w:r>
      <w:r w:rsidR="001053E1">
        <w:t xml:space="preserve">eNB can build a mini-slot only once and then wait for channel access. This is possible if </w:t>
      </w:r>
      <w:r>
        <w:t xml:space="preserve">mini-slot </w:t>
      </w:r>
      <w:r w:rsidR="001053E1">
        <w:t>structure</w:t>
      </w:r>
      <w:r w:rsidR="007933FD">
        <w:t>/signal</w:t>
      </w:r>
      <w:r w:rsidR="001053E1">
        <w:t xml:space="preserve"> </w:t>
      </w:r>
      <w:r>
        <w:t>does not depend</w:t>
      </w:r>
      <w:r w:rsidR="001053E1">
        <w:t xml:space="preserve"> on time. </w:t>
      </w:r>
      <w:r w:rsidR="00E0456C">
        <w:t>Of course, this presents challenges for multiplexing of periodic signals to mini-slots</w:t>
      </w:r>
      <w:r w:rsidR="001646FD">
        <w:t xml:space="preserve">, </w:t>
      </w:r>
      <w:r w:rsidR="0059693F">
        <w:t xml:space="preserve">which </w:t>
      </w:r>
      <w:r w:rsidR="001646FD">
        <w:t>requir</w:t>
      </w:r>
      <w:r w:rsidR="0059693F">
        <w:t>es</w:t>
      </w:r>
      <w:r w:rsidR="001646FD">
        <w:t xml:space="preserve"> further studies</w:t>
      </w:r>
      <w:r w:rsidR="00E0456C">
        <w:t>. Also uncompromised</w:t>
      </w:r>
      <w:r w:rsidR="001053E1">
        <w:t xml:space="preserve"> inter-cell interference </w:t>
      </w:r>
      <w:r w:rsidR="007933FD">
        <w:t xml:space="preserve">randomization via </w:t>
      </w:r>
      <w:r w:rsidR="001053E1">
        <w:t xml:space="preserve">scrambling </w:t>
      </w:r>
      <w:r w:rsidR="00E0456C">
        <w:t>may be needed in some scenarios, implying that the time dependency/independency of mini-slot structure could be a configura</w:t>
      </w:r>
      <w:r w:rsidR="00C1147E">
        <w:t>ble</w:t>
      </w:r>
      <w:r w:rsidR="00E0456C">
        <w:t xml:space="preserve"> option.</w:t>
      </w:r>
    </w:p>
    <w:p w14:paraId="22DA2B69" w14:textId="3FD01E76" w:rsidR="00E0456C" w:rsidRDefault="00E0456C" w:rsidP="00E0456C">
      <w:pPr>
        <w:spacing w:after="120"/>
        <w:jc w:val="both"/>
        <w:rPr>
          <w:i/>
        </w:rPr>
      </w:pPr>
      <w:r>
        <w:rPr>
          <w:b/>
        </w:rPr>
        <w:t xml:space="preserve">Proposal </w:t>
      </w:r>
      <w:r w:rsidRPr="0097587B">
        <w:rPr>
          <w:b/>
        </w:rPr>
        <w:t>#</w:t>
      </w:r>
      <w:r>
        <w:rPr>
          <w:b/>
        </w:rPr>
        <w:t>6</w:t>
      </w:r>
      <w:r>
        <w:t xml:space="preserve">: </w:t>
      </w:r>
      <w:r>
        <w:rPr>
          <w:i/>
        </w:rPr>
        <w:t xml:space="preserve">Possibilities for mini-slot structure independent from time are investigated.  </w:t>
      </w:r>
    </w:p>
    <w:p w14:paraId="46B4DBB3" w14:textId="77777777" w:rsidR="00492B96" w:rsidRDefault="00492B96" w:rsidP="00E0456C">
      <w:pPr>
        <w:spacing w:after="120"/>
        <w:jc w:val="both"/>
        <w:rPr>
          <w:bCs/>
        </w:rPr>
      </w:pPr>
    </w:p>
    <w:p w14:paraId="54249C32" w14:textId="77777777" w:rsidR="0034111C" w:rsidRPr="00A51522" w:rsidRDefault="00C01DD5">
      <w:pPr>
        <w:pStyle w:val="Heading1"/>
        <w:rPr>
          <w:color w:val="000000"/>
        </w:rPr>
      </w:pPr>
      <w:r>
        <w:rPr>
          <w:color w:val="000000"/>
        </w:rPr>
        <w:t>4</w:t>
      </w:r>
      <w:r w:rsidR="0034111C" w:rsidRPr="00A51522">
        <w:rPr>
          <w:color w:val="000000"/>
        </w:rPr>
        <w:tab/>
      </w:r>
      <w:r w:rsidR="00EE7FA7" w:rsidRPr="00A51522">
        <w:rPr>
          <w:color w:val="000000"/>
        </w:rPr>
        <w:t>Conclusion</w:t>
      </w:r>
      <w:r w:rsidR="00DB39D4" w:rsidRPr="00A51522">
        <w:rPr>
          <w:color w:val="000000"/>
        </w:rPr>
        <w:t>s</w:t>
      </w:r>
    </w:p>
    <w:p w14:paraId="1B89008F" w14:textId="45772776" w:rsidR="00B07E52" w:rsidRDefault="003D3FBA" w:rsidP="00496E75">
      <w:pPr>
        <w:jc w:val="both"/>
      </w:pPr>
      <w:r w:rsidRPr="00A51522">
        <w:t xml:space="preserve">In this contribution we have discussed </w:t>
      </w:r>
      <w:r w:rsidR="00C01DD5">
        <w:rPr>
          <w:bCs/>
        </w:rPr>
        <w:t xml:space="preserve">the mini-slot design on top of NR subframe/slot </w:t>
      </w:r>
      <w:r w:rsidR="00C0656E">
        <w:rPr>
          <w:bCs/>
        </w:rPr>
        <w:t>structure</w:t>
      </w:r>
      <w:r w:rsidR="00B07E52" w:rsidRPr="00B07E52">
        <w:t>.</w:t>
      </w:r>
      <w:r w:rsidR="00B07E52">
        <w:t xml:space="preserve"> Based on the discussion, we make the following </w:t>
      </w:r>
      <w:r w:rsidR="00C01DD5">
        <w:t xml:space="preserve">observation and </w:t>
      </w:r>
      <w:r w:rsidR="00B07E52">
        <w:t>proposals:</w:t>
      </w:r>
    </w:p>
    <w:p w14:paraId="4F8F5C9F" w14:textId="77777777" w:rsidR="00C0656E" w:rsidRDefault="00C0656E" w:rsidP="00836FE9">
      <w:pPr>
        <w:spacing w:after="0"/>
        <w:jc w:val="both"/>
        <w:rPr>
          <w:rFonts w:eastAsia="MS Mincho"/>
          <w:lang w:eastAsia="ja-JP"/>
        </w:rPr>
      </w:pPr>
      <w:r w:rsidRPr="0097587B">
        <w:rPr>
          <w:b/>
        </w:rPr>
        <w:t>Observation #1</w:t>
      </w:r>
      <w:r>
        <w:t xml:space="preserve">: </w:t>
      </w:r>
      <w:r>
        <w:rPr>
          <w:i/>
        </w:rPr>
        <w:t>15 kHz subcarrier spacing can be seen as the most relevant mini-slot scenario from latency reduction and unlicensed operation point of view.</w:t>
      </w:r>
      <w:r>
        <w:rPr>
          <w:rFonts w:eastAsia="MS Mincho"/>
          <w:lang w:eastAsia="ja-JP"/>
        </w:rPr>
        <w:t xml:space="preserve"> </w:t>
      </w:r>
    </w:p>
    <w:p w14:paraId="5EAAD945" w14:textId="77777777" w:rsidR="00C0656E" w:rsidRDefault="00C0656E" w:rsidP="00836FE9">
      <w:pPr>
        <w:spacing w:after="0"/>
        <w:jc w:val="both"/>
        <w:rPr>
          <w:b/>
        </w:rPr>
      </w:pPr>
    </w:p>
    <w:p w14:paraId="434BAD7A" w14:textId="77777777" w:rsidR="00C0656E" w:rsidRDefault="00C0656E" w:rsidP="00C0656E">
      <w:pPr>
        <w:spacing w:after="120"/>
        <w:jc w:val="both"/>
        <w:rPr>
          <w:bCs/>
        </w:rPr>
      </w:pPr>
      <w:r>
        <w:rPr>
          <w:b/>
        </w:rPr>
        <w:t xml:space="preserve">Proposal </w:t>
      </w:r>
      <w:r w:rsidRPr="0097587B">
        <w:rPr>
          <w:b/>
        </w:rPr>
        <w:t>#1</w:t>
      </w:r>
      <w:r>
        <w:t xml:space="preserve">: </w:t>
      </w:r>
      <w:r>
        <w:rPr>
          <w:i/>
        </w:rPr>
        <w:t>Aim at single mini-slot design scalable to any NR scenario.</w:t>
      </w:r>
    </w:p>
    <w:p w14:paraId="494AF47E" w14:textId="77777777" w:rsidR="00C0656E" w:rsidRDefault="00C0656E" w:rsidP="00C0656E">
      <w:pPr>
        <w:spacing w:after="120"/>
        <w:jc w:val="both"/>
        <w:rPr>
          <w:i/>
        </w:rPr>
      </w:pPr>
      <w:r>
        <w:rPr>
          <w:b/>
        </w:rPr>
        <w:t xml:space="preserve">Proposal </w:t>
      </w:r>
      <w:r w:rsidRPr="0097587B">
        <w:rPr>
          <w:b/>
        </w:rPr>
        <w:t>#</w:t>
      </w:r>
      <w:r>
        <w:rPr>
          <w:b/>
        </w:rPr>
        <w:t>2</w:t>
      </w:r>
      <w:r>
        <w:t xml:space="preserve">: </w:t>
      </w:r>
      <w:r>
        <w:rPr>
          <w:i/>
        </w:rPr>
        <w:t xml:space="preserve">Mini-slot should not exceed the slot/subframe boundaries. </w:t>
      </w:r>
    </w:p>
    <w:p w14:paraId="58D8A26B" w14:textId="2097E26D" w:rsidR="00C0656E" w:rsidRDefault="00C0656E" w:rsidP="00C0656E">
      <w:pPr>
        <w:spacing w:after="120"/>
        <w:jc w:val="both"/>
        <w:rPr>
          <w:bCs/>
        </w:rPr>
      </w:pPr>
      <w:r>
        <w:rPr>
          <w:b/>
        </w:rPr>
        <w:t xml:space="preserve">Proposal </w:t>
      </w:r>
      <w:r w:rsidRPr="0097587B">
        <w:rPr>
          <w:b/>
        </w:rPr>
        <w:t>#</w:t>
      </w:r>
      <w:r>
        <w:rPr>
          <w:b/>
        </w:rPr>
        <w:t>3</w:t>
      </w:r>
      <w:r>
        <w:t xml:space="preserve">: </w:t>
      </w:r>
      <w:r>
        <w:rPr>
          <w:i/>
        </w:rPr>
        <w:t>Support FDM between control and data with mini-slots</w:t>
      </w:r>
      <w:r w:rsidR="001413DC">
        <w:rPr>
          <w:i/>
        </w:rPr>
        <w:t>.</w:t>
      </w:r>
      <w:r>
        <w:rPr>
          <w:i/>
        </w:rPr>
        <w:t xml:space="preserve">  </w:t>
      </w:r>
    </w:p>
    <w:p w14:paraId="25BD4A82" w14:textId="7DD62C96" w:rsidR="00C0656E" w:rsidRDefault="00C0656E" w:rsidP="00C0656E">
      <w:pPr>
        <w:spacing w:after="120"/>
        <w:jc w:val="both"/>
        <w:rPr>
          <w:i/>
        </w:rPr>
      </w:pPr>
      <w:r>
        <w:rPr>
          <w:b/>
        </w:rPr>
        <w:t xml:space="preserve">Proposal </w:t>
      </w:r>
      <w:r w:rsidRPr="0097587B">
        <w:rPr>
          <w:b/>
        </w:rPr>
        <w:t>#</w:t>
      </w:r>
      <w:r>
        <w:rPr>
          <w:b/>
        </w:rPr>
        <w:t>4</w:t>
      </w:r>
      <w:r>
        <w:t xml:space="preserve">: </w:t>
      </w:r>
      <w:r>
        <w:rPr>
          <w:i/>
        </w:rPr>
        <w:t>Mini-slot supports only one link direction</w:t>
      </w:r>
      <w:r w:rsidR="001413DC">
        <w:rPr>
          <w:i/>
        </w:rPr>
        <w:t>.</w:t>
      </w:r>
      <w:r>
        <w:rPr>
          <w:i/>
        </w:rPr>
        <w:t xml:space="preserve">  </w:t>
      </w:r>
    </w:p>
    <w:p w14:paraId="786452BB" w14:textId="77777777" w:rsidR="00C0656E" w:rsidRDefault="00C0656E" w:rsidP="00C0656E">
      <w:pPr>
        <w:spacing w:after="120"/>
        <w:jc w:val="both"/>
        <w:rPr>
          <w:bCs/>
        </w:rPr>
      </w:pPr>
      <w:r>
        <w:rPr>
          <w:b/>
        </w:rPr>
        <w:t xml:space="preserve">Proposal </w:t>
      </w:r>
      <w:r w:rsidRPr="0097587B">
        <w:rPr>
          <w:b/>
        </w:rPr>
        <w:t>#</w:t>
      </w:r>
      <w:r>
        <w:rPr>
          <w:b/>
        </w:rPr>
        <w:t>5</w:t>
      </w:r>
      <w:r>
        <w:t xml:space="preserve">: </w:t>
      </w:r>
      <w:r>
        <w:rPr>
          <w:i/>
        </w:rPr>
        <w:t xml:space="preserve">Support mini-slot design with variable length and flexible starting position.  </w:t>
      </w:r>
    </w:p>
    <w:p w14:paraId="3892D798" w14:textId="77777777" w:rsidR="00C0656E" w:rsidRDefault="00C0656E" w:rsidP="00C0656E">
      <w:pPr>
        <w:spacing w:after="120"/>
        <w:jc w:val="both"/>
        <w:rPr>
          <w:i/>
        </w:rPr>
      </w:pPr>
      <w:r>
        <w:rPr>
          <w:b/>
        </w:rPr>
        <w:t xml:space="preserve">Proposal </w:t>
      </w:r>
      <w:r w:rsidRPr="0097587B">
        <w:rPr>
          <w:b/>
        </w:rPr>
        <w:t>#</w:t>
      </w:r>
      <w:r>
        <w:rPr>
          <w:b/>
        </w:rPr>
        <w:t>6</w:t>
      </w:r>
      <w:r>
        <w:t xml:space="preserve">: </w:t>
      </w:r>
      <w:r>
        <w:rPr>
          <w:i/>
        </w:rPr>
        <w:t xml:space="preserve">Possibilities for mini-slot structure independent from time are investigated.  </w:t>
      </w:r>
    </w:p>
    <w:p w14:paraId="491BB328" w14:textId="77777777" w:rsidR="00492B96" w:rsidRDefault="00492B96" w:rsidP="00C0656E">
      <w:pPr>
        <w:spacing w:after="120"/>
        <w:jc w:val="both"/>
        <w:rPr>
          <w:bCs/>
        </w:rPr>
      </w:pPr>
    </w:p>
    <w:p w14:paraId="4D7567B0" w14:textId="77777777" w:rsidR="0034111C" w:rsidRPr="00A51522" w:rsidRDefault="0034111C">
      <w:pPr>
        <w:pStyle w:val="Heading1"/>
      </w:pPr>
      <w:r w:rsidRPr="00A51522">
        <w:t>References</w:t>
      </w:r>
      <w:r w:rsidR="00A2459D" w:rsidRPr="00A51522">
        <w:t xml:space="preserve"> </w:t>
      </w:r>
    </w:p>
    <w:p w14:paraId="2C17AE5E"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2389276A" w14:textId="77777777"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5FB9CA20" w14:textId="77777777" w:rsidR="006427E0" w:rsidRDefault="006427E0" w:rsidP="006427E0">
      <w:pPr>
        <w:numPr>
          <w:ilvl w:val="0"/>
          <w:numId w:val="1"/>
        </w:numPr>
        <w:rPr>
          <w:sz w:val="18"/>
        </w:rPr>
      </w:pPr>
      <w:r w:rsidRPr="004C3EC7">
        <w:rPr>
          <w:sz w:val="18"/>
        </w:rPr>
        <w:t>RAN1 Chairman’s Notes, 3GPP TSG RAN WG1 Meeting #86, 3PGG.</w:t>
      </w:r>
    </w:p>
    <w:p w14:paraId="758C0570" w14:textId="0731AF70" w:rsidR="00A51A87" w:rsidRPr="00FB1F5D" w:rsidRDefault="00A51A87" w:rsidP="00A51A87">
      <w:pPr>
        <w:numPr>
          <w:ilvl w:val="0"/>
          <w:numId w:val="1"/>
        </w:numPr>
        <w:rPr>
          <w:sz w:val="18"/>
        </w:rPr>
      </w:pPr>
      <w:r w:rsidRPr="00836FE9">
        <w:rPr>
          <w:sz w:val="18"/>
          <w:lang w:val="en-US"/>
        </w:rPr>
        <w:t>R1-</w:t>
      </w:r>
      <w:r w:rsidR="00836FE9" w:rsidRPr="00836FE9">
        <w:rPr>
          <w:sz w:val="18"/>
          <w:lang w:val="en-US"/>
        </w:rPr>
        <w:t>1609662</w:t>
      </w:r>
      <w:r w:rsidRPr="00836FE9">
        <w:rPr>
          <w:sz w:val="18"/>
          <w:lang w:val="en-US"/>
        </w:rPr>
        <w:t>, “</w:t>
      </w:r>
      <w:r w:rsidRPr="00836FE9">
        <w:rPr>
          <w:i/>
          <w:sz w:val="18"/>
        </w:rPr>
        <w:t>On the subframe and slot structures in NR</w:t>
      </w:r>
      <w:r w:rsidRPr="00836FE9">
        <w:rPr>
          <w:i/>
          <w:sz w:val="18"/>
          <w:lang w:val="en-US"/>
        </w:rPr>
        <w:t xml:space="preserve">”, </w:t>
      </w:r>
      <w:r w:rsidRPr="00836FE9">
        <w:rPr>
          <w:sz w:val="18"/>
          <w:lang w:val="en-US"/>
        </w:rPr>
        <w:t>Nokia, Alcatel-Lucent Shanghai Bell</w:t>
      </w:r>
    </w:p>
    <w:p w14:paraId="65CFD996" w14:textId="349C24BF" w:rsidR="00FB1F5D" w:rsidRPr="00FB1F5D" w:rsidRDefault="00FB1F5D" w:rsidP="00FB1F5D">
      <w:pPr>
        <w:pStyle w:val="ListParagraph"/>
        <w:numPr>
          <w:ilvl w:val="0"/>
          <w:numId w:val="1"/>
        </w:numPr>
        <w:rPr>
          <w:sz w:val="18"/>
          <w:szCs w:val="20"/>
          <w:lang w:val="en-US" w:eastAsia="en-US"/>
        </w:rPr>
      </w:pPr>
      <w:r w:rsidRPr="00FB1F5D">
        <w:rPr>
          <w:sz w:val="18"/>
          <w:szCs w:val="20"/>
          <w:lang w:val="en-US" w:eastAsia="en-US"/>
        </w:rPr>
        <w:t>R1-1609664, "</w:t>
      </w:r>
      <w:r w:rsidRPr="00FB1F5D">
        <w:rPr>
          <w:i/>
          <w:sz w:val="18"/>
          <w:szCs w:val="20"/>
          <w:lang w:val="en-US" w:eastAsia="en-US"/>
        </w:rPr>
        <w:t>Comparison of slot and mini-slot based approaches for URLLC</w:t>
      </w:r>
      <w:r w:rsidRPr="00FB1F5D">
        <w:rPr>
          <w:sz w:val="18"/>
          <w:szCs w:val="20"/>
          <w:lang w:val="en-US" w:eastAsia="en-US"/>
        </w:rPr>
        <w:t>", Nokia, Alcatel-Lucent Shanghai Bell</w:t>
      </w:r>
    </w:p>
    <w:p w14:paraId="69C9C351" w14:textId="77777777" w:rsidR="00142DE2" w:rsidRPr="008D4B8A" w:rsidRDefault="00142DE2" w:rsidP="00F10CB9">
      <w:pPr>
        <w:rPr>
          <w:sz w:val="18"/>
        </w:rPr>
      </w:pPr>
      <w:bookmarkStart w:id="0" w:name="_GoBack"/>
      <w:bookmarkEnd w:id="0"/>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C9250" w14:textId="77777777" w:rsidR="001C3020" w:rsidRDefault="001C3020">
      <w:r>
        <w:separator/>
      </w:r>
    </w:p>
  </w:endnote>
  <w:endnote w:type="continuationSeparator" w:id="0">
    <w:p w14:paraId="01515D9E" w14:textId="77777777" w:rsidR="001C3020" w:rsidRDefault="001C3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4B76F" w14:textId="77777777" w:rsidR="001C3020" w:rsidRDefault="001C3020">
      <w:r>
        <w:separator/>
      </w:r>
    </w:p>
  </w:footnote>
  <w:footnote w:type="continuationSeparator" w:id="0">
    <w:p w14:paraId="6C5247B9" w14:textId="77777777" w:rsidR="001C3020" w:rsidRDefault="001C30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C0C8A"/>
    <w:multiLevelType w:val="hybridMultilevel"/>
    <w:tmpl w:val="8820A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71F36B1"/>
    <w:multiLevelType w:val="hybridMultilevel"/>
    <w:tmpl w:val="BF2A397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9E57F3"/>
    <w:multiLevelType w:val="hybridMultilevel"/>
    <w:tmpl w:val="9120D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6E6951"/>
    <w:multiLevelType w:val="hybridMultilevel"/>
    <w:tmpl w:val="26AE609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6E07049"/>
    <w:multiLevelType w:val="hybridMultilevel"/>
    <w:tmpl w:val="F6AA7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7C52F0"/>
    <w:multiLevelType w:val="hybridMultilevel"/>
    <w:tmpl w:val="FED00170"/>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1" w15:restartNumberingAfterBreak="0">
    <w:nsid w:val="76712E8F"/>
    <w:multiLevelType w:val="hybridMultilevel"/>
    <w:tmpl w:val="70AAB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10"/>
  </w:num>
  <w:num w:numId="5">
    <w:abstractNumId w:val="0"/>
  </w:num>
  <w:num w:numId="6">
    <w:abstractNumId w:val="9"/>
  </w:num>
  <w:num w:numId="7">
    <w:abstractNumId w:val="7"/>
  </w:num>
  <w:num w:numId="8">
    <w:abstractNumId w:val="5"/>
  </w:num>
  <w:num w:numId="9">
    <w:abstractNumId w:val="11"/>
  </w:num>
  <w:num w:numId="10">
    <w:abstractNumId w:val="3"/>
  </w:num>
  <w:num w:numId="11">
    <w:abstractNumId w:val="8"/>
  </w:num>
  <w:num w:numId="1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3544"/>
    <w:rsid w:val="0003479E"/>
    <w:rsid w:val="00035691"/>
    <w:rsid w:val="00041038"/>
    <w:rsid w:val="0004132D"/>
    <w:rsid w:val="00044CFA"/>
    <w:rsid w:val="000459C7"/>
    <w:rsid w:val="00046630"/>
    <w:rsid w:val="00046C80"/>
    <w:rsid w:val="00050112"/>
    <w:rsid w:val="000505CC"/>
    <w:rsid w:val="000511F9"/>
    <w:rsid w:val="00052850"/>
    <w:rsid w:val="000528A2"/>
    <w:rsid w:val="00052BBA"/>
    <w:rsid w:val="00054D9D"/>
    <w:rsid w:val="00055676"/>
    <w:rsid w:val="00056544"/>
    <w:rsid w:val="00060D8E"/>
    <w:rsid w:val="000637E7"/>
    <w:rsid w:val="00063D9E"/>
    <w:rsid w:val="00064AD3"/>
    <w:rsid w:val="00065088"/>
    <w:rsid w:val="000652D3"/>
    <w:rsid w:val="000654A0"/>
    <w:rsid w:val="000707CA"/>
    <w:rsid w:val="00072BBA"/>
    <w:rsid w:val="00075FDA"/>
    <w:rsid w:val="00076386"/>
    <w:rsid w:val="00076D82"/>
    <w:rsid w:val="00081EC2"/>
    <w:rsid w:val="00083800"/>
    <w:rsid w:val="00084A65"/>
    <w:rsid w:val="00091A92"/>
    <w:rsid w:val="00093C49"/>
    <w:rsid w:val="00095A80"/>
    <w:rsid w:val="000973E1"/>
    <w:rsid w:val="000A1402"/>
    <w:rsid w:val="000A20BA"/>
    <w:rsid w:val="000A262C"/>
    <w:rsid w:val="000A3C8D"/>
    <w:rsid w:val="000A40EC"/>
    <w:rsid w:val="000A4EDF"/>
    <w:rsid w:val="000A54EE"/>
    <w:rsid w:val="000A6A23"/>
    <w:rsid w:val="000A7BC5"/>
    <w:rsid w:val="000B16DB"/>
    <w:rsid w:val="000B1C5E"/>
    <w:rsid w:val="000B2282"/>
    <w:rsid w:val="000B2A11"/>
    <w:rsid w:val="000B2A5B"/>
    <w:rsid w:val="000B3B91"/>
    <w:rsid w:val="000B5F0A"/>
    <w:rsid w:val="000C74BA"/>
    <w:rsid w:val="000C7531"/>
    <w:rsid w:val="000C7C3F"/>
    <w:rsid w:val="000D0BD6"/>
    <w:rsid w:val="000D0C61"/>
    <w:rsid w:val="000D27AD"/>
    <w:rsid w:val="000D29D1"/>
    <w:rsid w:val="000D2B0A"/>
    <w:rsid w:val="000D3286"/>
    <w:rsid w:val="000D344D"/>
    <w:rsid w:val="000D40E7"/>
    <w:rsid w:val="000D584F"/>
    <w:rsid w:val="000D5DD5"/>
    <w:rsid w:val="000E02B7"/>
    <w:rsid w:val="000E071E"/>
    <w:rsid w:val="000E27AA"/>
    <w:rsid w:val="000E337A"/>
    <w:rsid w:val="000E4350"/>
    <w:rsid w:val="000E4408"/>
    <w:rsid w:val="000E5716"/>
    <w:rsid w:val="000E7A79"/>
    <w:rsid w:val="000F15B2"/>
    <w:rsid w:val="000F19DE"/>
    <w:rsid w:val="000F24EC"/>
    <w:rsid w:val="000F2E1F"/>
    <w:rsid w:val="000F37B0"/>
    <w:rsid w:val="000F4595"/>
    <w:rsid w:val="000F4CB2"/>
    <w:rsid w:val="000F568D"/>
    <w:rsid w:val="00101C4F"/>
    <w:rsid w:val="00102C9F"/>
    <w:rsid w:val="001053E1"/>
    <w:rsid w:val="00105ED8"/>
    <w:rsid w:val="001068D2"/>
    <w:rsid w:val="001103BD"/>
    <w:rsid w:val="00111208"/>
    <w:rsid w:val="00111808"/>
    <w:rsid w:val="0011339F"/>
    <w:rsid w:val="00114E96"/>
    <w:rsid w:val="001204DD"/>
    <w:rsid w:val="00122839"/>
    <w:rsid w:val="001237AC"/>
    <w:rsid w:val="00124E12"/>
    <w:rsid w:val="00124E16"/>
    <w:rsid w:val="0012673D"/>
    <w:rsid w:val="001269B8"/>
    <w:rsid w:val="00127099"/>
    <w:rsid w:val="00132B71"/>
    <w:rsid w:val="0013427A"/>
    <w:rsid w:val="001362C2"/>
    <w:rsid w:val="00136955"/>
    <w:rsid w:val="001371B2"/>
    <w:rsid w:val="00137D78"/>
    <w:rsid w:val="001409A0"/>
    <w:rsid w:val="001413DC"/>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6FD"/>
    <w:rsid w:val="00164E58"/>
    <w:rsid w:val="00165033"/>
    <w:rsid w:val="001670EA"/>
    <w:rsid w:val="001674A0"/>
    <w:rsid w:val="00170A50"/>
    <w:rsid w:val="00174FFD"/>
    <w:rsid w:val="001759CA"/>
    <w:rsid w:val="0017726A"/>
    <w:rsid w:val="001778DA"/>
    <w:rsid w:val="00180278"/>
    <w:rsid w:val="001818A7"/>
    <w:rsid w:val="00182725"/>
    <w:rsid w:val="001829C8"/>
    <w:rsid w:val="00186904"/>
    <w:rsid w:val="00186B0A"/>
    <w:rsid w:val="001905BD"/>
    <w:rsid w:val="00192FE6"/>
    <w:rsid w:val="00193986"/>
    <w:rsid w:val="00193B08"/>
    <w:rsid w:val="00194570"/>
    <w:rsid w:val="00196BF4"/>
    <w:rsid w:val="001972DA"/>
    <w:rsid w:val="001976AA"/>
    <w:rsid w:val="001A10E5"/>
    <w:rsid w:val="001A15C6"/>
    <w:rsid w:val="001A5E19"/>
    <w:rsid w:val="001B01FA"/>
    <w:rsid w:val="001B0832"/>
    <w:rsid w:val="001B18A7"/>
    <w:rsid w:val="001B36FC"/>
    <w:rsid w:val="001B41ED"/>
    <w:rsid w:val="001B4607"/>
    <w:rsid w:val="001B518E"/>
    <w:rsid w:val="001B5AB7"/>
    <w:rsid w:val="001B7E0C"/>
    <w:rsid w:val="001C0674"/>
    <w:rsid w:val="001C226F"/>
    <w:rsid w:val="001C3020"/>
    <w:rsid w:val="001C66AC"/>
    <w:rsid w:val="001C6754"/>
    <w:rsid w:val="001C77F0"/>
    <w:rsid w:val="001D46A0"/>
    <w:rsid w:val="001D7CA4"/>
    <w:rsid w:val="001D7E58"/>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630"/>
    <w:rsid w:val="00206955"/>
    <w:rsid w:val="00210309"/>
    <w:rsid w:val="00212FB8"/>
    <w:rsid w:val="00213709"/>
    <w:rsid w:val="002149AF"/>
    <w:rsid w:val="00214A86"/>
    <w:rsid w:val="00215AAA"/>
    <w:rsid w:val="00221985"/>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56C08"/>
    <w:rsid w:val="00262661"/>
    <w:rsid w:val="002632DF"/>
    <w:rsid w:val="002640BA"/>
    <w:rsid w:val="00264CF2"/>
    <w:rsid w:val="00267587"/>
    <w:rsid w:val="00271589"/>
    <w:rsid w:val="00273177"/>
    <w:rsid w:val="00275074"/>
    <w:rsid w:val="0027633F"/>
    <w:rsid w:val="002763E9"/>
    <w:rsid w:val="00276736"/>
    <w:rsid w:val="00277CCB"/>
    <w:rsid w:val="00284E32"/>
    <w:rsid w:val="002851EB"/>
    <w:rsid w:val="00285510"/>
    <w:rsid w:val="00285DE2"/>
    <w:rsid w:val="0028616D"/>
    <w:rsid w:val="00286965"/>
    <w:rsid w:val="0029136E"/>
    <w:rsid w:val="00292399"/>
    <w:rsid w:val="002930C3"/>
    <w:rsid w:val="00294445"/>
    <w:rsid w:val="00294B4D"/>
    <w:rsid w:val="002960D5"/>
    <w:rsid w:val="002A1062"/>
    <w:rsid w:val="002A2413"/>
    <w:rsid w:val="002A2F5E"/>
    <w:rsid w:val="002A352A"/>
    <w:rsid w:val="002A40F9"/>
    <w:rsid w:val="002A53DC"/>
    <w:rsid w:val="002A607D"/>
    <w:rsid w:val="002B132E"/>
    <w:rsid w:val="002B2813"/>
    <w:rsid w:val="002B2D29"/>
    <w:rsid w:val="002B2D5B"/>
    <w:rsid w:val="002C1EEA"/>
    <w:rsid w:val="002C306D"/>
    <w:rsid w:val="002C3EAA"/>
    <w:rsid w:val="002C6034"/>
    <w:rsid w:val="002C635B"/>
    <w:rsid w:val="002C7CFF"/>
    <w:rsid w:val="002D0BC6"/>
    <w:rsid w:val="002D17C5"/>
    <w:rsid w:val="002D365F"/>
    <w:rsid w:val="002D7C86"/>
    <w:rsid w:val="002E0692"/>
    <w:rsid w:val="002E0B77"/>
    <w:rsid w:val="002E1D74"/>
    <w:rsid w:val="002E2943"/>
    <w:rsid w:val="002E2CF1"/>
    <w:rsid w:val="002E34AF"/>
    <w:rsid w:val="002E4AAC"/>
    <w:rsid w:val="002E53DE"/>
    <w:rsid w:val="002E563B"/>
    <w:rsid w:val="002E62D2"/>
    <w:rsid w:val="002E6B21"/>
    <w:rsid w:val="002E74AF"/>
    <w:rsid w:val="002E7581"/>
    <w:rsid w:val="002F1038"/>
    <w:rsid w:val="002F22FF"/>
    <w:rsid w:val="002F2D8F"/>
    <w:rsid w:val="002F695B"/>
    <w:rsid w:val="002F72DA"/>
    <w:rsid w:val="002F76B1"/>
    <w:rsid w:val="002F7D66"/>
    <w:rsid w:val="002F7DBE"/>
    <w:rsid w:val="0030090B"/>
    <w:rsid w:val="00302AE8"/>
    <w:rsid w:val="00302BB1"/>
    <w:rsid w:val="00304210"/>
    <w:rsid w:val="003048D7"/>
    <w:rsid w:val="00304AD2"/>
    <w:rsid w:val="00304C3E"/>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4516"/>
    <w:rsid w:val="00325D7A"/>
    <w:rsid w:val="00326145"/>
    <w:rsid w:val="00327163"/>
    <w:rsid w:val="00327305"/>
    <w:rsid w:val="00327531"/>
    <w:rsid w:val="00330187"/>
    <w:rsid w:val="00331C77"/>
    <w:rsid w:val="00331F96"/>
    <w:rsid w:val="00332B55"/>
    <w:rsid w:val="00334CDE"/>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FD8"/>
    <w:rsid w:val="0037085C"/>
    <w:rsid w:val="00370B63"/>
    <w:rsid w:val="00370FCC"/>
    <w:rsid w:val="003711AF"/>
    <w:rsid w:val="00373478"/>
    <w:rsid w:val="00374848"/>
    <w:rsid w:val="00375D09"/>
    <w:rsid w:val="0037739D"/>
    <w:rsid w:val="0037751C"/>
    <w:rsid w:val="00380F3F"/>
    <w:rsid w:val="00382232"/>
    <w:rsid w:val="00382F1A"/>
    <w:rsid w:val="00383282"/>
    <w:rsid w:val="00383658"/>
    <w:rsid w:val="00383B56"/>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ABE"/>
    <w:rsid w:val="003B2E9B"/>
    <w:rsid w:val="003B2F8D"/>
    <w:rsid w:val="003B4FAA"/>
    <w:rsid w:val="003B547A"/>
    <w:rsid w:val="003B5F1C"/>
    <w:rsid w:val="003B75B9"/>
    <w:rsid w:val="003C1A18"/>
    <w:rsid w:val="003C5C41"/>
    <w:rsid w:val="003C7461"/>
    <w:rsid w:val="003D0788"/>
    <w:rsid w:val="003D132A"/>
    <w:rsid w:val="003D1517"/>
    <w:rsid w:val="003D2938"/>
    <w:rsid w:val="003D3FBA"/>
    <w:rsid w:val="003D402B"/>
    <w:rsid w:val="003D764F"/>
    <w:rsid w:val="003E0667"/>
    <w:rsid w:val="003E0AD8"/>
    <w:rsid w:val="003E0BCE"/>
    <w:rsid w:val="003E13E0"/>
    <w:rsid w:val="003E1660"/>
    <w:rsid w:val="003E1CD1"/>
    <w:rsid w:val="003E2A2D"/>
    <w:rsid w:val="003E64A9"/>
    <w:rsid w:val="003E7905"/>
    <w:rsid w:val="003F0336"/>
    <w:rsid w:val="003F5547"/>
    <w:rsid w:val="003F5C40"/>
    <w:rsid w:val="003F6E12"/>
    <w:rsid w:val="003F714E"/>
    <w:rsid w:val="003F75ED"/>
    <w:rsid w:val="004002B7"/>
    <w:rsid w:val="00400F31"/>
    <w:rsid w:val="00406B4D"/>
    <w:rsid w:val="0041443C"/>
    <w:rsid w:val="004154F7"/>
    <w:rsid w:val="004176FF"/>
    <w:rsid w:val="004241C5"/>
    <w:rsid w:val="00424FA7"/>
    <w:rsid w:val="004258C8"/>
    <w:rsid w:val="00426A87"/>
    <w:rsid w:val="004309D8"/>
    <w:rsid w:val="004313D1"/>
    <w:rsid w:val="00432110"/>
    <w:rsid w:val="00433EBE"/>
    <w:rsid w:val="00434406"/>
    <w:rsid w:val="00436C8E"/>
    <w:rsid w:val="00441B92"/>
    <w:rsid w:val="0044474B"/>
    <w:rsid w:val="00445FF7"/>
    <w:rsid w:val="00453341"/>
    <w:rsid w:val="004545C6"/>
    <w:rsid w:val="00454DCA"/>
    <w:rsid w:val="00456544"/>
    <w:rsid w:val="00456649"/>
    <w:rsid w:val="004567B7"/>
    <w:rsid w:val="00456856"/>
    <w:rsid w:val="00461210"/>
    <w:rsid w:val="004613B9"/>
    <w:rsid w:val="00462490"/>
    <w:rsid w:val="00463F33"/>
    <w:rsid w:val="00465299"/>
    <w:rsid w:val="00466A0F"/>
    <w:rsid w:val="0046795B"/>
    <w:rsid w:val="00471863"/>
    <w:rsid w:val="00473A14"/>
    <w:rsid w:val="00474CA8"/>
    <w:rsid w:val="00474E43"/>
    <w:rsid w:val="00475229"/>
    <w:rsid w:val="00481D90"/>
    <w:rsid w:val="00482CD4"/>
    <w:rsid w:val="00483261"/>
    <w:rsid w:val="00485B23"/>
    <w:rsid w:val="004874E4"/>
    <w:rsid w:val="0049070D"/>
    <w:rsid w:val="00491DB2"/>
    <w:rsid w:val="00492877"/>
    <w:rsid w:val="00492B96"/>
    <w:rsid w:val="00496DC2"/>
    <w:rsid w:val="00496E75"/>
    <w:rsid w:val="004A014C"/>
    <w:rsid w:val="004A0AA8"/>
    <w:rsid w:val="004A1FE4"/>
    <w:rsid w:val="004A2CA9"/>
    <w:rsid w:val="004A3CB5"/>
    <w:rsid w:val="004A537D"/>
    <w:rsid w:val="004A67F0"/>
    <w:rsid w:val="004A71C3"/>
    <w:rsid w:val="004A7769"/>
    <w:rsid w:val="004B23AD"/>
    <w:rsid w:val="004B2965"/>
    <w:rsid w:val="004B4224"/>
    <w:rsid w:val="004B4647"/>
    <w:rsid w:val="004B7455"/>
    <w:rsid w:val="004B74FF"/>
    <w:rsid w:val="004B7CE4"/>
    <w:rsid w:val="004C0401"/>
    <w:rsid w:val="004C08C1"/>
    <w:rsid w:val="004C183D"/>
    <w:rsid w:val="004C3EEE"/>
    <w:rsid w:val="004C483D"/>
    <w:rsid w:val="004C5CE9"/>
    <w:rsid w:val="004C795A"/>
    <w:rsid w:val="004C7F93"/>
    <w:rsid w:val="004D26B8"/>
    <w:rsid w:val="004D38C2"/>
    <w:rsid w:val="004D471A"/>
    <w:rsid w:val="004D4C81"/>
    <w:rsid w:val="004D4FBD"/>
    <w:rsid w:val="004D4FC0"/>
    <w:rsid w:val="004D7DA8"/>
    <w:rsid w:val="004E2892"/>
    <w:rsid w:val="004E362B"/>
    <w:rsid w:val="004E3681"/>
    <w:rsid w:val="004E39CF"/>
    <w:rsid w:val="004E3D74"/>
    <w:rsid w:val="004E4650"/>
    <w:rsid w:val="004E784B"/>
    <w:rsid w:val="004F0224"/>
    <w:rsid w:val="004F0DB4"/>
    <w:rsid w:val="004F0E04"/>
    <w:rsid w:val="004F1EBC"/>
    <w:rsid w:val="004F3B71"/>
    <w:rsid w:val="004F5154"/>
    <w:rsid w:val="004F5835"/>
    <w:rsid w:val="004F661C"/>
    <w:rsid w:val="004F6D99"/>
    <w:rsid w:val="004F718B"/>
    <w:rsid w:val="00500572"/>
    <w:rsid w:val="00501304"/>
    <w:rsid w:val="00501425"/>
    <w:rsid w:val="00504311"/>
    <w:rsid w:val="0050485C"/>
    <w:rsid w:val="00504AC6"/>
    <w:rsid w:val="00511079"/>
    <w:rsid w:val="00512829"/>
    <w:rsid w:val="0051423C"/>
    <w:rsid w:val="00514C91"/>
    <w:rsid w:val="00516241"/>
    <w:rsid w:val="00516FD9"/>
    <w:rsid w:val="0051791D"/>
    <w:rsid w:val="00523E75"/>
    <w:rsid w:val="005243E0"/>
    <w:rsid w:val="005256F3"/>
    <w:rsid w:val="005265A3"/>
    <w:rsid w:val="00526783"/>
    <w:rsid w:val="00527FB1"/>
    <w:rsid w:val="005302C1"/>
    <w:rsid w:val="0053162F"/>
    <w:rsid w:val="00531777"/>
    <w:rsid w:val="0053281C"/>
    <w:rsid w:val="00533544"/>
    <w:rsid w:val="00533AAC"/>
    <w:rsid w:val="005340C9"/>
    <w:rsid w:val="0053529E"/>
    <w:rsid w:val="005375FE"/>
    <w:rsid w:val="00540AA4"/>
    <w:rsid w:val="005420DE"/>
    <w:rsid w:val="0054268D"/>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3F67"/>
    <w:rsid w:val="005649BF"/>
    <w:rsid w:val="005650ED"/>
    <w:rsid w:val="00565869"/>
    <w:rsid w:val="0056599B"/>
    <w:rsid w:val="005670C6"/>
    <w:rsid w:val="00567415"/>
    <w:rsid w:val="00567610"/>
    <w:rsid w:val="00570D9F"/>
    <w:rsid w:val="00571CA8"/>
    <w:rsid w:val="00575738"/>
    <w:rsid w:val="00580793"/>
    <w:rsid w:val="00581470"/>
    <w:rsid w:val="00582087"/>
    <w:rsid w:val="005831DD"/>
    <w:rsid w:val="00583F7F"/>
    <w:rsid w:val="00584320"/>
    <w:rsid w:val="00587229"/>
    <w:rsid w:val="00587503"/>
    <w:rsid w:val="005902EB"/>
    <w:rsid w:val="00590E8D"/>
    <w:rsid w:val="00591511"/>
    <w:rsid w:val="0059331A"/>
    <w:rsid w:val="0059693F"/>
    <w:rsid w:val="00596BBA"/>
    <w:rsid w:val="005975C4"/>
    <w:rsid w:val="00597ED8"/>
    <w:rsid w:val="005A0865"/>
    <w:rsid w:val="005A34D5"/>
    <w:rsid w:val="005A4904"/>
    <w:rsid w:val="005A515A"/>
    <w:rsid w:val="005A704D"/>
    <w:rsid w:val="005B3C6D"/>
    <w:rsid w:val="005B609E"/>
    <w:rsid w:val="005B6DF6"/>
    <w:rsid w:val="005B7B7D"/>
    <w:rsid w:val="005C119B"/>
    <w:rsid w:val="005C1948"/>
    <w:rsid w:val="005C263C"/>
    <w:rsid w:val="005C2679"/>
    <w:rsid w:val="005D07C5"/>
    <w:rsid w:val="005D4302"/>
    <w:rsid w:val="005D5A20"/>
    <w:rsid w:val="005D62EA"/>
    <w:rsid w:val="005D786C"/>
    <w:rsid w:val="005E049F"/>
    <w:rsid w:val="005E3073"/>
    <w:rsid w:val="005E316A"/>
    <w:rsid w:val="005F0108"/>
    <w:rsid w:val="005F0ECC"/>
    <w:rsid w:val="005F0F8E"/>
    <w:rsid w:val="005F1CF0"/>
    <w:rsid w:val="005F21A5"/>
    <w:rsid w:val="005F2470"/>
    <w:rsid w:val="005F28C6"/>
    <w:rsid w:val="005F3F16"/>
    <w:rsid w:val="005F52CC"/>
    <w:rsid w:val="005F6BD4"/>
    <w:rsid w:val="005F7985"/>
    <w:rsid w:val="00600CEB"/>
    <w:rsid w:val="0060124B"/>
    <w:rsid w:val="00602AA1"/>
    <w:rsid w:val="00604367"/>
    <w:rsid w:val="006044BE"/>
    <w:rsid w:val="0060475F"/>
    <w:rsid w:val="00604B31"/>
    <w:rsid w:val="00605A5F"/>
    <w:rsid w:val="00606A26"/>
    <w:rsid w:val="00607D81"/>
    <w:rsid w:val="00610747"/>
    <w:rsid w:val="0061176E"/>
    <w:rsid w:val="00614CD1"/>
    <w:rsid w:val="0061567B"/>
    <w:rsid w:val="00620781"/>
    <w:rsid w:val="0062152A"/>
    <w:rsid w:val="00623583"/>
    <w:rsid w:val="0062462F"/>
    <w:rsid w:val="00624BA1"/>
    <w:rsid w:val="0062661B"/>
    <w:rsid w:val="00630118"/>
    <w:rsid w:val="006310AE"/>
    <w:rsid w:val="00632196"/>
    <w:rsid w:val="006329ED"/>
    <w:rsid w:val="00633BF2"/>
    <w:rsid w:val="00633F67"/>
    <w:rsid w:val="006345C3"/>
    <w:rsid w:val="006362F9"/>
    <w:rsid w:val="006373CD"/>
    <w:rsid w:val="0064165D"/>
    <w:rsid w:val="00642619"/>
    <w:rsid w:val="006427E0"/>
    <w:rsid w:val="006433BD"/>
    <w:rsid w:val="00643784"/>
    <w:rsid w:val="0064465A"/>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3BE"/>
    <w:rsid w:val="00676809"/>
    <w:rsid w:val="00676A64"/>
    <w:rsid w:val="00677925"/>
    <w:rsid w:val="00680699"/>
    <w:rsid w:val="00680F46"/>
    <w:rsid w:val="00682B53"/>
    <w:rsid w:val="00682F27"/>
    <w:rsid w:val="00690E2E"/>
    <w:rsid w:val="006932E7"/>
    <w:rsid w:val="00693347"/>
    <w:rsid w:val="0069334C"/>
    <w:rsid w:val="00696D63"/>
    <w:rsid w:val="006A032F"/>
    <w:rsid w:val="006A41AE"/>
    <w:rsid w:val="006A4856"/>
    <w:rsid w:val="006A564B"/>
    <w:rsid w:val="006B1545"/>
    <w:rsid w:val="006B2DA7"/>
    <w:rsid w:val="006B2F4D"/>
    <w:rsid w:val="006B3497"/>
    <w:rsid w:val="006B3682"/>
    <w:rsid w:val="006B48CB"/>
    <w:rsid w:val="006B4DB9"/>
    <w:rsid w:val="006B52BB"/>
    <w:rsid w:val="006C1445"/>
    <w:rsid w:val="006C4FC1"/>
    <w:rsid w:val="006C529D"/>
    <w:rsid w:val="006C6454"/>
    <w:rsid w:val="006D0E6B"/>
    <w:rsid w:val="006D2146"/>
    <w:rsid w:val="006E094A"/>
    <w:rsid w:val="006E12B1"/>
    <w:rsid w:val="006E13D1"/>
    <w:rsid w:val="006E169B"/>
    <w:rsid w:val="006E4D0C"/>
    <w:rsid w:val="006E5B78"/>
    <w:rsid w:val="006E6BA3"/>
    <w:rsid w:val="006F1116"/>
    <w:rsid w:val="006F3196"/>
    <w:rsid w:val="006F3C54"/>
    <w:rsid w:val="006F5E64"/>
    <w:rsid w:val="006F60DE"/>
    <w:rsid w:val="006F7914"/>
    <w:rsid w:val="006F7E46"/>
    <w:rsid w:val="00700AB4"/>
    <w:rsid w:val="00700FCA"/>
    <w:rsid w:val="00701645"/>
    <w:rsid w:val="00701DF9"/>
    <w:rsid w:val="00702D5A"/>
    <w:rsid w:val="00702EF7"/>
    <w:rsid w:val="00703989"/>
    <w:rsid w:val="007042E9"/>
    <w:rsid w:val="0071118B"/>
    <w:rsid w:val="00711E13"/>
    <w:rsid w:val="00712EDA"/>
    <w:rsid w:val="007136D0"/>
    <w:rsid w:val="007155A9"/>
    <w:rsid w:val="007158E1"/>
    <w:rsid w:val="00715D07"/>
    <w:rsid w:val="0071705B"/>
    <w:rsid w:val="00720505"/>
    <w:rsid w:val="007236A3"/>
    <w:rsid w:val="007239B6"/>
    <w:rsid w:val="0072490A"/>
    <w:rsid w:val="0072517D"/>
    <w:rsid w:val="00725974"/>
    <w:rsid w:val="00726878"/>
    <w:rsid w:val="0073124A"/>
    <w:rsid w:val="00733893"/>
    <w:rsid w:val="00734A05"/>
    <w:rsid w:val="00735C6F"/>
    <w:rsid w:val="00752002"/>
    <w:rsid w:val="00753BB5"/>
    <w:rsid w:val="00756832"/>
    <w:rsid w:val="007626D0"/>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539D"/>
    <w:rsid w:val="007856C1"/>
    <w:rsid w:val="00787051"/>
    <w:rsid w:val="0079018D"/>
    <w:rsid w:val="00791A00"/>
    <w:rsid w:val="00792CEE"/>
    <w:rsid w:val="007933FD"/>
    <w:rsid w:val="007A138F"/>
    <w:rsid w:val="007A1640"/>
    <w:rsid w:val="007A39DF"/>
    <w:rsid w:val="007A43ED"/>
    <w:rsid w:val="007A4BDD"/>
    <w:rsid w:val="007A72EE"/>
    <w:rsid w:val="007B0397"/>
    <w:rsid w:val="007B1AFE"/>
    <w:rsid w:val="007B3502"/>
    <w:rsid w:val="007B44ED"/>
    <w:rsid w:val="007B491A"/>
    <w:rsid w:val="007B5370"/>
    <w:rsid w:val="007B61F5"/>
    <w:rsid w:val="007B63FA"/>
    <w:rsid w:val="007B7496"/>
    <w:rsid w:val="007C0802"/>
    <w:rsid w:val="007C12BE"/>
    <w:rsid w:val="007C2739"/>
    <w:rsid w:val="007C4B0F"/>
    <w:rsid w:val="007C4DAD"/>
    <w:rsid w:val="007C57B0"/>
    <w:rsid w:val="007C5830"/>
    <w:rsid w:val="007C5DB8"/>
    <w:rsid w:val="007C6CA2"/>
    <w:rsid w:val="007D05B2"/>
    <w:rsid w:val="007D0C44"/>
    <w:rsid w:val="007D1972"/>
    <w:rsid w:val="007D1F33"/>
    <w:rsid w:val="007D3307"/>
    <w:rsid w:val="007D5E27"/>
    <w:rsid w:val="007D6F64"/>
    <w:rsid w:val="007E79C5"/>
    <w:rsid w:val="007F43BC"/>
    <w:rsid w:val="007F4740"/>
    <w:rsid w:val="007F65E6"/>
    <w:rsid w:val="007F73CC"/>
    <w:rsid w:val="007F7900"/>
    <w:rsid w:val="007F7F0D"/>
    <w:rsid w:val="008006C6"/>
    <w:rsid w:val="0080153E"/>
    <w:rsid w:val="008019F7"/>
    <w:rsid w:val="0080742D"/>
    <w:rsid w:val="0081151E"/>
    <w:rsid w:val="00812498"/>
    <w:rsid w:val="008127E6"/>
    <w:rsid w:val="0081336E"/>
    <w:rsid w:val="00813928"/>
    <w:rsid w:val="00820DC7"/>
    <w:rsid w:val="00821698"/>
    <w:rsid w:val="008221FE"/>
    <w:rsid w:val="00822BF5"/>
    <w:rsid w:val="00824894"/>
    <w:rsid w:val="00826C7B"/>
    <w:rsid w:val="00826DD9"/>
    <w:rsid w:val="00826E01"/>
    <w:rsid w:val="008277A8"/>
    <w:rsid w:val="008278B6"/>
    <w:rsid w:val="008307ED"/>
    <w:rsid w:val="0083350F"/>
    <w:rsid w:val="00834358"/>
    <w:rsid w:val="008346BD"/>
    <w:rsid w:val="00836B7A"/>
    <w:rsid w:val="00836FE9"/>
    <w:rsid w:val="00837E13"/>
    <w:rsid w:val="008409AA"/>
    <w:rsid w:val="00840FB8"/>
    <w:rsid w:val="00843A7A"/>
    <w:rsid w:val="008447F5"/>
    <w:rsid w:val="00846292"/>
    <w:rsid w:val="00847934"/>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B3B51"/>
    <w:rsid w:val="008B4057"/>
    <w:rsid w:val="008B4145"/>
    <w:rsid w:val="008B5290"/>
    <w:rsid w:val="008C2CFD"/>
    <w:rsid w:val="008C603A"/>
    <w:rsid w:val="008C71C8"/>
    <w:rsid w:val="008D02BC"/>
    <w:rsid w:val="008D167D"/>
    <w:rsid w:val="008D4B58"/>
    <w:rsid w:val="008D4B8A"/>
    <w:rsid w:val="008D50D3"/>
    <w:rsid w:val="008D7D7B"/>
    <w:rsid w:val="008E0F52"/>
    <w:rsid w:val="008E2316"/>
    <w:rsid w:val="008E34BE"/>
    <w:rsid w:val="008E42F4"/>
    <w:rsid w:val="008E5657"/>
    <w:rsid w:val="008E5E51"/>
    <w:rsid w:val="008F00DB"/>
    <w:rsid w:val="008F1264"/>
    <w:rsid w:val="008F47C6"/>
    <w:rsid w:val="008F5207"/>
    <w:rsid w:val="008F73EB"/>
    <w:rsid w:val="009006A2"/>
    <w:rsid w:val="0090102B"/>
    <w:rsid w:val="00901448"/>
    <w:rsid w:val="00905C47"/>
    <w:rsid w:val="00906379"/>
    <w:rsid w:val="009101EA"/>
    <w:rsid w:val="009106FC"/>
    <w:rsid w:val="009118BB"/>
    <w:rsid w:val="00915B81"/>
    <w:rsid w:val="00915D6B"/>
    <w:rsid w:val="009160DF"/>
    <w:rsid w:val="009162C7"/>
    <w:rsid w:val="00916EC2"/>
    <w:rsid w:val="009213BD"/>
    <w:rsid w:val="009221F5"/>
    <w:rsid w:val="00924627"/>
    <w:rsid w:val="009250A8"/>
    <w:rsid w:val="00925BE6"/>
    <w:rsid w:val="0092612E"/>
    <w:rsid w:val="00926F61"/>
    <w:rsid w:val="0093123D"/>
    <w:rsid w:val="00933040"/>
    <w:rsid w:val="009330E9"/>
    <w:rsid w:val="00935D15"/>
    <w:rsid w:val="009411FB"/>
    <w:rsid w:val="009414A9"/>
    <w:rsid w:val="00941B71"/>
    <w:rsid w:val="009421AD"/>
    <w:rsid w:val="0094221C"/>
    <w:rsid w:val="0094409C"/>
    <w:rsid w:val="00944103"/>
    <w:rsid w:val="00944159"/>
    <w:rsid w:val="009449B2"/>
    <w:rsid w:val="00944A82"/>
    <w:rsid w:val="00946C4D"/>
    <w:rsid w:val="0095285B"/>
    <w:rsid w:val="00953011"/>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587B"/>
    <w:rsid w:val="00976F04"/>
    <w:rsid w:val="009777F4"/>
    <w:rsid w:val="00977AD8"/>
    <w:rsid w:val="00980A10"/>
    <w:rsid w:val="00981130"/>
    <w:rsid w:val="009818A7"/>
    <w:rsid w:val="00983D46"/>
    <w:rsid w:val="00983DCA"/>
    <w:rsid w:val="00985EF7"/>
    <w:rsid w:val="00986CF9"/>
    <w:rsid w:val="00990C0E"/>
    <w:rsid w:val="00990D75"/>
    <w:rsid w:val="00991093"/>
    <w:rsid w:val="0099163B"/>
    <w:rsid w:val="00992343"/>
    <w:rsid w:val="00996306"/>
    <w:rsid w:val="00996744"/>
    <w:rsid w:val="00997CF4"/>
    <w:rsid w:val="009A1169"/>
    <w:rsid w:val="009A3789"/>
    <w:rsid w:val="009A6919"/>
    <w:rsid w:val="009A6AC7"/>
    <w:rsid w:val="009B0408"/>
    <w:rsid w:val="009B0843"/>
    <w:rsid w:val="009B08A5"/>
    <w:rsid w:val="009B1E47"/>
    <w:rsid w:val="009B2CED"/>
    <w:rsid w:val="009B59E5"/>
    <w:rsid w:val="009B7A72"/>
    <w:rsid w:val="009B7BB8"/>
    <w:rsid w:val="009C126A"/>
    <w:rsid w:val="009C1D4C"/>
    <w:rsid w:val="009C2DD2"/>
    <w:rsid w:val="009C3C7F"/>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0CF1"/>
    <w:rsid w:val="009F5B48"/>
    <w:rsid w:val="009F7867"/>
    <w:rsid w:val="009F7D66"/>
    <w:rsid w:val="00A00BD2"/>
    <w:rsid w:val="00A00E56"/>
    <w:rsid w:val="00A027F3"/>
    <w:rsid w:val="00A03978"/>
    <w:rsid w:val="00A07E08"/>
    <w:rsid w:val="00A12798"/>
    <w:rsid w:val="00A153BE"/>
    <w:rsid w:val="00A15C9C"/>
    <w:rsid w:val="00A15DEE"/>
    <w:rsid w:val="00A167B5"/>
    <w:rsid w:val="00A16DBE"/>
    <w:rsid w:val="00A17C4F"/>
    <w:rsid w:val="00A20A39"/>
    <w:rsid w:val="00A238BD"/>
    <w:rsid w:val="00A2459D"/>
    <w:rsid w:val="00A24E23"/>
    <w:rsid w:val="00A24EFB"/>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1522"/>
    <w:rsid w:val="00A51573"/>
    <w:rsid w:val="00A51A5E"/>
    <w:rsid w:val="00A51A87"/>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7AE"/>
    <w:rsid w:val="00A86EA7"/>
    <w:rsid w:val="00A92776"/>
    <w:rsid w:val="00A93161"/>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F2D54"/>
    <w:rsid w:val="00AF3458"/>
    <w:rsid w:val="00AF3F7B"/>
    <w:rsid w:val="00AF42B4"/>
    <w:rsid w:val="00AF44EC"/>
    <w:rsid w:val="00AF48D5"/>
    <w:rsid w:val="00AF4B8A"/>
    <w:rsid w:val="00AF4F1B"/>
    <w:rsid w:val="00AF5EC6"/>
    <w:rsid w:val="00AF6E8A"/>
    <w:rsid w:val="00AF7213"/>
    <w:rsid w:val="00AF7D92"/>
    <w:rsid w:val="00B005DA"/>
    <w:rsid w:val="00B011CC"/>
    <w:rsid w:val="00B03FFE"/>
    <w:rsid w:val="00B04048"/>
    <w:rsid w:val="00B04F3D"/>
    <w:rsid w:val="00B05702"/>
    <w:rsid w:val="00B06DD9"/>
    <w:rsid w:val="00B07CD6"/>
    <w:rsid w:val="00B07E52"/>
    <w:rsid w:val="00B10010"/>
    <w:rsid w:val="00B11775"/>
    <w:rsid w:val="00B1302D"/>
    <w:rsid w:val="00B1513F"/>
    <w:rsid w:val="00B1746F"/>
    <w:rsid w:val="00B20725"/>
    <w:rsid w:val="00B2628E"/>
    <w:rsid w:val="00B266B0"/>
    <w:rsid w:val="00B27921"/>
    <w:rsid w:val="00B3000E"/>
    <w:rsid w:val="00B326A8"/>
    <w:rsid w:val="00B329EB"/>
    <w:rsid w:val="00B33508"/>
    <w:rsid w:val="00B3377E"/>
    <w:rsid w:val="00B35DA4"/>
    <w:rsid w:val="00B4068C"/>
    <w:rsid w:val="00B40A96"/>
    <w:rsid w:val="00B4147D"/>
    <w:rsid w:val="00B422A7"/>
    <w:rsid w:val="00B42A32"/>
    <w:rsid w:val="00B42FA6"/>
    <w:rsid w:val="00B4399E"/>
    <w:rsid w:val="00B43A16"/>
    <w:rsid w:val="00B45CE1"/>
    <w:rsid w:val="00B46A75"/>
    <w:rsid w:val="00B500CD"/>
    <w:rsid w:val="00B510FE"/>
    <w:rsid w:val="00B5239C"/>
    <w:rsid w:val="00B53893"/>
    <w:rsid w:val="00B548C2"/>
    <w:rsid w:val="00B55428"/>
    <w:rsid w:val="00B570BF"/>
    <w:rsid w:val="00B63337"/>
    <w:rsid w:val="00B6369F"/>
    <w:rsid w:val="00B639D7"/>
    <w:rsid w:val="00B64898"/>
    <w:rsid w:val="00B6720A"/>
    <w:rsid w:val="00B67805"/>
    <w:rsid w:val="00B7267A"/>
    <w:rsid w:val="00B726FF"/>
    <w:rsid w:val="00B72AA4"/>
    <w:rsid w:val="00B752B7"/>
    <w:rsid w:val="00B76BCD"/>
    <w:rsid w:val="00B76EE9"/>
    <w:rsid w:val="00B77880"/>
    <w:rsid w:val="00B80D90"/>
    <w:rsid w:val="00B81054"/>
    <w:rsid w:val="00B82613"/>
    <w:rsid w:val="00B828B5"/>
    <w:rsid w:val="00B84E9C"/>
    <w:rsid w:val="00B85522"/>
    <w:rsid w:val="00B90E2A"/>
    <w:rsid w:val="00B90F2A"/>
    <w:rsid w:val="00B9198D"/>
    <w:rsid w:val="00B93008"/>
    <w:rsid w:val="00B9406D"/>
    <w:rsid w:val="00B94BA7"/>
    <w:rsid w:val="00B94E0E"/>
    <w:rsid w:val="00B95247"/>
    <w:rsid w:val="00B97CA3"/>
    <w:rsid w:val="00BA0E82"/>
    <w:rsid w:val="00BA76A9"/>
    <w:rsid w:val="00BB360C"/>
    <w:rsid w:val="00BB3E2B"/>
    <w:rsid w:val="00BB5D1C"/>
    <w:rsid w:val="00BB6552"/>
    <w:rsid w:val="00BB6B9B"/>
    <w:rsid w:val="00BB754F"/>
    <w:rsid w:val="00BC07D4"/>
    <w:rsid w:val="00BC0A5D"/>
    <w:rsid w:val="00BC0BE3"/>
    <w:rsid w:val="00BC1AD9"/>
    <w:rsid w:val="00BC32E7"/>
    <w:rsid w:val="00BC5074"/>
    <w:rsid w:val="00BC58B9"/>
    <w:rsid w:val="00BC5A27"/>
    <w:rsid w:val="00BD1AC1"/>
    <w:rsid w:val="00BD3E68"/>
    <w:rsid w:val="00BD598A"/>
    <w:rsid w:val="00BD75B4"/>
    <w:rsid w:val="00BD7D14"/>
    <w:rsid w:val="00BE02B4"/>
    <w:rsid w:val="00BE631E"/>
    <w:rsid w:val="00BE7288"/>
    <w:rsid w:val="00BF0CCF"/>
    <w:rsid w:val="00BF0FC5"/>
    <w:rsid w:val="00BF10BC"/>
    <w:rsid w:val="00BF21AC"/>
    <w:rsid w:val="00BF2E53"/>
    <w:rsid w:val="00BF3669"/>
    <w:rsid w:val="00BF3C0D"/>
    <w:rsid w:val="00BF6AFD"/>
    <w:rsid w:val="00C01DD5"/>
    <w:rsid w:val="00C02628"/>
    <w:rsid w:val="00C03309"/>
    <w:rsid w:val="00C0656E"/>
    <w:rsid w:val="00C072FE"/>
    <w:rsid w:val="00C1147E"/>
    <w:rsid w:val="00C12E39"/>
    <w:rsid w:val="00C14164"/>
    <w:rsid w:val="00C15D8E"/>
    <w:rsid w:val="00C17012"/>
    <w:rsid w:val="00C178FB"/>
    <w:rsid w:val="00C257B7"/>
    <w:rsid w:val="00C272E8"/>
    <w:rsid w:val="00C30695"/>
    <w:rsid w:val="00C33359"/>
    <w:rsid w:val="00C348D6"/>
    <w:rsid w:val="00C36E34"/>
    <w:rsid w:val="00C404EE"/>
    <w:rsid w:val="00C4171B"/>
    <w:rsid w:val="00C42689"/>
    <w:rsid w:val="00C42988"/>
    <w:rsid w:val="00C42BD4"/>
    <w:rsid w:val="00C43FF0"/>
    <w:rsid w:val="00C44641"/>
    <w:rsid w:val="00C45EF5"/>
    <w:rsid w:val="00C461F1"/>
    <w:rsid w:val="00C46B7E"/>
    <w:rsid w:val="00C50A4E"/>
    <w:rsid w:val="00C520B1"/>
    <w:rsid w:val="00C522D6"/>
    <w:rsid w:val="00C54020"/>
    <w:rsid w:val="00C545C5"/>
    <w:rsid w:val="00C55F85"/>
    <w:rsid w:val="00C571B4"/>
    <w:rsid w:val="00C61D4B"/>
    <w:rsid w:val="00C62B0A"/>
    <w:rsid w:val="00C63F08"/>
    <w:rsid w:val="00C6528C"/>
    <w:rsid w:val="00C661E8"/>
    <w:rsid w:val="00C70084"/>
    <w:rsid w:val="00C7235B"/>
    <w:rsid w:val="00C72E18"/>
    <w:rsid w:val="00C7380B"/>
    <w:rsid w:val="00C74421"/>
    <w:rsid w:val="00C758C6"/>
    <w:rsid w:val="00C75F2F"/>
    <w:rsid w:val="00C75FEE"/>
    <w:rsid w:val="00C76F1D"/>
    <w:rsid w:val="00C77D26"/>
    <w:rsid w:val="00C84D39"/>
    <w:rsid w:val="00C85277"/>
    <w:rsid w:val="00C856DE"/>
    <w:rsid w:val="00C85D76"/>
    <w:rsid w:val="00C873AC"/>
    <w:rsid w:val="00C93462"/>
    <w:rsid w:val="00C94384"/>
    <w:rsid w:val="00C94A34"/>
    <w:rsid w:val="00C94C2B"/>
    <w:rsid w:val="00C957F4"/>
    <w:rsid w:val="00C96F79"/>
    <w:rsid w:val="00C97CF9"/>
    <w:rsid w:val="00CA17DD"/>
    <w:rsid w:val="00CA1863"/>
    <w:rsid w:val="00CA391D"/>
    <w:rsid w:val="00CA3ACD"/>
    <w:rsid w:val="00CA4F8B"/>
    <w:rsid w:val="00CB09DA"/>
    <w:rsid w:val="00CB0BD9"/>
    <w:rsid w:val="00CB1CAC"/>
    <w:rsid w:val="00CB1DE8"/>
    <w:rsid w:val="00CB1E3B"/>
    <w:rsid w:val="00CB1F1D"/>
    <w:rsid w:val="00CB71F8"/>
    <w:rsid w:val="00CC26DB"/>
    <w:rsid w:val="00CC3DAA"/>
    <w:rsid w:val="00CC4C2C"/>
    <w:rsid w:val="00CC5057"/>
    <w:rsid w:val="00CD078F"/>
    <w:rsid w:val="00CD121E"/>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3D06"/>
    <w:rsid w:val="00D14487"/>
    <w:rsid w:val="00D15E7E"/>
    <w:rsid w:val="00D1614D"/>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3569"/>
    <w:rsid w:val="00D3462C"/>
    <w:rsid w:val="00D35198"/>
    <w:rsid w:val="00D3584B"/>
    <w:rsid w:val="00D42240"/>
    <w:rsid w:val="00D427C3"/>
    <w:rsid w:val="00D42EB8"/>
    <w:rsid w:val="00D44932"/>
    <w:rsid w:val="00D46111"/>
    <w:rsid w:val="00D47C16"/>
    <w:rsid w:val="00D50165"/>
    <w:rsid w:val="00D502AF"/>
    <w:rsid w:val="00D50764"/>
    <w:rsid w:val="00D50C12"/>
    <w:rsid w:val="00D51A77"/>
    <w:rsid w:val="00D52498"/>
    <w:rsid w:val="00D53830"/>
    <w:rsid w:val="00D55889"/>
    <w:rsid w:val="00D57AF0"/>
    <w:rsid w:val="00D62ECD"/>
    <w:rsid w:val="00D638EC"/>
    <w:rsid w:val="00D64426"/>
    <w:rsid w:val="00D67BC5"/>
    <w:rsid w:val="00D7021B"/>
    <w:rsid w:val="00D70D33"/>
    <w:rsid w:val="00D73077"/>
    <w:rsid w:val="00D73A61"/>
    <w:rsid w:val="00D73C57"/>
    <w:rsid w:val="00D742FF"/>
    <w:rsid w:val="00D758B3"/>
    <w:rsid w:val="00D76ADC"/>
    <w:rsid w:val="00D77413"/>
    <w:rsid w:val="00D8044A"/>
    <w:rsid w:val="00D81F10"/>
    <w:rsid w:val="00D84A57"/>
    <w:rsid w:val="00D874DF"/>
    <w:rsid w:val="00D87A12"/>
    <w:rsid w:val="00D930E1"/>
    <w:rsid w:val="00D9415C"/>
    <w:rsid w:val="00D942CC"/>
    <w:rsid w:val="00D94D87"/>
    <w:rsid w:val="00D962DC"/>
    <w:rsid w:val="00DA0C66"/>
    <w:rsid w:val="00DA180C"/>
    <w:rsid w:val="00DA2F9E"/>
    <w:rsid w:val="00DA451D"/>
    <w:rsid w:val="00DA56DB"/>
    <w:rsid w:val="00DA6452"/>
    <w:rsid w:val="00DA6FE9"/>
    <w:rsid w:val="00DA7925"/>
    <w:rsid w:val="00DA7E5F"/>
    <w:rsid w:val="00DB0AB8"/>
    <w:rsid w:val="00DB0D2A"/>
    <w:rsid w:val="00DB0F30"/>
    <w:rsid w:val="00DB1DAB"/>
    <w:rsid w:val="00DB39D4"/>
    <w:rsid w:val="00DB3A47"/>
    <w:rsid w:val="00DB459D"/>
    <w:rsid w:val="00DB4E06"/>
    <w:rsid w:val="00DB6A80"/>
    <w:rsid w:val="00DB6C06"/>
    <w:rsid w:val="00DB722B"/>
    <w:rsid w:val="00DB7B06"/>
    <w:rsid w:val="00DC3A9D"/>
    <w:rsid w:val="00DC4ACD"/>
    <w:rsid w:val="00DC6C1E"/>
    <w:rsid w:val="00DC7951"/>
    <w:rsid w:val="00DD1C4B"/>
    <w:rsid w:val="00DD1F7B"/>
    <w:rsid w:val="00DD229E"/>
    <w:rsid w:val="00DD48B0"/>
    <w:rsid w:val="00DD55E0"/>
    <w:rsid w:val="00DE1904"/>
    <w:rsid w:val="00DE3DBB"/>
    <w:rsid w:val="00DE43A2"/>
    <w:rsid w:val="00DE4A74"/>
    <w:rsid w:val="00DE541C"/>
    <w:rsid w:val="00DE737B"/>
    <w:rsid w:val="00DF100B"/>
    <w:rsid w:val="00DF4359"/>
    <w:rsid w:val="00E0456C"/>
    <w:rsid w:val="00E0576C"/>
    <w:rsid w:val="00E068BC"/>
    <w:rsid w:val="00E073F0"/>
    <w:rsid w:val="00E10761"/>
    <w:rsid w:val="00E11D7A"/>
    <w:rsid w:val="00E11EEB"/>
    <w:rsid w:val="00E128F2"/>
    <w:rsid w:val="00E16463"/>
    <w:rsid w:val="00E24589"/>
    <w:rsid w:val="00E26727"/>
    <w:rsid w:val="00E26970"/>
    <w:rsid w:val="00E27749"/>
    <w:rsid w:val="00E27791"/>
    <w:rsid w:val="00E319DB"/>
    <w:rsid w:val="00E31AFC"/>
    <w:rsid w:val="00E3409E"/>
    <w:rsid w:val="00E34F76"/>
    <w:rsid w:val="00E37BE5"/>
    <w:rsid w:val="00E41A27"/>
    <w:rsid w:val="00E4208C"/>
    <w:rsid w:val="00E4608B"/>
    <w:rsid w:val="00E501D3"/>
    <w:rsid w:val="00E537BA"/>
    <w:rsid w:val="00E53A01"/>
    <w:rsid w:val="00E564C4"/>
    <w:rsid w:val="00E567C9"/>
    <w:rsid w:val="00E604C4"/>
    <w:rsid w:val="00E60809"/>
    <w:rsid w:val="00E61300"/>
    <w:rsid w:val="00E635B9"/>
    <w:rsid w:val="00E65D15"/>
    <w:rsid w:val="00E67EE5"/>
    <w:rsid w:val="00E7013A"/>
    <w:rsid w:val="00E74F5D"/>
    <w:rsid w:val="00E76034"/>
    <w:rsid w:val="00E77060"/>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728"/>
    <w:rsid w:val="00EC7EAF"/>
    <w:rsid w:val="00ED27C3"/>
    <w:rsid w:val="00ED33AE"/>
    <w:rsid w:val="00ED3775"/>
    <w:rsid w:val="00ED4A6D"/>
    <w:rsid w:val="00ED6D4A"/>
    <w:rsid w:val="00ED738C"/>
    <w:rsid w:val="00ED7918"/>
    <w:rsid w:val="00ED7FD3"/>
    <w:rsid w:val="00EE3663"/>
    <w:rsid w:val="00EE3833"/>
    <w:rsid w:val="00EE3FA9"/>
    <w:rsid w:val="00EE41C4"/>
    <w:rsid w:val="00EE76A9"/>
    <w:rsid w:val="00EE799E"/>
    <w:rsid w:val="00EE7CA8"/>
    <w:rsid w:val="00EE7FA7"/>
    <w:rsid w:val="00EF1093"/>
    <w:rsid w:val="00EF1B70"/>
    <w:rsid w:val="00EF1FCB"/>
    <w:rsid w:val="00EF21C3"/>
    <w:rsid w:val="00F0030E"/>
    <w:rsid w:val="00F00CD1"/>
    <w:rsid w:val="00F01E6B"/>
    <w:rsid w:val="00F0241C"/>
    <w:rsid w:val="00F05759"/>
    <w:rsid w:val="00F10CB9"/>
    <w:rsid w:val="00F110D5"/>
    <w:rsid w:val="00F12351"/>
    <w:rsid w:val="00F16739"/>
    <w:rsid w:val="00F16DE2"/>
    <w:rsid w:val="00F2052B"/>
    <w:rsid w:val="00F2260F"/>
    <w:rsid w:val="00F242AD"/>
    <w:rsid w:val="00F247F2"/>
    <w:rsid w:val="00F265F7"/>
    <w:rsid w:val="00F277EC"/>
    <w:rsid w:val="00F27FA6"/>
    <w:rsid w:val="00F32865"/>
    <w:rsid w:val="00F33DC8"/>
    <w:rsid w:val="00F34444"/>
    <w:rsid w:val="00F360CE"/>
    <w:rsid w:val="00F4275C"/>
    <w:rsid w:val="00F432C7"/>
    <w:rsid w:val="00F52339"/>
    <w:rsid w:val="00F5277A"/>
    <w:rsid w:val="00F532E8"/>
    <w:rsid w:val="00F537FF"/>
    <w:rsid w:val="00F560FE"/>
    <w:rsid w:val="00F6111C"/>
    <w:rsid w:val="00F614C0"/>
    <w:rsid w:val="00F61647"/>
    <w:rsid w:val="00F62387"/>
    <w:rsid w:val="00F657CF"/>
    <w:rsid w:val="00F70A64"/>
    <w:rsid w:val="00F713A3"/>
    <w:rsid w:val="00F71A8F"/>
    <w:rsid w:val="00F75330"/>
    <w:rsid w:val="00F76BD9"/>
    <w:rsid w:val="00F80318"/>
    <w:rsid w:val="00F80703"/>
    <w:rsid w:val="00F80948"/>
    <w:rsid w:val="00F81387"/>
    <w:rsid w:val="00F822E3"/>
    <w:rsid w:val="00F82866"/>
    <w:rsid w:val="00F84421"/>
    <w:rsid w:val="00F8449B"/>
    <w:rsid w:val="00F85691"/>
    <w:rsid w:val="00F87094"/>
    <w:rsid w:val="00F87AB3"/>
    <w:rsid w:val="00F87D1A"/>
    <w:rsid w:val="00F913DC"/>
    <w:rsid w:val="00F91DDA"/>
    <w:rsid w:val="00F9397A"/>
    <w:rsid w:val="00F93A37"/>
    <w:rsid w:val="00F94182"/>
    <w:rsid w:val="00F944D9"/>
    <w:rsid w:val="00F94DB3"/>
    <w:rsid w:val="00F96500"/>
    <w:rsid w:val="00FA181D"/>
    <w:rsid w:val="00FA413A"/>
    <w:rsid w:val="00FA4144"/>
    <w:rsid w:val="00FA4DDF"/>
    <w:rsid w:val="00FA6E7F"/>
    <w:rsid w:val="00FA7114"/>
    <w:rsid w:val="00FB1F5D"/>
    <w:rsid w:val="00FB2379"/>
    <w:rsid w:val="00FB4B8A"/>
    <w:rsid w:val="00FB5152"/>
    <w:rsid w:val="00FB680E"/>
    <w:rsid w:val="00FB7FCA"/>
    <w:rsid w:val="00FC0065"/>
    <w:rsid w:val="00FC3AEE"/>
    <w:rsid w:val="00FC6238"/>
    <w:rsid w:val="00FD33FC"/>
    <w:rsid w:val="00FD3730"/>
    <w:rsid w:val="00FD3ADE"/>
    <w:rsid w:val="00FD3B08"/>
    <w:rsid w:val="00FD4806"/>
    <w:rsid w:val="00FD534E"/>
    <w:rsid w:val="00FD56C7"/>
    <w:rsid w:val="00FD5CBB"/>
    <w:rsid w:val="00FD6B74"/>
    <w:rsid w:val="00FD721A"/>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4419E"/>
  <w15:docId w15:val="{8E6C5CDD-599F-48FF-8024-EB020D655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919872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602DEF-0D07-4090-9EC9-7D6E81A9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1</Pages>
  <Words>1791</Words>
  <Characters>10214</Characters>
  <Application>Microsoft Office Word</Application>
  <DocSecurity>0</DocSecurity>
  <Lines>85</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11982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Ranta-Aho, Karri (Nokia - FI/Espoo)</cp:lastModifiedBy>
  <cp:revision>9</cp:revision>
  <cp:lastPrinted>2016-06-16T05:17:00Z</cp:lastPrinted>
  <dcterms:created xsi:type="dcterms:W3CDTF">2016-09-30T07:47:00Z</dcterms:created>
  <dcterms:modified xsi:type="dcterms:W3CDTF">2016-09-30T15:22:00Z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