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4AB90" w14:textId="5F91EC07" w:rsidR="006023CE" w:rsidRDefault="00225E89">
      <w:pPr>
        <w:pStyle w:val="Title"/>
        <w:tabs>
          <w:tab w:val="left" w:pos="709"/>
          <w:tab w:val="right" w:pos="9639"/>
        </w:tabs>
        <w:spacing w:before="0" w:after="0"/>
        <w:ind w:right="120"/>
        <w:jc w:val="right"/>
        <w:rPr>
          <w:rFonts w:eastAsia="MS Mincho" w:cs="Arial"/>
          <w:sz w:val="24"/>
          <w:lang w:val="sv-SE" w:eastAsia="en-US"/>
        </w:rPr>
      </w:pPr>
      <w:r w:rsidRPr="00225E89">
        <w:rPr>
          <w:rFonts w:eastAsia="Batang" w:cs="Arial"/>
          <w:bCs/>
          <w:sz w:val="28"/>
          <w:szCs w:val="24"/>
          <w:lang w:eastAsia="en-US"/>
        </w:rPr>
        <w:t>3GPP TSG RAN WG1 Meeting #</w:t>
      </w:r>
      <w:r w:rsidRPr="00225E89">
        <w:rPr>
          <w:rFonts w:eastAsia="MS Mincho" w:cs="Arial"/>
          <w:bCs/>
          <w:sz w:val="28"/>
          <w:szCs w:val="24"/>
          <w:lang w:eastAsia="ja-JP"/>
        </w:rPr>
        <w:t>8</w:t>
      </w:r>
      <w:r w:rsidRPr="00225E89">
        <w:rPr>
          <w:rFonts w:eastAsia="MS Mincho" w:cs="Arial" w:hint="eastAsia"/>
          <w:bCs/>
          <w:sz w:val="28"/>
          <w:szCs w:val="24"/>
          <w:lang w:eastAsia="ja-JP"/>
        </w:rPr>
        <w:t>6</w:t>
      </w:r>
      <w:r w:rsidR="00AB76E5">
        <w:rPr>
          <w:rFonts w:eastAsia="MS Mincho" w:cs="Arial"/>
          <w:sz w:val="24"/>
          <w:lang w:val="sv-SE" w:eastAsia="en-US"/>
        </w:rPr>
        <w:tab/>
      </w:r>
      <w:bookmarkStart w:id="0" w:name="_GoBack"/>
      <w:r w:rsidR="00275675">
        <w:rPr>
          <w:rFonts w:eastAsia="MS Mincho" w:cs="Arial"/>
          <w:sz w:val="24"/>
          <w:lang w:val="sv-SE" w:eastAsia="en-US"/>
        </w:rPr>
        <w:t>R1-167807</w:t>
      </w:r>
      <w:bookmarkEnd w:id="0"/>
    </w:p>
    <w:p w14:paraId="2585D067" w14:textId="77777777" w:rsidR="0040695C" w:rsidRDefault="00225E89">
      <w:pPr>
        <w:pStyle w:val="Title"/>
        <w:tabs>
          <w:tab w:val="left" w:pos="709"/>
          <w:tab w:val="right" w:pos="9639"/>
        </w:tabs>
        <w:spacing w:before="0" w:after="0"/>
        <w:ind w:right="600"/>
        <w:jc w:val="both"/>
        <w:rPr>
          <w:rFonts w:eastAsia="MS Mincho" w:cs="Arial"/>
          <w:bCs/>
          <w:sz w:val="28"/>
          <w:szCs w:val="24"/>
          <w:lang w:val="en-US" w:eastAsia="ja-JP"/>
        </w:rPr>
      </w:pPr>
      <w:r w:rsidRPr="00225E89">
        <w:rPr>
          <w:rFonts w:eastAsia="MS Mincho" w:cs="Arial"/>
          <w:bCs/>
          <w:sz w:val="28"/>
          <w:szCs w:val="24"/>
          <w:lang w:val="en-US" w:eastAsia="ja-JP"/>
        </w:rPr>
        <w:t xml:space="preserve">Gothenburg, </w:t>
      </w:r>
      <w:r w:rsidRPr="00225E89">
        <w:rPr>
          <w:rFonts w:eastAsia="MS Mincho" w:cs="Arial" w:hint="eastAsia"/>
          <w:bCs/>
          <w:sz w:val="28"/>
          <w:szCs w:val="24"/>
          <w:lang w:val="en-US" w:eastAsia="ja-JP"/>
        </w:rPr>
        <w:t>Sweden</w:t>
      </w:r>
    </w:p>
    <w:p w14:paraId="41167F40" w14:textId="4177FE96" w:rsidR="006023CE" w:rsidRDefault="00225E89">
      <w:pPr>
        <w:pStyle w:val="Title"/>
        <w:tabs>
          <w:tab w:val="left" w:pos="709"/>
          <w:tab w:val="right" w:pos="9639"/>
        </w:tabs>
        <w:spacing w:before="0" w:after="0"/>
        <w:ind w:right="600"/>
        <w:jc w:val="both"/>
        <w:rPr>
          <w:rFonts w:eastAsia="MS Mincho" w:cs="Arial"/>
          <w:bCs/>
          <w:sz w:val="28"/>
          <w:szCs w:val="24"/>
          <w:lang w:val="en-US" w:eastAsia="ja-JP"/>
        </w:rPr>
      </w:pPr>
      <w:r w:rsidRPr="00225E89">
        <w:rPr>
          <w:rFonts w:eastAsia="MS Mincho" w:cs="Arial"/>
          <w:bCs/>
          <w:sz w:val="28"/>
          <w:szCs w:val="24"/>
          <w:lang w:val="en-US" w:eastAsia="ja-JP"/>
        </w:rPr>
        <w:t>2</w:t>
      </w:r>
      <w:r w:rsidRPr="00225E89">
        <w:rPr>
          <w:rFonts w:eastAsia="MS Mincho" w:cs="Arial" w:hint="eastAsia"/>
          <w:bCs/>
          <w:sz w:val="28"/>
          <w:szCs w:val="24"/>
          <w:lang w:val="en-US" w:eastAsia="ja-JP"/>
        </w:rPr>
        <w:t>2</w:t>
      </w:r>
      <w:r w:rsidRPr="00225E89">
        <w:rPr>
          <w:rFonts w:eastAsia="MS Mincho" w:cs="Arial" w:hint="eastAsia"/>
          <w:bCs/>
          <w:sz w:val="28"/>
          <w:szCs w:val="24"/>
          <w:vertAlign w:val="superscript"/>
          <w:lang w:val="en-US" w:eastAsia="ja-JP"/>
        </w:rPr>
        <w:t>nd</w:t>
      </w:r>
      <w:r w:rsidRPr="00225E89">
        <w:rPr>
          <w:rFonts w:eastAsia="MS Mincho" w:cs="Arial" w:hint="eastAsia"/>
          <w:bCs/>
          <w:sz w:val="28"/>
          <w:szCs w:val="24"/>
          <w:lang w:val="en-US" w:eastAsia="ja-JP"/>
        </w:rPr>
        <w:t xml:space="preserve"> </w:t>
      </w:r>
      <w:r w:rsidRPr="00225E89">
        <w:rPr>
          <w:rFonts w:eastAsia="MS Mincho" w:cs="Arial"/>
          <w:bCs/>
          <w:sz w:val="28"/>
          <w:szCs w:val="24"/>
          <w:lang w:val="en-US" w:eastAsia="ja-JP"/>
        </w:rPr>
        <w:t>- 2</w:t>
      </w:r>
      <w:r w:rsidRPr="00225E89">
        <w:rPr>
          <w:rFonts w:eastAsia="MS Mincho" w:cs="Arial" w:hint="eastAsia"/>
          <w:bCs/>
          <w:sz w:val="28"/>
          <w:szCs w:val="24"/>
          <w:lang w:val="en-US" w:eastAsia="ja-JP"/>
        </w:rPr>
        <w:t>6</w:t>
      </w:r>
      <w:r w:rsidRPr="00225E89">
        <w:rPr>
          <w:rFonts w:eastAsia="MS Mincho" w:cs="Arial"/>
          <w:bCs/>
          <w:sz w:val="28"/>
          <w:szCs w:val="24"/>
          <w:vertAlign w:val="superscript"/>
          <w:lang w:val="en-US" w:eastAsia="ja-JP"/>
        </w:rPr>
        <w:t>th</w:t>
      </w:r>
      <w:r w:rsidRPr="00225E89">
        <w:rPr>
          <w:rFonts w:eastAsia="MS Mincho" w:cs="Arial"/>
          <w:bCs/>
          <w:sz w:val="28"/>
          <w:szCs w:val="24"/>
          <w:lang w:val="en-US" w:eastAsia="ja-JP"/>
        </w:rPr>
        <w:t xml:space="preserve"> </w:t>
      </w:r>
      <w:r w:rsidRPr="00225E89">
        <w:rPr>
          <w:rFonts w:eastAsia="MS Mincho" w:cs="Arial" w:hint="eastAsia"/>
          <w:bCs/>
          <w:sz w:val="28"/>
          <w:szCs w:val="24"/>
          <w:lang w:val="en-US" w:eastAsia="ja-JP"/>
        </w:rPr>
        <w:t>August</w:t>
      </w:r>
      <w:r w:rsidRPr="00225E89">
        <w:rPr>
          <w:rFonts w:eastAsia="MS Mincho" w:cs="Arial"/>
          <w:bCs/>
          <w:sz w:val="28"/>
          <w:szCs w:val="24"/>
          <w:lang w:val="en-US" w:eastAsia="ja-JP"/>
        </w:rPr>
        <w:t xml:space="preserve"> 2016</w:t>
      </w:r>
    </w:p>
    <w:p w14:paraId="2E0E8CFA" w14:textId="77777777" w:rsidR="00225E89" w:rsidRDefault="00225E89">
      <w:pPr>
        <w:pStyle w:val="Title"/>
        <w:tabs>
          <w:tab w:val="left" w:pos="709"/>
          <w:tab w:val="right" w:pos="9639"/>
        </w:tabs>
        <w:spacing w:before="0" w:after="0"/>
        <w:ind w:right="600"/>
        <w:jc w:val="both"/>
        <w:rPr>
          <w:rFonts w:eastAsia="MS Mincho" w:cs="Arial"/>
          <w:sz w:val="24"/>
          <w:lang w:val="en-US" w:eastAsia="en-US"/>
        </w:rPr>
      </w:pPr>
    </w:p>
    <w:p w14:paraId="171C8C26" w14:textId="720A74E8" w:rsidR="006023CE" w:rsidRDefault="001643A2">
      <w:pPr>
        <w:keepNext/>
        <w:pBdr>
          <w:top w:val="single" w:sz="4" w:space="1" w:color="00000A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>
        <w:rPr>
          <w:rFonts w:cs="Arial"/>
          <w:b/>
          <w:sz w:val="24"/>
          <w:lang w:val="en-US"/>
        </w:rPr>
        <w:t xml:space="preserve">Source:                    </w:t>
      </w:r>
      <w:r>
        <w:rPr>
          <w:rFonts w:cs="Arial"/>
          <w:b/>
          <w:sz w:val="24"/>
          <w:lang w:val="en-US" w:eastAsia="ja-JP"/>
        </w:rPr>
        <w:tab/>
        <w:t>CEWiT</w:t>
      </w:r>
      <w:r w:rsidR="00291C14">
        <w:rPr>
          <w:rFonts w:cs="Arial"/>
          <w:b/>
          <w:sz w:val="24"/>
          <w:lang w:val="en-US" w:eastAsia="ja-JP"/>
        </w:rPr>
        <w:t>, IIT</w:t>
      </w:r>
      <w:r w:rsidR="00D15E8C">
        <w:rPr>
          <w:rFonts w:cs="Arial"/>
          <w:b/>
          <w:sz w:val="24"/>
          <w:lang w:val="en-US" w:eastAsia="ja-JP"/>
        </w:rPr>
        <w:t>-</w:t>
      </w:r>
      <w:r w:rsidR="00291C14">
        <w:rPr>
          <w:rFonts w:cs="Arial"/>
          <w:b/>
          <w:sz w:val="24"/>
          <w:lang w:val="en-US" w:eastAsia="ja-JP"/>
        </w:rPr>
        <w:t>H</w:t>
      </w:r>
      <w:r w:rsidR="00407DD6">
        <w:rPr>
          <w:rFonts w:cs="Arial"/>
          <w:b/>
          <w:sz w:val="24"/>
          <w:lang w:val="en-US" w:eastAsia="ja-JP"/>
        </w:rPr>
        <w:t>,</w:t>
      </w:r>
      <w:r w:rsidR="00D13523">
        <w:rPr>
          <w:rFonts w:cs="Arial"/>
          <w:b/>
          <w:sz w:val="24"/>
          <w:lang w:val="en-US" w:eastAsia="ja-JP"/>
        </w:rPr>
        <w:t xml:space="preserve"> IIT</w:t>
      </w:r>
      <w:r w:rsidR="00D15E8C">
        <w:rPr>
          <w:rFonts w:cs="Arial"/>
          <w:b/>
          <w:sz w:val="24"/>
          <w:lang w:val="en-US" w:eastAsia="ja-JP"/>
        </w:rPr>
        <w:t>-</w:t>
      </w:r>
      <w:r w:rsidR="00D13523">
        <w:rPr>
          <w:rFonts w:cs="Arial"/>
          <w:b/>
          <w:sz w:val="24"/>
          <w:lang w:val="en-US" w:eastAsia="ja-JP"/>
        </w:rPr>
        <w:t>M,</w:t>
      </w:r>
      <w:r w:rsidR="00407DD6">
        <w:rPr>
          <w:rFonts w:cs="Arial"/>
          <w:b/>
          <w:sz w:val="24"/>
          <w:lang w:val="en-US" w:eastAsia="ja-JP"/>
        </w:rPr>
        <w:t xml:space="preserve"> Reliance Jio,</w:t>
      </w:r>
      <w:r w:rsidR="00407DD6" w:rsidRPr="00407DD6">
        <w:rPr>
          <w:rFonts w:cs="Arial"/>
          <w:b/>
          <w:sz w:val="24"/>
          <w:lang w:val="en-US" w:eastAsia="ja-JP"/>
        </w:rPr>
        <w:t xml:space="preserve"> </w:t>
      </w:r>
      <w:r w:rsidR="00407DD6">
        <w:rPr>
          <w:rFonts w:cs="Arial"/>
          <w:b/>
          <w:sz w:val="24"/>
          <w:lang w:val="en-US" w:eastAsia="ja-JP"/>
        </w:rPr>
        <w:t>Tejas Networks</w:t>
      </w:r>
    </w:p>
    <w:p w14:paraId="3D3955BD" w14:textId="45BE2E73" w:rsidR="006023CE" w:rsidRDefault="001643A2">
      <w:pPr>
        <w:keepNext/>
        <w:pBdr>
          <w:top w:val="single" w:sz="4" w:space="1" w:color="00000A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225E89">
        <w:rPr>
          <w:rFonts w:cs="Arial"/>
          <w:b/>
          <w:sz w:val="24"/>
          <w:lang w:val="en-US"/>
        </w:rPr>
        <w:t>Evaluations</w:t>
      </w:r>
      <w:r w:rsidR="008F066C">
        <w:rPr>
          <w:rFonts w:cs="Arial"/>
          <w:b/>
          <w:sz w:val="24"/>
          <w:lang w:val="en-US"/>
        </w:rPr>
        <w:t xml:space="preserve"> on</w:t>
      </w:r>
      <w:r>
        <w:rPr>
          <w:rFonts w:cs="Arial"/>
          <w:b/>
          <w:sz w:val="24"/>
          <w:lang w:val="en-US" w:eastAsia="ja-JP"/>
        </w:rPr>
        <w:t xml:space="preserve"> DMRS based </w:t>
      </w:r>
      <w:r w:rsidR="002F49C1">
        <w:rPr>
          <w:rFonts w:cs="Arial"/>
          <w:b/>
          <w:sz w:val="24"/>
          <w:lang w:val="en-US" w:eastAsia="ja-JP"/>
        </w:rPr>
        <w:t>Se</w:t>
      </w:r>
      <w:r>
        <w:rPr>
          <w:rFonts w:cs="Arial"/>
          <w:b/>
          <w:sz w:val="24"/>
          <w:lang w:val="en-US" w:eastAsia="ja-JP"/>
        </w:rPr>
        <w:t>mi-open loop MIMO schemes</w:t>
      </w:r>
    </w:p>
    <w:p w14:paraId="5B9AF585" w14:textId="50CD3A06" w:rsidR="006023CE" w:rsidRDefault="001643A2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>
        <w:rPr>
          <w:rFonts w:cs="Arial"/>
          <w:b/>
          <w:sz w:val="24"/>
          <w:lang w:val="en-US"/>
        </w:rPr>
        <w:t xml:space="preserve">Document for:        </w:t>
      </w:r>
      <w:r w:rsidR="00487DCD">
        <w:rPr>
          <w:rFonts w:cs="Arial"/>
          <w:b/>
          <w:sz w:val="24"/>
          <w:lang w:val="en-US" w:eastAsia="ja-JP"/>
        </w:rPr>
        <w:tab/>
        <w:t>Discussion</w:t>
      </w:r>
    </w:p>
    <w:p w14:paraId="62C9E28E" w14:textId="2A273665" w:rsidR="006023CE" w:rsidRDefault="001643A2">
      <w:pPr>
        <w:keepNext/>
        <w:tabs>
          <w:tab w:val="left" w:pos="2552"/>
        </w:tabs>
        <w:rPr>
          <w:lang w:val="en-US"/>
        </w:rPr>
      </w:pPr>
      <w:r>
        <w:rPr>
          <w:rFonts w:cs="Arial"/>
          <w:b/>
          <w:sz w:val="24"/>
          <w:lang w:val="en-US"/>
        </w:rPr>
        <w:t xml:space="preserve">Agenda Item:         </w:t>
      </w:r>
      <w:r>
        <w:rPr>
          <w:rFonts w:cs="Arial"/>
          <w:b/>
          <w:sz w:val="24"/>
          <w:lang w:val="en-US"/>
        </w:rPr>
        <w:tab/>
      </w:r>
      <w:r w:rsidR="00225E89">
        <w:rPr>
          <w:rFonts w:cs="Arial"/>
          <w:b/>
          <w:sz w:val="24"/>
          <w:lang w:val="en-US"/>
        </w:rPr>
        <w:t>7.2.4.3</w:t>
      </w:r>
      <w:r>
        <w:rPr>
          <w:rFonts w:cs="Arial"/>
          <w:b/>
          <w:sz w:val="24"/>
          <w:lang w:val="en-US"/>
        </w:rPr>
        <w:tab/>
      </w:r>
      <w:r>
        <w:rPr>
          <w:lang w:val="en-US"/>
        </w:rPr>
        <w:tab/>
      </w:r>
    </w:p>
    <w:p w14:paraId="7605495C" w14:textId="77777777" w:rsidR="006023CE" w:rsidRDefault="001643A2">
      <w:pPr>
        <w:pStyle w:val="Heading1"/>
        <w:numPr>
          <w:ilvl w:val="0"/>
          <w:numId w:val="3"/>
        </w:numPr>
      </w:pPr>
      <w:bookmarkStart w:id="1" w:name="_Ref409106980"/>
      <w:bookmarkEnd w:id="1"/>
      <w:r>
        <w:t>Introduction</w:t>
      </w:r>
    </w:p>
    <w:p w14:paraId="43DC3E37" w14:textId="0262C67D" w:rsidR="006023CE" w:rsidRDefault="001643A2">
      <w:pPr>
        <w:pStyle w:val="BodyText"/>
      </w:pPr>
      <w:r>
        <w:t>In 3GPP RAN #71 meeting, e</w:t>
      </w:r>
      <w:r w:rsidR="00CA7B5A">
        <w:t>nhancements on FD-MIMO for LTE wa</w:t>
      </w:r>
      <w:r>
        <w:t>s agreed [1] for Release 14. One of the key objectives is to study DMRS based open or semi open loop enhancement schemes with existing number of CSI-RS ports as well as the newly supported number of CSI-RS ports. Existing LTE diversity schemes like LD-CDD, SFBC are designed to support up to 4 CRS ports that cannot be directly extend for larger number of TXRUs. Hence to support high mobility users and to minimize high periodic feedback of PMIs for multiple CSI-RS ports, it is necessary to study DMRS based schemes which can exploit transmit diversity which is tolerant to channel variations at high speed.</w:t>
      </w:r>
    </w:p>
    <w:p w14:paraId="7AE305A1" w14:textId="2402C5CF" w:rsidR="00967C02" w:rsidRPr="00BA2868" w:rsidRDefault="00225E89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157ABB" wp14:editId="759EE78E">
                <wp:simplePos x="0" y="0"/>
                <wp:positionH relativeFrom="column">
                  <wp:posOffset>1270</wp:posOffset>
                </wp:positionH>
                <wp:positionV relativeFrom="paragraph">
                  <wp:posOffset>198755</wp:posOffset>
                </wp:positionV>
                <wp:extent cx="6103620" cy="1554480"/>
                <wp:effectExtent l="0" t="0" r="11430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620" cy="155448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2F82E" id="Rectangle 3" o:spid="_x0000_s1026" style="position:absolute;margin-left:.1pt;margin-top:15.65pt;width:480.6pt;height:122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" fillcolor="white [3201]" strokecolor="black [3213]"/>
            </w:pict>
          </mc:Fallback>
        </mc:AlternateContent>
      </w:r>
      <w:r w:rsidR="00967C02" w:rsidRPr="00BA2868">
        <w:t>Further in RAN</w:t>
      </w:r>
      <w:r w:rsidR="00BC4844">
        <w:t>1</w:t>
      </w:r>
      <w:r w:rsidR="00967C02" w:rsidRPr="00BA2868">
        <w:t xml:space="preserve"> #8</w:t>
      </w:r>
      <w:r>
        <w:t>5</w:t>
      </w:r>
      <w:r w:rsidR="00026525">
        <w:t xml:space="preserve"> [2]</w:t>
      </w:r>
      <w:r w:rsidR="00BA2868" w:rsidRPr="00BA2868">
        <w:t>, it is</w:t>
      </w:r>
      <w:r w:rsidR="00967C02" w:rsidRPr="00BA2868">
        <w:t xml:space="preserve"> agreed </w:t>
      </w:r>
      <w:r w:rsidR="00BA2868" w:rsidRPr="00BA2868">
        <w:t>to:</w:t>
      </w:r>
    </w:p>
    <w:p w14:paraId="49B2D9A1" w14:textId="77777777" w:rsidR="00225E89" w:rsidRDefault="00225E89" w:rsidP="00E00939">
      <w:pPr>
        <w:numPr>
          <w:ilvl w:val="0"/>
          <w:numId w:val="10"/>
        </w:numPr>
        <w:spacing w:after="0"/>
        <w:jc w:val="left"/>
        <w:textAlignment w:val="auto"/>
        <w:rPr>
          <w:lang w:val="en-US"/>
        </w:rPr>
      </w:pPr>
      <w:r>
        <w:rPr>
          <w:lang w:val="en-US"/>
        </w:rPr>
        <w:t>DMRS-based semi-open-loop</w:t>
      </w:r>
    </w:p>
    <w:p w14:paraId="6D53D2C6" w14:textId="77777777" w:rsidR="00225E89" w:rsidRPr="006715E4" w:rsidRDefault="00225E89" w:rsidP="00E00939">
      <w:pPr>
        <w:numPr>
          <w:ilvl w:val="0"/>
          <w:numId w:val="11"/>
        </w:numPr>
        <w:spacing w:after="0"/>
        <w:jc w:val="left"/>
        <w:textAlignment w:val="auto"/>
        <w:rPr>
          <w:lang w:val="en-US"/>
        </w:rPr>
      </w:pPr>
      <w:r w:rsidRPr="006715E4">
        <w:rPr>
          <w:lang w:val="en-US"/>
        </w:rPr>
        <w:t xml:space="preserve">Specify </w:t>
      </w:r>
      <w:r w:rsidRPr="006715E4">
        <w:t xml:space="preserve">enhancement to </w:t>
      </w:r>
      <w:r>
        <w:t>support DMRS-based semi-</w:t>
      </w:r>
      <w:r w:rsidRPr="006715E4">
        <w:t xml:space="preserve">open-loop transmission with the existing numbers of CSI-RS ports as well as the newly supported number of CSI-RS ports, in the following areas </w:t>
      </w:r>
    </w:p>
    <w:p w14:paraId="43C9D53D" w14:textId="77777777" w:rsidR="00225E89" w:rsidRPr="006715E4" w:rsidRDefault="00225E89" w:rsidP="00E00939">
      <w:pPr>
        <w:numPr>
          <w:ilvl w:val="1"/>
          <w:numId w:val="11"/>
        </w:numPr>
        <w:spacing w:after="0"/>
        <w:jc w:val="left"/>
        <w:textAlignment w:val="auto"/>
        <w:rPr>
          <w:lang w:val="en-US"/>
        </w:rPr>
      </w:pPr>
      <w:r w:rsidRPr="006715E4">
        <w:t>CSI reporting scheme with partial PMI feedback, and</w:t>
      </w:r>
      <w:r>
        <w:t>/or</w:t>
      </w:r>
      <w:r w:rsidRPr="006715E4">
        <w:t xml:space="preserve"> </w:t>
      </w:r>
    </w:p>
    <w:p w14:paraId="310660CC" w14:textId="77777777" w:rsidR="00225E89" w:rsidRPr="00CF6D16" w:rsidRDefault="00225E89" w:rsidP="00E00939">
      <w:pPr>
        <w:numPr>
          <w:ilvl w:val="1"/>
          <w:numId w:val="11"/>
        </w:numPr>
        <w:spacing w:after="0"/>
        <w:jc w:val="left"/>
        <w:textAlignment w:val="auto"/>
        <w:rPr>
          <w:lang w:val="en-US"/>
        </w:rPr>
      </w:pPr>
      <w:r w:rsidRPr="006715E4">
        <w:t>Transmission method with transmit di</w:t>
      </w:r>
      <w:r>
        <w:t>versity and/or precoder cycling, with possible enhancements to precoder bundling</w:t>
      </w:r>
      <w:r w:rsidRPr="006715E4">
        <w:t xml:space="preserve"> </w:t>
      </w:r>
    </w:p>
    <w:p w14:paraId="5CBC5191" w14:textId="77777777" w:rsidR="00225E89" w:rsidRDefault="00225E89" w:rsidP="00E00939">
      <w:pPr>
        <w:numPr>
          <w:ilvl w:val="1"/>
          <w:numId w:val="11"/>
        </w:numPr>
        <w:spacing w:after="0"/>
        <w:jc w:val="left"/>
        <w:textAlignment w:val="auto"/>
        <w:rPr>
          <w:lang w:val="en-US"/>
        </w:rPr>
      </w:pPr>
      <w:r>
        <w:t>Associated enhancements to DMRS if required</w:t>
      </w:r>
    </w:p>
    <w:p w14:paraId="4913ECE8" w14:textId="3F921140" w:rsidR="00BA2868" w:rsidRDefault="00225E89" w:rsidP="00E00939">
      <w:pPr>
        <w:numPr>
          <w:ilvl w:val="1"/>
          <w:numId w:val="7"/>
        </w:numPr>
        <w:spacing w:after="0"/>
        <w:jc w:val="left"/>
        <w:textAlignment w:val="auto"/>
        <w:rPr>
          <w:rFonts w:eastAsia="MS Mincho"/>
          <w:i/>
          <w:lang w:val="en-US" w:eastAsia="ja-JP"/>
        </w:rPr>
      </w:pPr>
      <w:r>
        <w:rPr>
          <w:lang w:val="en-US"/>
        </w:rPr>
        <w:t>Further system level simulations (e.g. considering wideband scheduling and BLER targets at high speed) will be conducted in order to identify the exact scheme to be specified.</w:t>
      </w:r>
    </w:p>
    <w:p w14:paraId="196E100E" w14:textId="77777777" w:rsidR="00BA2868" w:rsidRDefault="00BA2868" w:rsidP="00BA2868">
      <w:pPr>
        <w:spacing w:after="0"/>
        <w:jc w:val="left"/>
        <w:textAlignment w:val="auto"/>
        <w:rPr>
          <w:rFonts w:eastAsia="MS Mincho"/>
          <w:i/>
          <w:lang w:val="en-US" w:eastAsia="ja-JP"/>
        </w:rPr>
      </w:pPr>
    </w:p>
    <w:p w14:paraId="2E6AAA5A" w14:textId="0CDF7F37" w:rsidR="00BA2868" w:rsidRPr="00BA2868" w:rsidRDefault="004C2B61" w:rsidP="004C2B61">
      <w:pPr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This contribution</w:t>
      </w:r>
      <w:r w:rsidR="00BA2868">
        <w:rPr>
          <w:rFonts w:eastAsia="MS Mincho"/>
          <w:lang w:val="en-US" w:eastAsia="ja-JP"/>
        </w:rPr>
        <w:t xml:space="preserve"> </w:t>
      </w:r>
      <w:r w:rsidR="00026525">
        <w:rPr>
          <w:rFonts w:eastAsia="MS Mincho"/>
          <w:lang w:val="en-US" w:eastAsia="ja-JP"/>
        </w:rPr>
        <w:t>proposes</w:t>
      </w:r>
      <w:r w:rsidR="00CA5232">
        <w:rPr>
          <w:rFonts w:eastAsia="MS Mincho"/>
          <w:lang w:val="en-US" w:eastAsia="ja-JP"/>
        </w:rPr>
        <w:t xml:space="preserve"> </w:t>
      </w:r>
      <w:r w:rsidR="00BA2868">
        <w:rPr>
          <w:rFonts w:eastAsia="MS Mincho"/>
          <w:lang w:val="en-US" w:eastAsia="ja-JP"/>
        </w:rPr>
        <w:t>semi-open loop scheme with only</w:t>
      </w:r>
      <w:r w:rsidR="002D66F9">
        <w:rPr>
          <w:rFonts w:eastAsia="MS Mincho"/>
          <w:lang w:val="en-US" w:eastAsia="ja-JP"/>
        </w:rPr>
        <w:t xml:space="preserve"> </w:t>
      </w:r>
      <w:r w:rsidR="00D470B8">
        <w:rPr>
          <w:rFonts w:eastAsia="MS Mincho"/>
          <w:lang w:val="en-US" w:eastAsia="ja-JP"/>
        </w:rPr>
        <w:t>CSI resource indicator (</w:t>
      </w:r>
      <w:r w:rsidR="002D66F9">
        <w:rPr>
          <w:rFonts w:eastAsia="MS Mincho"/>
          <w:lang w:val="en-US" w:eastAsia="ja-JP"/>
        </w:rPr>
        <w:t>CRI</w:t>
      </w:r>
      <w:r w:rsidR="00D470B8">
        <w:rPr>
          <w:rFonts w:eastAsia="MS Mincho"/>
          <w:lang w:val="en-US" w:eastAsia="ja-JP"/>
        </w:rPr>
        <w:t>) or partial wideband precoding matrix indicator</w:t>
      </w:r>
      <w:r w:rsidR="00E00939">
        <w:rPr>
          <w:rFonts w:eastAsia="MS Mincho"/>
          <w:lang w:val="en-US" w:eastAsia="ja-JP"/>
        </w:rPr>
        <w:t xml:space="preserve"> </w:t>
      </w:r>
      <w:r w:rsidR="00D470B8">
        <w:rPr>
          <w:rFonts w:eastAsia="MS Mincho"/>
          <w:lang w:val="en-US" w:eastAsia="ja-JP"/>
        </w:rPr>
        <w:t>(</w:t>
      </w:r>
      <w:r w:rsidR="00BA2868">
        <w:rPr>
          <w:rFonts w:eastAsia="MS Mincho"/>
          <w:lang w:val="en-US" w:eastAsia="ja-JP"/>
        </w:rPr>
        <w:t>I</w:t>
      </w:r>
      <w:r w:rsidR="00BA2868" w:rsidRPr="00BA2868">
        <w:rPr>
          <w:rFonts w:eastAsia="MS Mincho"/>
          <w:vertAlign w:val="subscript"/>
          <w:lang w:val="en-US" w:eastAsia="ja-JP"/>
        </w:rPr>
        <w:t>1</w:t>
      </w:r>
      <w:r w:rsidR="00D470B8">
        <w:rPr>
          <w:rFonts w:eastAsia="MS Mincho"/>
          <w:lang w:val="en-US" w:eastAsia="ja-JP"/>
        </w:rPr>
        <w:t xml:space="preserve">) </w:t>
      </w:r>
      <w:r w:rsidR="00BA2868">
        <w:rPr>
          <w:rFonts w:eastAsia="MS Mincho"/>
          <w:lang w:val="en-US" w:eastAsia="ja-JP"/>
        </w:rPr>
        <w:t>reporting by the UE and I</w:t>
      </w:r>
      <w:r w:rsidR="00BA2868" w:rsidRPr="004C2B61">
        <w:rPr>
          <w:rFonts w:eastAsia="MS Mincho"/>
          <w:vertAlign w:val="subscript"/>
          <w:lang w:val="en-US" w:eastAsia="ja-JP"/>
        </w:rPr>
        <w:t>2</w:t>
      </w:r>
      <w:r w:rsidR="00BA2868">
        <w:rPr>
          <w:rFonts w:eastAsia="MS Mincho"/>
          <w:lang w:val="en-US" w:eastAsia="ja-JP"/>
        </w:rPr>
        <w:t xml:space="preserve"> precoder cycling over </w:t>
      </w:r>
      <w:r>
        <w:rPr>
          <w:rFonts w:eastAsia="MS Mincho"/>
          <w:lang w:val="en-US" w:eastAsia="ja-JP"/>
        </w:rPr>
        <w:t xml:space="preserve">the resource blocks. </w:t>
      </w:r>
      <w:r w:rsidR="00026525">
        <w:rPr>
          <w:rFonts w:eastAsia="MS Mincho"/>
          <w:lang w:val="en-US" w:eastAsia="ja-JP"/>
        </w:rPr>
        <w:t>Additionally, a</w:t>
      </w:r>
      <w:r>
        <w:rPr>
          <w:rFonts w:eastAsia="MS Mincho"/>
          <w:lang w:val="en-US" w:eastAsia="ja-JP"/>
        </w:rPr>
        <w:t xml:space="preserve"> new CQI computation mechanism</w:t>
      </w:r>
      <w:r w:rsidR="0065346A">
        <w:rPr>
          <w:rFonts w:eastAsia="MS Mincho"/>
          <w:lang w:val="en-US" w:eastAsia="ja-JP"/>
        </w:rPr>
        <w:t xml:space="preserve"> and reporting</w:t>
      </w:r>
      <w:r w:rsidR="00026525">
        <w:rPr>
          <w:rFonts w:eastAsia="MS Mincho"/>
          <w:lang w:val="en-US" w:eastAsia="ja-JP"/>
        </w:rPr>
        <w:t xml:space="preserve"> scheme</w:t>
      </w:r>
      <w:r w:rsidR="0065346A">
        <w:rPr>
          <w:rFonts w:eastAsia="MS Mincho"/>
          <w:lang w:val="en-US" w:eastAsia="ja-JP"/>
        </w:rPr>
        <w:t xml:space="preserve"> </w:t>
      </w:r>
      <w:r w:rsidR="00BC4844">
        <w:rPr>
          <w:rFonts w:eastAsia="MS Mincho"/>
          <w:lang w:val="en-US" w:eastAsia="ja-JP"/>
        </w:rPr>
        <w:t>for the semi-</w:t>
      </w:r>
      <w:r w:rsidR="00CA5232">
        <w:rPr>
          <w:rFonts w:eastAsia="MS Mincho"/>
          <w:lang w:val="en-US" w:eastAsia="ja-JP"/>
        </w:rPr>
        <w:t>open loop scheme</w:t>
      </w:r>
      <w:r w:rsidR="00026525">
        <w:rPr>
          <w:rFonts w:eastAsia="MS Mincho"/>
          <w:lang w:val="en-US" w:eastAsia="ja-JP"/>
        </w:rPr>
        <w:t xml:space="preserve"> is also proposed</w:t>
      </w:r>
      <w:r>
        <w:rPr>
          <w:rFonts w:eastAsia="MS Mincho"/>
          <w:lang w:val="en-US" w:eastAsia="ja-JP"/>
        </w:rPr>
        <w:t>.</w:t>
      </w:r>
      <w:r w:rsidR="00026525">
        <w:rPr>
          <w:rFonts w:eastAsia="MS Mincho"/>
          <w:lang w:val="en-US" w:eastAsia="ja-JP"/>
        </w:rPr>
        <w:t xml:space="preserve"> The comparison between closed loop and semi-open loop schemes is presented.</w:t>
      </w:r>
    </w:p>
    <w:p w14:paraId="734B9E1E" w14:textId="77777777" w:rsidR="006023CE" w:rsidRDefault="001643A2">
      <w:pPr>
        <w:pStyle w:val="Heading1"/>
        <w:numPr>
          <w:ilvl w:val="0"/>
          <w:numId w:val="3"/>
        </w:numPr>
      </w:pPr>
      <w:r>
        <w:t>Discussions on open/semi-open loop scheme</w:t>
      </w:r>
    </w:p>
    <w:p w14:paraId="6CE32723" w14:textId="4AE93E29" w:rsidR="006023CE" w:rsidRDefault="00D470B8">
      <w:r>
        <w:t xml:space="preserve">Closed loop transmission schemes requires high </w:t>
      </w:r>
      <w:r w:rsidR="00443758">
        <w:t xml:space="preserve">UE </w:t>
      </w:r>
      <w:r>
        <w:t>complexity</w:t>
      </w:r>
      <w:r w:rsidR="00443758">
        <w:t xml:space="preserve"> and high feedback overhead, it is useful to increase the performance for the low or fixed UEs. However,</w:t>
      </w:r>
      <w:r w:rsidR="001643A2">
        <w:t xml:space="preserve"> </w:t>
      </w:r>
      <w:r w:rsidR="00443758">
        <w:t xml:space="preserve">the </w:t>
      </w:r>
      <w:r w:rsidR="001643A2">
        <w:t>UE</w:t>
      </w:r>
      <w:r w:rsidR="00443758">
        <w:t>s with high speed</w:t>
      </w:r>
      <w:r w:rsidR="001643A2">
        <w:t xml:space="preserve">, the PMI and </w:t>
      </w:r>
      <w:r w:rsidR="00443758">
        <w:t xml:space="preserve">the corresponding </w:t>
      </w:r>
      <w:r w:rsidR="001643A2">
        <w:t>CQI fed back at a given subframe will not be valid after few subframes</w:t>
      </w:r>
      <w:r w:rsidR="00443758">
        <w:t xml:space="preserve"> and hence need</w:t>
      </w:r>
      <w:r w:rsidR="00B956FE">
        <w:t>ed</w:t>
      </w:r>
      <w:r w:rsidR="00443758">
        <w:t xml:space="preserve"> more aggressive feedback updates</w:t>
      </w:r>
      <w:r w:rsidR="00B956FE">
        <w:t>. The CQI</w:t>
      </w:r>
      <w:r w:rsidR="001643A2">
        <w:t xml:space="preserve"> mismatch can lead to more </w:t>
      </w:r>
      <w:r w:rsidR="001565B8">
        <w:t>transport block</w:t>
      </w:r>
      <w:r w:rsidR="001643A2">
        <w:t xml:space="preserve"> errors and hence higher number of </w:t>
      </w:r>
      <w:r w:rsidR="001565B8">
        <w:t xml:space="preserve">HARQ </w:t>
      </w:r>
      <w:r w:rsidR="001643A2">
        <w:t>retransmissions, resulting in reduced average cell throughput due to increase of CQI offset in the outer-loop link adaptation</w:t>
      </w:r>
      <w:r w:rsidR="00443758">
        <w:t xml:space="preserve">. </w:t>
      </w:r>
      <w:r w:rsidR="001643A2">
        <w:t xml:space="preserve">Hence the </w:t>
      </w:r>
      <w:r w:rsidR="002C5B60">
        <w:t>eNB</w:t>
      </w:r>
      <w:r w:rsidR="001643A2">
        <w:t xml:space="preserve"> needs to reduce the dependency of the stale </w:t>
      </w:r>
      <w:r w:rsidR="00CF6BA0">
        <w:t>precoder</w:t>
      </w:r>
      <w:r w:rsidR="001643A2">
        <w:t xml:space="preserve"> </w:t>
      </w:r>
      <w:r w:rsidR="00443758">
        <w:t>and it’s not worth for</w:t>
      </w:r>
      <w:r w:rsidR="005E0022">
        <w:t xml:space="preserve"> frequent</w:t>
      </w:r>
      <w:r w:rsidR="00443758">
        <w:t xml:space="preserve"> </w:t>
      </w:r>
      <w:r w:rsidR="005E0022">
        <w:t xml:space="preserve">feedback reporting, high </w:t>
      </w:r>
      <w:r w:rsidR="00443758">
        <w:t>overhead and considering UE complexity</w:t>
      </w:r>
      <w:r w:rsidR="001643A2">
        <w:t xml:space="preserve">. To </w:t>
      </w:r>
      <w:r w:rsidR="00CF6BA0">
        <w:t>get</w:t>
      </w:r>
      <w:r w:rsidR="001643A2">
        <w:t xml:space="preserve"> the</w:t>
      </w:r>
      <w:r w:rsidR="00CF6BA0">
        <w:t xml:space="preserve"> average and robust performance in the high Doppler scenario,</w:t>
      </w:r>
      <w:r w:rsidR="001643A2">
        <w:t xml:space="preserve"> we need open/semi open loop schemes for FD-MIMO. </w:t>
      </w:r>
    </w:p>
    <w:p w14:paraId="6CD3A009" w14:textId="483B576C" w:rsidR="006023CE" w:rsidRDefault="001643A2">
      <w:pPr>
        <w:spacing w:before="240"/>
      </w:pPr>
      <w:r>
        <w:t>With the current DMRS based transmission schemes especially in TM9 and TM10, proprietary resource block level precoder cycling scheme</w:t>
      </w:r>
      <w:r w:rsidR="008F1DD1">
        <w:t>s can be implemented</w:t>
      </w:r>
      <w:r>
        <w:t xml:space="preserve">. In TDD, implementing this scheme could be beneficial by applying reciprocity principle. However, it has several issues like less diversity gain compared to subcarrier level cycling, </w:t>
      </w:r>
      <w:r w:rsidR="008F1DD1">
        <w:t xml:space="preserve">deriving diversity CQI from the reported CQI etc. </w:t>
      </w:r>
    </w:p>
    <w:p w14:paraId="1DBA60D1" w14:textId="53BD7C7B" w:rsidR="006023CE" w:rsidRDefault="001643A2">
      <w:r>
        <w:t xml:space="preserve">To address the above issues, </w:t>
      </w:r>
      <w:r w:rsidR="0065346A">
        <w:t>there can be</w:t>
      </w:r>
      <w:r>
        <w:t xml:space="preserve"> the following alternatives. First alternate could be cyclically re-use multiple precoders over the scheduled resource blocks with more accurate CQI measurement support. An eNB would apply precoding to PDSCH transparent to a UE, which gives the opportunity to deploy open </w:t>
      </w:r>
      <w:r>
        <w:lastRenderedPageBreak/>
        <w:t>loop MU-MIMO schemes as well. The second alternative could be subcarrier level precoders cycling similar to TM3, with the exi</w:t>
      </w:r>
      <w:r w:rsidR="0065346A">
        <w:t>sting DMRS or an extended DMRS.</w:t>
      </w:r>
      <w:r w:rsidR="00B23C12">
        <w:t xml:space="preserve"> </w:t>
      </w:r>
      <w:r>
        <w:t xml:space="preserve">This will average the </w:t>
      </w:r>
      <w:r w:rsidR="00B23C12">
        <w:t>precoder</w:t>
      </w:r>
      <w:r>
        <w:t xml:space="preserve"> errors for that </w:t>
      </w:r>
      <w:r w:rsidR="00B23C12">
        <w:t>subframe</w:t>
      </w:r>
      <w:r>
        <w:t xml:space="preserve"> and hence expected to provide stable CQI for higher mobility with lower feedback overhead. </w:t>
      </w:r>
    </w:p>
    <w:p w14:paraId="68DE2AB6" w14:textId="157B20EB" w:rsidR="006023CE" w:rsidRDefault="001643A2">
      <w:pPr>
        <w:rPr>
          <w:bCs/>
        </w:rPr>
      </w:pPr>
      <w:r>
        <w:rPr>
          <w:bCs/>
        </w:rPr>
        <w:t xml:space="preserve">The semi-open loop MIMO scheme </w:t>
      </w:r>
      <w:r w:rsidR="00A76D45">
        <w:rPr>
          <w:bCs/>
        </w:rPr>
        <w:t>is</w:t>
      </w:r>
      <w:r>
        <w:rPr>
          <w:bCs/>
        </w:rPr>
        <w:t xml:space="preserve"> a better candidate than open loop schemes</w:t>
      </w:r>
      <w:r w:rsidR="00DE6C42">
        <w:rPr>
          <w:bCs/>
        </w:rPr>
        <w:t xml:space="preserve"> provided there is a limited feedback on CRI and/or </w:t>
      </w:r>
      <w:r w:rsidR="00C06B3F">
        <w:rPr>
          <w:bCs/>
        </w:rPr>
        <w:t>I</w:t>
      </w:r>
      <w:r w:rsidR="00C06B3F" w:rsidRPr="00882925">
        <w:rPr>
          <w:bCs/>
          <w:vertAlign w:val="subscript"/>
        </w:rPr>
        <w:t>1</w:t>
      </w:r>
      <w:r>
        <w:rPr>
          <w:bCs/>
        </w:rPr>
        <w:t xml:space="preserve">. </w:t>
      </w:r>
      <w:r w:rsidR="00A76D45">
        <w:rPr>
          <w:bCs/>
        </w:rPr>
        <w:t xml:space="preserve">In 60 kmph and 120 kmph UE velocity, </w:t>
      </w:r>
      <w:r w:rsidR="00DE6C42">
        <w:rPr>
          <w:bCs/>
        </w:rPr>
        <w:t xml:space="preserve">the reported </w:t>
      </w:r>
      <w:r w:rsidR="00C06B3F">
        <w:rPr>
          <w:bCs/>
        </w:rPr>
        <w:t>I</w:t>
      </w:r>
      <w:r w:rsidR="00C06B3F" w:rsidRPr="00882925">
        <w:rPr>
          <w:bCs/>
          <w:vertAlign w:val="subscript"/>
        </w:rPr>
        <w:t>1</w:t>
      </w:r>
      <w:r w:rsidR="00DE6C42">
        <w:rPr>
          <w:bCs/>
        </w:rPr>
        <w:t xml:space="preserve"> preocder is stable. Hence, eNB use the I</w:t>
      </w:r>
      <w:r w:rsidR="00DE6C42" w:rsidRPr="00882925">
        <w:rPr>
          <w:bCs/>
          <w:vertAlign w:val="subscript"/>
        </w:rPr>
        <w:t>1</w:t>
      </w:r>
      <w:r w:rsidR="00DE6C42">
        <w:rPr>
          <w:bCs/>
        </w:rPr>
        <w:t xml:space="preserve"> precoder and the subset of the I</w:t>
      </w:r>
      <w:r w:rsidR="00DE6C42" w:rsidRPr="00882925">
        <w:rPr>
          <w:bCs/>
          <w:vertAlign w:val="subscript"/>
        </w:rPr>
        <w:t>2</w:t>
      </w:r>
      <w:r w:rsidR="00DE6C42">
        <w:rPr>
          <w:bCs/>
        </w:rPr>
        <w:t xml:space="preserve"> precoders from the codebook are cycled over the scheduled resource blocks. This scheme can be implemented proprietarily </w:t>
      </w:r>
      <w:r w:rsidR="00882925">
        <w:rPr>
          <w:bCs/>
        </w:rPr>
        <w:t>in TM9/TM10. However, the current CQI measurement and reporting mechanism in TM9/TM10 result in mismatch of CQI between the reported and actual CQI seen by the UE and it limits the performance. Hence, there is a scope for improvement in CQI measurement for this scheme.</w:t>
      </w:r>
      <w:r w:rsidR="00A02659">
        <w:rPr>
          <w:bCs/>
        </w:rPr>
        <w:t xml:space="preserve"> We propose to compute the CQI by considering the reported </w:t>
      </w:r>
      <w:r w:rsidR="00D6134D">
        <w:rPr>
          <w:bCs/>
        </w:rPr>
        <w:t xml:space="preserve">CRI / </w:t>
      </w:r>
      <w:r w:rsidR="009130D4">
        <w:rPr>
          <w:bCs/>
        </w:rPr>
        <w:t>I</w:t>
      </w:r>
      <w:r w:rsidR="009130D4" w:rsidRPr="00882925">
        <w:rPr>
          <w:bCs/>
          <w:vertAlign w:val="subscript"/>
        </w:rPr>
        <w:t>1</w:t>
      </w:r>
      <w:r w:rsidR="00A02659">
        <w:rPr>
          <w:bCs/>
        </w:rPr>
        <w:t xml:space="preserve"> </w:t>
      </w:r>
      <w:r w:rsidR="004B2775">
        <w:rPr>
          <w:bCs/>
        </w:rPr>
        <w:t xml:space="preserve">and </w:t>
      </w:r>
      <w:r w:rsidR="009130D4">
        <w:rPr>
          <w:bCs/>
        </w:rPr>
        <w:t>I</w:t>
      </w:r>
      <w:r w:rsidR="009130D4">
        <w:rPr>
          <w:bCs/>
          <w:vertAlign w:val="subscript"/>
        </w:rPr>
        <w:t>2</w:t>
      </w:r>
      <w:r w:rsidR="00A02659">
        <w:rPr>
          <w:bCs/>
        </w:rPr>
        <w:t xml:space="preserve"> precoder cycling ov</w:t>
      </w:r>
      <w:r w:rsidR="00F63751">
        <w:rPr>
          <w:bCs/>
        </w:rPr>
        <w:t>er the resource blocks.</w:t>
      </w:r>
    </w:p>
    <w:p w14:paraId="06845EB9" w14:textId="564CBD14" w:rsidR="00A37570" w:rsidRDefault="00A37570" w:rsidP="00A37570">
      <w:pPr>
        <w:pStyle w:val="Heading1"/>
        <w:numPr>
          <w:ilvl w:val="0"/>
          <w:numId w:val="3"/>
        </w:numPr>
      </w:pPr>
      <w:r>
        <w:t>Evaluations semi-open loop scheme</w:t>
      </w:r>
    </w:p>
    <w:p w14:paraId="1B7D9BE1" w14:textId="525E90E7" w:rsidR="00D47BB2" w:rsidRDefault="009F39D5" w:rsidP="00AA6511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10E9E056" wp14:editId="2C61716E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A366E11" w14:textId="7BF2FC22" w:rsidR="0014700D" w:rsidRDefault="0014700D" w:rsidP="0014700D">
      <w:pPr>
        <w:pStyle w:val="Normal1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Fig. 1: Performance of closed-loop and semi-open loop schemes</w:t>
      </w:r>
    </w:p>
    <w:p w14:paraId="5E87716B" w14:textId="5A503EA2" w:rsidR="00C70D3D" w:rsidRDefault="00C70D3D" w:rsidP="00C70D3D">
      <w:r>
        <w:t>We evaluated the performance of closed loop and semi-open loop for different CQI periodicity (2 ms, 5 ms, 10ms and 20 ms) with UE speed of 120 kmph</w:t>
      </w:r>
      <w:r w:rsidR="00026525">
        <w:t xml:space="preserve"> in Fig. 1</w:t>
      </w:r>
      <w:r>
        <w:t xml:space="preserve">. </w:t>
      </w:r>
      <w:r w:rsidR="00CA7B5A">
        <w:t xml:space="preserve">The detailed simulation assumptions are placed in the appendix. </w:t>
      </w:r>
      <w:r>
        <w:t xml:space="preserve">In semi-open loop scheme, we used </w:t>
      </w:r>
      <w:r w:rsidR="00CA7B5A">
        <w:t xml:space="preserve">only wideband </w:t>
      </w:r>
      <w:r>
        <w:t>I</w:t>
      </w:r>
      <w:r w:rsidRPr="00026525">
        <w:rPr>
          <w:vertAlign w:val="subscript"/>
        </w:rPr>
        <w:t>1</w:t>
      </w:r>
      <w:r>
        <w:t xml:space="preserve"> feedback and </w:t>
      </w:r>
      <w:r w:rsidR="00CA7B5A">
        <w:t xml:space="preserve">the corresponding </w:t>
      </w:r>
      <w:r>
        <w:t>wideband CQI.  Here, I</w:t>
      </w:r>
      <w:r w:rsidRPr="00026525">
        <w:rPr>
          <w:vertAlign w:val="subscript"/>
        </w:rPr>
        <w:t>1</w:t>
      </w:r>
      <w:r>
        <w:t xml:space="preserve"> and CQI selection is assumed I</w:t>
      </w:r>
      <w:r w:rsidRPr="00026525">
        <w:rPr>
          <w:vertAlign w:val="subscript"/>
        </w:rPr>
        <w:t>2</w:t>
      </w:r>
      <w:r>
        <w:t xml:space="preserve"> precoder cycling. In closed loop scheme, we used I</w:t>
      </w:r>
      <w:r w:rsidRPr="00026525">
        <w:rPr>
          <w:vertAlign w:val="subscript"/>
        </w:rPr>
        <w:t>1</w:t>
      </w:r>
      <w:r>
        <w:t>, I</w:t>
      </w:r>
      <w:r w:rsidRPr="00026525">
        <w:rPr>
          <w:vertAlign w:val="subscript"/>
        </w:rPr>
        <w:t>2</w:t>
      </w:r>
      <w:r>
        <w:t xml:space="preserve"> and wideband CQI feedback. The results show that the performance of semi-open loop is more robust compared to closed loop with reduced feedback overhead. From 10 ms PMI and CQI periodicity onwards, the average spectral efficiency for semi-open loop scheme is higher than closed loop schemes.</w:t>
      </w:r>
      <w:r w:rsidRPr="009E63AB">
        <w:t xml:space="preserve"> </w:t>
      </w:r>
      <w:r>
        <w:t>Similar trends also observed in cell-edge spectral efficiency from 5 ms periodicity onwards. Furthermore, the feedback overhead is very less considering only I</w:t>
      </w:r>
      <w:r w:rsidRPr="00026525">
        <w:rPr>
          <w:vertAlign w:val="subscript"/>
        </w:rPr>
        <w:t>1</w:t>
      </w:r>
      <w:r>
        <w:t xml:space="preserve"> feedback and less frequent reporting.</w:t>
      </w:r>
    </w:p>
    <w:p w14:paraId="104A2F9E" w14:textId="6B089BA8" w:rsidR="00C70D3D" w:rsidRDefault="00C70D3D" w:rsidP="00C70D3D">
      <w:pPr>
        <w:pStyle w:val="Normal1"/>
        <w:jc w:val="center"/>
        <w:rPr>
          <w:rFonts w:ascii="Arial" w:hAnsi="Arial" w:cs="Arial"/>
          <w:szCs w:val="21"/>
        </w:rPr>
      </w:pPr>
      <w:r>
        <w:rPr>
          <w:noProof/>
        </w:rPr>
        <w:drawing>
          <wp:inline distT="0" distB="0" distL="0" distR="0" wp14:anchorId="4448774A" wp14:editId="61F0A91B">
            <wp:extent cx="2954927" cy="1806575"/>
            <wp:effectExtent l="0" t="0" r="17145" b="317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2C0779B" w14:textId="3040F005" w:rsidR="00C70D3D" w:rsidRDefault="00C70D3D" w:rsidP="00C70D3D">
      <w:pPr>
        <w:pStyle w:val="Normal1"/>
        <w:jc w:val="center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Fig. 2: PDF of </w:t>
      </w:r>
      <m:oMath>
        <m:r>
          <w:rPr>
            <w:rFonts w:ascii="Cambria Math" w:hAnsi="Cambria Math" w:cs="Arial"/>
            <w:szCs w:val="21"/>
          </w:rPr>
          <m:t>∆</m:t>
        </m:r>
        <m:sSub>
          <m:sSubPr>
            <m:ctrlPr>
              <w:rPr>
                <w:rFonts w:ascii="Cambria Math" w:hAnsi="Cambria Math" w:cs="Arial"/>
                <w:i/>
                <w:szCs w:val="21"/>
              </w:rPr>
            </m:ctrlPr>
          </m:sSubPr>
          <m:e>
            <m:r>
              <w:rPr>
                <w:rFonts w:ascii="Cambria Math" w:hAnsi="Cambria Math" w:cs="Arial"/>
                <w:szCs w:val="21"/>
              </w:rPr>
              <m:t>I</m:t>
            </m:r>
          </m:e>
          <m:sub>
            <m:r>
              <w:rPr>
                <w:rFonts w:ascii="Cambria Math" w:hAnsi="Cambria Math" w:cs="Arial"/>
                <w:szCs w:val="21"/>
              </w:rPr>
              <m:t>1</m:t>
            </m:r>
          </m:sub>
        </m:sSub>
      </m:oMath>
      <w:r>
        <w:rPr>
          <w:rFonts w:ascii="Arial" w:hAnsi="Arial" w:cs="Arial"/>
          <w:szCs w:val="21"/>
        </w:rPr>
        <w:t xml:space="preserve"> in 10 ms periodicity</w:t>
      </w:r>
    </w:p>
    <w:p w14:paraId="79D1B186" w14:textId="735BE311" w:rsidR="00C70D3D" w:rsidRDefault="00C70D3D" w:rsidP="00C70D3D">
      <w:pPr>
        <w:pStyle w:val="Normal1"/>
        <w:jc w:val="both"/>
        <w:rPr>
          <w:rFonts w:ascii="Arial" w:hAnsi="Arial" w:cs="Arial"/>
          <w:szCs w:val="21"/>
        </w:rPr>
      </w:pPr>
      <w:r w:rsidRPr="005E0022">
        <w:rPr>
          <w:rFonts w:ascii="Arial" w:hAnsi="Arial" w:cs="Arial"/>
          <w:szCs w:val="21"/>
        </w:rPr>
        <w:lastRenderedPageBreak/>
        <w:t>Further, we studied the stability of the wideband long term precoding indicator (I</w:t>
      </w:r>
      <w:r w:rsidRPr="005E0022">
        <w:rPr>
          <w:rFonts w:ascii="Arial" w:hAnsi="Arial" w:cs="Arial"/>
          <w:szCs w:val="21"/>
          <w:vertAlign w:val="subscript"/>
        </w:rPr>
        <w:t>1</w:t>
      </w:r>
      <w:r w:rsidRPr="005E0022">
        <w:rPr>
          <w:rFonts w:ascii="Arial" w:hAnsi="Arial" w:cs="Arial"/>
          <w:szCs w:val="21"/>
        </w:rPr>
        <w:t xml:space="preserve">). </w:t>
      </w:r>
      <w:r>
        <w:rPr>
          <w:rFonts w:ascii="Arial" w:hAnsi="Arial" w:cs="Arial"/>
          <w:szCs w:val="21"/>
        </w:rPr>
        <w:t xml:space="preserve">The Fig. </w:t>
      </w:r>
      <w:r w:rsidR="00026525">
        <w:rPr>
          <w:rFonts w:ascii="Arial" w:hAnsi="Arial" w:cs="Arial"/>
          <w:szCs w:val="21"/>
        </w:rPr>
        <w:t>2</w:t>
      </w:r>
      <w:r w:rsidRPr="005E0022">
        <w:rPr>
          <w:rFonts w:ascii="Arial" w:hAnsi="Arial" w:cs="Arial"/>
          <w:szCs w:val="21"/>
        </w:rPr>
        <w:t xml:space="preserve"> shows </w:t>
      </w:r>
      <w:r>
        <w:rPr>
          <w:rFonts w:ascii="Arial" w:hAnsi="Arial" w:cs="Arial"/>
          <w:szCs w:val="21"/>
        </w:rPr>
        <w:t xml:space="preserve">the PDF of </w:t>
      </w:r>
      <m:oMath>
        <m:r>
          <w:rPr>
            <w:rFonts w:ascii="Cambria Math" w:hAnsi="Cambria Math" w:cs="Arial"/>
            <w:szCs w:val="21"/>
          </w:rPr>
          <m:t>∆</m:t>
        </m:r>
        <m:sSub>
          <m:sSubPr>
            <m:ctrlPr>
              <w:rPr>
                <w:rFonts w:ascii="Cambria Math" w:hAnsi="Cambria Math" w:cs="Arial"/>
                <w:i/>
                <w:szCs w:val="21"/>
              </w:rPr>
            </m:ctrlPr>
          </m:sSubPr>
          <m:e>
            <m:r>
              <w:rPr>
                <w:rFonts w:ascii="Cambria Math" w:hAnsi="Cambria Math" w:cs="Arial"/>
                <w:szCs w:val="21"/>
              </w:rPr>
              <m:t>I</m:t>
            </m:r>
          </m:e>
          <m:sub>
            <m:r>
              <w:rPr>
                <w:rFonts w:ascii="Cambria Math" w:hAnsi="Cambria Math" w:cs="Arial"/>
                <w:szCs w:val="21"/>
              </w:rPr>
              <m:t>1</m:t>
            </m:r>
          </m:sub>
        </m:sSub>
      </m:oMath>
      <w:r>
        <w:rPr>
          <w:rFonts w:ascii="Arial" w:hAnsi="Arial" w:cs="Arial"/>
          <w:szCs w:val="21"/>
        </w:rPr>
        <w:t>which is the difference between the successive I</w:t>
      </w:r>
      <w:r w:rsidRPr="00026525">
        <w:rPr>
          <w:rFonts w:ascii="Arial" w:hAnsi="Arial" w:cs="Arial"/>
          <w:szCs w:val="21"/>
          <w:vertAlign w:val="subscript"/>
        </w:rPr>
        <w:t>1</w:t>
      </w:r>
      <w:r>
        <w:rPr>
          <w:rFonts w:ascii="Arial" w:hAnsi="Arial" w:cs="Arial"/>
          <w:szCs w:val="21"/>
        </w:rPr>
        <w:t xml:space="preserve"> reports. We can infer </w:t>
      </w:r>
      <w:r w:rsidRPr="005E0022">
        <w:rPr>
          <w:rFonts w:ascii="Arial" w:hAnsi="Arial" w:cs="Arial"/>
          <w:szCs w:val="21"/>
        </w:rPr>
        <w:t>that the I</w:t>
      </w:r>
      <w:r w:rsidRPr="005E0022">
        <w:rPr>
          <w:rFonts w:ascii="Arial" w:hAnsi="Arial" w:cs="Arial"/>
          <w:szCs w:val="21"/>
          <w:vertAlign w:val="subscript"/>
        </w:rPr>
        <w:t xml:space="preserve">1 </w:t>
      </w:r>
      <w:r w:rsidRPr="005E0022">
        <w:rPr>
          <w:rFonts w:ascii="Arial" w:hAnsi="Arial" w:cs="Arial"/>
          <w:szCs w:val="21"/>
        </w:rPr>
        <w:t>is not varied much over the time, and hence we can use I</w:t>
      </w:r>
      <w:r w:rsidRPr="005E0022">
        <w:rPr>
          <w:rFonts w:ascii="Arial" w:hAnsi="Arial" w:cs="Arial"/>
          <w:szCs w:val="21"/>
          <w:vertAlign w:val="subscript"/>
        </w:rPr>
        <w:t>1</w:t>
      </w:r>
      <w:r w:rsidRPr="005E0022">
        <w:rPr>
          <w:rFonts w:ascii="Arial" w:hAnsi="Arial" w:cs="Arial"/>
          <w:szCs w:val="21"/>
        </w:rPr>
        <w:t xml:space="preserve"> feedback with sufficiently longer periodicity (in the order of 10 or 20 ms) and I</w:t>
      </w:r>
      <w:r w:rsidRPr="005E0022">
        <w:rPr>
          <w:rFonts w:ascii="Arial" w:hAnsi="Arial" w:cs="Arial"/>
          <w:szCs w:val="21"/>
          <w:vertAlign w:val="subscript"/>
        </w:rPr>
        <w:t>2</w:t>
      </w:r>
      <w:r w:rsidRPr="005E0022">
        <w:rPr>
          <w:rFonts w:ascii="Arial" w:hAnsi="Arial" w:cs="Arial"/>
          <w:szCs w:val="21"/>
        </w:rPr>
        <w:t xml:space="preserve"> can be cycled over the resource blocks. In this case, the semi-open loop scheme </w:t>
      </w:r>
      <w:r>
        <w:rPr>
          <w:rFonts w:ascii="Arial" w:hAnsi="Arial" w:cs="Arial"/>
          <w:szCs w:val="21"/>
        </w:rPr>
        <w:t>is</w:t>
      </w:r>
      <w:r w:rsidRPr="005E0022">
        <w:rPr>
          <w:rFonts w:ascii="Arial" w:hAnsi="Arial" w:cs="Arial"/>
          <w:szCs w:val="21"/>
        </w:rPr>
        <w:t xml:space="preserve"> more robust a</w:t>
      </w:r>
      <w:r>
        <w:rPr>
          <w:rFonts w:ascii="Arial" w:hAnsi="Arial" w:cs="Arial"/>
          <w:szCs w:val="21"/>
        </w:rPr>
        <w:t>nd save</w:t>
      </w:r>
      <w:r w:rsidRPr="005E0022">
        <w:rPr>
          <w:rFonts w:ascii="Arial" w:hAnsi="Arial" w:cs="Arial"/>
          <w:szCs w:val="21"/>
        </w:rPr>
        <w:t xml:space="preserve"> lot of feedback overhead.</w:t>
      </w:r>
    </w:p>
    <w:p w14:paraId="649F83E7" w14:textId="7068B3A2" w:rsidR="00BB54A0" w:rsidRDefault="00BB54A0" w:rsidP="00BB54A0">
      <w:pPr>
        <w:pStyle w:val="Normal1"/>
        <w:spacing w:before="240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 xml:space="preserve">Proposal 1: Proposing </w:t>
      </w:r>
      <w:r w:rsidR="00C70D3D">
        <w:rPr>
          <w:b/>
          <w:i/>
          <w:sz w:val="21"/>
          <w:szCs w:val="21"/>
        </w:rPr>
        <w:t>DMRS based semi-</w:t>
      </w:r>
      <w:r>
        <w:rPr>
          <w:b/>
          <w:i/>
          <w:sz w:val="21"/>
          <w:szCs w:val="21"/>
        </w:rPr>
        <w:t>open loop scheme in which limited UE feedback</w:t>
      </w:r>
      <w:r w:rsidR="00B105A6">
        <w:rPr>
          <w:b/>
          <w:i/>
          <w:sz w:val="21"/>
          <w:szCs w:val="21"/>
        </w:rPr>
        <w:t xml:space="preserve"> including</w:t>
      </w:r>
      <w:r>
        <w:rPr>
          <w:b/>
          <w:i/>
          <w:sz w:val="21"/>
          <w:szCs w:val="21"/>
        </w:rPr>
        <w:t xml:space="preserve"> CSI resource indicator (CRI) or</w:t>
      </w:r>
      <w:r w:rsidR="00B105A6">
        <w:rPr>
          <w:b/>
          <w:i/>
          <w:sz w:val="21"/>
          <w:szCs w:val="21"/>
        </w:rPr>
        <w:t xml:space="preserve"> </w:t>
      </w:r>
      <w:r>
        <w:rPr>
          <w:b/>
          <w:i/>
          <w:sz w:val="21"/>
          <w:szCs w:val="21"/>
        </w:rPr>
        <w:t>I</w:t>
      </w:r>
      <w:r>
        <w:rPr>
          <w:b/>
          <w:i/>
          <w:sz w:val="21"/>
          <w:szCs w:val="21"/>
          <w:vertAlign w:val="subscript"/>
        </w:rPr>
        <w:t xml:space="preserve">1 </w:t>
      </w:r>
      <w:r>
        <w:rPr>
          <w:b/>
          <w:i/>
          <w:sz w:val="21"/>
          <w:szCs w:val="21"/>
        </w:rPr>
        <w:t>and precoder cycling over the resource blocks</w:t>
      </w:r>
    </w:p>
    <w:p w14:paraId="0170F517" w14:textId="14595813" w:rsidR="00C70D3D" w:rsidRDefault="00C70D3D" w:rsidP="00C70D3D">
      <w:pPr>
        <w:pStyle w:val="Normal1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Proposal 2: Proposing a CQI measurement scheme at UE assuming I</w:t>
      </w:r>
      <w:r w:rsidRPr="00F76F73">
        <w:rPr>
          <w:b/>
          <w:i/>
          <w:sz w:val="21"/>
          <w:szCs w:val="21"/>
          <w:vertAlign w:val="subscript"/>
        </w:rPr>
        <w:t>2</w:t>
      </w:r>
      <w:r>
        <w:rPr>
          <w:b/>
          <w:i/>
          <w:sz w:val="21"/>
          <w:szCs w:val="21"/>
        </w:rPr>
        <w:t xml:space="preserve"> precoder cycling with CRI / I</w:t>
      </w:r>
      <w:r w:rsidRPr="00F76F73">
        <w:rPr>
          <w:b/>
          <w:i/>
          <w:sz w:val="21"/>
          <w:szCs w:val="21"/>
          <w:vertAlign w:val="subscript"/>
        </w:rPr>
        <w:t>1</w:t>
      </w:r>
      <w:r>
        <w:rPr>
          <w:b/>
          <w:i/>
          <w:sz w:val="21"/>
          <w:szCs w:val="21"/>
        </w:rPr>
        <w:t xml:space="preserve"> for the semi-open loop scheme</w:t>
      </w:r>
    </w:p>
    <w:p w14:paraId="1F511FDC" w14:textId="77777777" w:rsidR="006023CE" w:rsidRDefault="001643A2">
      <w:pPr>
        <w:pStyle w:val="Heading1"/>
        <w:numPr>
          <w:ilvl w:val="0"/>
          <w:numId w:val="3"/>
        </w:numPr>
      </w:pPr>
      <w:r>
        <w:t>Conclusions</w:t>
      </w:r>
    </w:p>
    <w:p w14:paraId="063FF452" w14:textId="77777777" w:rsidR="006023CE" w:rsidRDefault="001643A2">
      <w:r>
        <w:t xml:space="preserve">Base on the discussions above, we have the following proposal and observations. </w:t>
      </w:r>
    </w:p>
    <w:p w14:paraId="6DA562A4" w14:textId="77777777" w:rsidR="007749C4" w:rsidRDefault="007749C4" w:rsidP="007749C4">
      <w:pPr>
        <w:pStyle w:val="Normal1"/>
        <w:spacing w:before="240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Proposal 1: Proposing DMRS based semi-open loop scheme in which limited UE feedback including CSI resource indicator (CRI) or I</w:t>
      </w:r>
      <w:r>
        <w:rPr>
          <w:b/>
          <w:i/>
          <w:sz w:val="21"/>
          <w:szCs w:val="21"/>
          <w:vertAlign w:val="subscript"/>
        </w:rPr>
        <w:t xml:space="preserve">1 </w:t>
      </w:r>
      <w:r>
        <w:rPr>
          <w:b/>
          <w:i/>
          <w:sz w:val="21"/>
          <w:szCs w:val="21"/>
        </w:rPr>
        <w:t>and precoder cycling over the resource blocks</w:t>
      </w:r>
    </w:p>
    <w:p w14:paraId="7CC62B4E" w14:textId="495F08F4" w:rsidR="007749C4" w:rsidRDefault="007749C4" w:rsidP="007749C4">
      <w:pPr>
        <w:pStyle w:val="Normal1"/>
        <w:jc w:val="both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Proposal 2: Proposing a CQI measurement scheme at UE assuming I</w:t>
      </w:r>
      <w:r w:rsidRPr="00F76F73">
        <w:rPr>
          <w:b/>
          <w:i/>
          <w:sz w:val="21"/>
          <w:szCs w:val="21"/>
          <w:vertAlign w:val="subscript"/>
        </w:rPr>
        <w:t>2</w:t>
      </w:r>
      <w:r>
        <w:rPr>
          <w:b/>
          <w:i/>
          <w:sz w:val="21"/>
          <w:szCs w:val="21"/>
        </w:rPr>
        <w:t xml:space="preserve"> precoder cycling with CRI / I</w:t>
      </w:r>
      <w:r w:rsidRPr="00F76F73">
        <w:rPr>
          <w:b/>
          <w:i/>
          <w:sz w:val="21"/>
          <w:szCs w:val="21"/>
          <w:vertAlign w:val="subscript"/>
        </w:rPr>
        <w:t>1</w:t>
      </w:r>
      <w:r>
        <w:rPr>
          <w:b/>
          <w:i/>
          <w:sz w:val="21"/>
          <w:szCs w:val="21"/>
        </w:rPr>
        <w:t xml:space="preserve"> for the semi-open loop scheme</w:t>
      </w:r>
    </w:p>
    <w:p w14:paraId="6081370B" w14:textId="77777777" w:rsidR="006023CE" w:rsidRDefault="001643A2">
      <w:pPr>
        <w:pStyle w:val="Heading1"/>
        <w:numPr>
          <w:ilvl w:val="0"/>
          <w:numId w:val="3"/>
        </w:numPr>
      </w:pPr>
      <w:r>
        <w:t>References</w:t>
      </w:r>
    </w:p>
    <w:p w14:paraId="58297C68" w14:textId="77777777" w:rsidR="006023CE" w:rsidRDefault="001643A2">
      <w:pPr>
        <w:pStyle w:val="Reference"/>
        <w:numPr>
          <w:ilvl w:val="0"/>
          <w:numId w:val="2"/>
        </w:numPr>
      </w:pPr>
      <w:bookmarkStart w:id="2" w:name="_Ref403069021"/>
      <w:bookmarkEnd w:id="2"/>
      <w:r>
        <w:t>RP-160623 New WID Proposal: Enhancements on Full-Dimension (FD) MIMO for LTE, Samsung.</w:t>
      </w:r>
    </w:p>
    <w:p w14:paraId="796B5AC2" w14:textId="4FF1C51D" w:rsidR="00026525" w:rsidRDefault="00026525" w:rsidP="00967C02">
      <w:pPr>
        <w:pStyle w:val="Reference"/>
        <w:numPr>
          <w:ilvl w:val="0"/>
          <w:numId w:val="2"/>
        </w:numPr>
      </w:pPr>
      <w:r>
        <w:t>RAN1#85 Chairman notes</w:t>
      </w:r>
    </w:p>
    <w:p w14:paraId="7D137379" w14:textId="0C24C377" w:rsidR="00967C02" w:rsidRDefault="00967C02" w:rsidP="00967C02">
      <w:pPr>
        <w:pStyle w:val="Reference"/>
        <w:numPr>
          <w:ilvl w:val="0"/>
          <w:numId w:val="2"/>
        </w:numPr>
      </w:pPr>
      <w:r w:rsidRPr="00967C02">
        <w:t>R1-163212</w:t>
      </w:r>
      <w:r>
        <w:t xml:space="preserve"> </w:t>
      </w:r>
      <w:r w:rsidRPr="00967C02">
        <w:t>Need for discussions on DMRS based Open/Semi-open loop MIMO schemes for eFD-MIMO</w:t>
      </w:r>
    </w:p>
    <w:p w14:paraId="3915D1D8" w14:textId="172C41A2" w:rsidR="00026525" w:rsidRDefault="00026525" w:rsidP="00026525">
      <w:pPr>
        <w:pStyle w:val="Normal1"/>
        <w:jc w:val="both"/>
        <w:rPr>
          <w:b/>
          <w:i/>
          <w:sz w:val="21"/>
          <w:szCs w:val="21"/>
        </w:rPr>
      </w:pPr>
      <w:bookmarkStart w:id="3" w:name="_Ref384735847"/>
      <w:bookmarkStart w:id="4" w:name="_Ref430949599"/>
      <w:bookmarkEnd w:id="3"/>
      <w:bookmarkEnd w:id="4"/>
    </w:p>
    <w:p w14:paraId="15201354" w14:textId="5034BD51" w:rsidR="00026525" w:rsidRDefault="00026525" w:rsidP="00026525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672607">
        <w:t xml:space="preserve"> – Simulation assumptions</w:t>
      </w:r>
    </w:p>
    <w:tbl>
      <w:tblPr>
        <w:tblW w:w="72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4410"/>
      </w:tblGrid>
      <w:tr w:rsidR="00F35BC9" w:rsidRPr="00F35BC9" w14:paraId="7D13C07A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FA1898C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Parameters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326A850" w14:textId="77777777" w:rsidR="00F35BC9" w:rsidRPr="00F35BC9" w:rsidRDefault="00F35BC9" w:rsidP="00F35BC9">
            <w:pPr>
              <w:spacing w:after="0" w:line="360" w:lineRule="auto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b/>
                <w:bCs/>
                <w:color w:val="000000" w:themeColor="text1"/>
                <w:kern w:val="2"/>
                <w:sz w:val="18"/>
                <w:szCs w:val="18"/>
                <w:lang w:eastAsia="en-US"/>
              </w:rPr>
              <w:t>Value</w:t>
            </w:r>
          </w:p>
        </w:tc>
      </w:tr>
      <w:tr w:rsidR="00F35BC9" w:rsidRPr="00F35BC9" w14:paraId="22883409" w14:textId="77777777" w:rsidTr="003F6010">
        <w:trPr>
          <w:trHeight w:val="336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9CC0A18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Scenarios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3AC42B7" w14:textId="51F16CCE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3D-UMa ISD 500m</w:t>
            </w:r>
          </w:p>
        </w:tc>
      </w:tr>
      <w:tr w:rsidR="00F35BC9" w:rsidRPr="00F35BC9" w14:paraId="33C92BF3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E40F0AB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Polarized antenna modeling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C5DC12F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Model -2 from 36.873</w:t>
            </w:r>
          </w:p>
        </w:tc>
      </w:tr>
      <w:tr w:rsidR="00F35BC9" w:rsidRPr="00F35BC9" w14:paraId="28B2D6ED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7A7D721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Traffic model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CF4DC44" w14:textId="61B1DC38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Full buffer</w:t>
            </w: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F35BC9" w:rsidRPr="00F35BC9" w14:paraId="3B0D6ED3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FEBFABE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Wrapping method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AFF3126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Geographical distance based</w:t>
            </w:r>
          </w:p>
        </w:tc>
      </w:tr>
      <w:tr w:rsidR="00F35BC9" w:rsidRPr="00F35BC9" w14:paraId="06EC9AD8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D615D56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Handover margin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B46670F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3dB</w:t>
            </w:r>
          </w:p>
        </w:tc>
      </w:tr>
      <w:tr w:rsidR="00F35BC9" w:rsidRPr="00F35BC9" w14:paraId="21DDEE15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DFD15A1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Metrics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1338E11" w14:textId="77777777" w:rsidR="00F35BC9" w:rsidRPr="00F35BC9" w:rsidRDefault="00F35BC9" w:rsidP="00F35BC9">
            <w:pPr>
              <w:wordWrap w:val="0"/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Mean, 5% UPT</w:t>
            </w:r>
          </w:p>
        </w:tc>
      </w:tr>
      <w:tr w:rsidR="00F35BC9" w:rsidRPr="00F35BC9" w14:paraId="6E4001F6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A034F2E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System bandwidth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C01705A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10MHz (50 PRBs)</w:t>
            </w:r>
          </w:p>
        </w:tc>
      </w:tr>
      <w:tr w:rsidR="00F35BC9" w:rsidRPr="00F35BC9" w14:paraId="084727C8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8982F55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UE attachment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15C982F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Based on RSRP (formula) from CRS port 0</w:t>
            </w:r>
          </w:p>
        </w:tc>
      </w:tr>
      <w:tr w:rsidR="00F35BC9" w:rsidRPr="00F35BC9" w14:paraId="393F0993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CCDDBEE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Carrier Frequency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07AFCBE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2GHz</w:t>
            </w:r>
          </w:p>
        </w:tc>
      </w:tr>
      <w:tr w:rsidR="00F35BC9" w:rsidRPr="00F35BC9" w14:paraId="64DC3B62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425F0C51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Network synchronization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36856F1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Synchronized</w:t>
            </w:r>
          </w:p>
        </w:tc>
      </w:tr>
      <w:tr w:rsidR="00F35BC9" w:rsidRPr="00F35BC9" w14:paraId="117576DA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FDF04A7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lastRenderedPageBreak/>
              <w:t xml:space="preserve">UE Speed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9C263A4" w14:textId="6D40ACF6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120km/h</w:t>
            </w:r>
          </w:p>
        </w:tc>
      </w:tr>
      <w:tr w:rsidR="00F35BC9" w:rsidRPr="00F35BC9" w14:paraId="46014BD4" w14:textId="77777777" w:rsidTr="003F6010">
        <w:trPr>
          <w:trHeight w:val="781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25D4EBA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UE distribution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0A224FD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Theme="minorEastAsia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Randomly and uniformly distributed over</w:t>
            </w:r>
          </w:p>
          <w:p w14:paraId="5771DB92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Theme="minorEastAsia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area. 100% of users outdoors in vehicles</w:t>
            </w:r>
          </w:p>
        </w:tc>
      </w:tr>
      <w:tr w:rsidR="00F35BC9" w:rsidRPr="00F35BC9" w14:paraId="7C1E9A43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AC6CB0C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UE array orientation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7686CB0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Ω</w:t>
            </w:r>
            <w:r w:rsidRPr="00F35BC9">
              <w:rPr>
                <w:rFonts w:eastAsia="Meiryo" w:cs="Arial"/>
                <w:color w:val="000000" w:themeColor="text1"/>
                <w:kern w:val="24"/>
                <w:position w:val="-6"/>
                <w:sz w:val="18"/>
                <w:szCs w:val="18"/>
                <w:vertAlign w:val="subscript"/>
                <w:lang w:val="en-US" w:eastAsia="en-US"/>
              </w:rPr>
              <w:t>UT,a</w:t>
            </w: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 uniformly distributed on [0,360] degree, Ω</w:t>
            </w:r>
            <w:r w:rsidRPr="00F35BC9">
              <w:rPr>
                <w:rFonts w:eastAsia="Meiryo" w:cs="Arial"/>
                <w:color w:val="000000" w:themeColor="text1"/>
                <w:kern w:val="24"/>
                <w:position w:val="-6"/>
                <w:sz w:val="18"/>
                <w:szCs w:val="18"/>
                <w:vertAlign w:val="subscript"/>
                <w:lang w:val="en-US" w:eastAsia="en-US"/>
              </w:rPr>
              <w:t xml:space="preserve">UT,b </w:t>
            </w: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= 90 degree, Ω</w:t>
            </w:r>
            <w:r w:rsidRPr="00F35BC9">
              <w:rPr>
                <w:rFonts w:eastAsia="Meiryo" w:cs="Arial"/>
                <w:color w:val="000000" w:themeColor="text1"/>
                <w:kern w:val="24"/>
                <w:position w:val="-6"/>
                <w:sz w:val="18"/>
                <w:szCs w:val="18"/>
                <w:vertAlign w:val="subscript"/>
                <w:lang w:val="en-US" w:eastAsia="en-US"/>
              </w:rPr>
              <w:t>UT,g</w:t>
            </w: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 = 0 degree</w:t>
            </w:r>
          </w:p>
        </w:tc>
      </w:tr>
      <w:tr w:rsidR="00F35BC9" w:rsidRPr="00F35BC9" w14:paraId="188A46E4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3D110622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UE antenna pattern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512521B0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Isotropic antenna gain pattern A’(θ’,ф’) = 1</w:t>
            </w:r>
          </w:p>
        </w:tc>
      </w:tr>
      <w:tr w:rsidR="00F35BC9" w:rsidRPr="00F35BC9" w14:paraId="0AC82116" w14:textId="77777777" w:rsidTr="003F6010">
        <w:trPr>
          <w:trHeight w:val="830"/>
          <w:jc w:val="center"/>
        </w:trPr>
        <w:tc>
          <w:tcPr>
            <w:tcW w:w="28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BCE462A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Receiver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366689E" w14:textId="77777777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Non-ideal channel estimation and interference modeling, detailed guidelines according to Rel-12 assumptions</w:t>
            </w:r>
          </w:p>
        </w:tc>
      </w:tr>
      <w:tr w:rsidR="00F35BC9" w:rsidRPr="00F35BC9" w14:paraId="45A472E3" w14:textId="77777777" w:rsidTr="003F6010">
        <w:trPr>
          <w:trHeight w:val="415"/>
          <w:jc w:val="center"/>
        </w:trPr>
        <w:tc>
          <w:tcPr>
            <w:tcW w:w="28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A9F87F" w14:textId="77777777" w:rsidR="00F35BC9" w:rsidRPr="00F35BC9" w:rsidRDefault="00F35BC9" w:rsidP="00F35BC9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5AF001F" w14:textId="308AB863" w:rsidR="00F35BC9" w:rsidRPr="00F35BC9" w:rsidRDefault="00F35BC9" w:rsidP="00F35BC9">
            <w:pPr>
              <w:spacing w:after="0" w:line="360" w:lineRule="auto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F35BC9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LMMSE-IRC receiver, detailed guidelines according to Rel-</w:t>
            </w:r>
            <w:r w:rsidR="003F6010" w:rsidRPr="003F6010"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  <w:t>12 assumptions</w:t>
            </w:r>
          </w:p>
        </w:tc>
      </w:tr>
      <w:tr w:rsidR="003F6010" w:rsidRPr="003F6010" w14:paraId="6CCE1AE1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107C6" w14:textId="6F0BE8A9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UE Rx configuration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7AB42A77" w14:textId="36E98438" w:rsidR="003F6010" w:rsidRPr="003F6010" w:rsidRDefault="003F6010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2 Rx x-polar (+90/0)</w:t>
            </w:r>
          </w:p>
        </w:tc>
      </w:tr>
      <w:tr w:rsidR="003F6010" w:rsidRPr="003F6010" w14:paraId="51FB988C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BCF12F" w14:textId="378236AE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Feedback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19787EFD" w14:textId="4323BF81" w:rsidR="003F6010" w:rsidRPr="003F6010" w:rsidRDefault="003F6010" w:rsidP="003F6010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6010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>Baseline: PUCCH 1-1 for the closed-loop</w:t>
            </w:r>
          </w:p>
          <w:p w14:paraId="467D5A3C" w14:textId="7E0C8183" w:rsidR="003F6010" w:rsidRPr="003F6010" w:rsidRDefault="003F6010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Semi-open loop: PUCCH 1-1 with only I</w:t>
            </w: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  <w:vertAlign w:val="subscript"/>
              </w:rPr>
              <w:t>1</w:t>
            </w:r>
          </w:p>
        </w:tc>
      </w:tr>
      <w:tr w:rsidR="003F6010" w:rsidRPr="003F6010" w14:paraId="02087A86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EEC11" w14:textId="77777777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0763282A" w14:textId="3CF09128" w:rsidR="003F6010" w:rsidRPr="003F6010" w:rsidRDefault="003F6010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Implicit CSI feedback (CQI, PMI and RI) triggered per </w:t>
            </w:r>
            <w:r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2 ms, </w:t>
            </w: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5ms</w:t>
            </w:r>
            <w:r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 ,10 ms and 20 ms</w:t>
            </w:r>
          </w:p>
        </w:tc>
      </w:tr>
      <w:tr w:rsidR="003F6010" w:rsidRPr="003F6010" w14:paraId="3AEA226A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68891D" w14:textId="77777777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24611187" w14:textId="26E2AA36" w:rsidR="003F6010" w:rsidRPr="003F6010" w:rsidRDefault="003F6010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Feedback delay is 5 ms</w:t>
            </w:r>
          </w:p>
        </w:tc>
      </w:tr>
      <w:tr w:rsidR="003F6010" w:rsidRPr="003F6010" w14:paraId="0D0161DE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83CE7C" w14:textId="60A89CFA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Overhead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3F9B07F9" w14:textId="77777777" w:rsidR="003F6010" w:rsidRPr="003F6010" w:rsidRDefault="003F6010" w:rsidP="003F6010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6010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>3 symbols for DL CCHs and 2 CRS ports</w:t>
            </w:r>
          </w:p>
          <w:p w14:paraId="50955C43" w14:textId="12EBF78D" w:rsidR="003F6010" w:rsidRPr="003F6010" w:rsidRDefault="003F6010" w:rsidP="003F6010">
            <w:pPr>
              <w:pStyle w:val="NormalWeb"/>
              <w:spacing w:before="0" w:beforeAutospacing="0" w:after="0" w:afterAutospacing="0" w:line="360" w:lineRule="auto"/>
              <w:jc w:val="both"/>
              <w:rPr>
                <w:rFonts w:cs="Arial"/>
                <w:sz w:val="18"/>
                <w:szCs w:val="18"/>
                <w:lang w:val="en-GB" w:eastAsia="zh-CN"/>
              </w:rPr>
            </w:pPr>
            <w:r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 xml:space="preserve">DMRS overhead - </w:t>
            </w:r>
            <w:r w:rsidRPr="003F6010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 xml:space="preserve">12 REs for </w:t>
            </w:r>
            <w:r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>both</w:t>
            </w:r>
            <w:r w:rsidRPr="003F6010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 xml:space="preserve"> closed-loop</w:t>
            </w:r>
            <w:r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 xml:space="preserve"> and semi-open loop</w:t>
            </w:r>
          </w:p>
        </w:tc>
      </w:tr>
      <w:tr w:rsidR="003F6010" w:rsidRPr="003F6010" w14:paraId="3582D4F9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D7C81" w14:textId="14039C64" w:rsidR="003F6010" w:rsidRPr="003F6010" w:rsidRDefault="003F6010" w:rsidP="003F6010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 xml:space="preserve">Scheduler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769E6482" w14:textId="69937055" w:rsidR="003F6010" w:rsidRPr="003F6010" w:rsidRDefault="003F6010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 w:themeColor="text1"/>
                <w:kern w:val="24"/>
                <w:sz w:val="18"/>
                <w:szCs w:val="18"/>
              </w:rPr>
              <w:t>Frequency selective scheduling (multiple UEs per TTI allowed)</w:t>
            </w:r>
          </w:p>
        </w:tc>
      </w:tr>
      <w:tr w:rsidR="003F6010" w:rsidRPr="003F6010" w14:paraId="15C8D1A6" w14:textId="77777777" w:rsidTr="003F6010">
        <w:trPr>
          <w:trHeight w:val="415"/>
          <w:jc w:val="center"/>
        </w:trPr>
        <w:tc>
          <w:tcPr>
            <w:tcW w:w="2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13722" w14:textId="15FE1CD7" w:rsidR="003F6010" w:rsidRPr="003F6010" w:rsidRDefault="003F6010" w:rsidP="00672607">
            <w:pPr>
              <w:spacing w:after="0"/>
              <w:jc w:val="left"/>
              <w:textAlignment w:val="auto"/>
              <w:rPr>
                <w:rFonts w:cs="Arial"/>
                <w:sz w:val="18"/>
                <w:szCs w:val="18"/>
                <w:lang w:val="en-US" w:eastAsia="en-US"/>
              </w:rPr>
            </w:pPr>
            <w:r w:rsidRPr="003F6010">
              <w:rPr>
                <w:rFonts w:eastAsia="Malgun Gothic" w:cs="Arial"/>
                <w:color w:val="000000"/>
                <w:kern w:val="24"/>
                <w:sz w:val="18"/>
                <w:szCs w:val="18"/>
              </w:rPr>
              <w:t>CSI-RS periodicity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</w:tcPr>
          <w:p w14:paraId="361D1C06" w14:textId="09900E37" w:rsidR="003F6010" w:rsidRPr="003F6010" w:rsidRDefault="00672607" w:rsidP="003F6010">
            <w:pPr>
              <w:spacing w:after="0" w:line="360" w:lineRule="auto"/>
              <w:textAlignment w:val="auto"/>
              <w:rPr>
                <w:rFonts w:eastAsia="Meiryo" w:cs="Arial"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>
              <w:rPr>
                <w:rFonts w:eastAsia="Malgun Gothic" w:cs="Arial"/>
                <w:color w:val="000000"/>
                <w:kern w:val="24"/>
                <w:sz w:val="18"/>
                <w:szCs w:val="18"/>
              </w:rPr>
              <w:t xml:space="preserve">5, </w:t>
            </w:r>
            <w:r w:rsidR="003F6010" w:rsidRPr="003F6010">
              <w:rPr>
                <w:rFonts w:eastAsia="Malgun Gothic" w:cs="Arial"/>
                <w:color w:val="000000"/>
                <w:kern w:val="24"/>
                <w:sz w:val="18"/>
                <w:szCs w:val="18"/>
              </w:rPr>
              <w:t>10</w:t>
            </w:r>
            <w:r>
              <w:rPr>
                <w:rFonts w:eastAsia="Malgun Gothic" w:cs="Arial"/>
                <w:color w:val="000000"/>
                <w:kern w:val="24"/>
                <w:sz w:val="18"/>
                <w:szCs w:val="18"/>
              </w:rPr>
              <w:t xml:space="preserve"> and 20</w:t>
            </w:r>
            <w:r w:rsidR="003F6010" w:rsidRPr="003F6010">
              <w:rPr>
                <w:rFonts w:eastAsia="Malgun Gothic" w:cs="Arial"/>
                <w:color w:val="000000"/>
                <w:kern w:val="24"/>
                <w:sz w:val="18"/>
                <w:szCs w:val="18"/>
              </w:rPr>
              <w:t xml:space="preserve"> msec</w:t>
            </w:r>
          </w:p>
        </w:tc>
      </w:tr>
    </w:tbl>
    <w:p w14:paraId="36050D5F" w14:textId="77777777" w:rsidR="00F35BC9" w:rsidRPr="00F35BC9" w:rsidRDefault="00F35BC9" w:rsidP="00F35BC9"/>
    <w:sectPr w:rsidR="00F35BC9" w:rsidRPr="00F35BC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1" w:right="1138" w:bottom="1138" w:left="1138" w:header="720" w:footer="720" w:gutter="0"/>
      <w:cols w:space="720"/>
      <w:formProt w:val="0"/>
      <w:titlePg/>
      <w:docGrid w:linePitch="24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C691E" w14:textId="77777777" w:rsidR="008359CD" w:rsidRDefault="008359CD">
      <w:pPr>
        <w:spacing w:after="0"/>
      </w:pPr>
      <w:r>
        <w:separator/>
      </w:r>
    </w:p>
  </w:endnote>
  <w:endnote w:type="continuationSeparator" w:id="0">
    <w:p w14:paraId="4E8F97DE" w14:textId="77777777" w:rsidR="008359CD" w:rsidRDefault="00835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01"/>
    <w:family w:val="swiss"/>
    <w:pitch w:val="default"/>
    <w:sig w:usb0="00000001" w:usb1="500078FB" w:usb2="00000000" w:usb3="00000000" w:csb0="6000009F" w:csb1="DFD70000"/>
  </w:font>
  <w:font w:name="Noto Sans CJK JP DemiLight">
    <w:panose1 w:val="00000000000000000000"/>
    <w:charset w:val="00"/>
    <w:family w:val="roman"/>
    <w:notTrueType/>
    <w:pitch w:val="default"/>
  </w:font>
  <w:font w:name="FreeSans">
    <w:altName w:val="Arial"/>
    <w:charset w:val="00"/>
    <w:family w:val="roman"/>
    <w:pitch w:val="default"/>
    <w:sig w:usb0="00000000" w:usb1="4600FDFF" w:usb2="000030A0" w:usb3="00000584" w:csb0="600001BF" w:csb1="DFF7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Malgun Gothic">
    <w:altName w:val="UnBatang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22FA5" w14:textId="1CBAA83F" w:rsidR="00F76F73" w:rsidRDefault="00F76F73">
    <w:pPr>
      <w:pStyle w:val="Footer"/>
      <w:ind w:right="-1521"/>
    </w:pPr>
    <w:r>
      <w:rPr>
        <w:rStyle w:val="PageNumber"/>
      </w:rPr>
      <w:fldChar w:fldCharType="begin"/>
    </w:r>
    <w:r>
      <w:instrText>PAGE</w:instrText>
    </w:r>
    <w:r>
      <w:fldChar w:fldCharType="separate"/>
    </w:r>
    <w:r w:rsidR="00515CEB">
      <w:rPr>
        <w:noProof/>
      </w:rPr>
      <w:t>2</w:t>
    </w:r>
    <w:r>
      <w:fldChar w:fldCharType="end"/>
    </w:r>
    <w:bookmarkStart w:id="5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instrText>NUMPAGES</w:instrText>
    </w:r>
    <w:r>
      <w:fldChar w:fldCharType="separate"/>
    </w:r>
    <w:r w:rsidR="00515CEB">
      <w:rPr>
        <w:noProof/>
      </w:rPr>
      <w:t>4</w:t>
    </w:r>
    <w:r>
      <w:fldChar w:fldCharType="end"/>
    </w:r>
    <w:bookmarkEnd w:id="5"/>
    <w:r>
      <w:rPr>
        <w:rStyle w:val="PageNumber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1EE2C" w14:textId="11A880C2" w:rsidR="00F76F73" w:rsidRDefault="00F76F73">
    <w:pPr>
      <w:pStyle w:val="Footer"/>
    </w:pPr>
    <w:r>
      <w:rPr>
        <w:rStyle w:val="PageNumber"/>
      </w:rPr>
      <w:fldChar w:fldCharType="begin"/>
    </w:r>
    <w:r>
      <w:instrText>PAGE</w:instrText>
    </w:r>
    <w:r>
      <w:fldChar w:fldCharType="separate"/>
    </w:r>
    <w:r w:rsidR="00515CEB">
      <w:rPr>
        <w:noProof/>
      </w:rPr>
      <w:t>1</w:t>
    </w:r>
    <w: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instrText>NUMPAGES</w:instrText>
    </w:r>
    <w:r>
      <w:fldChar w:fldCharType="separate"/>
    </w:r>
    <w:r w:rsidR="00515CEB">
      <w:rPr>
        <w:noProof/>
      </w:rPr>
      <w:t>4</w:t>
    </w:r>
    <w: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94AF7" w14:textId="77777777" w:rsidR="008359CD" w:rsidRDefault="008359CD">
      <w:pPr>
        <w:spacing w:after="0"/>
      </w:pPr>
      <w:r>
        <w:separator/>
      </w:r>
    </w:p>
  </w:footnote>
  <w:footnote w:type="continuationSeparator" w:id="0">
    <w:p w14:paraId="5B21AD1A" w14:textId="77777777" w:rsidR="008359CD" w:rsidRDefault="008359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CD08C" w14:textId="77777777" w:rsidR="00F76F73" w:rsidRDefault="00F76F73">
    <w:pPr>
      <w:pStyle w:val="Header"/>
      <w:tabs>
        <w:tab w:val="right" w:pos="7938"/>
      </w:tabs>
      <w:rPr>
        <w:lang w:val="sv-SE"/>
      </w:rPr>
    </w:pPr>
    <w:r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3EF94B" w14:textId="77777777" w:rsidR="00F76F73" w:rsidRDefault="00F76F73">
    <w:pPr>
      <w:pStyle w:val="Header"/>
      <w:tabs>
        <w:tab w:val="right" w:pos="79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230FEA"/>
    <w:multiLevelType w:val="multilevel"/>
    <w:tmpl w:val="49443C0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EB8396B"/>
    <w:multiLevelType w:val="multilevel"/>
    <w:tmpl w:val="F1F623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45A432D"/>
    <w:multiLevelType w:val="hybridMultilevel"/>
    <w:tmpl w:val="B94E9258"/>
    <w:lvl w:ilvl="0" w:tplc="DA78D2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C249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D256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08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9809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ED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7659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38D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060AF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DB8390E"/>
    <w:multiLevelType w:val="hybridMultilevel"/>
    <w:tmpl w:val="2EF0242A"/>
    <w:lvl w:ilvl="0" w:tplc="A86228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40E4C4">
      <w:start w:val="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2C00D8">
      <w:start w:val="6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2C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085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46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C5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DC3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C7B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F911363"/>
    <w:multiLevelType w:val="multilevel"/>
    <w:tmpl w:val="F87EB3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6B1C5350"/>
    <w:multiLevelType w:val="multilevel"/>
    <w:tmpl w:val="DE10A564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23039B"/>
    <w:multiLevelType w:val="hybridMultilevel"/>
    <w:tmpl w:val="EC763138"/>
    <w:lvl w:ilvl="0" w:tplc="8FEC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6C534">
      <w:start w:val="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46D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8054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C8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86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6E18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F27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8979E9"/>
    <w:multiLevelType w:val="hybridMultilevel"/>
    <w:tmpl w:val="3ECC8CAC"/>
    <w:lvl w:ilvl="0" w:tplc="38F0D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A19C2">
      <w:start w:val="24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CBF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DA6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C3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67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A9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C9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9C1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10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3CE"/>
    <w:rsid w:val="00026525"/>
    <w:rsid w:val="000B2F16"/>
    <w:rsid w:val="000E163B"/>
    <w:rsid w:val="0014700D"/>
    <w:rsid w:val="001565B8"/>
    <w:rsid w:val="001643A2"/>
    <w:rsid w:val="00196E95"/>
    <w:rsid w:val="001C5995"/>
    <w:rsid w:val="00225E89"/>
    <w:rsid w:val="00274FB2"/>
    <w:rsid w:val="00275675"/>
    <w:rsid w:val="00291C14"/>
    <w:rsid w:val="002A36EB"/>
    <w:rsid w:val="002C5B60"/>
    <w:rsid w:val="002D66F9"/>
    <w:rsid w:val="002F49C1"/>
    <w:rsid w:val="00312EA9"/>
    <w:rsid w:val="003B0600"/>
    <w:rsid w:val="003B6C46"/>
    <w:rsid w:val="003F6010"/>
    <w:rsid w:val="0040668B"/>
    <w:rsid w:val="0040695C"/>
    <w:rsid w:val="00407DD6"/>
    <w:rsid w:val="00426320"/>
    <w:rsid w:val="00443758"/>
    <w:rsid w:val="00486592"/>
    <w:rsid w:val="00487DCD"/>
    <w:rsid w:val="004B2775"/>
    <w:rsid w:val="004C2B61"/>
    <w:rsid w:val="004C6455"/>
    <w:rsid w:val="00511654"/>
    <w:rsid w:val="00515CEB"/>
    <w:rsid w:val="00533F83"/>
    <w:rsid w:val="0054585F"/>
    <w:rsid w:val="00561162"/>
    <w:rsid w:val="0057190B"/>
    <w:rsid w:val="005E0022"/>
    <w:rsid w:val="006023CE"/>
    <w:rsid w:val="0065346A"/>
    <w:rsid w:val="00672607"/>
    <w:rsid w:val="00700113"/>
    <w:rsid w:val="00745093"/>
    <w:rsid w:val="007616B8"/>
    <w:rsid w:val="007749C4"/>
    <w:rsid w:val="0078472D"/>
    <w:rsid w:val="007A57CE"/>
    <w:rsid w:val="007C6200"/>
    <w:rsid w:val="007D7422"/>
    <w:rsid w:val="008359CD"/>
    <w:rsid w:val="00882925"/>
    <w:rsid w:val="008B2519"/>
    <w:rsid w:val="008F066C"/>
    <w:rsid w:val="008F1DD1"/>
    <w:rsid w:val="009130D4"/>
    <w:rsid w:val="00921C38"/>
    <w:rsid w:val="009276E7"/>
    <w:rsid w:val="00950251"/>
    <w:rsid w:val="00967C02"/>
    <w:rsid w:val="009E63AB"/>
    <w:rsid w:val="009F39D5"/>
    <w:rsid w:val="00A02659"/>
    <w:rsid w:val="00A14CE3"/>
    <w:rsid w:val="00A37570"/>
    <w:rsid w:val="00A67C6E"/>
    <w:rsid w:val="00A76D45"/>
    <w:rsid w:val="00AA6511"/>
    <w:rsid w:val="00AB76E5"/>
    <w:rsid w:val="00B105A6"/>
    <w:rsid w:val="00B13600"/>
    <w:rsid w:val="00B23C12"/>
    <w:rsid w:val="00B408C4"/>
    <w:rsid w:val="00B61E5E"/>
    <w:rsid w:val="00B75493"/>
    <w:rsid w:val="00B956FE"/>
    <w:rsid w:val="00BA2868"/>
    <w:rsid w:val="00BB54A0"/>
    <w:rsid w:val="00BC4844"/>
    <w:rsid w:val="00C0465D"/>
    <w:rsid w:val="00C06B3F"/>
    <w:rsid w:val="00C30584"/>
    <w:rsid w:val="00C70D3D"/>
    <w:rsid w:val="00CA5232"/>
    <w:rsid w:val="00CA7B5A"/>
    <w:rsid w:val="00CF6BA0"/>
    <w:rsid w:val="00D13523"/>
    <w:rsid w:val="00D15E8C"/>
    <w:rsid w:val="00D470B8"/>
    <w:rsid w:val="00D47BB2"/>
    <w:rsid w:val="00D6134D"/>
    <w:rsid w:val="00DB6A61"/>
    <w:rsid w:val="00DD5C60"/>
    <w:rsid w:val="00DE6C42"/>
    <w:rsid w:val="00E00939"/>
    <w:rsid w:val="00E04EE6"/>
    <w:rsid w:val="00F20E74"/>
    <w:rsid w:val="00F35BC9"/>
    <w:rsid w:val="00F63751"/>
    <w:rsid w:val="00F76F73"/>
    <w:rsid w:val="00FD333B"/>
    <w:rsid w:val="00FD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5A062"/>
  <w15:docId w15:val="{5A376BF2-EDD1-4299-A550-C4AFE097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244C1E"/>
    <w:pPr>
      <w:spacing w:after="120" w:line="240" w:lineRule="auto"/>
      <w:jc w:val="both"/>
      <w:textAlignment w:val="baseline"/>
    </w:pPr>
    <w:rPr>
      <w:rFonts w:ascii="Arial" w:eastAsia="Times New Roman" w:hAnsi="Arial" w:cs="Times New Roman"/>
      <w:szCs w:val="20"/>
      <w:lang w:val="en-GB" w:eastAsia="zh-CN"/>
    </w:rPr>
  </w:style>
  <w:style w:type="paragraph" w:styleId="Heading1">
    <w:name w:val="heading 1"/>
    <w:basedOn w:val="Heading"/>
    <w:next w:val="Normal"/>
    <w:link w:val="Heading1Char"/>
    <w:qFormat/>
    <w:rsid w:val="00AB4FF0"/>
    <w:pPr>
      <w:keepLines/>
      <w:numPr>
        <w:numId w:val="1"/>
      </w:numPr>
      <w:pBdr>
        <w:top w:val="single" w:sz="12" w:space="3" w:color="00000A"/>
      </w:pBdr>
      <w:spacing w:after="180"/>
      <w:jc w:val="left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BodyTextChar">
    <w:name w:val="Body Text Char"/>
    <w:link w:val="BodyText"/>
    <w:qFormat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semiHidden/>
    <w:qFormat/>
    <w:rsid w:val="00683F57"/>
    <w:rPr>
      <w:rFonts w:ascii="Arial" w:eastAsia="Times New Roman" w:hAnsi="Arial" w:cs="Arial"/>
      <w:b/>
      <w:bCs/>
      <w:i/>
      <w:iCs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qFormat/>
    <w:rsid w:val="00683F57"/>
    <w:rPr>
      <w:rFonts w:ascii="Arial" w:eastAsia="Times New Roman" w:hAnsi="Arial" w:cs="Arial"/>
      <w:b/>
      <w:bCs/>
      <w:sz w:val="18"/>
      <w:szCs w:val="18"/>
      <w:lang w:eastAsia="zh-CN"/>
    </w:rPr>
  </w:style>
  <w:style w:type="character" w:styleId="PageNumber">
    <w:name w:val="page number"/>
    <w:basedOn w:val="DefaultParagraphFont"/>
    <w:semiHidden/>
    <w:qFormat/>
    <w:rsid w:val="00AB4FF0"/>
  </w:style>
  <w:style w:type="character" w:customStyle="1" w:styleId="TitleChar">
    <w:name w:val="Title Char"/>
    <w:basedOn w:val="DefaultParagraphFont"/>
    <w:link w:val="Title"/>
    <w:qFormat/>
    <w:rsid w:val="00683F57"/>
    <w:rPr>
      <w:b/>
      <w:sz w:val="32"/>
    </w:rPr>
  </w:style>
  <w:style w:type="character" w:styleId="CommentReference">
    <w:name w:val="annotation reference"/>
    <w:semiHidden/>
    <w:qFormat/>
    <w:rsid w:val="00AB4FF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InternetLink">
    <w:name w:val="Internet Link"/>
    <w:uiPriority w:val="99"/>
    <w:rsid w:val="00AB4FF0"/>
    <w:rPr>
      <w:color w:val="0000FF"/>
      <w:u w:val="single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CA53DD"/>
    <w:rPr>
      <w:vertAlign w:val="superscript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styleId="PlaceholderText">
    <w:name w:val="Placeholder Text"/>
    <w:uiPriority w:val="99"/>
    <w:semiHidden/>
    <w:qFormat/>
    <w:rsid w:val="005052C9"/>
    <w:rPr>
      <w:color w:val="808080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character" w:styleId="FollowedHyperlink">
    <w:name w:val="FollowedHyperlink"/>
    <w:semiHidden/>
    <w:qFormat/>
    <w:rsid w:val="00AB4FF0"/>
    <w:rPr>
      <w:color w:val="FF0000"/>
      <w:u w:val="single"/>
    </w:rPr>
  </w:style>
  <w:style w:type="character" w:styleId="FootnoteReference">
    <w:name w:val="footnote reference"/>
    <w:semiHidden/>
    <w:qFormat/>
    <w:rsid w:val="00AB4FF0"/>
    <w:rPr>
      <w:b/>
      <w:bCs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character" w:customStyle="1" w:styleId="ZGSM">
    <w:name w:val="ZGSM"/>
    <w:qFormat/>
    <w:rsid w:val="00AB4FF0"/>
  </w:style>
  <w:style w:type="character" w:customStyle="1" w:styleId="B1Char">
    <w:name w:val="B1 Char"/>
    <w:link w:val="B1"/>
    <w:qFormat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qFormat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IvDtabletextChar">
    <w:name w:val="IvD tabletext Char"/>
    <w:basedOn w:val="BodyTextChar"/>
    <w:link w:val="IvDtabletext"/>
    <w:qFormat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Times New Roman"/>
      <w:lang w:val="en-US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eastAsia="SimSun" w:cs="Times New Roman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Aria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JP DemiLight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rsid w:val="00AB4FF0"/>
  </w:style>
  <w:style w:type="paragraph" w:styleId="List">
    <w:name w:val="List"/>
    <w:basedOn w:val="Normal"/>
    <w:rsid w:val="00AB4FF0"/>
    <w:pPr>
      <w:ind w:left="568" w:hanging="284"/>
    </w:p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ascii="Times New Roman" w:hAnsi="Times New Roman" w:cs="FreeSans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paragraph" w:styleId="Header">
    <w:name w:val="header"/>
    <w:basedOn w:val="Normal"/>
    <w:link w:val="HeaderChar"/>
    <w:rsid w:val="00AB4FF0"/>
    <w:pPr>
      <w:widowControl w:val="0"/>
      <w:spacing w:after="0"/>
      <w:jc w:val="left"/>
    </w:pPr>
    <w:rPr>
      <w:rFonts w:cs="Arial"/>
      <w:b/>
      <w:bCs/>
      <w:sz w:val="18"/>
      <w:szCs w:val="18"/>
    </w:rPr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sz w:val="32"/>
    </w:rPr>
  </w:style>
  <w:style w:type="paragraph" w:styleId="CommentText">
    <w:name w:val="annotation text"/>
    <w:basedOn w:val="Normal"/>
    <w:link w:val="CommentTextChar"/>
    <w:semiHidden/>
    <w:qFormat/>
    <w:rsid w:val="00AB4FF0"/>
  </w:style>
  <w:style w:type="paragraph" w:customStyle="1" w:styleId="Reference">
    <w:name w:val="Reference"/>
    <w:basedOn w:val="Normal"/>
    <w:qFormat/>
    <w:rsid w:val="00AB4FF0"/>
  </w:style>
  <w:style w:type="paragraph" w:customStyle="1" w:styleId="Text">
    <w:name w:val="Text"/>
    <w:basedOn w:val="Caption"/>
    <w:qFormat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120" w:after="0"/>
      <w:ind w:left="2552"/>
      <w:jc w:val="left"/>
    </w:pPr>
  </w:style>
  <w:style w:type="paragraph" w:styleId="ListBullet3">
    <w:name w:val="List Bullet 3"/>
    <w:basedOn w:val="ListBullet2"/>
    <w:qFormat/>
    <w:rsid w:val="00AB4FF0"/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qFormat/>
    <w:rsid w:val="00AB4FF0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CA53DD"/>
    <w:pPr>
      <w:spacing w:after="0"/>
    </w:pPr>
  </w:style>
  <w:style w:type="paragraph" w:customStyle="1" w:styleId="IB1">
    <w:name w:val="IB1"/>
    <w:basedOn w:val="Normal"/>
    <w:semiHidden/>
    <w:qFormat/>
    <w:rsid w:val="00CA53DD"/>
    <w:pPr>
      <w:tabs>
        <w:tab w:val="left" w:pos="284"/>
      </w:tabs>
      <w:spacing w:after="180"/>
    </w:pPr>
  </w:style>
  <w:style w:type="paragraph" w:styleId="CommentSubject">
    <w:name w:val="annotation subject"/>
    <w:basedOn w:val="CommentText"/>
    <w:link w:val="CommentSubjectChar"/>
    <w:semiHidden/>
    <w:qFormat/>
    <w:rsid w:val="00AB4FF0"/>
    <w:rPr>
      <w:b/>
      <w:bCs/>
    </w:rPr>
  </w:style>
  <w:style w:type="paragraph" w:styleId="Revision">
    <w:name w:val="Revision"/>
    <w:uiPriority w:val="99"/>
    <w:semiHidden/>
    <w:qFormat/>
    <w:rsid w:val="009B5FBE"/>
    <w:pPr>
      <w:spacing w:line="240" w:lineRule="auto"/>
    </w:pPr>
  </w:style>
  <w:style w:type="paragraph" w:customStyle="1" w:styleId="Figure">
    <w:name w:val="Figure"/>
    <w:basedOn w:val="Normal"/>
    <w:next w:val="Caption"/>
    <w:qFormat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qFormat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Bullet3"/>
    <w:qFormat/>
    <w:rsid w:val="00AB4FF0"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qFormat/>
    <w:rsid w:val="00AB4FF0"/>
  </w:style>
  <w:style w:type="paragraph" w:customStyle="1" w:styleId="B3">
    <w:name w:val="B3"/>
    <w:basedOn w:val="ListBullet4"/>
    <w:qFormat/>
    <w:rsid w:val="00AB4FF0"/>
    <w:pPr>
      <w:spacing w:after="180"/>
      <w:jc w:val="left"/>
    </w:pPr>
    <w:rPr>
      <w:lang w:eastAsia="en-US"/>
    </w:rPr>
  </w:style>
  <w:style w:type="paragraph" w:styleId="ListBullet5">
    <w:name w:val="List Bullet 5"/>
    <w:basedOn w:val="ListBullet4"/>
    <w:qFormat/>
    <w:rsid w:val="00AB4FF0"/>
  </w:style>
  <w:style w:type="paragraph" w:customStyle="1" w:styleId="B4">
    <w:name w:val="B4"/>
    <w:basedOn w:val="ListBullet5"/>
    <w:qFormat/>
    <w:rsid w:val="00AB4FF0"/>
    <w:pPr>
      <w:spacing w:after="180"/>
      <w:jc w:val="left"/>
    </w:pPr>
    <w:rPr>
      <w:lang w:eastAsia="en-US"/>
    </w:rPr>
  </w:style>
  <w:style w:type="paragraph" w:styleId="ListNumber">
    <w:name w:val="List Number"/>
    <w:basedOn w:val="List"/>
    <w:qFormat/>
    <w:rsid w:val="00AB4FF0"/>
  </w:style>
  <w:style w:type="paragraph" w:customStyle="1" w:styleId="B5">
    <w:name w:val="B5"/>
    <w:basedOn w:val="ListNumber"/>
    <w:qFormat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AB4FF0"/>
    <w:pPr>
      <w:shd w:val="clear" w:color="auto" w:fill="000080"/>
    </w:pPr>
    <w:rPr>
      <w:rFonts w:ascii="Tahoma" w:hAnsi="Tahoma" w:cs="Tahoma"/>
    </w:rPr>
  </w:style>
  <w:style w:type="paragraph" w:customStyle="1" w:styleId="EditorsNote">
    <w:name w:val="Editor's Note"/>
    <w:basedOn w:val="Normal"/>
    <w:qFormat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qFormat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AB4FF0"/>
    <w:pPr>
      <w:spacing w:after="0"/>
    </w:pPr>
  </w:style>
  <w:style w:type="paragraph" w:styleId="FootnoteText">
    <w:name w:val="footnote text"/>
    <w:basedOn w:val="Normal"/>
    <w:link w:val="FootnoteTextChar"/>
    <w:semiHidden/>
    <w:qFormat/>
    <w:rsid w:val="00AB4FF0"/>
    <w:pPr>
      <w:keepLines/>
      <w:spacing w:after="0"/>
      <w:ind w:left="454" w:hanging="454"/>
    </w:pPr>
    <w:rPr>
      <w:sz w:val="16"/>
      <w:szCs w:val="16"/>
    </w:rPr>
  </w:style>
  <w:style w:type="paragraph" w:customStyle="1" w:styleId="FP">
    <w:name w:val="FP"/>
    <w:basedOn w:val="Normal"/>
    <w:qFormat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qFormat/>
    <w:rsid w:val="00AB4FF0"/>
    <w:pPr>
      <w:keepLines/>
      <w:spacing w:after="0"/>
    </w:pPr>
  </w:style>
  <w:style w:type="paragraph" w:styleId="Index2">
    <w:name w:val="index 2"/>
    <w:basedOn w:val="Index1"/>
    <w:semiHidden/>
    <w:qFormat/>
    <w:rsid w:val="00AB4FF0"/>
    <w:pPr>
      <w:ind w:left="284"/>
    </w:pPr>
  </w:style>
  <w:style w:type="paragraph" w:styleId="ListBullet">
    <w:name w:val="List Bullet"/>
    <w:basedOn w:val="BodyText"/>
    <w:qFormat/>
    <w:rsid w:val="00AB4FF0"/>
  </w:style>
  <w:style w:type="paragraph" w:styleId="ListBullet2">
    <w:name w:val="List Bullet 2"/>
    <w:basedOn w:val="ListBullet"/>
    <w:qFormat/>
    <w:rsid w:val="00AB4FF0"/>
  </w:style>
  <w:style w:type="paragraph" w:styleId="ListNumber2">
    <w:name w:val="List Number 2"/>
    <w:basedOn w:val="ListNumber"/>
    <w:qFormat/>
    <w:rsid w:val="00AB4FF0"/>
    <w:pPr>
      <w:ind w:left="851"/>
    </w:pPr>
  </w:style>
  <w:style w:type="paragraph" w:customStyle="1" w:styleId="Proposal">
    <w:name w:val="Proposal"/>
    <w:basedOn w:val="Normal"/>
    <w:qFormat/>
    <w:rsid w:val="00AB4FF0"/>
    <w:p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</w:style>
  <w:style w:type="paragraph" w:styleId="TableofFigures">
    <w:name w:val="table of figures"/>
    <w:basedOn w:val="Normal"/>
    <w:next w:val="Normal"/>
    <w:uiPriority w:val="99"/>
    <w:qFormat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qFormat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AB4FF0"/>
    <w:pPr>
      <w:jc w:val="center"/>
    </w:pPr>
  </w:style>
  <w:style w:type="paragraph" w:customStyle="1" w:styleId="TAH">
    <w:name w:val="TAH"/>
    <w:basedOn w:val="TAC"/>
    <w:link w:val="TAHChar"/>
    <w:qFormat/>
    <w:rsid w:val="00AB4FF0"/>
    <w:rPr>
      <w:b/>
    </w:rPr>
  </w:style>
  <w:style w:type="paragraph" w:customStyle="1" w:styleId="TAN">
    <w:name w:val="TAN"/>
    <w:basedOn w:val="TAL"/>
    <w:qFormat/>
    <w:rsid w:val="00AB4FF0"/>
    <w:pPr>
      <w:ind w:left="851" w:hanging="851"/>
    </w:pPr>
  </w:style>
  <w:style w:type="paragraph" w:customStyle="1" w:styleId="TAR">
    <w:name w:val="TAR"/>
    <w:basedOn w:val="TAL"/>
    <w:qFormat/>
    <w:rsid w:val="00AB4FF0"/>
    <w:pPr>
      <w:jc w:val="right"/>
    </w:pPr>
  </w:style>
  <w:style w:type="paragraph" w:customStyle="1" w:styleId="TH">
    <w:name w:val="TH"/>
    <w:basedOn w:val="Normal"/>
    <w:link w:val="THChar"/>
    <w:qFormat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qFormat/>
    <w:rsid w:val="00AB4FF0"/>
    <w:pPr>
      <w:spacing w:before="0" w:after="240"/>
    </w:pPr>
  </w:style>
  <w:style w:type="paragraph" w:styleId="TOC1">
    <w:name w:val="toc 1"/>
    <w:basedOn w:val="Index"/>
    <w:uiPriority w:val="39"/>
    <w:rsid w:val="00AB4FF0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rFonts w:ascii="Arial" w:hAnsi="Arial" w:cs="Times New Roman"/>
      <w:b/>
    </w:rPr>
  </w:style>
  <w:style w:type="paragraph" w:styleId="TOC2">
    <w:name w:val="toc 2"/>
    <w:basedOn w:val="TOC1"/>
    <w:semiHidden/>
    <w:rsid w:val="00AB4FF0"/>
    <w:pPr>
      <w:spacing w:before="0"/>
      <w:ind w:left="851" w:hanging="851"/>
    </w:p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qFormat/>
    <w:rsid w:val="00AB4FF0"/>
    <w:pPr>
      <w:numPr>
        <w:numId w:val="0"/>
      </w:numPr>
      <w:ind w:left="1134" w:hanging="1134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AB4FF0"/>
    <w:pPr>
      <w:widowControl w:val="0"/>
      <w:pBdr>
        <w:bottom w:val="single" w:sz="12" w:space="1" w:color="00000A"/>
      </w:pBdr>
      <w:spacing w:line="240" w:lineRule="auto"/>
      <w:jc w:val="right"/>
      <w:textAlignment w:val="baseline"/>
    </w:pPr>
    <w:rPr>
      <w:rFonts w:ascii="Arial" w:eastAsia="Times New Roman" w:hAnsi="Arial" w:cs="Times New Roman"/>
      <w:sz w:val="40"/>
      <w:szCs w:val="20"/>
    </w:rPr>
  </w:style>
  <w:style w:type="paragraph" w:customStyle="1" w:styleId="ZB">
    <w:name w:val="ZB"/>
    <w:qFormat/>
    <w:rsid w:val="00AB4FF0"/>
    <w:pPr>
      <w:widowControl w:val="0"/>
      <w:spacing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szCs w:val="20"/>
    </w:rPr>
  </w:style>
  <w:style w:type="paragraph" w:customStyle="1" w:styleId="ZD">
    <w:name w:val="ZD"/>
    <w:qFormat/>
    <w:rsid w:val="00AB4FF0"/>
    <w:pPr>
      <w:widowControl w:val="0"/>
      <w:spacing w:line="240" w:lineRule="auto"/>
      <w:textAlignment w:val="baseline"/>
    </w:pPr>
    <w:rPr>
      <w:rFonts w:ascii="Arial" w:eastAsia="Times New Roman" w:hAnsi="Arial" w:cs="Times New Roman"/>
      <w:sz w:val="32"/>
      <w:szCs w:val="20"/>
    </w:rPr>
  </w:style>
  <w:style w:type="paragraph" w:customStyle="1" w:styleId="ZG">
    <w:name w:val="ZG"/>
    <w:qFormat/>
    <w:rsid w:val="00AB4FF0"/>
    <w:pPr>
      <w:widowControl w:val="0"/>
      <w:spacing w:line="240" w:lineRule="auto"/>
      <w:jc w:val="right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H">
    <w:name w:val="ZH"/>
    <w:qFormat/>
    <w:rsid w:val="00AB4FF0"/>
    <w:pPr>
      <w:widowControl w:val="0"/>
      <w:spacing w:line="240" w:lineRule="auto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T">
    <w:name w:val="ZT"/>
    <w:qFormat/>
    <w:rsid w:val="00AB4FF0"/>
    <w:pPr>
      <w:widowControl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qFormat/>
    <w:rsid w:val="00AB4FF0"/>
    <w:rPr>
      <w:i w:val="0"/>
      <w:sz w:val="40"/>
    </w:rPr>
  </w:style>
  <w:style w:type="paragraph" w:customStyle="1" w:styleId="ZU">
    <w:name w:val="ZU"/>
    <w:qFormat/>
    <w:rsid w:val="00AB4FF0"/>
    <w:pPr>
      <w:widowControl w:val="0"/>
      <w:pBdr>
        <w:top w:val="single" w:sz="12" w:space="1" w:color="00000A"/>
      </w:pBdr>
      <w:spacing w:line="240" w:lineRule="auto"/>
      <w:jc w:val="right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ZV">
    <w:name w:val="ZV"/>
    <w:basedOn w:val="ZU"/>
    <w:qFormat/>
    <w:rsid w:val="00AB4FF0"/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spacing w:before="100" w:after="100"/>
      <w:jc w:val="left"/>
      <w:textAlignment w:val="auto"/>
    </w:pPr>
    <w:rPr>
      <w:spacing w:val="2"/>
    </w:rPr>
  </w:style>
  <w:style w:type="paragraph" w:customStyle="1" w:styleId="Normal1">
    <w:name w:val="Normal1"/>
    <w:qFormat/>
    <w:rsid w:val="00F00990"/>
    <w:pPr>
      <w:spacing w:after="200"/>
    </w:pPr>
    <w:rPr>
      <w:rFonts w:ascii="Times New Roman" w:eastAsia="Times New Roman" w:hAnsi="Times New Roman" w:cs="Times New Roman"/>
      <w:color w:val="000000"/>
      <w:szCs w:val="20"/>
    </w:rPr>
  </w:style>
  <w:style w:type="table" w:styleId="TableGrid">
    <w:name w:val="Table Grid"/>
    <w:basedOn w:val="TableNormal"/>
    <w:rsid w:val="00683F57"/>
    <w:pPr>
      <w:spacing w:line="240" w:lineRule="auto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EEEParagraph">
    <w:name w:val="IEEE Paragraph"/>
    <w:basedOn w:val="Normal"/>
    <w:link w:val="IEEEParagraphChar"/>
    <w:rsid w:val="00BA2868"/>
    <w:pPr>
      <w:adjustRightInd w:val="0"/>
      <w:snapToGrid w:val="0"/>
      <w:spacing w:after="0"/>
      <w:ind w:firstLine="216"/>
      <w:textAlignment w:val="auto"/>
    </w:pPr>
    <w:rPr>
      <w:rFonts w:eastAsia="SimSun" w:cs="Arial"/>
      <w:color w:val="0000FF"/>
      <w:kern w:val="2"/>
      <w:szCs w:val="24"/>
      <w:lang w:val="en-AU"/>
    </w:rPr>
  </w:style>
  <w:style w:type="character" w:customStyle="1" w:styleId="IEEEParagraphChar">
    <w:name w:val="IEEE Paragraph Char"/>
    <w:link w:val="IEEEParagraph"/>
    <w:rsid w:val="00BA2868"/>
    <w:rPr>
      <w:rFonts w:ascii="Arial" w:eastAsia="SimSun" w:hAnsi="Arial" w:cs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basedOn w:val="Normal"/>
    <w:rsid w:val="00225E89"/>
    <w:pPr>
      <w:numPr>
        <w:numId w:val="9"/>
      </w:numPr>
      <w:autoSpaceDE w:val="0"/>
      <w:autoSpaceDN w:val="0"/>
      <w:snapToGrid w:val="0"/>
      <w:spacing w:after="60"/>
      <w:jc w:val="left"/>
      <w:textAlignment w:val="auto"/>
    </w:pPr>
    <w:rPr>
      <w:rFonts w:ascii="Times New Roman" w:eastAsia="SimSun" w:hAnsi="Times New Roman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F35BC9"/>
    <w:pPr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7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2415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Closed loop Vs Semi-open loop</a:t>
            </a:r>
          </a:p>
        </c:rich>
      </c:tx>
      <c:layout>
        <c:manualLayout>
          <c:xMode val="edge"/>
          <c:yMode val="edge"/>
          <c:x val="3.9083333333333317E-2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7.5664260717410323E-2"/>
          <c:y val="0.16245370370370371"/>
          <c:w val="0.89655796150481193"/>
          <c:h val="0.6149843248760571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Sheet1!$D$8</c:f>
              <c:strCache>
                <c:ptCount val="1"/>
                <c:pt idx="0">
                  <c:v>2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Sheet1!$E$6:$H$7</c:f>
              <c:multiLvlStrCache>
                <c:ptCount val="4"/>
                <c:lvl>
                  <c:pt idx="0">
                    <c:v>Avg SE</c:v>
                  </c:pt>
                  <c:pt idx="1">
                    <c:v>Cell edge SE</c:v>
                  </c:pt>
                  <c:pt idx="2">
                    <c:v>Avg SE</c:v>
                  </c:pt>
                  <c:pt idx="3">
                    <c:v>Cell edge SE</c:v>
                  </c:pt>
                </c:lvl>
                <c:lvl>
                  <c:pt idx="0">
                    <c:v>Closed loop</c:v>
                  </c:pt>
                  <c:pt idx="2">
                    <c:v>Semi-open loop</c:v>
                  </c:pt>
                </c:lvl>
              </c:multiLvlStrCache>
            </c:multiLvlStrRef>
          </c:cat>
          <c:val>
            <c:numRef>
              <c:f>Sheet1!$E$8:$H$8</c:f>
              <c:numCache>
                <c:formatCode>General</c:formatCode>
                <c:ptCount val="4"/>
                <c:pt idx="0">
                  <c:v>1.5</c:v>
                </c:pt>
                <c:pt idx="1">
                  <c:v>0.3</c:v>
                </c:pt>
                <c:pt idx="2">
                  <c:v>1.38</c:v>
                </c:pt>
                <c:pt idx="3">
                  <c:v>0.25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C75-46F9-A23D-A72BC3E666B8}"/>
            </c:ext>
          </c:extLst>
        </c:ser>
        <c:ser>
          <c:idx val="1"/>
          <c:order val="1"/>
          <c:tx>
            <c:strRef>
              <c:f>Sheet1!$D$9</c:f>
              <c:strCache>
                <c:ptCount val="1"/>
                <c:pt idx="0">
                  <c:v>5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Sheet1!$E$6:$H$7</c:f>
              <c:multiLvlStrCache>
                <c:ptCount val="4"/>
                <c:lvl>
                  <c:pt idx="0">
                    <c:v>Avg SE</c:v>
                  </c:pt>
                  <c:pt idx="1">
                    <c:v>Cell edge SE</c:v>
                  </c:pt>
                  <c:pt idx="2">
                    <c:v>Avg SE</c:v>
                  </c:pt>
                  <c:pt idx="3">
                    <c:v>Cell edge SE</c:v>
                  </c:pt>
                </c:lvl>
                <c:lvl>
                  <c:pt idx="0">
                    <c:v>Closed loop</c:v>
                  </c:pt>
                  <c:pt idx="2">
                    <c:v>Semi-open loop</c:v>
                  </c:pt>
                </c:lvl>
              </c:multiLvlStrCache>
            </c:multiLvlStrRef>
          </c:cat>
          <c:val>
            <c:numRef>
              <c:f>Sheet1!$E$9:$H$9</c:f>
              <c:numCache>
                <c:formatCode>General</c:formatCode>
                <c:ptCount val="4"/>
                <c:pt idx="0">
                  <c:v>1.38</c:v>
                </c:pt>
                <c:pt idx="1">
                  <c:v>0.23400000000000001</c:v>
                </c:pt>
                <c:pt idx="2">
                  <c:v>1.38</c:v>
                </c:pt>
                <c:pt idx="3">
                  <c:v>0.249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C75-46F9-A23D-A72BC3E666B8}"/>
            </c:ext>
          </c:extLst>
        </c:ser>
        <c:ser>
          <c:idx val="2"/>
          <c:order val="2"/>
          <c:tx>
            <c:strRef>
              <c:f>Sheet1!$D$10</c:f>
              <c:strCache>
                <c:ptCount val="1"/>
                <c:pt idx="0">
                  <c:v>10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Sheet1!$E$6:$H$7</c:f>
              <c:multiLvlStrCache>
                <c:ptCount val="4"/>
                <c:lvl>
                  <c:pt idx="0">
                    <c:v>Avg SE</c:v>
                  </c:pt>
                  <c:pt idx="1">
                    <c:v>Cell edge SE</c:v>
                  </c:pt>
                  <c:pt idx="2">
                    <c:v>Avg SE</c:v>
                  </c:pt>
                  <c:pt idx="3">
                    <c:v>Cell edge SE</c:v>
                  </c:pt>
                </c:lvl>
                <c:lvl>
                  <c:pt idx="0">
                    <c:v>Closed loop</c:v>
                  </c:pt>
                  <c:pt idx="2">
                    <c:v>Semi-open loop</c:v>
                  </c:pt>
                </c:lvl>
              </c:multiLvlStrCache>
            </c:multiLvlStrRef>
          </c:cat>
          <c:val>
            <c:numRef>
              <c:f>Sheet1!$E$10:$H$10</c:f>
              <c:numCache>
                <c:formatCode>General</c:formatCode>
                <c:ptCount val="4"/>
                <c:pt idx="0">
                  <c:v>1.33</c:v>
                </c:pt>
                <c:pt idx="1">
                  <c:v>0.22700000000000001</c:v>
                </c:pt>
                <c:pt idx="2">
                  <c:v>1.37</c:v>
                </c:pt>
                <c:pt idx="3">
                  <c:v>0.246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C75-46F9-A23D-A72BC3E666B8}"/>
            </c:ext>
          </c:extLst>
        </c:ser>
        <c:ser>
          <c:idx val="3"/>
          <c:order val="3"/>
          <c:tx>
            <c:strRef>
              <c:f>Sheet1!$D$11</c:f>
              <c:strCache>
                <c:ptCount val="1"/>
                <c:pt idx="0">
                  <c:v>20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multiLvlStrRef>
              <c:f>Sheet1!$E$6:$H$7</c:f>
              <c:multiLvlStrCache>
                <c:ptCount val="4"/>
                <c:lvl>
                  <c:pt idx="0">
                    <c:v>Avg SE</c:v>
                  </c:pt>
                  <c:pt idx="1">
                    <c:v>Cell edge SE</c:v>
                  </c:pt>
                  <c:pt idx="2">
                    <c:v>Avg SE</c:v>
                  </c:pt>
                  <c:pt idx="3">
                    <c:v>Cell edge SE</c:v>
                  </c:pt>
                </c:lvl>
                <c:lvl>
                  <c:pt idx="0">
                    <c:v>Closed loop</c:v>
                  </c:pt>
                  <c:pt idx="2">
                    <c:v>Semi-open loop</c:v>
                  </c:pt>
                </c:lvl>
              </c:multiLvlStrCache>
            </c:multiLvlStrRef>
          </c:cat>
          <c:val>
            <c:numRef>
              <c:f>Sheet1!$E$11:$H$11</c:f>
              <c:numCache>
                <c:formatCode>General</c:formatCode>
                <c:ptCount val="4"/>
                <c:pt idx="0">
                  <c:v>1.29</c:v>
                </c:pt>
                <c:pt idx="1">
                  <c:v>0.2</c:v>
                </c:pt>
                <c:pt idx="2">
                  <c:v>1.36</c:v>
                </c:pt>
                <c:pt idx="3">
                  <c:v>0.253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C75-46F9-A23D-A72BC3E666B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5343072"/>
        <c:axId val="205342240"/>
      </c:barChart>
      <c:catAx>
        <c:axId val="2053430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5342240"/>
        <c:crosses val="autoZero"/>
        <c:auto val="1"/>
        <c:lblAlgn val="ctr"/>
        <c:lblOffset val="100"/>
        <c:noMultiLvlLbl val="0"/>
      </c:catAx>
      <c:valAx>
        <c:axId val="205342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053430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50"/>
              <a:t>PDF (</a:t>
            </a:r>
            <a:r>
              <a:rPr lang="en-GB" sz="1050" b="0" i="0" u="none" strike="noStrike" baseline="0">
                <a:effectLst/>
              </a:rPr>
              <a:t>∆𝐼</a:t>
            </a:r>
            <a:r>
              <a:rPr lang="en-GB" sz="1050" b="0" i="0" u="none" strike="noStrike" baseline="-25000">
                <a:effectLst/>
              </a:rPr>
              <a:t>1</a:t>
            </a:r>
            <a:r>
              <a:rPr lang="en-US" sz="1050"/>
              <a:t>)</a:t>
            </a:r>
          </a:p>
        </c:rich>
      </c:tx>
      <c:layout>
        <c:manualLayout>
          <c:xMode val="edge"/>
          <c:yMode val="edge"/>
          <c:x val="0.4451335584894075"/>
          <c:y val="5.623901581722319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Sheet2!$C$14</c:f>
              <c:strCache>
                <c:ptCount val="1"/>
                <c:pt idx="0">
                  <c:v>PDF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Sheet2!$D$13:$L$13</c:f>
              <c:numCache>
                <c:formatCode>General</c:formatCode>
                <c:ptCount val="9"/>
                <c:pt idx="0">
                  <c:v>-8</c:v>
                </c:pt>
                <c:pt idx="1">
                  <c:v>-6</c:v>
                </c:pt>
                <c:pt idx="2">
                  <c:v>-4</c:v>
                </c:pt>
                <c:pt idx="3">
                  <c:v>-2</c:v>
                </c:pt>
                <c:pt idx="4">
                  <c:v>0</c:v>
                </c:pt>
                <c:pt idx="5">
                  <c:v>2</c:v>
                </c:pt>
                <c:pt idx="6">
                  <c:v>4</c:v>
                </c:pt>
                <c:pt idx="7">
                  <c:v>6</c:v>
                </c:pt>
                <c:pt idx="8">
                  <c:v>8</c:v>
                </c:pt>
              </c:numCache>
            </c:numRef>
          </c:cat>
          <c:val>
            <c:numRef>
              <c:f>Sheet2!$D$14:$L$14</c:f>
              <c:numCache>
                <c:formatCode>General</c:formatCode>
                <c:ptCount val="9"/>
                <c:pt idx="0">
                  <c:v>4.3918128649999999E-2</c:v>
                </c:pt>
                <c:pt idx="1">
                  <c:v>6.2485380120000003E-2</c:v>
                </c:pt>
                <c:pt idx="2">
                  <c:v>0.1183333333</c:v>
                </c:pt>
                <c:pt idx="3">
                  <c:v>0.15359649119999999</c:v>
                </c:pt>
                <c:pt idx="4">
                  <c:v>0.23684210529999999</c:v>
                </c:pt>
                <c:pt idx="5">
                  <c:v>0.1486842105</c:v>
                </c:pt>
                <c:pt idx="6">
                  <c:v>0.1229824561</c:v>
                </c:pt>
                <c:pt idx="7">
                  <c:v>7.1345029239999996E-2</c:v>
                </c:pt>
                <c:pt idx="8">
                  <c:v>4.1812865499999997E-2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CD-4517-A1B8-9A1C140C6A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88056720"/>
        <c:axId val="288058384"/>
      </c:barChart>
      <c:catAx>
        <c:axId val="2880567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sz="1000" b="0" i="0" u="none" strike="noStrike" baseline="0">
                    <a:effectLst/>
                  </a:rPr>
                  <a:t>∆𝐼</a:t>
                </a:r>
                <a:r>
                  <a:rPr lang="en-US" sz="1000" b="0" i="0" u="none" strike="noStrike" baseline="-25000">
                    <a:effectLst/>
                  </a:rPr>
                  <a:t>1</a:t>
                </a:r>
                <a:endParaRPr lang="en-US" baseline="-25000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8058384"/>
        <c:crosses val="autoZero"/>
        <c:auto val="1"/>
        <c:lblAlgn val="ctr"/>
        <c:lblOffset val="100"/>
        <c:noMultiLvlLbl val="0"/>
      </c:catAx>
      <c:valAx>
        <c:axId val="288058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880567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218A5-6AA7-47E7-A3C8-E997D8B15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Ansuman Adhikary</dc:creator>
  <dc:description/>
  <cp:lastModifiedBy>Chandru</cp:lastModifiedBy>
  <cp:revision>2</cp:revision>
  <cp:lastPrinted>2015-07-20T19:34:00Z</cp:lastPrinted>
  <dcterms:created xsi:type="dcterms:W3CDTF">2016-08-13T05:28:00Z</dcterms:created>
  <dcterms:modified xsi:type="dcterms:W3CDTF">2016-08-13T05:28:00Z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Ericsson</vt:lpwstr>
  </property>
  <property fmtid="{D5CDD505-2E9C-101B-9397-08002B2CF9AE}" pid="4" name="Date">
    <vt:lpwstr>2015-08-04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