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5AFBB" w14:textId="7D1B0ECB"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B3671D">
        <w:rPr>
          <w:noProof w:val="0"/>
          <w:sz w:val="24"/>
        </w:rPr>
        <w:t>1 #86</w:t>
      </w:r>
      <w:r w:rsidRPr="0016316A">
        <w:rPr>
          <w:rFonts w:cs="Arial"/>
          <w:bCs/>
          <w:noProof w:val="0"/>
          <w:sz w:val="24"/>
        </w:rPr>
        <w:tab/>
      </w:r>
      <w:r w:rsidR="00B3671D">
        <w:rPr>
          <w:rFonts w:cs="Arial"/>
          <w:bCs/>
          <w:noProof w:val="0"/>
          <w:sz w:val="24"/>
        </w:rPr>
        <w:t>R1-16</w:t>
      </w:r>
      <w:r w:rsidR="00763A99">
        <w:rPr>
          <w:rFonts w:cs="Arial"/>
          <w:bCs/>
          <w:noProof w:val="0"/>
          <w:sz w:val="24"/>
        </w:rPr>
        <w:t>7778</w:t>
      </w:r>
    </w:p>
    <w:p w14:paraId="7FE3607D" w14:textId="3432094C" w:rsidR="00A45FE2" w:rsidRPr="00461210" w:rsidRDefault="00B3671D" w:rsidP="00A45FE2">
      <w:pPr>
        <w:pStyle w:val="Header"/>
        <w:tabs>
          <w:tab w:val="right" w:pos="9639"/>
        </w:tabs>
        <w:rPr>
          <w:bCs/>
          <w:noProof w:val="0"/>
          <w:sz w:val="24"/>
        </w:rPr>
      </w:pPr>
      <w:r w:rsidRPr="00B3671D">
        <w:rPr>
          <w:noProof w:val="0"/>
          <w:sz w:val="24"/>
        </w:rPr>
        <w:t xml:space="preserve">Gothenburg, Sweden, </w:t>
      </w:r>
      <w:r>
        <w:rPr>
          <w:noProof w:val="0"/>
          <w:sz w:val="24"/>
        </w:rPr>
        <w:t xml:space="preserve">August </w:t>
      </w:r>
      <w:r w:rsidRPr="00B3671D">
        <w:rPr>
          <w:noProof w:val="0"/>
          <w:sz w:val="24"/>
        </w:rPr>
        <w:t xml:space="preserve">22 </w:t>
      </w:r>
      <w:r>
        <w:rPr>
          <w:noProof w:val="0"/>
          <w:sz w:val="24"/>
        </w:rPr>
        <w:t>–</w:t>
      </w:r>
      <w:r w:rsidRPr="00B3671D">
        <w:rPr>
          <w:noProof w:val="0"/>
          <w:sz w:val="24"/>
        </w:rPr>
        <w:t xml:space="preserve"> 26</w:t>
      </w:r>
      <w:r>
        <w:rPr>
          <w:noProof w:val="0"/>
          <w:sz w:val="24"/>
        </w:rPr>
        <w:t xml:space="preserve">, </w:t>
      </w:r>
      <w:r w:rsidRPr="00B3671D">
        <w:rPr>
          <w:noProof w:val="0"/>
          <w:sz w:val="24"/>
        </w:rPr>
        <w:t>2016 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1E3E848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63A99">
        <w:rPr>
          <w:rFonts w:cs="Arial"/>
          <w:b/>
          <w:bCs/>
          <w:sz w:val="24"/>
        </w:rPr>
        <w:t>8.1.2.1</w:t>
      </w:r>
    </w:p>
    <w:p w14:paraId="7C0723AD" w14:textId="63617C96"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A45FE2" w:rsidRPr="001E5981">
        <w:rPr>
          <w:rFonts w:ascii="Arial" w:hAnsi="Arial" w:cs="Arial"/>
          <w:b/>
          <w:bCs/>
          <w:sz w:val="24"/>
          <w:lang w:val="en-US"/>
        </w:rPr>
        <w:t>, Alcatel-Lucent Shanghai Bell</w:t>
      </w:r>
    </w:p>
    <w:p w14:paraId="38F0AED7" w14:textId="39E3613A"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883564">
        <w:rPr>
          <w:rFonts w:ascii="Arial" w:hAnsi="Arial" w:cs="Arial"/>
          <w:b/>
          <w:bCs/>
          <w:sz w:val="24"/>
        </w:rPr>
        <w:t xml:space="preserve">Spectrum </w:t>
      </w:r>
      <w:r w:rsidR="008D7B95">
        <w:rPr>
          <w:rFonts w:ascii="Arial" w:hAnsi="Arial" w:cs="Arial"/>
          <w:b/>
          <w:bCs/>
          <w:sz w:val="24"/>
        </w:rPr>
        <w:t>emission considerations</w:t>
      </w:r>
      <w:r w:rsidR="00883564">
        <w:rPr>
          <w:rFonts w:ascii="Arial" w:hAnsi="Arial" w:cs="Arial"/>
          <w:b/>
          <w:bCs/>
          <w:sz w:val="24"/>
        </w:rPr>
        <w:t xml:space="preserve"> for 5G NR waveform proposals</w:t>
      </w:r>
    </w:p>
    <w:p w14:paraId="6234643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t>Approval</w:t>
      </w:r>
    </w:p>
    <w:p w14:paraId="0EF51EF2" w14:textId="77777777" w:rsidR="00CD4C7B" w:rsidRPr="006E13D1" w:rsidRDefault="00CD4C7B" w:rsidP="00CD4C7B">
      <w:pPr>
        <w:pStyle w:val="Heading1"/>
      </w:pPr>
      <w:r w:rsidRPr="006E13D1">
        <w:t>1</w:t>
      </w:r>
      <w:r w:rsidRPr="006E13D1">
        <w:tab/>
      </w:r>
      <w:r w:rsidR="0056573F">
        <w:t>Introduction</w:t>
      </w:r>
    </w:p>
    <w:p w14:paraId="50E9424D" w14:textId="684F4B29" w:rsidR="00171463" w:rsidRDefault="0087443D" w:rsidP="00171463">
      <w:pPr>
        <w:spacing w:after="0"/>
        <w:rPr>
          <w:bCs/>
        </w:rPr>
      </w:pPr>
      <w:r>
        <w:rPr>
          <w:bCs/>
        </w:rPr>
        <w:t>In this contribution we discuss assumptions that needs to be considered in the 5G NR waveform evaluations and comparisons. We especially focus on discussing how to ensure that accurate baseline is used in the NR waveform evaluations.</w:t>
      </w:r>
      <w:r w:rsidR="00726ECF">
        <w:rPr>
          <w:bCs/>
        </w:rPr>
        <w:t xml:space="preserve"> We also discuss what kind of new requirements </w:t>
      </w:r>
      <w:r w:rsidR="00BB2E05">
        <w:rPr>
          <w:bCs/>
        </w:rPr>
        <w:t>c</w:t>
      </w:r>
      <w:r w:rsidR="00726ECF">
        <w:rPr>
          <w:bCs/>
        </w:rPr>
        <w:t xml:space="preserve">ould </w:t>
      </w:r>
      <w:r w:rsidR="00BB2E05">
        <w:rPr>
          <w:bCs/>
        </w:rPr>
        <w:t xml:space="preserve">be relevant </w:t>
      </w:r>
      <w:r w:rsidR="00726ECF">
        <w:rPr>
          <w:bCs/>
        </w:rPr>
        <w:t xml:space="preserve">to be defined for 5G NR in order to ensure efficient service multiplexing and different numerologies within one 5G NR carrier bandwidth. </w:t>
      </w:r>
    </w:p>
    <w:p w14:paraId="1FA1617C" w14:textId="77777777" w:rsidR="00CD4C7B" w:rsidRPr="006E13D1" w:rsidRDefault="00C608C8" w:rsidP="00CD4C7B">
      <w:pPr>
        <w:pStyle w:val="Heading1"/>
      </w:pPr>
      <w:r>
        <w:t>2</w:t>
      </w:r>
      <w:r>
        <w:tab/>
        <w:t>Discussion</w:t>
      </w:r>
    </w:p>
    <w:p w14:paraId="6537B48B" w14:textId="482265D2" w:rsidR="006A28E7" w:rsidRDefault="006A28E7" w:rsidP="006A28E7">
      <w:pPr>
        <w:pStyle w:val="Heading2"/>
      </w:pPr>
      <w:r>
        <w:t>2.1</w:t>
      </w:r>
      <w:r>
        <w:tab/>
        <w:t>Out of band emission requirements</w:t>
      </w:r>
    </w:p>
    <w:p w14:paraId="3720BFC1" w14:textId="3BD2A289" w:rsidR="005C2293" w:rsidRDefault="00F9789D" w:rsidP="0007527A">
      <w:pPr>
        <w:spacing w:after="0"/>
        <w:rPr>
          <w:sz w:val="18"/>
        </w:rPr>
      </w:pPr>
      <w:r>
        <w:rPr>
          <w:sz w:val="18"/>
        </w:rPr>
        <w:t xml:space="preserve">The RAN4 LTE specifications TS36.101 (UE) and TS36.104 (BS) define requirements for </w:t>
      </w:r>
      <w:r w:rsidR="0007527A" w:rsidRPr="0007527A">
        <w:rPr>
          <w:sz w:val="18"/>
        </w:rPr>
        <w:t xml:space="preserve">Out Of Band (OOB) emissions </w:t>
      </w:r>
      <w:r w:rsidR="0007527A">
        <w:rPr>
          <w:sz w:val="18"/>
        </w:rPr>
        <w:t>as well as</w:t>
      </w:r>
      <w:r w:rsidR="0007527A" w:rsidRPr="0007527A">
        <w:rPr>
          <w:sz w:val="18"/>
        </w:rPr>
        <w:t xml:space="preserve"> the far out spurious emission domain.</w:t>
      </w:r>
      <w:r w:rsidR="0007527A">
        <w:rPr>
          <w:sz w:val="18"/>
        </w:rPr>
        <w:t xml:space="preserve"> The existing LTE DL and UL waveforms with suitable filters like channel filters</w:t>
      </w:r>
      <w:r w:rsidR="00EA399D">
        <w:rPr>
          <w:sz w:val="18"/>
        </w:rPr>
        <w:t xml:space="preserve"> in practical implementations</w:t>
      </w:r>
      <w:r w:rsidR="0007527A">
        <w:rPr>
          <w:sz w:val="18"/>
        </w:rPr>
        <w:t xml:space="preserve"> </w:t>
      </w:r>
      <w:r w:rsidR="00EA399D">
        <w:rPr>
          <w:sz w:val="18"/>
        </w:rPr>
        <w:t xml:space="preserve">have to </w:t>
      </w:r>
      <w:r w:rsidR="0007527A">
        <w:rPr>
          <w:sz w:val="18"/>
        </w:rPr>
        <w:t>meet</w:t>
      </w:r>
      <w:r w:rsidR="00EA399D">
        <w:rPr>
          <w:sz w:val="18"/>
        </w:rPr>
        <w:t xml:space="preserve"> or exceed the current LTE emission requirements. Therefore, when performing 5G NR waveform evaluations, it is important to use the current LTE assumptions as baseline. For instance, when evaluating CP-OFDM waveform for DL we could directly use the current practical LTE </w:t>
      </w:r>
      <w:r w:rsidR="00476542">
        <w:rPr>
          <w:sz w:val="18"/>
        </w:rPr>
        <w:t xml:space="preserve">assumptions for </w:t>
      </w:r>
      <w:r w:rsidR="0043021C">
        <w:rPr>
          <w:sz w:val="18"/>
        </w:rPr>
        <w:t xml:space="preserve">fulfilling the LTE </w:t>
      </w:r>
      <w:r w:rsidR="0043021C" w:rsidRPr="00763A99">
        <w:rPr>
          <w:sz w:val="18"/>
        </w:rPr>
        <w:t>masks</w:t>
      </w:r>
      <w:r w:rsidR="005C2293" w:rsidRPr="00763A99">
        <w:rPr>
          <w:sz w:val="18"/>
        </w:rPr>
        <w:t xml:space="preserve">. </w:t>
      </w:r>
      <w:r w:rsidR="0043021C" w:rsidRPr="00763A99">
        <w:rPr>
          <w:sz w:val="18"/>
        </w:rPr>
        <w:t xml:space="preserve">In </w:t>
      </w:r>
      <w:r w:rsidR="0043021C" w:rsidRPr="00763A99">
        <w:rPr>
          <w:sz w:val="18"/>
        </w:rPr>
        <w:fldChar w:fldCharType="begin"/>
      </w:r>
      <w:r w:rsidR="0043021C" w:rsidRPr="008268CE">
        <w:rPr>
          <w:sz w:val="18"/>
        </w:rPr>
        <w:instrText xml:space="preserve"> REF _Ref455751067 </w:instrText>
      </w:r>
      <w:r w:rsidR="00763A99">
        <w:rPr>
          <w:sz w:val="18"/>
        </w:rPr>
        <w:instrText xml:space="preserve"> \* MERGEFORMAT </w:instrText>
      </w:r>
      <w:r w:rsidR="0043021C" w:rsidRPr="00763A99">
        <w:rPr>
          <w:sz w:val="18"/>
        </w:rPr>
        <w:fldChar w:fldCharType="separate"/>
      </w:r>
      <w:r w:rsidR="0043021C" w:rsidRPr="00763A99">
        <w:t xml:space="preserve">Figure </w:t>
      </w:r>
      <w:r w:rsidR="0043021C" w:rsidRPr="00763A99">
        <w:rPr>
          <w:noProof/>
        </w:rPr>
        <w:t>1</w:t>
      </w:r>
      <w:r w:rsidR="0043021C" w:rsidRPr="00763A99">
        <w:rPr>
          <w:sz w:val="18"/>
        </w:rPr>
        <w:fldChar w:fldCharType="end"/>
      </w:r>
      <w:r w:rsidR="0043021C" w:rsidRPr="00763A99">
        <w:rPr>
          <w:sz w:val="18"/>
        </w:rPr>
        <w:t xml:space="preserve"> we show an example of DL CP-OFDM spectrum results with and without channel filtering. The Rapp PA model according to the RAN1 agreements </w:t>
      </w:r>
      <w:r w:rsidR="00D70CC2" w:rsidRPr="008268CE">
        <w:rPr>
          <w:sz w:val="18"/>
        </w:rPr>
        <w:t>[</w:t>
      </w:r>
      <w:r w:rsidR="009C7434" w:rsidRPr="008268CE">
        <w:rPr>
          <w:sz w:val="18"/>
        </w:rPr>
        <w:t>3</w:t>
      </w:r>
      <w:r w:rsidR="00D70CC2" w:rsidRPr="008268CE">
        <w:rPr>
          <w:sz w:val="18"/>
        </w:rPr>
        <w:t>]</w:t>
      </w:r>
      <w:r w:rsidR="00D70CC2" w:rsidRPr="00763A99">
        <w:rPr>
          <w:sz w:val="18"/>
        </w:rPr>
        <w:t xml:space="preserve"> </w:t>
      </w:r>
      <w:r w:rsidR="0043021C" w:rsidRPr="00763A99">
        <w:rPr>
          <w:sz w:val="18"/>
        </w:rPr>
        <w:t>is</w:t>
      </w:r>
      <w:r w:rsidR="0043021C">
        <w:rPr>
          <w:sz w:val="18"/>
        </w:rPr>
        <w:t xml:space="preserve"> also used in these simulations. From the</w:t>
      </w:r>
      <w:r w:rsidR="00D70CC2">
        <w:rPr>
          <w:sz w:val="18"/>
        </w:rPr>
        <w:t>se</w:t>
      </w:r>
      <w:r w:rsidR="0043021C">
        <w:rPr>
          <w:sz w:val="18"/>
        </w:rPr>
        <w:t xml:space="preserve"> results we can see that DL CP-OFDM, which corresponds to LTE DL transmission would not fulfil the LTE mask without channel filtering. Thus, it is important for accurate baseline that </w:t>
      </w:r>
      <w:r w:rsidR="005C2293">
        <w:rPr>
          <w:sz w:val="18"/>
        </w:rPr>
        <w:t xml:space="preserve">channel filtering </w:t>
      </w:r>
      <w:r w:rsidR="00D70CC2">
        <w:rPr>
          <w:sz w:val="18"/>
        </w:rPr>
        <w:t xml:space="preserve">is </w:t>
      </w:r>
      <w:r w:rsidR="0043021C">
        <w:rPr>
          <w:sz w:val="18"/>
        </w:rPr>
        <w:t xml:space="preserve">also used </w:t>
      </w:r>
      <w:r w:rsidR="005C2293">
        <w:rPr>
          <w:sz w:val="18"/>
        </w:rPr>
        <w:t>for</w:t>
      </w:r>
      <w:r w:rsidR="00EA399D">
        <w:rPr>
          <w:sz w:val="18"/>
        </w:rPr>
        <w:t xml:space="preserve"> CP-OFDM when comparing with waveforms like WOLA, f-</w:t>
      </w:r>
      <w:r w:rsidR="005C2293">
        <w:rPr>
          <w:sz w:val="18"/>
        </w:rPr>
        <w:t xml:space="preserve">OFDM and UFMC, which already have additional filtering included. </w:t>
      </w:r>
    </w:p>
    <w:p w14:paraId="0E069BA3" w14:textId="77777777" w:rsidR="00B37D83" w:rsidRDefault="00B37D83" w:rsidP="0007527A">
      <w:pPr>
        <w:spacing w:after="0"/>
        <w:rPr>
          <w:sz w:val="18"/>
        </w:rPr>
      </w:pPr>
    </w:p>
    <w:p w14:paraId="25D7B2C1" w14:textId="1CEF2EC1" w:rsidR="00E6140C" w:rsidRDefault="0043021C" w:rsidP="00D70CC2">
      <w:pPr>
        <w:spacing w:after="0"/>
        <w:jc w:val="center"/>
        <w:rPr>
          <w:sz w:val="18"/>
        </w:rPr>
      </w:pPr>
      <w:r>
        <w:rPr>
          <w:noProof/>
          <w:color w:val="1F497D"/>
          <w:lang w:val="en-US"/>
        </w:rPr>
        <w:drawing>
          <wp:inline distT="0" distB="0" distL="0" distR="0" wp14:anchorId="10A4ECE6" wp14:editId="572C5660">
            <wp:extent cx="3164429" cy="2376152"/>
            <wp:effectExtent l="0" t="0" r="0" b="5715"/>
            <wp:docPr id="1" name="Picture 1" descr="cid:image002.png@01D1D918.FEFE5B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1D918.FEFE5BA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178267" cy="2386543"/>
                    </a:xfrm>
                    <a:prstGeom prst="rect">
                      <a:avLst/>
                    </a:prstGeom>
                    <a:noFill/>
                    <a:ln>
                      <a:noFill/>
                    </a:ln>
                  </pic:spPr>
                </pic:pic>
              </a:graphicData>
            </a:graphic>
          </wp:inline>
        </w:drawing>
      </w:r>
    </w:p>
    <w:p w14:paraId="5AFA7AB6" w14:textId="57F8BBBC" w:rsidR="0043021C" w:rsidRPr="008268CE" w:rsidRDefault="0043021C" w:rsidP="00D70CC2">
      <w:pPr>
        <w:pStyle w:val="Caption"/>
        <w:jc w:val="center"/>
        <w:rPr>
          <w:color w:val="auto"/>
        </w:rPr>
      </w:pPr>
      <w:bookmarkStart w:id="1" w:name="_Ref455751067"/>
      <w:r w:rsidRPr="008268CE">
        <w:rPr>
          <w:color w:val="auto"/>
        </w:rPr>
        <w:t xml:space="preserve">Figure </w:t>
      </w:r>
      <w:r w:rsidR="00886E81" w:rsidRPr="008268CE">
        <w:rPr>
          <w:color w:val="auto"/>
        </w:rPr>
        <w:fldChar w:fldCharType="begin"/>
      </w:r>
      <w:r w:rsidR="00886E81" w:rsidRPr="008268CE">
        <w:rPr>
          <w:color w:val="auto"/>
        </w:rPr>
        <w:instrText xml:space="preserve"> SEQ Figure \* ARABIC </w:instrText>
      </w:r>
      <w:r w:rsidR="00886E81" w:rsidRPr="008268CE">
        <w:rPr>
          <w:color w:val="auto"/>
        </w:rPr>
        <w:fldChar w:fldCharType="separate"/>
      </w:r>
      <w:r w:rsidRPr="008268CE">
        <w:rPr>
          <w:noProof/>
          <w:color w:val="auto"/>
        </w:rPr>
        <w:t>1</w:t>
      </w:r>
      <w:r w:rsidR="00886E81" w:rsidRPr="008268CE">
        <w:rPr>
          <w:noProof/>
          <w:color w:val="auto"/>
        </w:rPr>
        <w:fldChar w:fldCharType="end"/>
      </w:r>
      <w:bookmarkEnd w:id="1"/>
      <w:r w:rsidRPr="008268CE">
        <w:rPr>
          <w:color w:val="auto"/>
        </w:rPr>
        <w:t>: DL CP-OFDM with Rapp PA model and with and without channel filtering</w:t>
      </w:r>
    </w:p>
    <w:p w14:paraId="3235D02D" w14:textId="77777777" w:rsidR="0043021C" w:rsidRDefault="0043021C" w:rsidP="0007527A">
      <w:pPr>
        <w:spacing w:after="0"/>
        <w:rPr>
          <w:sz w:val="18"/>
        </w:rPr>
      </w:pPr>
    </w:p>
    <w:p w14:paraId="5EF15221" w14:textId="61C1A395" w:rsidR="00E6140C" w:rsidRPr="00D70CC2" w:rsidRDefault="00E6140C" w:rsidP="0007527A">
      <w:pPr>
        <w:spacing w:after="0"/>
        <w:rPr>
          <w:b/>
          <w:sz w:val="18"/>
        </w:rPr>
      </w:pPr>
      <w:r w:rsidRPr="00D70CC2">
        <w:rPr>
          <w:b/>
          <w:sz w:val="18"/>
        </w:rPr>
        <w:t>Proposal 1:</w:t>
      </w:r>
      <w:r w:rsidR="008840FF" w:rsidRPr="00D70CC2">
        <w:rPr>
          <w:b/>
          <w:sz w:val="18"/>
        </w:rPr>
        <w:t xml:space="preserve"> Use channel filtering for CP-OFDM waveform to fulling the existing LTE masks and having accurate baseline for NR waveform evaluations</w:t>
      </w:r>
      <w:r w:rsidR="0030003D" w:rsidRPr="00D70CC2">
        <w:rPr>
          <w:b/>
          <w:sz w:val="18"/>
        </w:rPr>
        <w:t xml:space="preserve"> </w:t>
      </w:r>
    </w:p>
    <w:p w14:paraId="227A7425" w14:textId="77777777" w:rsidR="005C2293" w:rsidRDefault="005C2293" w:rsidP="0007527A">
      <w:pPr>
        <w:spacing w:after="0"/>
        <w:rPr>
          <w:sz w:val="18"/>
        </w:rPr>
      </w:pPr>
    </w:p>
    <w:p w14:paraId="5B76C7BF" w14:textId="77777777" w:rsidR="00947DEC" w:rsidRDefault="00947DEC" w:rsidP="0007527A">
      <w:pPr>
        <w:spacing w:after="0"/>
        <w:rPr>
          <w:sz w:val="18"/>
        </w:rPr>
      </w:pPr>
    </w:p>
    <w:p w14:paraId="6BA7AA4F" w14:textId="3D913A0F" w:rsidR="00D70CC2" w:rsidRDefault="00886976" w:rsidP="0007527A">
      <w:pPr>
        <w:spacing w:after="0"/>
        <w:rPr>
          <w:bCs/>
        </w:rPr>
      </w:pPr>
      <w:r>
        <w:rPr>
          <w:sz w:val="18"/>
        </w:rPr>
        <w:t>In the RAN1 discussions i</w:t>
      </w:r>
      <w:r w:rsidR="005C2293">
        <w:rPr>
          <w:sz w:val="18"/>
        </w:rPr>
        <w:t xml:space="preserve">t </w:t>
      </w:r>
      <w:r w:rsidR="00D70CC2">
        <w:rPr>
          <w:sz w:val="18"/>
        </w:rPr>
        <w:t>was</w:t>
      </w:r>
      <w:r>
        <w:rPr>
          <w:sz w:val="18"/>
        </w:rPr>
        <w:t xml:space="preserve"> proposed</w:t>
      </w:r>
      <w:r w:rsidR="005C2293">
        <w:rPr>
          <w:sz w:val="18"/>
        </w:rPr>
        <w:t xml:space="preserve"> that </w:t>
      </w:r>
      <w:r w:rsidR="00FB66B2">
        <w:rPr>
          <w:sz w:val="18"/>
        </w:rPr>
        <w:t xml:space="preserve">additional linearization </w:t>
      </w:r>
      <w:r w:rsidR="00DF739E">
        <w:rPr>
          <w:sz w:val="18"/>
        </w:rPr>
        <w:t xml:space="preserve">methods such as DPD </w:t>
      </w:r>
      <w:r w:rsidR="00773A5C">
        <w:rPr>
          <w:sz w:val="18"/>
        </w:rPr>
        <w:t>(</w:t>
      </w:r>
      <w:r w:rsidR="00773A5C" w:rsidRPr="00773A5C">
        <w:rPr>
          <w:sz w:val="18"/>
        </w:rPr>
        <w:t>digital predistortion</w:t>
      </w:r>
      <w:r w:rsidR="00773A5C">
        <w:rPr>
          <w:sz w:val="18"/>
        </w:rPr>
        <w:t xml:space="preserve">) </w:t>
      </w:r>
      <w:r w:rsidR="00DF739E">
        <w:rPr>
          <w:sz w:val="18"/>
        </w:rPr>
        <w:t xml:space="preserve">and CFR </w:t>
      </w:r>
      <w:r w:rsidR="00773A5C">
        <w:rPr>
          <w:sz w:val="18"/>
        </w:rPr>
        <w:t>(</w:t>
      </w:r>
      <w:r w:rsidR="00773A5C" w:rsidRPr="00773A5C">
        <w:rPr>
          <w:sz w:val="18"/>
        </w:rPr>
        <w:t>crest factor reduction</w:t>
      </w:r>
      <w:r w:rsidR="00773A5C">
        <w:rPr>
          <w:sz w:val="18"/>
        </w:rPr>
        <w:t xml:space="preserve">) </w:t>
      </w:r>
      <w:r w:rsidR="00D70CC2">
        <w:rPr>
          <w:sz w:val="18"/>
        </w:rPr>
        <w:t>would</w:t>
      </w:r>
      <w:r w:rsidR="00DF739E">
        <w:rPr>
          <w:sz w:val="18"/>
        </w:rPr>
        <w:t xml:space="preserve"> be used</w:t>
      </w:r>
      <w:r w:rsidR="00D70CC2">
        <w:rPr>
          <w:sz w:val="18"/>
        </w:rPr>
        <w:t xml:space="preserve"> in addition to PA model</w:t>
      </w:r>
      <w:r w:rsidR="00DF739E">
        <w:rPr>
          <w:sz w:val="18"/>
        </w:rPr>
        <w:t xml:space="preserve"> when evaluating different </w:t>
      </w:r>
      <w:r>
        <w:rPr>
          <w:sz w:val="18"/>
        </w:rPr>
        <w:t xml:space="preserve">downlink </w:t>
      </w:r>
      <w:r w:rsidR="00DF739E">
        <w:rPr>
          <w:sz w:val="18"/>
        </w:rPr>
        <w:t xml:space="preserve">5G NR waveforms proposals. </w:t>
      </w:r>
      <w:r>
        <w:rPr>
          <w:sz w:val="18"/>
        </w:rPr>
        <w:t>Such linearization methods can especially be used in practical base station implementations e.g. to balance between PA efficiency, cost, complexity, and out of band performance. However, it is worth noting that such methods are alread</w:t>
      </w:r>
      <w:r w:rsidR="00073190">
        <w:rPr>
          <w:sz w:val="18"/>
        </w:rPr>
        <w:t xml:space="preserve">y used e.g. in LTE BS implementation </w:t>
      </w:r>
      <w:r w:rsidR="004813D0">
        <w:rPr>
          <w:sz w:val="18"/>
        </w:rPr>
        <w:t xml:space="preserve">and therefore if used </w:t>
      </w:r>
      <w:r w:rsidR="00073190">
        <w:rPr>
          <w:sz w:val="18"/>
        </w:rPr>
        <w:t xml:space="preserve">in the waveform performance comparisons, these methods should be used both for the </w:t>
      </w:r>
      <w:r w:rsidR="00073190">
        <w:rPr>
          <w:sz w:val="18"/>
        </w:rPr>
        <w:lastRenderedPageBreak/>
        <w:t xml:space="preserve">“baseline” CP-OFDM as well as other waveform proposals like WOLA, f-OFDM and UFMC for fair comparisons. </w:t>
      </w:r>
      <w:r w:rsidR="00D70CC2">
        <w:rPr>
          <w:sz w:val="18"/>
        </w:rPr>
        <w:t xml:space="preserve">As part of the PA model discussions it was agreed that the </w:t>
      </w:r>
      <w:r w:rsidR="00D70CC2" w:rsidRPr="00D92FCB">
        <w:rPr>
          <w:sz w:val="18"/>
        </w:rPr>
        <w:t>modified Rapp PA model with suitabl</w:t>
      </w:r>
      <w:r w:rsidR="00D70CC2">
        <w:rPr>
          <w:sz w:val="18"/>
        </w:rPr>
        <w:t>e</w:t>
      </w:r>
      <w:r w:rsidR="00D70CC2" w:rsidRPr="00D92FCB">
        <w:rPr>
          <w:sz w:val="18"/>
        </w:rPr>
        <w:t xml:space="preserve"> parameters would </w:t>
      </w:r>
      <w:r w:rsidR="00D70CC2">
        <w:rPr>
          <w:sz w:val="18"/>
        </w:rPr>
        <w:t>represent the case with these additional linearization methods</w:t>
      </w:r>
      <w:r w:rsidR="00D70CC2">
        <w:rPr>
          <w:bCs/>
        </w:rPr>
        <w:t>.</w:t>
      </w:r>
    </w:p>
    <w:p w14:paraId="5B7BB191" w14:textId="77777777" w:rsidR="00D70CC2" w:rsidRDefault="00D70CC2" w:rsidP="0007527A">
      <w:pPr>
        <w:spacing w:after="0"/>
        <w:rPr>
          <w:sz w:val="18"/>
        </w:rPr>
      </w:pPr>
    </w:p>
    <w:p w14:paraId="03B818FA" w14:textId="0BC93146" w:rsidR="0007527A" w:rsidRDefault="00F419F4" w:rsidP="0007527A">
      <w:pPr>
        <w:spacing w:after="0"/>
        <w:rPr>
          <w:sz w:val="18"/>
        </w:rPr>
      </w:pPr>
      <w:r>
        <w:rPr>
          <w:sz w:val="18"/>
        </w:rPr>
        <w:t xml:space="preserve">The following </w:t>
      </w:r>
      <w:r w:rsidR="00BB2E05">
        <w:rPr>
          <w:sz w:val="18"/>
        </w:rPr>
        <w:t>Figure 2</w:t>
      </w:r>
      <w:r>
        <w:rPr>
          <w:sz w:val="18"/>
        </w:rPr>
        <w:t>shows two LTE DL spectrum plots including practical PA from the measurements with and without linearization methods. The</w:t>
      </w:r>
      <w:r w:rsidR="005F5C79">
        <w:rPr>
          <w:sz w:val="18"/>
        </w:rPr>
        <w:t xml:space="preserve"> results indeed show that methods like DPD and CFR improve the performance but such performance improvements are equally valid for CP-OFDM and waveforms </w:t>
      </w:r>
      <w:r w:rsidR="001D662B">
        <w:rPr>
          <w:sz w:val="18"/>
        </w:rPr>
        <w:t>like WOLA, f-OFDM and UFMC. T</w:t>
      </w:r>
      <w:r w:rsidR="005F5C79">
        <w:rPr>
          <w:sz w:val="18"/>
        </w:rPr>
        <w:t xml:space="preserve">herefore, we </w:t>
      </w:r>
      <w:r w:rsidR="00B419A4">
        <w:rPr>
          <w:sz w:val="18"/>
        </w:rPr>
        <w:t>see</w:t>
      </w:r>
      <w:r w:rsidR="005F5C79">
        <w:rPr>
          <w:sz w:val="18"/>
        </w:rPr>
        <w:t xml:space="preserve"> that these practical implementation methods </w:t>
      </w:r>
      <w:r w:rsidR="001D662B">
        <w:rPr>
          <w:sz w:val="18"/>
        </w:rPr>
        <w:t>and enhancements are</w:t>
      </w:r>
      <w:r w:rsidR="00B419A4">
        <w:rPr>
          <w:sz w:val="18"/>
        </w:rPr>
        <w:t xml:space="preserve"> not</w:t>
      </w:r>
      <w:r w:rsidR="001D662B">
        <w:rPr>
          <w:sz w:val="18"/>
        </w:rPr>
        <w:t xml:space="preserve"> </w:t>
      </w:r>
      <w:r w:rsidR="005F5C79">
        <w:rPr>
          <w:sz w:val="18"/>
        </w:rPr>
        <w:t>need</w:t>
      </w:r>
      <w:r w:rsidR="001D662B">
        <w:rPr>
          <w:sz w:val="18"/>
        </w:rPr>
        <w:t>ed</w:t>
      </w:r>
      <w:r w:rsidR="005F5C79">
        <w:rPr>
          <w:sz w:val="18"/>
        </w:rPr>
        <w:t xml:space="preserve"> </w:t>
      </w:r>
      <w:r w:rsidR="001D662B">
        <w:rPr>
          <w:sz w:val="18"/>
        </w:rPr>
        <w:t>for</w:t>
      </w:r>
      <w:r w:rsidR="005F5C79">
        <w:rPr>
          <w:sz w:val="18"/>
        </w:rPr>
        <w:t xml:space="preserve"> </w:t>
      </w:r>
      <w:r w:rsidR="001D662B">
        <w:rPr>
          <w:sz w:val="18"/>
        </w:rPr>
        <w:t xml:space="preserve">waveform evaluations but </w:t>
      </w:r>
      <w:r w:rsidR="00BB2E05">
        <w:rPr>
          <w:sz w:val="18"/>
        </w:rPr>
        <w:t xml:space="preserve">could be </w:t>
      </w:r>
      <w:r w:rsidR="001D662B">
        <w:rPr>
          <w:sz w:val="18"/>
        </w:rPr>
        <w:t xml:space="preserve">rather </w:t>
      </w:r>
      <w:r w:rsidR="00BB2E05">
        <w:rPr>
          <w:sz w:val="18"/>
        </w:rPr>
        <w:t xml:space="preserve">considered </w:t>
      </w:r>
      <w:r w:rsidR="00B419A4">
        <w:rPr>
          <w:sz w:val="18"/>
        </w:rPr>
        <w:t>when defining RAN4 requirements</w:t>
      </w:r>
      <w:r w:rsidR="001D662B">
        <w:rPr>
          <w:sz w:val="18"/>
        </w:rPr>
        <w:t>. Furthermore, we see that these implementation</w:t>
      </w:r>
      <w:r w:rsidR="005F5C79">
        <w:rPr>
          <w:sz w:val="18"/>
        </w:rPr>
        <w:t xml:space="preserve"> aspects </w:t>
      </w:r>
      <w:r w:rsidR="001D662B">
        <w:rPr>
          <w:sz w:val="18"/>
        </w:rPr>
        <w:t xml:space="preserve">are sufficiently covered from the RAN1 evaluation perspective by selected </w:t>
      </w:r>
      <w:r w:rsidR="00C10CB9">
        <w:rPr>
          <w:sz w:val="18"/>
        </w:rPr>
        <w:t>initial PA models and if needed additional parameters for the Rapp models could be used in the simulations</w:t>
      </w:r>
      <w:r w:rsidR="005F5C79">
        <w:rPr>
          <w:sz w:val="18"/>
        </w:rPr>
        <w:t xml:space="preserve">. </w:t>
      </w:r>
      <w:r w:rsidR="00664B16">
        <w:rPr>
          <w:sz w:val="18"/>
        </w:rPr>
        <w:t>If some companies, however, want to perform additional more detailed</w:t>
      </w:r>
      <w:r w:rsidR="001D662B">
        <w:rPr>
          <w:sz w:val="18"/>
        </w:rPr>
        <w:t xml:space="preserve"> waveform evaluation</w:t>
      </w:r>
      <w:r w:rsidR="00664B16">
        <w:rPr>
          <w:sz w:val="18"/>
        </w:rPr>
        <w:t xml:space="preserve"> simulations including </w:t>
      </w:r>
      <w:r w:rsidR="00B419A4">
        <w:rPr>
          <w:sz w:val="18"/>
        </w:rPr>
        <w:t xml:space="preserve">explicit modelling of </w:t>
      </w:r>
      <w:r w:rsidR="00664B16">
        <w:rPr>
          <w:sz w:val="18"/>
        </w:rPr>
        <w:t xml:space="preserve">implementation </w:t>
      </w:r>
      <w:r w:rsidR="00B419A4">
        <w:rPr>
          <w:sz w:val="18"/>
        </w:rPr>
        <w:t>methods</w:t>
      </w:r>
      <w:r w:rsidR="00664B16">
        <w:rPr>
          <w:sz w:val="18"/>
        </w:rPr>
        <w:t xml:space="preserve"> like DPD and CFR, it is important that these linearization schemes are</w:t>
      </w:r>
      <w:r w:rsidR="001D662B">
        <w:rPr>
          <w:sz w:val="18"/>
        </w:rPr>
        <w:t xml:space="preserve"> then</w:t>
      </w:r>
      <w:r w:rsidR="00664B16">
        <w:rPr>
          <w:sz w:val="18"/>
        </w:rPr>
        <w:t xml:space="preserve"> used for all the compared methods in order to ensure fair comparison. </w:t>
      </w:r>
    </w:p>
    <w:p w14:paraId="1CD0020F" w14:textId="77777777" w:rsidR="00FD00C4" w:rsidRDefault="00FD00C4" w:rsidP="0007527A">
      <w:pPr>
        <w:spacing w:after="0"/>
        <w:rPr>
          <w:sz w:val="18"/>
        </w:rPr>
      </w:pPr>
    </w:p>
    <w:p w14:paraId="72EBB7F0" w14:textId="3CD378E3" w:rsidR="00FD00C4" w:rsidRPr="00D70CC2" w:rsidRDefault="001D662B" w:rsidP="0007527A">
      <w:pPr>
        <w:spacing w:after="0"/>
        <w:rPr>
          <w:b/>
          <w:sz w:val="18"/>
        </w:rPr>
      </w:pPr>
      <w:r w:rsidRPr="00D70CC2">
        <w:rPr>
          <w:b/>
          <w:sz w:val="18"/>
        </w:rPr>
        <w:t>Proposal</w:t>
      </w:r>
      <w:r w:rsidR="009C0FC4">
        <w:rPr>
          <w:b/>
          <w:sz w:val="18"/>
        </w:rPr>
        <w:t xml:space="preserve"> </w:t>
      </w:r>
      <w:r w:rsidR="00E6140C" w:rsidRPr="00D70CC2">
        <w:rPr>
          <w:b/>
          <w:sz w:val="18"/>
        </w:rPr>
        <w:t>2</w:t>
      </w:r>
      <w:r w:rsidRPr="00D70CC2">
        <w:rPr>
          <w:b/>
          <w:sz w:val="18"/>
        </w:rPr>
        <w:t>:  RAN1 waveform evaluations do not include separate modelling for DPD and CFR linearization methods used in practical implementations (especially for DL)</w:t>
      </w:r>
      <w:r w:rsidR="000D771B" w:rsidRPr="00D70CC2">
        <w:rPr>
          <w:b/>
          <w:sz w:val="18"/>
        </w:rPr>
        <w:t xml:space="preserve"> but they are covered in the RAN4 requirement work and related performance evaluations. Companies may present additional RAN1 results including DPD and CFR but then these schemes should be used for all evaluated waveforms including basic CP-OFDM.</w:t>
      </w:r>
    </w:p>
    <w:p w14:paraId="4D03D43F" w14:textId="379DD46F" w:rsidR="00664B16" w:rsidRDefault="00664B16" w:rsidP="0007527A">
      <w:pPr>
        <w:spacing w:after="0"/>
        <w:rPr>
          <w:sz w:val="18"/>
        </w:rPr>
      </w:pPr>
      <w:r>
        <w:rPr>
          <w:sz w:val="18"/>
        </w:rPr>
        <w:t xml:space="preserve"> </w:t>
      </w:r>
    </w:p>
    <w:p w14:paraId="69694F8C" w14:textId="77777777" w:rsidR="00F419F4" w:rsidRDefault="00F419F4" w:rsidP="0007527A">
      <w:pPr>
        <w:spacing w:after="0"/>
        <w:rPr>
          <w:sz w:val="18"/>
        </w:rPr>
      </w:pPr>
    </w:p>
    <w:p w14:paraId="0AE4B60D" w14:textId="77777777" w:rsidR="00F419F4" w:rsidRDefault="00F419F4" w:rsidP="00F419F4">
      <w:pPr>
        <w:keepNext/>
        <w:spacing w:after="0"/>
      </w:pPr>
      <w:r>
        <w:rPr>
          <w:noProof/>
          <w:sz w:val="18"/>
          <w:lang w:val="en-US"/>
        </w:rPr>
        <w:drawing>
          <wp:inline distT="0" distB="0" distL="0" distR="0" wp14:anchorId="4D33F940" wp14:editId="07E60D08">
            <wp:extent cx="6122035" cy="18122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TE10_3p5GHz_32p2dBm_non_linearized.png"/>
                    <pic:cNvPicPr/>
                  </pic:nvPicPr>
                  <pic:blipFill>
                    <a:blip r:embed="rId13">
                      <a:extLst>
                        <a:ext uri="{28A0092B-C50C-407E-A947-70E740481C1C}">
                          <a14:useLocalDpi xmlns:a14="http://schemas.microsoft.com/office/drawing/2010/main" val="0"/>
                        </a:ext>
                      </a:extLst>
                    </a:blip>
                    <a:stretch>
                      <a:fillRect/>
                    </a:stretch>
                  </pic:blipFill>
                  <pic:spPr>
                    <a:xfrm>
                      <a:off x="0" y="0"/>
                      <a:ext cx="6122035" cy="1812290"/>
                    </a:xfrm>
                    <a:prstGeom prst="rect">
                      <a:avLst/>
                    </a:prstGeom>
                  </pic:spPr>
                </pic:pic>
              </a:graphicData>
            </a:graphic>
          </wp:inline>
        </w:drawing>
      </w:r>
    </w:p>
    <w:p w14:paraId="0F20F228" w14:textId="77777777" w:rsidR="00886976" w:rsidRDefault="00886976" w:rsidP="0007527A">
      <w:pPr>
        <w:spacing w:after="0"/>
        <w:rPr>
          <w:sz w:val="18"/>
        </w:rPr>
      </w:pPr>
    </w:p>
    <w:p w14:paraId="7AE83215" w14:textId="77777777" w:rsidR="00886976" w:rsidRDefault="00886976" w:rsidP="0007527A">
      <w:pPr>
        <w:spacing w:after="0"/>
        <w:rPr>
          <w:sz w:val="18"/>
        </w:rPr>
      </w:pPr>
    </w:p>
    <w:p w14:paraId="38D6480A" w14:textId="747E816B" w:rsidR="00886976" w:rsidRDefault="00F419F4" w:rsidP="0007527A">
      <w:pPr>
        <w:spacing w:after="0"/>
        <w:rPr>
          <w:sz w:val="18"/>
        </w:rPr>
      </w:pPr>
      <w:r>
        <w:rPr>
          <w:noProof/>
          <w:sz w:val="18"/>
          <w:lang w:val="en-US"/>
        </w:rPr>
        <w:drawing>
          <wp:inline distT="0" distB="0" distL="0" distR="0" wp14:anchorId="3437EE51" wp14:editId="65BD722A">
            <wp:extent cx="6122035" cy="18122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LTE10_3p5GHz_32p2dBm_linearized.png"/>
                    <pic:cNvPicPr/>
                  </pic:nvPicPr>
                  <pic:blipFill>
                    <a:blip r:embed="rId14">
                      <a:extLst>
                        <a:ext uri="{28A0092B-C50C-407E-A947-70E740481C1C}">
                          <a14:useLocalDpi xmlns:a14="http://schemas.microsoft.com/office/drawing/2010/main" val="0"/>
                        </a:ext>
                      </a:extLst>
                    </a:blip>
                    <a:stretch>
                      <a:fillRect/>
                    </a:stretch>
                  </pic:blipFill>
                  <pic:spPr>
                    <a:xfrm>
                      <a:off x="0" y="0"/>
                      <a:ext cx="6122035" cy="1812290"/>
                    </a:xfrm>
                    <a:prstGeom prst="rect">
                      <a:avLst/>
                    </a:prstGeom>
                  </pic:spPr>
                </pic:pic>
              </a:graphicData>
            </a:graphic>
          </wp:inline>
        </w:drawing>
      </w:r>
    </w:p>
    <w:p w14:paraId="6E43021D" w14:textId="54455AC5" w:rsidR="006A28E7" w:rsidRDefault="006A28E7" w:rsidP="006A28E7">
      <w:pPr>
        <w:spacing w:after="0"/>
        <w:rPr>
          <w:sz w:val="18"/>
        </w:rPr>
      </w:pPr>
    </w:p>
    <w:p w14:paraId="5115F23A" w14:textId="0F98294B" w:rsidR="00F419F4" w:rsidRPr="008268CE" w:rsidRDefault="00F419F4" w:rsidP="00D70CC2">
      <w:pPr>
        <w:pStyle w:val="Caption"/>
        <w:jc w:val="center"/>
        <w:rPr>
          <w:color w:val="auto"/>
        </w:rPr>
      </w:pPr>
      <w:bookmarkStart w:id="2" w:name="_Ref455492498"/>
      <w:r w:rsidRPr="008268CE">
        <w:rPr>
          <w:color w:val="auto"/>
        </w:rPr>
        <w:t xml:space="preserve">Figure </w:t>
      </w:r>
      <w:r w:rsidR="00886E81" w:rsidRPr="008268CE">
        <w:rPr>
          <w:color w:val="auto"/>
        </w:rPr>
        <w:fldChar w:fldCharType="begin"/>
      </w:r>
      <w:r w:rsidR="00886E81" w:rsidRPr="008268CE">
        <w:rPr>
          <w:color w:val="auto"/>
        </w:rPr>
        <w:instrText xml:space="preserve"> SEQ Figure \* ARABIC </w:instrText>
      </w:r>
      <w:r w:rsidR="00886E81" w:rsidRPr="008268CE">
        <w:rPr>
          <w:color w:val="auto"/>
        </w:rPr>
        <w:fldChar w:fldCharType="separate"/>
      </w:r>
      <w:r w:rsidR="0043021C" w:rsidRPr="008268CE">
        <w:rPr>
          <w:noProof/>
          <w:color w:val="auto"/>
        </w:rPr>
        <w:t>2</w:t>
      </w:r>
      <w:r w:rsidR="00886E81" w:rsidRPr="008268CE">
        <w:rPr>
          <w:noProof/>
          <w:color w:val="auto"/>
        </w:rPr>
        <w:fldChar w:fldCharType="end"/>
      </w:r>
      <w:bookmarkEnd w:id="2"/>
      <w:r w:rsidR="00B419A4" w:rsidRPr="008268CE">
        <w:rPr>
          <w:color w:val="auto"/>
        </w:rPr>
        <w:t xml:space="preserve">  LTE DL spectrum plots including practical PA from the measurements with and without linearization methods like DPD and CFR</w:t>
      </w:r>
    </w:p>
    <w:p w14:paraId="6140C633" w14:textId="77777777" w:rsidR="009802BA" w:rsidRDefault="009802BA" w:rsidP="006A28E7">
      <w:pPr>
        <w:spacing w:after="0"/>
        <w:rPr>
          <w:sz w:val="18"/>
        </w:rPr>
      </w:pPr>
    </w:p>
    <w:p w14:paraId="736BCF81" w14:textId="77777777" w:rsidR="009802BA" w:rsidRDefault="009802BA" w:rsidP="006A28E7">
      <w:pPr>
        <w:spacing w:after="0"/>
        <w:rPr>
          <w:sz w:val="18"/>
        </w:rPr>
      </w:pPr>
    </w:p>
    <w:p w14:paraId="77AE9D0E" w14:textId="77777777" w:rsidR="006A28E7" w:rsidRDefault="006A28E7" w:rsidP="006A28E7">
      <w:pPr>
        <w:spacing w:after="0"/>
        <w:rPr>
          <w:sz w:val="18"/>
        </w:rPr>
      </w:pPr>
    </w:p>
    <w:p w14:paraId="67C1716F" w14:textId="7242CB23" w:rsidR="006A28E7" w:rsidRDefault="006A28E7" w:rsidP="006A28E7">
      <w:pPr>
        <w:pStyle w:val="Heading2"/>
      </w:pPr>
      <w:r>
        <w:t>2.2</w:t>
      </w:r>
      <w:r>
        <w:tab/>
        <w:t>In-band emission requirements</w:t>
      </w:r>
    </w:p>
    <w:p w14:paraId="3CFD80D5" w14:textId="401003F9" w:rsidR="006A28E7" w:rsidRDefault="006A28E7" w:rsidP="006A28E7">
      <w:pPr>
        <w:spacing w:after="0"/>
        <w:rPr>
          <w:bCs/>
        </w:rPr>
      </w:pPr>
      <w:r w:rsidRPr="000F2E1F">
        <w:rPr>
          <w:sz w:val="18"/>
        </w:rPr>
        <w:t>TR 38.913</w:t>
      </w:r>
      <w:r>
        <w:rPr>
          <w:sz w:val="18"/>
        </w:rPr>
        <w:t xml:space="preserve"> set requirements for support for wide ranges of services in Section 10.2 as follows</w:t>
      </w:r>
    </w:p>
    <w:p w14:paraId="004999CC" w14:textId="77777777" w:rsidR="006A28E7" w:rsidRDefault="006A28E7" w:rsidP="006A28E7">
      <w:pPr>
        <w:spacing w:after="0"/>
        <w:rPr>
          <w:bCs/>
        </w:rPr>
      </w:pPr>
    </w:p>
    <w:p w14:paraId="1F3A20DA" w14:textId="77777777" w:rsidR="00B84530" w:rsidRPr="0086716D" w:rsidRDefault="00B84530" w:rsidP="006A28E7">
      <w:pPr>
        <w:ind w:left="284"/>
        <w:rPr>
          <w:i/>
          <w:lang w:eastAsia="zh-CN"/>
        </w:rPr>
      </w:pPr>
      <w:r w:rsidRPr="0086716D">
        <w:rPr>
          <w:rFonts w:eastAsia="MS Mincho"/>
          <w:i/>
          <w:lang w:val="en-US"/>
        </w:rPr>
        <w:t>Support for wide range of services</w:t>
      </w:r>
      <w:r w:rsidRPr="0086716D">
        <w:rPr>
          <w:i/>
          <w:lang w:val="en-US" w:eastAsia="zh-CN"/>
        </w:rPr>
        <w:t xml:space="preserve"> </w:t>
      </w:r>
      <w:r w:rsidRPr="0086716D">
        <w:rPr>
          <w:rFonts w:hint="eastAsia"/>
          <w:i/>
          <w:lang w:val="en-US" w:eastAsia="zh-CN"/>
        </w:rPr>
        <w:t>means t</w:t>
      </w:r>
      <w:r w:rsidRPr="0086716D">
        <w:rPr>
          <w:i/>
          <w:lang w:val="en-US" w:eastAsia="zh-CN"/>
        </w:rPr>
        <w:t>he system shall be inherently flexible enough to meet the connectivity requirements of a range of existing and future (as yet unknown) services to be deployable on a single continuous block of spectrum in an efficient manner</w:t>
      </w:r>
      <w:r w:rsidRPr="0086716D">
        <w:rPr>
          <w:rFonts w:hint="eastAsia"/>
          <w:i/>
          <w:lang w:val="en-US" w:eastAsia="zh-CN"/>
        </w:rPr>
        <w:t>.</w:t>
      </w:r>
    </w:p>
    <w:p w14:paraId="1BAB7259" w14:textId="77777777" w:rsidR="00947DEC" w:rsidRDefault="00947DEC" w:rsidP="00745DF4">
      <w:pPr>
        <w:rPr>
          <w:bCs/>
        </w:rPr>
      </w:pPr>
    </w:p>
    <w:p w14:paraId="55A76504" w14:textId="1B8A8A91" w:rsidR="00B84530" w:rsidRDefault="006A28E7" w:rsidP="00745DF4">
      <w:pPr>
        <w:rPr>
          <w:bCs/>
        </w:rPr>
      </w:pPr>
      <w:r>
        <w:rPr>
          <w:bCs/>
        </w:rPr>
        <w:lastRenderedPageBreak/>
        <w:t>Furthermore, RAN1#84 made the following agreements for ensuring forward compatibility for future NR evolution, services and features:</w:t>
      </w:r>
    </w:p>
    <w:p w14:paraId="46282D5E" w14:textId="77777777" w:rsidR="00B84530" w:rsidRPr="006A28E7" w:rsidRDefault="00B84530" w:rsidP="006A28E7">
      <w:pPr>
        <w:ind w:left="284"/>
        <w:rPr>
          <w:rFonts w:eastAsia="MS Mincho"/>
          <w:i/>
          <w:lang w:val="en-US" w:eastAsia="ja-JP"/>
        </w:rPr>
      </w:pPr>
      <w:r w:rsidRPr="006A28E7">
        <w:rPr>
          <w:rFonts w:eastAsia="MS Mincho" w:hint="eastAsia"/>
          <w:i/>
          <w:highlight w:val="green"/>
          <w:lang w:val="en-US" w:eastAsia="ja-JP"/>
        </w:rPr>
        <w:t>Agreements:</w:t>
      </w:r>
    </w:p>
    <w:p w14:paraId="0E613F8D" w14:textId="77777777" w:rsidR="00B84530" w:rsidRPr="006A28E7" w:rsidRDefault="00B84530" w:rsidP="006A28E7">
      <w:pPr>
        <w:pStyle w:val="ListParagraph"/>
        <w:numPr>
          <w:ilvl w:val="0"/>
          <w:numId w:val="15"/>
        </w:numPr>
        <w:overflowPunct w:val="0"/>
        <w:autoSpaceDE w:val="0"/>
        <w:autoSpaceDN w:val="0"/>
        <w:adjustRightInd w:val="0"/>
        <w:spacing w:after="180"/>
        <w:ind w:left="1004"/>
        <w:textAlignment w:val="baseline"/>
        <w:rPr>
          <w:rFonts w:eastAsia="MS Mincho"/>
          <w:i/>
          <w:sz w:val="20"/>
          <w:szCs w:val="20"/>
          <w:lang w:val="en-US"/>
        </w:rPr>
      </w:pPr>
      <w:r w:rsidRPr="006A28E7">
        <w:rPr>
          <w:rFonts w:eastAsia="MS Mincho"/>
          <w:i/>
          <w:sz w:val="20"/>
          <w:szCs w:val="20"/>
          <w:lang w:val="en-US"/>
        </w:rPr>
        <w:t>Forward compatibility of NR shall ensure smooth introduction of future services and features with no impact on the access of earlier services and UEs</w:t>
      </w:r>
    </w:p>
    <w:p w14:paraId="43CFB3E1" w14:textId="77777777" w:rsidR="00B84530" w:rsidRPr="006A28E7" w:rsidRDefault="00B84530" w:rsidP="006A28E7">
      <w:pPr>
        <w:pStyle w:val="ListParagraph"/>
        <w:numPr>
          <w:ilvl w:val="1"/>
          <w:numId w:val="15"/>
        </w:numPr>
        <w:overflowPunct w:val="0"/>
        <w:autoSpaceDE w:val="0"/>
        <w:autoSpaceDN w:val="0"/>
        <w:adjustRightInd w:val="0"/>
        <w:spacing w:after="180"/>
        <w:ind w:left="1724"/>
        <w:textAlignment w:val="baseline"/>
        <w:rPr>
          <w:rFonts w:eastAsia="MS Mincho"/>
          <w:i/>
          <w:sz w:val="20"/>
          <w:szCs w:val="20"/>
          <w:lang w:val="en-US"/>
        </w:rPr>
      </w:pPr>
      <w:r w:rsidRPr="006A28E7">
        <w:rPr>
          <w:rFonts w:eastAsia="MS Mincho"/>
          <w:i/>
          <w:sz w:val="20"/>
          <w:szCs w:val="20"/>
          <w:lang w:val="en-US"/>
        </w:rPr>
        <w:t>Multiplexing different numerologies within a same NR carrier</w:t>
      </w:r>
      <w:r w:rsidRPr="006A28E7">
        <w:rPr>
          <w:rFonts w:ascii="Century" w:eastAsia="MS Mincho" w:hAnsi="Calibri"/>
          <w:i/>
          <w:color w:val="FF0000"/>
          <w:kern w:val="24"/>
          <w:sz w:val="20"/>
          <w:szCs w:val="20"/>
          <w:lang w:val="en-US"/>
        </w:rPr>
        <w:t xml:space="preserve"> </w:t>
      </w:r>
      <w:r w:rsidRPr="006A28E7">
        <w:rPr>
          <w:rFonts w:eastAsia="MS Mincho"/>
          <w:i/>
          <w:sz w:val="20"/>
          <w:szCs w:val="20"/>
          <w:lang w:val="en-US"/>
        </w:rPr>
        <w:t xml:space="preserve">bandwidth (from the network perspective) </w:t>
      </w:r>
      <w:r w:rsidRPr="006A28E7">
        <w:rPr>
          <w:rFonts w:eastAsia="MS Mincho" w:hint="eastAsia"/>
          <w:i/>
          <w:sz w:val="20"/>
          <w:szCs w:val="20"/>
          <w:lang w:val="en-US"/>
        </w:rPr>
        <w:t>is supported</w:t>
      </w:r>
    </w:p>
    <w:p w14:paraId="1234864C" w14:textId="77777777" w:rsidR="00B84530" w:rsidRPr="006A28E7" w:rsidRDefault="00B84530" w:rsidP="006A28E7">
      <w:pPr>
        <w:pStyle w:val="ListParagraph"/>
        <w:numPr>
          <w:ilvl w:val="2"/>
          <w:numId w:val="15"/>
        </w:numPr>
        <w:overflowPunct w:val="0"/>
        <w:autoSpaceDE w:val="0"/>
        <w:autoSpaceDN w:val="0"/>
        <w:adjustRightInd w:val="0"/>
        <w:spacing w:after="180"/>
        <w:ind w:left="2444"/>
        <w:textAlignment w:val="baseline"/>
        <w:rPr>
          <w:rFonts w:eastAsia="MS Mincho"/>
          <w:i/>
          <w:sz w:val="20"/>
          <w:szCs w:val="20"/>
          <w:lang w:val="en-US"/>
        </w:rPr>
      </w:pPr>
      <w:r w:rsidRPr="006A28E7">
        <w:rPr>
          <w:rFonts w:eastAsia="MS Mincho" w:hint="eastAsia"/>
          <w:i/>
          <w:sz w:val="20"/>
          <w:szCs w:val="20"/>
          <w:lang w:val="en-US"/>
        </w:rPr>
        <w:t>FDM and/or TDM multiplexing can be considered</w:t>
      </w:r>
    </w:p>
    <w:p w14:paraId="29820FAF" w14:textId="0BE18B2E" w:rsidR="00B37D83" w:rsidRPr="00CE0A31" w:rsidRDefault="008B0648" w:rsidP="00CE0A31">
      <w:pPr>
        <w:spacing w:after="0"/>
        <w:rPr>
          <w:sz w:val="18"/>
        </w:rPr>
      </w:pPr>
      <w:r w:rsidRPr="008B0648">
        <w:rPr>
          <w:sz w:val="18"/>
        </w:rPr>
        <w:t xml:space="preserve">These 5G NR requirements and RAN1 agreements mean that in addition to the existing </w:t>
      </w:r>
      <w:r w:rsidRPr="0007527A">
        <w:rPr>
          <w:sz w:val="18"/>
        </w:rPr>
        <w:t>Out Of Band (OOB) emissions and</w:t>
      </w:r>
      <w:r>
        <w:rPr>
          <w:sz w:val="18"/>
        </w:rPr>
        <w:t xml:space="preserve"> spurious emission requirements, also in-band emission requirements are needed for 5G NR in order to efficiently support the multiplexing of different numerologies within one NR carrier. </w:t>
      </w:r>
      <w:r w:rsidR="00BB2E05">
        <w:rPr>
          <w:sz w:val="18"/>
        </w:rPr>
        <w:t xml:space="preserve">For </w:t>
      </w:r>
      <w:r w:rsidR="008314F0">
        <w:rPr>
          <w:sz w:val="18"/>
        </w:rPr>
        <w:t xml:space="preserve">LTE UL </w:t>
      </w:r>
      <w:r w:rsidR="00BA0577">
        <w:rPr>
          <w:sz w:val="18"/>
        </w:rPr>
        <w:t>in-band emission requirements</w:t>
      </w:r>
      <w:r w:rsidR="00BB2E05">
        <w:rPr>
          <w:sz w:val="18"/>
        </w:rPr>
        <w:t xml:space="preserve"> have been defined in 36.101</w:t>
      </w:r>
      <w:r w:rsidR="00CE0A31">
        <w:rPr>
          <w:sz w:val="18"/>
        </w:rPr>
        <w:t xml:space="preserve">. The LTE UL in-band emission requirements are </w:t>
      </w:r>
      <w:r w:rsidR="00B37D83" w:rsidRPr="00CE0A31">
        <w:rPr>
          <w:sz w:val="18"/>
        </w:rPr>
        <w:t>defined as the average across 12 sub-carrier</w:t>
      </w:r>
      <w:r w:rsidR="00CE0A31">
        <w:rPr>
          <w:sz w:val="18"/>
        </w:rPr>
        <w:t>s</w:t>
      </w:r>
      <w:r w:rsidR="00B37D83" w:rsidRPr="00CE0A31">
        <w:rPr>
          <w:sz w:val="18"/>
        </w:rPr>
        <w:t xml:space="preserve"> and as a function of the RB offset from the edge of the allocated UL transmission bandwidth. The in-band emission is measured as the ratio of the UE output power in a non–allocated RB to the UE output power in an allocated RB.</w:t>
      </w:r>
      <w:r w:rsidR="00CE0A31">
        <w:rPr>
          <w:sz w:val="18"/>
        </w:rPr>
        <w:t xml:space="preserve"> </w:t>
      </w:r>
      <w:r w:rsidR="00BB2E05">
        <w:rPr>
          <w:sz w:val="18"/>
        </w:rPr>
        <w:t>Although giving some indicative baseline on the inband performance, we feel that t</w:t>
      </w:r>
      <w:r w:rsidR="00C2422B">
        <w:rPr>
          <w:sz w:val="18"/>
        </w:rPr>
        <w:t xml:space="preserve">he current LTE UL in-band emission requirements cannot be directly copied for the purposes of ensuring service multiplexing and different numerologies both within DL and UL channel bandwidths. We see that it is important that </w:t>
      </w:r>
      <w:r w:rsidR="00CE0A31">
        <w:rPr>
          <w:sz w:val="18"/>
        </w:rPr>
        <w:t xml:space="preserve">RAN4 </w:t>
      </w:r>
      <w:r w:rsidR="00C2422B">
        <w:rPr>
          <w:sz w:val="18"/>
        </w:rPr>
        <w:t xml:space="preserve">will </w:t>
      </w:r>
      <w:r w:rsidR="00CE0A31">
        <w:rPr>
          <w:sz w:val="18"/>
        </w:rPr>
        <w:t>develop suitable in-band emission requirements</w:t>
      </w:r>
      <w:r w:rsidR="00C2422B">
        <w:rPr>
          <w:sz w:val="18"/>
        </w:rPr>
        <w:t xml:space="preserve"> for enabling use of different numerologies. In 5G NR these in-band emission requirements would need to be developed both for DL and UL</w:t>
      </w:r>
      <w:r w:rsidR="00DA3EDB">
        <w:rPr>
          <w:sz w:val="18"/>
        </w:rPr>
        <w:t xml:space="preserve">. </w:t>
      </w:r>
      <w:r w:rsidR="00C2422B">
        <w:rPr>
          <w:sz w:val="18"/>
        </w:rPr>
        <w:t>Thus, we see that i</w:t>
      </w:r>
      <w:r w:rsidR="00DA3EDB">
        <w:rPr>
          <w:sz w:val="18"/>
        </w:rPr>
        <w:t>t would be beneficial if RAN1 indicate</w:t>
      </w:r>
      <w:r w:rsidR="00C2422B">
        <w:rPr>
          <w:sz w:val="18"/>
        </w:rPr>
        <w:t>d</w:t>
      </w:r>
      <w:r w:rsidR="00DA3EDB">
        <w:rPr>
          <w:sz w:val="18"/>
        </w:rPr>
        <w:t xml:space="preserve"> to RAN4 the need for DL and UL in-band emission requirements for enabling both FDM and TDM multiplexing of different numerologies within the same carrier. RAN1 could then also share its waveform evaluation study findings with RAN4.</w:t>
      </w:r>
    </w:p>
    <w:p w14:paraId="17FB94A4" w14:textId="77777777" w:rsidR="00B37D83" w:rsidRPr="008B0648" w:rsidRDefault="00B37D83" w:rsidP="008B0648">
      <w:pPr>
        <w:spacing w:after="0"/>
        <w:rPr>
          <w:sz w:val="18"/>
        </w:rPr>
      </w:pPr>
    </w:p>
    <w:p w14:paraId="0D2D74E1" w14:textId="17203FFC" w:rsidR="000D64D4" w:rsidRPr="00D70CC2" w:rsidRDefault="00DA3EDB" w:rsidP="00DA3EDB">
      <w:pPr>
        <w:spacing w:after="0"/>
        <w:rPr>
          <w:b/>
          <w:sz w:val="18"/>
        </w:rPr>
      </w:pPr>
      <w:r w:rsidRPr="00D70CC2">
        <w:rPr>
          <w:b/>
          <w:sz w:val="18"/>
        </w:rPr>
        <w:t xml:space="preserve">Proposal 3: RAN1 should inform RAN4 on its agreement to support  FDM and/or TDM multiplexing of different numerologies within a same NR carrier bandwidth and thus, need for </w:t>
      </w:r>
      <w:r w:rsidR="005C0FDB">
        <w:rPr>
          <w:b/>
          <w:sz w:val="18"/>
        </w:rPr>
        <w:t xml:space="preserve">developing </w:t>
      </w:r>
      <w:r w:rsidRPr="00D70CC2">
        <w:rPr>
          <w:b/>
          <w:sz w:val="18"/>
        </w:rPr>
        <w:t>NR DL and UL in-band emission requirements</w:t>
      </w:r>
      <w:r w:rsidR="005C0FDB">
        <w:rPr>
          <w:b/>
          <w:sz w:val="18"/>
        </w:rPr>
        <w:t xml:space="preserve"> in RAN4</w:t>
      </w:r>
      <w:r w:rsidRPr="00D70CC2">
        <w:rPr>
          <w:b/>
          <w:sz w:val="18"/>
        </w:rPr>
        <w:t xml:space="preserve">. </w:t>
      </w:r>
    </w:p>
    <w:p w14:paraId="778CC428" w14:textId="77777777" w:rsidR="00883564" w:rsidRDefault="00883564" w:rsidP="00DA3EDB">
      <w:pPr>
        <w:spacing w:after="0"/>
        <w:rPr>
          <w:b/>
          <w:color w:val="FF0000"/>
          <w:sz w:val="18"/>
        </w:rPr>
      </w:pPr>
    </w:p>
    <w:p w14:paraId="6E4E216C" w14:textId="77777777" w:rsidR="00883564" w:rsidRPr="00DA3EDB" w:rsidRDefault="00883564" w:rsidP="00DA3EDB">
      <w:pPr>
        <w:spacing w:after="0"/>
        <w:rPr>
          <w:b/>
          <w:color w:val="FF0000"/>
          <w:sz w:val="18"/>
        </w:rPr>
      </w:pPr>
    </w:p>
    <w:p w14:paraId="4FBFC9C0" w14:textId="221D93AA" w:rsidR="00CD4C7B" w:rsidRPr="006E13D1" w:rsidRDefault="00C608C8" w:rsidP="00CD4C7B">
      <w:pPr>
        <w:pStyle w:val="Heading1"/>
      </w:pPr>
      <w:r>
        <w:t>3</w:t>
      </w:r>
      <w:r>
        <w:tab/>
        <w:t>Conclusion</w:t>
      </w:r>
      <w:r w:rsidR="00F909AE">
        <w:t>s</w:t>
      </w:r>
    </w:p>
    <w:p w14:paraId="1A03A8E2" w14:textId="66A50FFE" w:rsidR="00C2422B" w:rsidRDefault="0087443D" w:rsidP="009C7434">
      <w:pPr>
        <w:spacing w:after="0"/>
        <w:rPr>
          <w:sz w:val="18"/>
        </w:rPr>
      </w:pPr>
      <w:r w:rsidRPr="009C7434">
        <w:rPr>
          <w:sz w:val="18"/>
        </w:rPr>
        <w:t xml:space="preserve">In this contribution we have shown results how LTE DL and thus also, CP-OFDM waveform requires channel filtering for fulfilling the LTE masks. We have also shown results how LTE DL performance </w:t>
      </w:r>
      <w:r w:rsidR="005C0FDB" w:rsidRPr="009C7434">
        <w:rPr>
          <w:sz w:val="18"/>
        </w:rPr>
        <w:t xml:space="preserve">can been improved </w:t>
      </w:r>
      <w:r w:rsidRPr="009C7434">
        <w:rPr>
          <w:sz w:val="18"/>
        </w:rPr>
        <w:t xml:space="preserve">e.g. in terms spectrum emissions </w:t>
      </w:r>
      <w:r w:rsidR="005C0FDB" w:rsidRPr="009C7434">
        <w:rPr>
          <w:sz w:val="18"/>
        </w:rPr>
        <w:t xml:space="preserve">by utilizing linearization methods like </w:t>
      </w:r>
      <w:r w:rsidRPr="009C7434">
        <w:rPr>
          <w:sz w:val="18"/>
        </w:rPr>
        <w:t xml:space="preserve">DPD </w:t>
      </w:r>
      <w:r w:rsidR="005C0FDB">
        <w:rPr>
          <w:sz w:val="18"/>
        </w:rPr>
        <w:t>(</w:t>
      </w:r>
      <w:r w:rsidR="005C0FDB" w:rsidRPr="00773A5C">
        <w:rPr>
          <w:sz w:val="18"/>
        </w:rPr>
        <w:t>digital predistortion</w:t>
      </w:r>
      <w:r w:rsidR="005C0FDB">
        <w:rPr>
          <w:sz w:val="18"/>
        </w:rPr>
        <w:t xml:space="preserve">) </w:t>
      </w:r>
      <w:r w:rsidRPr="009C7434">
        <w:rPr>
          <w:sz w:val="18"/>
        </w:rPr>
        <w:t>and CFR</w:t>
      </w:r>
      <w:r w:rsidR="005C0FDB" w:rsidRPr="005C0FDB">
        <w:rPr>
          <w:sz w:val="18"/>
        </w:rPr>
        <w:t xml:space="preserve"> </w:t>
      </w:r>
      <w:r w:rsidR="005C0FDB">
        <w:rPr>
          <w:sz w:val="18"/>
        </w:rPr>
        <w:t xml:space="preserve"> (</w:t>
      </w:r>
      <w:r w:rsidR="005C0FDB" w:rsidRPr="00773A5C">
        <w:rPr>
          <w:sz w:val="18"/>
        </w:rPr>
        <w:t>crest factor reduction</w:t>
      </w:r>
      <w:r w:rsidR="005C0FDB">
        <w:rPr>
          <w:sz w:val="18"/>
        </w:rPr>
        <w:t xml:space="preserve">. </w:t>
      </w:r>
    </w:p>
    <w:p w14:paraId="5C0A797B" w14:textId="77777777" w:rsidR="00C2422B" w:rsidRDefault="00C2422B" w:rsidP="009C7434">
      <w:pPr>
        <w:spacing w:after="0"/>
        <w:rPr>
          <w:sz w:val="18"/>
        </w:rPr>
      </w:pPr>
    </w:p>
    <w:p w14:paraId="3EC47DF0" w14:textId="18E34458" w:rsidR="0087443D" w:rsidRPr="009C7434" w:rsidRDefault="005C0FDB" w:rsidP="009C7434">
      <w:pPr>
        <w:spacing w:after="0"/>
        <w:rPr>
          <w:sz w:val="18"/>
        </w:rPr>
      </w:pPr>
      <w:r>
        <w:rPr>
          <w:sz w:val="18"/>
        </w:rPr>
        <w:t>In the document we also discuss what kind of requirements would need to be developed in RAN4 in order to ensure good 5G NR out of band and spurious emission performance and multiplexing of different services and numerologies within a same NR carrier bandwi</w:t>
      </w:r>
      <w:r w:rsidR="00C2422B">
        <w:rPr>
          <w:sz w:val="18"/>
        </w:rPr>
        <w:t>d</w:t>
      </w:r>
      <w:r>
        <w:rPr>
          <w:sz w:val="18"/>
        </w:rPr>
        <w:t>th. Based on the discussions we make the following proposals;</w:t>
      </w:r>
    </w:p>
    <w:p w14:paraId="5CAD6D22" w14:textId="77777777" w:rsidR="00C2422B" w:rsidRDefault="00C2422B" w:rsidP="005C0FDB">
      <w:pPr>
        <w:spacing w:after="0"/>
        <w:rPr>
          <w:b/>
          <w:sz w:val="18"/>
        </w:rPr>
      </w:pPr>
    </w:p>
    <w:p w14:paraId="0685F9FB" w14:textId="77777777" w:rsidR="005C0FDB" w:rsidRPr="007F2F5E" w:rsidRDefault="005C0FDB" w:rsidP="005C0FDB">
      <w:pPr>
        <w:spacing w:after="0"/>
        <w:rPr>
          <w:b/>
          <w:sz w:val="18"/>
        </w:rPr>
      </w:pPr>
      <w:r w:rsidRPr="007F2F5E">
        <w:rPr>
          <w:b/>
          <w:sz w:val="18"/>
        </w:rPr>
        <w:t xml:space="preserve">Proposal 1: Use channel filtering for CP-OFDM waveform to fulling the existing LTE masks and having accurate baseline for NR waveform evaluations </w:t>
      </w:r>
    </w:p>
    <w:p w14:paraId="0440A1AC" w14:textId="77777777" w:rsidR="00C2422B" w:rsidRDefault="00C2422B" w:rsidP="005C0FDB">
      <w:pPr>
        <w:spacing w:after="0"/>
        <w:rPr>
          <w:b/>
          <w:sz w:val="18"/>
        </w:rPr>
      </w:pPr>
    </w:p>
    <w:p w14:paraId="03616D61" w14:textId="77777777" w:rsidR="005C0FDB" w:rsidRPr="007F2F5E" w:rsidRDefault="005C0FDB" w:rsidP="005C0FDB">
      <w:pPr>
        <w:spacing w:after="0"/>
        <w:rPr>
          <w:b/>
          <w:sz w:val="18"/>
        </w:rPr>
      </w:pPr>
      <w:r w:rsidRPr="007F2F5E">
        <w:rPr>
          <w:b/>
          <w:sz w:val="18"/>
        </w:rPr>
        <w:t>Proposal</w:t>
      </w:r>
      <w:r>
        <w:rPr>
          <w:b/>
          <w:sz w:val="18"/>
        </w:rPr>
        <w:t xml:space="preserve"> </w:t>
      </w:r>
      <w:r w:rsidRPr="007F2F5E">
        <w:rPr>
          <w:b/>
          <w:sz w:val="18"/>
        </w:rPr>
        <w:t>2:  RAN1 waveform evaluations do not include separate modelling for DPD and CFR linearization methods used in practical implementations (especially for DL) but they are covered in the RAN4 requirement work and related performance evaluations. Companies may present additional RAN1 results including DPD and CFR but then these schemes should be used for all evaluated waveforms including basic CP-OFDM.</w:t>
      </w:r>
    </w:p>
    <w:p w14:paraId="2B6B760D" w14:textId="3E8701AD" w:rsidR="0086716D" w:rsidRPr="00763A99" w:rsidRDefault="0086716D" w:rsidP="00763A99">
      <w:pPr>
        <w:spacing w:after="0"/>
        <w:rPr>
          <w:b/>
          <w:sz w:val="18"/>
        </w:rPr>
      </w:pPr>
    </w:p>
    <w:p w14:paraId="4F62659E" w14:textId="77777777" w:rsidR="005C0FDB" w:rsidRPr="007F2F5E" w:rsidRDefault="005C0FDB" w:rsidP="005C0FDB">
      <w:pPr>
        <w:spacing w:after="0"/>
        <w:rPr>
          <w:b/>
          <w:sz w:val="18"/>
        </w:rPr>
      </w:pPr>
      <w:r w:rsidRPr="007F2F5E">
        <w:rPr>
          <w:b/>
          <w:sz w:val="18"/>
        </w:rPr>
        <w:t xml:space="preserve">Proposal 3: RAN1 should inform RAN4 on its agreement to support  FDM and/or TDM multiplexing of different numerologies within a same NR carrier bandwidth and thus, need for </w:t>
      </w:r>
      <w:r>
        <w:rPr>
          <w:b/>
          <w:sz w:val="18"/>
        </w:rPr>
        <w:t xml:space="preserve">developing </w:t>
      </w:r>
      <w:r w:rsidRPr="007F2F5E">
        <w:rPr>
          <w:b/>
          <w:sz w:val="18"/>
        </w:rPr>
        <w:t>NR DL and UL in-band emission requirements</w:t>
      </w:r>
      <w:r>
        <w:rPr>
          <w:b/>
          <w:sz w:val="18"/>
        </w:rPr>
        <w:t xml:space="preserve"> in RAN4</w:t>
      </w:r>
      <w:r w:rsidRPr="007F2F5E">
        <w:rPr>
          <w:b/>
          <w:sz w:val="18"/>
        </w:rPr>
        <w:t xml:space="preserve">. </w:t>
      </w:r>
    </w:p>
    <w:p w14:paraId="6BD8A2E8" w14:textId="77777777" w:rsidR="009368F7" w:rsidRPr="008B2259" w:rsidRDefault="009368F7" w:rsidP="00CD4C7B">
      <w:pPr>
        <w:rPr>
          <w:i/>
          <w:highlight w:val="yellow"/>
        </w:rPr>
      </w:pPr>
    </w:p>
    <w:p w14:paraId="61C16FC4" w14:textId="77777777" w:rsidR="00CD4C7B" w:rsidRPr="006E13D1" w:rsidRDefault="00CD4C7B" w:rsidP="00CD4C7B">
      <w:pPr>
        <w:pStyle w:val="Heading1"/>
      </w:pPr>
      <w:r w:rsidRPr="006E13D1">
        <w:t>References</w:t>
      </w:r>
    </w:p>
    <w:p w14:paraId="54E9A0DF" w14:textId="77777777" w:rsidR="00171463" w:rsidRPr="00931472" w:rsidRDefault="00171463" w:rsidP="00171463">
      <w:pPr>
        <w:numPr>
          <w:ilvl w:val="0"/>
          <w:numId w:val="4"/>
        </w:numPr>
        <w:overflowPunct w:val="0"/>
        <w:autoSpaceDE w:val="0"/>
        <w:autoSpaceDN w:val="0"/>
        <w:adjustRightInd w:val="0"/>
        <w:textAlignment w:val="baseline"/>
        <w:rPr>
          <w:sz w:val="18"/>
          <w:lang w:eastAsia="zh-CN"/>
        </w:rPr>
      </w:pPr>
      <w:r w:rsidRPr="000F2E1F">
        <w:rPr>
          <w:sz w:val="18"/>
          <w:lang w:eastAsia="zh-CN"/>
        </w:rPr>
        <w:t>RP-160671, “</w:t>
      </w:r>
      <w:r w:rsidRPr="008268CE">
        <w:rPr>
          <w:sz w:val="18"/>
          <w:lang w:eastAsia="zh-CN"/>
        </w:rPr>
        <w:t>Study on New Radio Access Technology</w:t>
      </w:r>
      <w:r>
        <w:rPr>
          <w:sz w:val="18"/>
          <w:lang w:eastAsia="zh-CN"/>
        </w:rPr>
        <w:t>”, NTT DOCOMO</w:t>
      </w:r>
      <w:r w:rsidR="00CD7510">
        <w:rPr>
          <w:sz w:val="18"/>
          <w:lang w:eastAsia="zh-CN"/>
        </w:rPr>
        <w:t>, INC.</w:t>
      </w:r>
    </w:p>
    <w:p w14:paraId="21CD6FB8" w14:textId="6D9B2F04" w:rsidR="00171463" w:rsidRDefault="00171463" w:rsidP="00171463">
      <w:pPr>
        <w:numPr>
          <w:ilvl w:val="0"/>
          <w:numId w:val="4"/>
        </w:numPr>
        <w:overflowPunct w:val="0"/>
        <w:autoSpaceDE w:val="0"/>
        <w:autoSpaceDN w:val="0"/>
        <w:adjustRightInd w:val="0"/>
        <w:textAlignment w:val="baseline"/>
        <w:rPr>
          <w:sz w:val="18"/>
          <w:lang w:eastAsia="zh-CN"/>
        </w:rPr>
      </w:pPr>
      <w:r w:rsidRPr="000F2E1F">
        <w:rPr>
          <w:sz w:val="18"/>
          <w:lang w:eastAsia="zh-CN"/>
        </w:rPr>
        <w:t>TR 38.913</w:t>
      </w:r>
      <w:r w:rsidR="00B84530">
        <w:rPr>
          <w:sz w:val="18"/>
          <w:lang w:eastAsia="zh-CN"/>
        </w:rPr>
        <w:t xml:space="preserve"> V0.4.0 (2016-06)</w:t>
      </w:r>
      <w:r w:rsidRPr="000F2E1F">
        <w:rPr>
          <w:sz w:val="18"/>
          <w:lang w:eastAsia="zh-CN"/>
        </w:rPr>
        <w:t>, “</w:t>
      </w:r>
      <w:r w:rsidRPr="008268CE">
        <w:rPr>
          <w:sz w:val="18"/>
          <w:lang w:eastAsia="zh-CN"/>
        </w:rPr>
        <w:t>Study on Scenarios and Requirements for Next Generation Access Technologies</w:t>
      </w:r>
      <w:r w:rsidRPr="000F2E1F">
        <w:rPr>
          <w:sz w:val="18"/>
          <w:lang w:eastAsia="zh-CN"/>
        </w:rPr>
        <w:t>”, 3GPP</w:t>
      </w:r>
    </w:p>
    <w:p w14:paraId="46582194" w14:textId="0288184E" w:rsidR="00080512" w:rsidRPr="008268CE" w:rsidRDefault="00763A99" w:rsidP="00B3671D">
      <w:pPr>
        <w:numPr>
          <w:ilvl w:val="0"/>
          <w:numId w:val="4"/>
        </w:numPr>
        <w:overflowPunct w:val="0"/>
        <w:autoSpaceDE w:val="0"/>
        <w:autoSpaceDN w:val="0"/>
        <w:adjustRightInd w:val="0"/>
        <w:textAlignment w:val="baseline"/>
        <w:rPr>
          <w:sz w:val="18"/>
          <w:lang w:eastAsia="zh-CN"/>
        </w:rPr>
      </w:pPr>
      <w:bookmarkStart w:id="3" w:name="_GoBack"/>
      <w:bookmarkEnd w:id="3"/>
      <w:r w:rsidRPr="008268CE">
        <w:rPr>
          <w:sz w:val="18"/>
          <w:lang w:eastAsia="zh-CN"/>
        </w:rPr>
        <w:t>R1-167297, “[85-18] PA assumptions for NR; Email discussion summary”, Nokia, Alcatel-Lucent Shanghai Bell, August 2016</w:t>
      </w: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614F3" w14:textId="77777777" w:rsidR="00692C6F" w:rsidRDefault="00692C6F">
      <w:r>
        <w:separator/>
      </w:r>
    </w:p>
  </w:endnote>
  <w:endnote w:type="continuationSeparator" w:id="0">
    <w:p w14:paraId="56A59E89" w14:textId="77777777" w:rsidR="00692C6F" w:rsidRDefault="00692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0A206" w14:textId="77777777" w:rsidR="00692C6F" w:rsidRDefault="00692C6F">
      <w:r>
        <w:separator/>
      </w:r>
    </w:p>
  </w:footnote>
  <w:footnote w:type="continuationSeparator" w:id="0">
    <w:p w14:paraId="7E79A6D5" w14:textId="77777777" w:rsidR="00692C6F" w:rsidRDefault="00692C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3"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lvlOverride w:ilvl="0">
      <w:startOverride w:val="1"/>
    </w:lvlOverride>
    <w:lvlOverride w:ilvl="1"/>
    <w:lvlOverride w:ilvl="2"/>
    <w:lvlOverride w:ilvl="3"/>
    <w:lvlOverride w:ilvl="4"/>
    <w:lvlOverride w:ilvl="5"/>
    <w:lvlOverride w:ilvl="6"/>
    <w:lvlOverride w:ilvl="7"/>
    <w:lvlOverride w:ilvl="8"/>
  </w:num>
  <w:num w:numId="6">
    <w:abstractNumId w:val="5"/>
  </w:num>
  <w:num w:numId="7">
    <w:abstractNumId w:val="2"/>
  </w:num>
  <w:num w:numId="8">
    <w:abstractNumId w:val="10"/>
  </w:num>
  <w:num w:numId="9">
    <w:abstractNumId w:val="4"/>
  </w:num>
  <w:num w:numId="10">
    <w:abstractNumId w:val="7"/>
  </w:num>
  <w:num w:numId="11">
    <w:abstractNumId w:val="3"/>
  </w:num>
  <w:num w:numId="12">
    <w:abstractNumId w:val="11"/>
  </w:num>
  <w:num w:numId="13">
    <w:abstractNumId w:val="10"/>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938"/>
    <w:rsid w:val="00017313"/>
    <w:rsid w:val="00030689"/>
    <w:rsid w:val="00033397"/>
    <w:rsid w:val="000365B5"/>
    <w:rsid w:val="00040095"/>
    <w:rsid w:val="00073190"/>
    <w:rsid w:val="0007527A"/>
    <w:rsid w:val="00080512"/>
    <w:rsid w:val="000830B8"/>
    <w:rsid w:val="00090468"/>
    <w:rsid w:val="00092463"/>
    <w:rsid w:val="000A1A7C"/>
    <w:rsid w:val="000A4929"/>
    <w:rsid w:val="000B120E"/>
    <w:rsid w:val="000B6309"/>
    <w:rsid w:val="000B7BCF"/>
    <w:rsid w:val="000C02E7"/>
    <w:rsid w:val="000C250C"/>
    <w:rsid w:val="000C522B"/>
    <w:rsid w:val="000D58AB"/>
    <w:rsid w:val="000D64D4"/>
    <w:rsid w:val="000D771B"/>
    <w:rsid w:val="000F583D"/>
    <w:rsid w:val="000F7070"/>
    <w:rsid w:val="00103E62"/>
    <w:rsid w:val="00147B64"/>
    <w:rsid w:val="001509A1"/>
    <w:rsid w:val="00156982"/>
    <w:rsid w:val="00171463"/>
    <w:rsid w:val="00172D1A"/>
    <w:rsid w:val="001741A0"/>
    <w:rsid w:val="00176E94"/>
    <w:rsid w:val="00183421"/>
    <w:rsid w:val="001842C2"/>
    <w:rsid w:val="0018583D"/>
    <w:rsid w:val="001863F5"/>
    <w:rsid w:val="00194CD0"/>
    <w:rsid w:val="00194E93"/>
    <w:rsid w:val="001B49C9"/>
    <w:rsid w:val="001D3BFF"/>
    <w:rsid w:val="001D662B"/>
    <w:rsid w:val="001D68E2"/>
    <w:rsid w:val="001E5E16"/>
    <w:rsid w:val="001F168B"/>
    <w:rsid w:val="001F36CE"/>
    <w:rsid w:val="001F7831"/>
    <w:rsid w:val="00201C2F"/>
    <w:rsid w:val="00204045"/>
    <w:rsid w:val="00217539"/>
    <w:rsid w:val="002220DD"/>
    <w:rsid w:val="0022606D"/>
    <w:rsid w:val="00241B8E"/>
    <w:rsid w:val="002519DA"/>
    <w:rsid w:val="00256F2C"/>
    <w:rsid w:val="002710CA"/>
    <w:rsid w:val="002747EC"/>
    <w:rsid w:val="00283F97"/>
    <w:rsid w:val="00284494"/>
    <w:rsid w:val="002855BF"/>
    <w:rsid w:val="00290BB8"/>
    <w:rsid w:val="002C52AF"/>
    <w:rsid w:val="002C7FDB"/>
    <w:rsid w:val="002D3588"/>
    <w:rsid w:val="002F0D22"/>
    <w:rsid w:val="0030003D"/>
    <w:rsid w:val="00304A8D"/>
    <w:rsid w:val="00316195"/>
    <w:rsid w:val="003172DC"/>
    <w:rsid w:val="00325B90"/>
    <w:rsid w:val="00326069"/>
    <w:rsid w:val="00352D97"/>
    <w:rsid w:val="0035462D"/>
    <w:rsid w:val="0035791B"/>
    <w:rsid w:val="00370277"/>
    <w:rsid w:val="00384421"/>
    <w:rsid w:val="003A4E98"/>
    <w:rsid w:val="003A5A3E"/>
    <w:rsid w:val="003C4E37"/>
    <w:rsid w:val="003D6E96"/>
    <w:rsid w:val="003E16BE"/>
    <w:rsid w:val="00401855"/>
    <w:rsid w:val="0043021C"/>
    <w:rsid w:val="00432EA4"/>
    <w:rsid w:val="00445AB5"/>
    <w:rsid w:val="00466118"/>
    <w:rsid w:val="00476542"/>
    <w:rsid w:val="00477455"/>
    <w:rsid w:val="004813D0"/>
    <w:rsid w:val="00482066"/>
    <w:rsid w:val="004A0324"/>
    <w:rsid w:val="004A4285"/>
    <w:rsid w:val="004A51E7"/>
    <w:rsid w:val="004B4FB4"/>
    <w:rsid w:val="004D2FAA"/>
    <w:rsid w:val="004D3578"/>
    <w:rsid w:val="004D380D"/>
    <w:rsid w:val="004E213A"/>
    <w:rsid w:val="00503171"/>
    <w:rsid w:val="00506060"/>
    <w:rsid w:val="00534DA0"/>
    <w:rsid w:val="00540EF4"/>
    <w:rsid w:val="00543E6C"/>
    <w:rsid w:val="00565087"/>
    <w:rsid w:val="0056573F"/>
    <w:rsid w:val="0059000D"/>
    <w:rsid w:val="00592A31"/>
    <w:rsid w:val="005935C6"/>
    <w:rsid w:val="005B0554"/>
    <w:rsid w:val="005B3245"/>
    <w:rsid w:val="005C0FDB"/>
    <w:rsid w:val="005C2293"/>
    <w:rsid w:val="005D343C"/>
    <w:rsid w:val="005F5C79"/>
    <w:rsid w:val="00600984"/>
    <w:rsid w:val="00611566"/>
    <w:rsid w:val="00625433"/>
    <w:rsid w:val="0064349F"/>
    <w:rsid w:val="00646D99"/>
    <w:rsid w:val="006516F9"/>
    <w:rsid w:val="00656910"/>
    <w:rsid w:val="00664B16"/>
    <w:rsid w:val="00665F61"/>
    <w:rsid w:val="006776D1"/>
    <w:rsid w:val="0068143A"/>
    <w:rsid w:val="00685F26"/>
    <w:rsid w:val="00692C6F"/>
    <w:rsid w:val="006A0B35"/>
    <w:rsid w:val="006A28E7"/>
    <w:rsid w:val="006B19D5"/>
    <w:rsid w:val="006B6C1A"/>
    <w:rsid w:val="006C48CB"/>
    <w:rsid w:val="006C66D8"/>
    <w:rsid w:val="006C7481"/>
    <w:rsid w:val="006D1E24"/>
    <w:rsid w:val="006F6A2C"/>
    <w:rsid w:val="00702306"/>
    <w:rsid w:val="007201A8"/>
    <w:rsid w:val="00726ECF"/>
    <w:rsid w:val="00734A5B"/>
    <w:rsid w:val="00744E76"/>
    <w:rsid w:val="00745DF4"/>
    <w:rsid w:val="00751E84"/>
    <w:rsid w:val="00757D40"/>
    <w:rsid w:val="00763A99"/>
    <w:rsid w:val="00773A5C"/>
    <w:rsid w:val="00781F0F"/>
    <w:rsid w:val="0078727C"/>
    <w:rsid w:val="00794703"/>
    <w:rsid w:val="007B18D8"/>
    <w:rsid w:val="007C095F"/>
    <w:rsid w:val="008028A4"/>
    <w:rsid w:val="00803572"/>
    <w:rsid w:val="008268CE"/>
    <w:rsid w:val="008314F0"/>
    <w:rsid w:val="00834AD1"/>
    <w:rsid w:val="008531D2"/>
    <w:rsid w:val="0086539A"/>
    <w:rsid w:val="008663F0"/>
    <w:rsid w:val="0086716D"/>
    <w:rsid w:val="0087443D"/>
    <w:rsid w:val="008768CA"/>
    <w:rsid w:val="00880559"/>
    <w:rsid w:val="00883564"/>
    <w:rsid w:val="008840FF"/>
    <w:rsid w:val="00884944"/>
    <w:rsid w:val="00886976"/>
    <w:rsid w:val="00886E81"/>
    <w:rsid w:val="008A1F7A"/>
    <w:rsid w:val="008B0648"/>
    <w:rsid w:val="008B2259"/>
    <w:rsid w:val="008C3221"/>
    <w:rsid w:val="008D7B95"/>
    <w:rsid w:val="0090271F"/>
    <w:rsid w:val="0091687F"/>
    <w:rsid w:val="00916B4F"/>
    <w:rsid w:val="009175D3"/>
    <w:rsid w:val="00933E02"/>
    <w:rsid w:val="009368F7"/>
    <w:rsid w:val="00937E12"/>
    <w:rsid w:val="00942EC2"/>
    <w:rsid w:val="00947DEC"/>
    <w:rsid w:val="00961B32"/>
    <w:rsid w:val="009664FF"/>
    <w:rsid w:val="00974BB0"/>
    <w:rsid w:val="00977040"/>
    <w:rsid w:val="009802BA"/>
    <w:rsid w:val="00980D60"/>
    <w:rsid w:val="00983994"/>
    <w:rsid w:val="009957D3"/>
    <w:rsid w:val="009B07CD"/>
    <w:rsid w:val="009C0FC4"/>
    <w:rsid w:val="009C6446"/>
    <w:rsid w:val="009C7434"/>
    <w:rsid w:val="009D547F"/>
    <w:rsid w:val="009E6120"/>
    <w:rsid w:val="009E7A4D"/>
    <w:rsid w:val="009F6E12"/>
    <w:rsid w:val="00A10F02"/>
    <w:rsid w:val="00A14B2B"/>
    <w:rsid w:val="00A36BCE"/>
    <w:rsid w:val="00A41AF6"/>
    <w:rsid w:val="00A45FE2"/>
    <w:rsid w:val="00A53724"/>
    <w:rsid w:val="00A575A8"/>
    <w:rsid w:val="00A70614"/>
    <w:rsid w:val="00A7177C"/>
    <w:rsid w:val="00A82346"/>
    <w:rsid w:val="00A9671C"/>
    <w:rsid w:val="00AA5E39"/>
    <w:rsid w:val="00AC4BFF"/>
    <w:rsid w:val="00AD0ACD"/>
    <w:rsid w:val="00AF3271"/>
    <w:rsid w:val="00B00D9F"/>
    <w:rsid w:val="00B00FC1"/>
    <w:rsid w:val="00B075FF"/>
    <w:rsid w:val="00B151BE"/>
    <w:rsid w:val="00B15449"/>
    <w:rsid w:val="00B21FDB"/>
    <w:rsid w:val="00B22A1E"/>
    <w:rsid w:val="00B3671D"/>
    <w:rsid w:val="00B36A57"/>
    <w:rsid w:val="00B37D83"/>
    <w:rsid w:val="00B403B3"/>
    <w:rsid w:val="00B419A4"/>
    <w:rsid w:val="00B421F2"/>
    <w:rsid w:val="00B47FD1"/>
    <w:rsid w:val="00B52126"/>
    <w:rsid w:val="00B643EA"/>
    <w:rsid w:val="00B729FF"/>
    <w:rsid w:val="00B75553"/>
    <w:rsid w:val="00B84530"/>
    <w:rsid w:val="00B858DB"/>
    <w:rsid w:val="00B958F1"/>
    <w:rsid w:val="00B96C86"/>
    <w:rsid w:val="00BA0577"/>
    <w:rsid w:val="00BA247D"/>
    <w:rsid w:val="00BB2E05"/>
    <w:rsid w:val="00BE5542"/>
    <w:rsid w:val="00BF021E"/>
    <w:rsid w:val="00BF7487"/>
    <w:rsid w:val="00C013D6"/>
    <w:rsid w:val="00C10CB9"/>
    <w:rsid w:val="00C12B51"/>
    <w:rsid w:val="00C16CAB"/>
    <w:rsid w:val="00C2422B"/>
    <w:rsid w:val="00C33079"/>
    <w:rsid w:val="00C57DCA"/>
    <w:rsid w:val="00C608C8"/>
    <w:rsid w:val="00C659DA"/>
    <w:rsid w:val="00C67C94"/>
    <w:rsid w:val="00C83A13"/>
    <w:rsid w:val="00CA3D0C"/>
    <w:rsid w:val="00CB7E17"/>
    <w:rsid w:val="00CC1E29"/>
    <w:rsid w:val="00CD4C7B"/>
    <w:rsid w:val="00CD7510"/>
    <w:rsid w:val="00CE0A31"/>
    <w:rsid w:val="00CF14BD"/>
    <w:rsid w:val="00CF18E5"/>
    <w:rsid w:val="00D20564"/>
    <w:rsid w:val="00D30C3E"/>
    <w:rsid w:val="00D70829"/>
    <w:rsid w:val="00D70CC2"/>
    <w:rsid w:val="00D738D6"/>
    <w:rsid w:val="00D80795"/>
    <w:rsid w:val="00D87E00"/>
    <w:rsid w:val="00D9134D"/>
    <w:rsid w:val="00D94F9F"/>
    <w:rsid w:val="00D96D11"/>
    <w:rsid w:val="00DA3EDB"/>
    <w:rsid w:val="00DA7A03"/>
    <w:rsid w:val="00DB1818"/>
    <w:rsid w:val="00DC309B"/>
    <w:rsid w:val="00DC4DA2"/>
    <w:rsid w:val="00DF59E1"/>
    <w:rsid w:val="00DF739E"/>
    <w:rsid w:val="00E223B2"/>
    <w:rsid w:val="00E53962"/>
    <w:rsid w:val="00E6140C"/>
    <w:rsid w:val="00E62835"/>
    <w:rsid w:val="00E63184"/>
    <w:rsid w:val="00E67834"/>
    <w:rsid w:val="00E743E5"/>
    <w:rsid w:val="00E77645"/>
    <w:rsid w:val="00E80B82"/>
    <w:rsid w:val="00E92666"/>
    <w:rsid w:val="00E9454B"/>
    <w:rsid w:val="00EA05AE"/>
    <w:rsid w:val="00EA399D"/>
    <w:rsid w:val="00EB2948"/>
    <w:rsid w:val="00EC4A25"/>
    <w:rsid w:val="00F025A2"/>
    <w:rsid w:val="00F07388"/>
    <w:rsid w:val="00F078C8"/>
    <w:rsid w:val="00F139BA"/>
    <w:rsid w:val="00F2026E"/>
    <w:rsid w:val="00F2210A"/>
    <w:rsid w:val="00F360F1"/>
    <w:rsid w:val="00F37743"/>
    <w:rsid w:val="00F419F4"/>
    <w:rsid w:val="00F54A3D"/>
    <w:rsid w:val="00F57A8E"/>
    <w:rsid w:val="00F653B8"/>
    <w:rsid w:val="00F6613D"/>
    <w:rsid w:val="00F746ED"/>
    <w:rsid w:val="00F76F8F"/>
    <w:rsid w:val="00F82E70"/>
    <w:rsid w:val="00F83E7E"/>
    <w:rsid w:val="00F86180"/>
    <w:rsid w:val="00F909AE"/>
    <w:rsid w:val="00F9789D"/>
    <w:rsid w:val="00FA1266"/>
    <w:rsid w:val="00FB66B2"/>
    <w:rsid w:val="00FB7208"/>
    <w:rsid w:val="00FC1192"/>
    <w:rsid w:val="00FC562B"/>
    <w:rsid w:val="00FC6C6F"/>
    <w:rsid w:val="00FD00C4"/>
    <w:rsid w:val="00FD4976"/>
    <w:rsid w:val="00FD5D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png@01D1D918.FEFE5BA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27FAB-3909-40CE-923A-101E64337E2B}">
  <ds:schemaRefs>
    <ds:schemaRef ds:uri="http://schemas.microsoft.com/sharepoint/v3/contenttype/forms"/>
  </ds:schemaRefs>
</ds:datastoreItem>
</file>

<file path=customXml/itemProps2.xml><?xml version="1.0" encoding="utf-8"?>
<ds:datastoreItem xmlns:ds="http://schemas.openxmlformats.org/officeDocument/2006/customXml" ds:itemID="{45E1BE43-0B12-4DF0-BCEF-2D4941C522B5}">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4CC10473-7FD6-4854-A2D8-8909AC48A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042858-D915-446E-86E2-046D88C5D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1351</Words>
  <Characters>7706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9039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
  <cp:lastModifiedBy>Ranta-Aho, Karri (Nokia - FI/Espoo)</cp:lastModifiedBy>
  <cp:revision>2</cp:revision>
  <dcterms:created xsi:type="dcterms:W3CDTF">2016-08-12T18:21:00Z</dcterms:created>
  <dcterms:modified xsi:type="dcterms:W3CDTF">2016-08-12T18:21:00Z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