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9CC" w:rsidRPr="00A05E64" w:rsidRDefault="00326A9C" w:rsidP="004549CC">
      <w:pPr>
        <w:pStyle w:val="TdocHeader2"/>
        <w:tabs>
          <w:tab w:val="clear" w:pos="1701"/>
          <w:tab w:val="clear" w:pos="9072"/>
          <w:tab w:val="right" w:pos="9630"/>
        </w:tabs>
        <w:rPr>
          <w:rFonts w:eastAsia="Times New Roman" w:cs="Arial"/>
          <w:bCs/>
          <w:noProof/>
          <w:sz w:val="22"/>
          <w:szCs w:val="18"/>
          <w:lang w:val="en-US" w:eastAsia="zh-CN"/>
        </w:rPr>
      </w:pPr>
      <w:bookmarkStart w:id="0" w:name="OLE_LINK1"/>
      <w:bookmarkStart w:id="1" w:name="OLE_LINK2"/>
      <w:bookmarkStart w:id="2" w:name="_GoBack"/>
      <w:bookmarkEnd w:id="2"/>
      <w:r>
        <w:rPr>
          <w:rFonts w:eastAsia="Times New Roman" w:cs="Arial"/>
          <w:bCs/>
          <w:noProof/>
          <w:sz w:val="22"/>
          <w:szCs w:val="18"/>
          <w:lang w:val="en-US" w:eastAsia="zh-CN"/>
        </w:rPr>
        <w:t>3GPP TSG RAN WGX Meeting #</w:t>
      </w:r>
      <w:r w:rsidR="004549CC" w:rsidRPr="00A05E64">
        <w:rPr>
          <w:rFonts w:eastAsia="Times New Roman" w:cs="Arial"/>
          <w:bCs/>
          <w:noProof/>
          <w:sz w:val="22"/>
          <w:szCs w:val="18"/>
          <w:lang w:val="en-US" w:eastAsia="zh-CN"/>
        </w:rPr>
        <w:t>8</w:t>
      </w:r>
      <w:r>
        <w:rPr>
          <w:rFonts w:eastAsia="Times New Roman" w:cs="Arial"/>
          <w:bCs/>
          <w:noProof/>
          <w:sz w:val="22"/>
          <w:szCs w:val="18"/>
          <w:lang w:val="en-US" w:eastAsia="zh-CN"/>
        </w:rPr>
        <w:t>6</w:t>
      </w:r>
      <w:r w:rsidR="004549CC" w:rsidRPr="00A05E64">
        <w:rPr>
          <w:rFonts w:eastAsia="Times New Roman" w:cs="Arial"/>
          <w:bCs/>
          <w:noProof/>
          <w:sz w:val="22"/>
          <w:szCs w:val="18"/>
          <w:lang w:val="en-US" w:eastAsia="zh-CN"/>
        </w:rPr>
        <w:tab/>
        <w:t>R1-167066</w:t>
      </w:r>
    </w:p>
    <w:p w:rsidR="004549CC" w:rsidRPr="00A05E64" w:rsidRDefault="004549CC" w:rsidP="004549CC">
      <w:pPr>
        <w:pStyle w:val="TdocHeader2"/>
        <w:rPr>
          <w:rFonts w:eastAsia="Times New Roman" w:cs="Arial"/>
          <w:bCs/>
          <w:noProof/>
          <w:sz w:val="22"/>
          <w:szCs w:val="18"/>
          <w:lang w:val="en-US" w:eastAsia="zh-CN"/>
        </w:rPr>
      </w:pPr>
      <w:r w:rsidRPr="00A05E64">
        <w:rPr>
          <w:rFonts w:eastAsia="Times New Roman" w:cs="Arial"/>
          <w:bCs/>
          <w:noProof/>
          <w:sz w:val="22"/>
          <w:szCs w:val="18"/>
          <w:lang w:val="en-US" w:eastAsia="zh-CN"/>
        </w:rPr>
        <w:t>Gothenburg, Sweden, August,  2016</w:t>
      </w:r>
    </w:p>
    <w:p w:rsidR="004549CC" w:rsidRPr="00A05E64" w:rsidRDefault="004549CC" w:rsidP="004549CC">
      <w:pPr>
        <w:pStyle w:val="TdocHeader2"/>
        <w:rPr>
          <w:sz w:val="22"/>
          <w:lang w:val="en-US"/>
        </w:rPr>
      </w:pPr>
    </w:p>
    <w:p w:rsidR="004549CC" w:rsidRPr="00A05E64" w:rsidRDefault="004549CC" w:rsidP="004549CC">
      <w:pPr>
        <w:pStyle w:val="TdocHeader2"/>
        <w:rPr>
          <w:sz w:val="22"/>
          <w:lang w:val="en-US"/>
        </w:rPr>
      </w:pPr>
      <w:r w:rsidRPr="00A05E64">
        <w:rPr>
          <w:sz w:val="22"/>
          <w:lang w:val="en-US"/>
        </w:rPr>
        <w:t xml:space="preserve">Source: </w:t>
      </w:r>
      <w:r w:rsidRPr="00A05E64">
        <w:rPr>
          <w:sz w:val="22"/>
          <w:lang w:val="en-US"/>
        </w:rPr>
        <w:tab/>
        <w:t>Ericsson</w:t>
      </w:r>
    </w:p>
    <w:p w:rsidR="004549CC" w:rsidRPr="00A05E64" w:rsidRDefault="004549CC" w:rsidP="004549CC">
      <w:pPr>
        <w:pStyle w:val="TdocHeader2"/>
        <w:rPr>
          <w:sz w:val="22"/>
          <w:lang w:val="en-US"/>
        </w:rPr>
      </w:pPr>
      <w:r w:rsidRPr="00A05E64">
        <w:rPr>
          <w:sz w:val="22"/>
          <w:lang w:val="en-US"/>
        </w:rPr>
        <w:t>Title:</w:t>
      </w:r>
      <w:bookmarkStart w:id="3" w:name="Title"/>
      <w:bookmarkEnd w:id="3"/>
      <w:r w:rsidRPr="00A05E64">
        <w:rPr>
          <w:sz w:val="22"/>
          <w:lang w:val="en-US"/>
        </w:rPr>
        <w:tab/>
        <w:t>On autonomous UL transmissions for NR in unlicensed spectrum</w:t>
      </w:r>
    </w:p>
    <w:p w:rsidR="004549CC" w:rsidRPr="00A05E64" w:rsidRDefault="004549CC" w:rsidP="004549CC">
      <w:pPr>
        <w:pStyle w:val="TdocHeader2"/>
        <w:rPr>
          <w:sz w:val="22"/>
          <w:lang w:val="en-US"/>
        </w:rPr>
      </w:pPr>
      <w:r w:rsidRPr="00A05E64">
        <w:rPr>
          <w:sz w:val="22"/>
          <w:lang w:val="en-US"/>
        </w:rPr>
        <w:t>Agenda Item:</w:t>
      </w:r>
      <w:r w:rsidRPr="00A05E64">
        <w:rPr>
          <w:sz w:val="22"/>
          <w:lang w:val="en-US"/>
        </w:rPr>
        <w:tab/>
      </w:r>
      <w:r w:rsidRPr="00A05E64">
        <w:rPr>
          <w:bCs/>
          <w:iCs/>
          <w:sz w:val="22"/>
        </w:rPr>
        <w:t>8.1.8</w:t>
      </w:r>
    </w:p>
    <w:p w:rsidR="004549CC" w:rsidRPr="00A05E64" w:rsidRDefault="004549CC" w:rsidP="004549CC">
      <w:pPr>
        <w:pStyle w:val="TdocHeader2"/>
        <w:rPr>
          <w:sz w:val="22"/>
          <w:lang w:val="en-US"/>
        </w:rPr>
      </w:pPr>
      <w:r w:rsidRPr="00A05E64">
        <w:rPr>
          <w:sz w:val="22"/>
          <w:lang w:val="en-US"/>
        </w:rPr>
        <w:t>Document for:</w:t>
      </w:r>
      <w:r w:rsidRPr="00A05E64">
        <w:rPr>
          <w:sz w:val="22"/>
          <w:lang w:val="en-US"/>
        </w:rPr>
        <w:tab/>
        <w:t>Discussion and Decision</w:t>
      </w:r>
    </w:p>
    <w:p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rsidR="004549CC" w:rsidRPr="0035671C" w:rsidRDefault="004549CC" w:rsidP="00A05E64">
      <w:pPr>
        <w:pStyle w:val="BodyText"/>
      </w:pPr>
      <w:r w:rsidRPr="0035671C">
        <w:t xml:space="preserve">The NR standard is being developed to support spectral efficient operation as well as low latency. </w:t>
      </w:r>
      <w:r>
        <w:t xml:space="preserve">For unlicensed spectrum in particular low latency between packet interactions can be of high importance to reduce the need for time-consuming LBT procedures. </w:t>
      </w:r>
    </w:p>
    <w:p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rsidR="004549CC" w:rsidRPr="00A05E64" w:rsidRDefault="004549CC" w:rsidP="00A05E64">
      <w:pPr>
        <w:pStyle w:val="BodyText"/>
        <w:rPr>
          <w:szCs w:val="22"/>
        </w:rPr>
      </w:pPr>
      <w:r w:rsidRPr="00A05E64">
        <w:rPr>
          <w:szCs w:val="22"/>
        </w:rPr>
        <w:t xml:space="preserve">For stand-alone and for “dual-connectivity” like deployments on a semi-persistently allocated uplink resource is needed in order for the UE to request uplink resources. For unlicensed spectrum this resource should be used first after successful LBT. </w:t>
      </w:r>
    </w:p>
    <w:p w:rsidR="004549CC" w:rsidRPr="00A05E64" w:rsidRDefault="004549CC" w:rsidP="00A05E64">
      <w:pPr>
        <w:pStyle w:val="BodyText"/>
        <w:rPr>
          <w:szCs w:val="22"/>
        </w:rPr>
      </w:pPr>
      <w:r w:rsidRPr="00A05E64">
        <w:rPr>
          <w:szCs w:val="22"/>
        </w:rPr>
        <w:t xml:space="preserve">Since the resource need to be semi-statically allocated and frequent to keep latency low it is important to consider the overhead of each allocation. Overhead can be kept low by allocating a very small resource, e.g. a single bit D-SR in LTE, to enabling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5" w:name="_Toc450768826"/>
      <w:bookmarkStart w:id="6" w:name="_Toc450768876"/>
      <w:bookmarkEnd w:id="5"/>
      <w:bookmarkEnd w:id="6"/>
      <w:r w:rsidRPr="00A05E64">
        <w:rPr>
          <w:b/>
          <w:bCs/>
          <w:sz w:val="22"/>
          <w:szCs w:val="22"/>
        </w:rPr>
        <w:t>SR resources needs to have a low overhead for large amount of allocated resources to enable frequent opportunities</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w:t>
      </w:r>
      <w:proofErr w:type="gramStart"/>
      <w:r w:rsidRPr="00A05E64">
        <w:rPr>
          <w:szCs w:val="22"/>
        </w:rPr>
        <w:t>The drawback of introducing a larger resource to carry also data messages in the potentially increased overhead, since this resource that is not always utilized and often need to have worse link adaptation.</w:t>
      </w:r>
      <w:proofErr w:type="gramEnd"/>
      <w:r w:rsidRPr="00A05E64">
        <w:rPr>
          <w:szCs w:val="22"/>
        </w:rPr>
        <w:t xml:space="preserve"> The overhead of the channel is determined by how </w:t>
      </w:r>
      <w:proofErr w:type="gramStart"/>
      <w:r w:rsidRPr="00A05E64">
        <w:rPr>
          <w:szCs w:val="22"/>
        </w:rPr>
        <w:t>much resources</w:t>
      </w:r>
      <w:proofErr w:type="gramEnd"/>
      <w:r w:rsidRPr="00A05E64">
        <w:rPr>
          <w:szCs w:val="22"/>
        </w:rPr>
        <w:t xml:space="preserve">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w:t>
      </w:r>
      <w:proofErr w:type="spellStart"/>
      <w:r w:rsidRPr="00A05E64">
        <w:rPr>
          <w:szCs w:val="22"/>
        </w:rPr>
        <w:t>subframe</w:t>
      </w:r>
      <w:proofErr w:type="spellEnd"/>
      <w:r w:rsidRPr="00A05E64">
        <w:rPr>
          <w:szCs w:val="22"/>
        </w:rPr>
        <w:t xml:space="preserve"> compared to autonomous transmissions. One can consider employing such channel checking approach also on licensed carriers at least for systems with time division duplex. Other means for controlling access should also be studied.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With reduced </w:t>
      </w:r>
      <w:proofErr w:type="spellStart"/>
      <w:r w:rsidRPr="00A05E64">
        <w:rPr>
          <w:szCs w:val="22"/>
        </w:rPr>
        <w:t>subframe</w:t>
      </w:r>
      <w:proofErr w:type="spellEnd"/>
      <w:r w:rsidRPr="00A05E64">
        <w:rPr>
          <w:szCs w:val="22"/>
        </w:rPr>
        <w:t xml:space="preserve"> duration and processing the latency improvement may be significantly smaller and the need to use autonomous transmissions may be significantly reduced. For NR we should target to enable processing delays and frame structures that are good enough to enable responsive processing for each message [1].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lastRenderedPageBreak/>
        <w:t>In NR the need for utilizing autonomous uplink is reduced, if processing delay of SR and uplink grants are significantly reduced compared to LTE</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rsidR="004549CC" w:rsidRPr="00A05E64" w:rsidRDefault="004549CC" w:rsidP="00A05E64">
      <w:pPr>
        <w:pStyle w:val="BodyText"/>
        <w:rPr>
          <w:szCs w:val="22"/>
        </w:rPr>
      </w:pPr>
      <w:r w:rsidRPr="00A05E64">
        <w:rPr>
          <w:szCs w:val="22"/>
        </w:rPr>
        <w:t xml:space="preserve">Since unlicensed carriers mandate LBT before transmission multiplexing multiple a “SR” channel with other user’s data transmissions mandates all transmissions to start simultaneously to enable “shared” LBT windows. This may require different SR formats dependent on if SR is multiplexed with uplink data transmissions of other users or not. </w:t>
      </w:r>
    </w:p>
    <w:p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 needs further study</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w:t>
      </w:r>
      <w:proofErr w:type="spellStart"/>
      <w:r w:rsidRPr="00A05E64">
        <w:rPr>
          <w:szCs w:val="22"/>
        </w:rPr>
        <w:t>signalling</w:t>
      </w:r>
      <w:proofErr w:type="spellEnd"/>
      <w:r w:rsidRPr="00A05E64">
        <w:rPr>
          <w:szCs w:val="22"/>
        </w:rPr>
        <w:t xml:space="preserve"> is considered. A small, e.g. single bit, SR provides the largest control or resources enabling spectral efficiency and user prioritization. However, as a complement also autonomous uplink data transmissions could be used.   </w:t>
      </w:r>
    </w:p>
    <w:p w:rsidR="004549CC" w:rsidRPr="00A05E64" w:rsidRDefault="004549CC" w:rsidP="004549CC">
      <w:pPr>
        <w:pStyle w:val="Proposal"/>
        <w:tabs>
          <w:tab w:val="clear" w:pos="1304"/>
        </w:tabs>
        <w:ind w:left="1701" w:hanging="1701"/>
        <w:rPr>
          <w:sz w:val="22"/>
          <w:szCs w:val="22"/>
        </w:rPr>
      </w:pPr>
      <w:bookmarkStart w:id="7" w:name="_Toc458495366"/>
      <w:r w:rsidRPr="00A05E64">
        <w:rPr>
          <w:sz w:val="22"/>
          <w:szCs w:val="22"/>
        </w:rPr>
        <w:t>At least on unlicensed spectrum</w:t>
      </w:r>
      <w:r w:rsidRPr="00A05E64">
        <w:rPr>
          <w:b w:val="0"/>
          <w:sz w:val="22"/>
          <w:szCs w:val="22"/>
        </w:rPr>
        <w:t>,</w:t>
      </w:r>
      <w:r w:rsidRPr="00A05E64">
        <w:rPr>
          <w:sz w:val="22"/>
          <w:szCs w:val="22"/>
        </w:rPr>
        <w:t xml:space="preserve"> NR support of autonomous uplink data transmissions in pre-allocated resources</w:t>
      </w:r>
      <w:bookmarkStart w:id="8" w:name="_Toc450741480"/>
      <w:r w:rsidRPr="00A05E64">
        <w:rPr>
          <w:sz w:val="22"/>
          <w:szCs w:val="22"/>
        </w:rPr>
        <w:t xml:space="preserve"> should be considered.</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rsidR="004549CC" w:rsidRPr="00A05E64" w:rsidRDefault="004549CC" w:rsidP="004549CC">
      <w:pPr>
        <w:pStyle w:val="TOC1"/>
        <w:rPr>
          <w:b w:val="0"/>
          <w:bCs/>
          <w:sz w:val="22"/>
        </w:rPr>
      </w:pPr>
      <w:r w:rsidRPr="00A05E64">
        <w:rPr>
          <w:b w:val="0"/>
          <w:bCs/>
          <w:sz w:val="22"/>
        </w:rPr>
        <w:t>Based on the discussion in section 2 we make a number of observations</w:t>
      </w:r>
    </w:p>
    <w:p w:rsidR="004549CC" w:rsidRPr="00A05E64" w:rsidRDefault="004549CC" w:rsidP="004549CC">
      <w:pPr>
        <w:pStyle w:val="TOC1"/>
        <w:rPr>
          <w:b w:val="0"/>
          <w:bCs/>
          <w:sz w:val="22"/>
        </w:rPr>
      </w:pPr>
    </w:p>
    <w:p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NR the need for utilizing autonomous uplink is reduced, if processing delay of SR and uplink grants are significantly reduced compared to LTE</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 needs further study</w:t>
      </w:r>
    </w:p>
    <w:p w:rsidR="004549CC" w:rsidRPr="00A05E64" w:rsidRDefault="004549CC" w:rsidP="004549CC">
      <w:pPr>
        <w:pStyle w:val="TOC1"/>
        <w:rPr>
          <w:b w:val="0"/>
          <w:bCs/>
          <w:sz w:val="22"/>
        </w:rPr>
      </w:pPr>
    </w:p>
    <w:p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rsidR="004549CC" w:rsidRPr="00A05E64" w:rsidRDefault="004549CC" w:rsidP="00A54953">
      <w:pPr>
        <w:pStyle w:val="TOC1"/>
        <w:tabs>
          <w:tab w:val="clear" w:pos="1701"/>
        </w:tabs>
        <w:ind w:left="1620" w:hanging="1620"/>
        <w:rPr>
          <w:rFonts w:asciiTheme="minorHAnsi" w:eastAsiaTheme="minorEastAsia" w:hAnsiTheme="minorHAnsi" w:cstheme="minorBidi"/>
          <w:b w:val="0"/>
          <w:sz w:val="24"/>
          <w:lang w:val="en-GB" w:eastAsia="sv-SE"/>
        </w:rPr>
      </w:pPr>
      <w:r w:rsidRPr="00A05E64">
        <w:rPr>
          <w:sz w:val="22"/>
        </w:rPr>
        <w:t>Proposal 1</w:t>
      </w:r>
      <w:r w:rsidRPr="00A05E64">
        <w:rPr>
          <w:rFonts w:asciiTheme="minorHAnsi" w:eastAsiaTheme="minorEastAsia" w:hAnsiTheme="minorHAnsi" w:cstheme="minorBidi"/>
          <w:b w:val="0"/>
          <w:sz w:val="24"/>
          <w:lang w:eastAsia="sv-SE"/>
        </w:rPr>
        <w:tab/>
      </w:r>
      <w:r w:rsidRPr="00A05E64">
        <w:rPr>
          <w:sz w:val="22"/>
        </w:rPr>
        <w:t>At least on unlicensed spectrum, NR support of autonomous uplink data transmissions in pre-allocated resources should be considered.</w:t>
      </w:r>
    </w:p>
    <w:p w:rsidR="004549CC" w:rsidRPr="00C77776" w:rsidRDefault="004549CC" w:rsidP="004549CC">
      <w:pPr>
        <w:pStyle w:val="TOC1"/>
        <w:rPr>
          <w:iCs/>
        </w:rPr>
      </w:pPr>
      <w:r w:rsidRPr="00A05E64">
        <w:rPr>
          <w:b w:val="0"/>
          <w:bCs/>
          <w:sz w:val="22"/>
        </w:rPr>
        <w:fldChar w:fldCharType="end"/>
      </w:r>
    </w:p>
    <w:p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rsidR="00022DEC" w:rsidRPr="004549CC" w:rsidRDefault="00022DEC" w:rsidP="004549CC">
      <w:pPr>
        <w:rPr>
          <w:b/>
        </w:rPr>
      </w:pPr>
    </w:p>
    <w:sectPr w:rsidR="00022DEC" w:rsidRPr="004549CC">
      <w:headerReference w:type="even" r:id="rId9"/>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9BF" w:rsidRDefault="001259BF">
      <w:r>
        <w:separator/>
      </w:r>
    </w:p>
  </w:endnote>
  <w:endnote w:type="continuationSeparator" w:id="0">
    <w:p w:rsidR="001259BF" w:rsidRDefault="001259BF">
      <w:r>
        <w:continuationSeparator/>
      </w:r>
    </w:p>
  </w:endnote>
  <w:endnote w:type="continuationNotice" w:id="1">
    <w:p w:rsidR="001259BF" w:rsidRDefault="00125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169AF">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69AF">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9BF" w:rsidRDefault="001259BF">
      <w:r>
        <w:separator/>
      </w:r>
    </w:p>
  </w:footnote>
  <w:footnote w:type="continuationSeparator" w:id="0">
    <w:p w:rsidR="001259BF" w:rsidRDefault="001259BF">
      <w:r>
        <w:continuationSeparator/>
      </w:r>
    </w:p>
  </w:footnote>
  <w:footnote w:type="continuationNotice" w:id="1">
    <w:p w:rsidR="001259BF" w:rsidRDefault="001259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2C7D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1259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9AF"/>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9BF"/>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F10F6-3575-4B33-B568-445374C3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984</Words>
  <Characters>5220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Stefan Parkvall</cp:lastModifiedBy>
  <cp:revision>2</cp:revision>
  <dcterms:created xsi:type="dcterms:W3CDTF">2016-08-12T19:39:00Z</dcterms:created>
  <dcterms:modified xsi:type="dcterms:W3CDTF">2016-08-12T19:39:00Z</dcterms:modified>
</cp:coreProperties>
</file>