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68490" w14:textId="3CB4B46E" w:rsidR="00A24DED" w:rsidRPr="00D77ACE" w:rsidRDefault="00A24DED" w:rsidP="00FA41C9">
      <w:pPr>
        <w:tabs>
          <w:tab w:val="right" w:pos="9360"/>
        </w:tabs>
        <w:spacing w:after="0"/>
        <w:rPr>
          <w:rFonts w:ascii="Arial" w:hAnsi="Arial" w:cs="Arial"/>
          <w:b/>
          <w:sz w:val="24"/>
          <w:szCs w:val="24"/>
          <w:lang w:val="en-US"/>
        </w:rPr>
      </w:pPr>
      <w:r>
        <w:rPr>
          <w:rFonts w:ascii="Arial" w:hAnsi="Arial" w:cs="Arial"/>
          <w:b/>
          <w:sz w:val="24"/>
          <w:szCs w:val="24"/>
          <w:lang w:val="en-US"/>
        </w:rPr>
        <w:t>3GPP TSG-RAN WG1 #</w:t>
      </w:r>
      <w:r w:rsidR="005140DC">
        <w:rPr>
          <w:rFonts w:ascii="Arial" w:hAnsi="Arial" w:cs="Arial"/>
          <w:b/>
          <w:sz w:val="24"/>
          <w:szCs w:val="24"/>
          <w:lang w:val="en-US"/>
        </w:rPr>
        <w:t>8</w:t>
      </w:r>
      <w:r w:rsidR="005D0BD0">
        <w:rPr>
          <w:rFonts w:ascii="Arial" w:hAnsi="Arial" w:cs="Arial"/>
          <w:b/>
          <w:sz w:val="24"/>
          <w:szCs w:val="24"/>
          <w:lang w:val="en-US"/>
        </w:rPr>
        <w:t>6</w:t>
      </w:r>
      <w:r>
        <w:rPr>
          <w:rFonts w:ascii="Arial" w:hAnsi="Arial" w:cs="Arial"/>
          <w:b/>
          <w:sz w:val="24"/>
          <w:szCs w:val="24"/>
          <w:lang w:val="en-US"/>
        </w:rPr>
        <w:t xml:space="preserve">                                                          </w:t>
      </w:r>
      <w:r w:rsidR="00D01A62">
        <w:rPr>
          <w:rFonts w:ascii="Arial" w:hAnsi="Arial" w:cs="Arial"/>
          <w:b/>
          <w:sz w:val="24"/>
          <w:szCs w:val="24"/>
          <w:lang w:val="en-US"/>
        </w:rPr>
        <w:tab/>
      </w:r>
      <w:r>
        <w:rPr>
          <w:rFonts w:ascii="Arial" w:hAnsi="Arial" w:cs="Arial"/>
          <w:b/>
          <w:sz w:val="24"/>
          <w:szCs w:val="24"/>
          <w:lang w:val="en-US"/>
        </w:rPr>
        <w:t xml:space="preserve">            </w:t>
      </w:r>
      <w:r w:rsidR="002A0ACF" w:rsidRPr="002A0ACF">
        <w:rPr>
          <w:rFonts w:ascii="Arial" w:hAnsi="Arial" w:cs="Arial"/>
          <w:b/>
          <w:sz w:val="24"/>
          <w:szCs w:val="24"/>
          <w:lang w:val="en-US"/>
        </w:rPr>
        <w:t>R1-</w:t>
      </w:r>
      <w:r w:rsidR="00FF2888" w:rsidRPr="002A0ACF">
        <w:rPr>
          <w:rFonts w:ascii="Arial" w:hAnsi="Arial" w:cs="Arial"/>
          <w:b/>
          <w:sz w:val="24"/>
          <w:szCs w:val="24"/>
          <w:lang w:val="en-US"/>
        </w:rPr>
        <w:t>1</w:t>
      </w:r>
      <w:r w:rsidR="005D0BD0">
        <w:rPr>
          <w:rFonts w:ascii="Arial" w:hAnsi="Arial" w:cs="Arial"/>
          <w:b/>
          <w:sz w:val="24"/>
          <w:szCs w:val="24"/>
          <w:lang w:val="en-US"/>
        </w:rPr>
        <w:t>6</w:t>
      </w:r>
      <w:r w:rsidR="00326062">
        <w:rPr>
          <w:rFonts w:ascii="Arial" w:hAnsi="Arial" w:cs="Arial"/>
          <w:b/>
          <w:sz w:val="24"/>
          <w:szCs w:val="24"/>
          <w:lang w:val="en-US"/>
        </w:rPr>
        <w:t>6259</w:t>
      </w:r>
    </w:p>
    <w:p w14:paraId="039865D4" w14:textId="77777777" w:rsidR="00A91444" w:rsidRPr="001033C9" w:rsidRDefault="00A91444" w:rsidP="00A91444">
      <w:pPr>
        <w:tabs>
          <w:tab w:val="right" w:pos="9360"/>
        </w:tabs>
        <w:spacing w:after="0"/>
        <w:rPr>
          <w:rFonts w:ascii="Arial" w:hAnsi="Arial" w:cs="Arial"/>
          <w:b/>
          <w:sz w:val="24"/>
          <w:szCs w:val="24"/>
          <w:lang w:val="en-US"/>
        </w:rPr>
      </w:pPr>
      <w:r>
        <w:rPr>
          <w:rFonts w:ascii="Arial" w:hAnsi="Arial" w:cs="Arial"/>
          <w:b/>
          <w:sz w:val="24"/>
          <w:szCs w:val="24"/>
          <w:lang w:val="en-US"/>
        </w:rPr>
        <w:t>22nd – 26th August</w:t>
      </w:r>
      <w:r w:rsidRPr="001033C9">
        <w:rPr>
          <w:rFonts w:ascii="Arial" w:hAnsi="Arial" w:cs="Arial"/>
          <w:b/>
          <w:sz w:val="24"/>
          <w:szCs w:val="24"/>
          <w:lang w:val="en-US"/>
        </w:rPr>
        <w:t>, 2016</w:t>
      </w:r>
    </w:p>
    <w:p w14:paraId="08871D82" w14:textId="77777777" w:rsidR="00651A4E" w:rsidRDefault="00A91444" w:rsidP="00A91444">
      <w:pPr>
        <w:tabs>
          <w:tab w:val="right" w:pos="9360"/>
        </w:tabs>
        <w:spacing w:after="0"/>
        <w:rPr>
          <w:rFonts w:ascii="Arial" w:hAnsi="Arial" w:cs="Arial"/>
          <w:b/>
          <w:sz w:val="24"/>
          <w:szCs w:val="24"/>
          <w:lang w:val="en-US"/>
        </w:rPr>
      </w:pPr>
      <w:r>
        <w:rPr>
          <w:rFonts w:ascii="Arial" w:hAnsi="Arial" w:cs="Arial"/>
          <w:b/>
          <w:sz w:val="24"/>
          <w:szCs w:val="24"/>
          <w:lang w:val="en-US"/>
        </w:rPr>
        <w:t>Gothenburg</w:t>
      </w:r>
      <w:r w:rsidRPr="001033C9">
        <w:rPr>
          <w:rFonts w:ascii="Arial" w:hAnsi="Arial" w:cs="Arial"/>
          <w:b/>
          <w:sz w:val="24"/>
          <w:szCs w:val="24"/>
          <w:lang w:val="en-US"/>
        </w:rPr>
        <w:t xml:space="preserve">, </w:t>
      </w:r>
      <w:r>
        <w:rPr>
          <w:rFonts w:ascii="Arial" w:hAnsi="Arial" w:cs="Arial"/>
          <w:b/>
          <w:sz w:val="24"/>
          <w:szCs w:val="24"/>
          <w:lang w:val="en-US"/>
        </w:rPr>
        <w:t>Sweden</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61D38EAF"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C0605F">
        <w:rPr>
          <w:rFonts w:ascii="Arial" w:hAnsi="Arial"/>
          <w:sz w:val="24"/>
          <w:lang w:val="en-US"/>
        </w:rPr>
        <w:t>7.</w:t>
      </w:r>
      <w:r w:rsidR="00326062">
        <w:rPr>
          <w:rFonts w:ascii="Arial" w:hAnsi="Arial"/>
          <w:sz w:val="24"/>
          <w:lang w:val="en-US"/>
        </w:rPr>
        <w:t>2.2</w:t>
      </w:r>
      <w:r w:rsidR="008F6C86">
        <w:rPr>
          <w:rFonts w:ascii="Arial" w:hAnsi="Arial"/>
          <w:sz w:val="24"/>
          <w:lang w:val="en-US"/>
        </w:rPr>
        <w:t>.</w:t>
      </w:r>
      <w:r w:rsidR="00326062">
        <w:rPr>
          <w:rFonts w:ascii="Arial" w:hAnsi="Arial"/>
          <w:sz w:val="24"/>
          <w:lang w:val="en-US"/>
        </w:rPr>
        <w:t>2.3</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23E8B87A"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326062" w:rsidRPr="00C672E4">
        <w:rPr>
          <w:rFonts w:ascii="Arial" w:hAnsi="Arial"/>
          <w:sz w:val="24"/>
          <w:lang w:val="en-US"/>
        </w:rPr>
        <w:t>Measurement metric for congestion control</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77777777" w:rsidR="00410201" w:rsidRDefault="00317899" w:rsidP="008D11BD">
      <w:pPr>
        <w:pStyle w:val="Heading1"/>
      </w:pPr>
      <w:r>
        <w:t>1</w:t>
      </w:r>
      <w:r>
        <w:tab/>
        <w:t>Introduction</w:t>
      </w:r>
    </w:p>
    <w:p w14:paraId="4608631F" w14:textId="77777777" w:rsidR="00BB13CC" w:rsidRDefault="003313C4" w:rsidP="000728E7">
      <w:r>
        <w:t>During RAN1#85</w:t>
      </w:r>
      <w:r w:rsidR="00BB13CC">
        <w:t xml:space="preserve"> the following </w:t>
      </w:r>
      <w:r w:rsidR="00532006">
        <w:t>agreements were</w:t>
      </w:r>
      <w:r w:rsidR="00BB13CC">
        <w:t xml:space="preserve"> achieved on </w:t>
      </w:r>
      <w:r w:rsidR="008F6C86">
        <w:t>measurements of congestion level for LTE V2V:</w:t>
      </w:r>
    </w:p>
    <w:p w14:paraId="4ACF6CE2" w14:textId="77777777" w:rsidR="00F94782" w:rsidRPr="00581057" w:rsidRDefault="00F94782" w:rsidP="008F6C86">
      <w:pPr>
        <w:tabs>
          <w:tab w:val="left" w:pos="8040"/>
        </w:tabs>
        <w:rPr>
          <w:rFonts w:eastAsia="SimSun"/>
          <w:b/>
          <w:i/>
          <w:highlight w:val="green"/>
          <w:u w:val="single"/>
          <w:lang w:val="en-US" w:eastAsia="zh-CN"/>
        </w:rPr>
      </w:pPr>
      <w:r w:rsidRPr="00581057">
        <w:rPr>
          <w:rFonts w:eastAsia="SimSun"/>
          <w:b/>
          <w:i/>
          <w:highlight w:val="green"/>
          <w:u w:val="single"/>
          <w:lang w:eastAsia="zh-CN"/>
        </w:rPr>
        <w:t>Agreements:</w:t>
      </w:r>
    </w:p>
    <w:p w14:paraId="12910507" w14:textId="77777777" w:rsidR="008F6C86" w:rsidRPr="00581057" w:rsidRDefault="008F6C86" w:rsidP="008F6C86">
      <w:pPr>
        <w:pStyle w:val="LGTdoc"/>
        <w:numPr>
          <w:ilvl w:val="0"/>
          <w:numId w:val="28"/>
        </w:numPr>
        <w:spacing w:afterLines="0" w:after="0" w:line="240" w:lineRule="atLeast"/>
        <w:rPr>
          <w:i/>
          <w:sz w:val="20"/>
          <w:szCs w:val="20"/>
          <w:lang w:val="en-US"/>
        </w:rPr>
      </w:pPr>
      <w:r w:rsidRPr="00581057">
        <w:rPr>
          <w:i/>
          <w:sz w:val="20"/>
          <w:szCs w:val="20"/>
          <w:lang w:val="en-US"/>
        </w:rPr>
        <w:t xml:space="preserve">A measurement metric is specified to reflect the congestion level of a PC5 carrier, e.g., similarly to the channel busy ratio defined in ETSI. </w:t>
      </w:r>
    </w:p>
    <w:p w14:paraId="607A98BC" w14:textId="77777777" w:rsidR="008F6C86" w:rsidRPr="00581057" w:rsidRDefault="008F6C86" w:rsidP="008F6C86">
      <w:pPr>
        <w:pStyle w:val="LGTdoc"/>
        <w:numPr>
          <w:ilvl w:val="1"/>
          <w:numId w:val="28"/>
        </w:numPr>
        <w:spacing w:afterLines="0" w:after="0" w:line="240" w:lineRule="atLeast"/>
        <w:rPr>
          <w:i/>
          <w:sz w:val="20"/>
          <w:szCs w:val="20"/>
          <w:lang w:val="en-US"/>
        </w:rPr>
      </w:pPr>
      <w:r w:rsidRPr="00581057">
        <w:rPr>
          <w:i/>
          <w:sz w:val="20"/>
          <w:szCs w:val="20"/>
          <w:lang w:val="en-US"/>
        </w:rPr>
        <w:t>This measurement is available to higher layers in the UE.</w:t>
      </w:r>
    </w:p>
    <w:p w14:paraId="5A42512B"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 xml:space="preserve">FFS whether the measurement can be reported to </w:t>
      </w:r>
      <w:proofErr w:type="spellStart"/>
      <w:r w:rsidRPr="00581057">
        <w:rPr>
          <w:i/>
          <w:sz w:val="20"/>
          <w:szCs w:val="20"/>
          <w:lang w:val="en-US"/>
        </w:rPr>
        <w:t>eNB</w:t>
      </w:r>
      <w:proofErr w:type="spellEnd"/>
      <w:r w:rsidRPr="00581057">
        <w:rPr>
          <w:i/>
          <w:sz w:val="20"/>
          <w:szCs w:val="20"/>
          <w:lang w:val="en-US"/>
        </w:rPr>
        <w:t>.</w:t>
      </w:r>
    </w:p>
    <w:p w14:paraId="3D30B58A" w14:textId="77777777" w:rsidR="008F6C86" w:rsidRPr="00581057" w:rsidRDefault="008F6C86" w:rsidP="008F6C86">
      <w:pPr>
        <w:pStyle w:val="LGTdoc"/>
        <w:numPr>
          <w:ilvl w:val="1"/>
          <w:numId w:val="28"/>
        </w:numPr>
        <w:spacing w:afterLines="0" w:after="0" w:line="240" w:lineRule="atLeast"/>
        <w:rPr>
          <w:i/>
          <w:sz w:val="20"/>
          <w:szCs w:val="20"/>
          <w:lang w:val="en-US"/>
        </w:rPr>
      </w:pPr>
      <w:r w:rsidRPr="00581057">
        <w:rPr>
          <w:i/>
          <w:sz w:val="20"/>
          <w:szCs w:val="20"/>
          <w:lang w:val="en-US"/>
        </w:rPr>
        <w:t>FFS the details of the measurement and the UE behavior, for example:</w:t>
      </w:r>
    </w:p>
    <w:p w14:paraId="10B13D96"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The principle to drop PC5 transmissions as a function of this measurement and priority is supported.</w:t>
      </w:r>
    </w:p>
    <w:p w14:paraId="7A945DC8" w14:textId="77777777" w:rsidR="008F6C86" w:rsidRPr="00581057" w:rsidRDefault="008F6C86" w:rsidP="008F6C86">
      <w:pPr>
        <w:pStyle w:val="LGTdoc"/>
        <w:numPr>
          <w:ilvl w:val="2"/>
          <w:numId w:val="28"/>
        </w:numPr>
        <w:spacing w:afterLines="0" w:after="0" w:line="240" w:lineRule="atLeast"/>
        <w:rPr>
          <w:i/>
          <w:sz w:val="20"/>
          <w:szCs w:val="20"/>
          <w:lang w:val="en-US"/>
        </w:rPr>
      </w:pPr>
      <w:r w:rsidRPr="00581057">
        <w:rPr>
          <w:i/>
          <w:sz w:val="20"/>
          <w:szCs w:val="20"/>
          <w:lang w:val="en-US"/>
        </w:rPr>
        <w:t xml:space="preserve">The radio adjusts radio parameters (max </w:t>
      </w:r>
      <w:proofErr w:type="spellStart"/>
      <w:proofErr w:type="gramStart"/>
      <w:r w:rsidRPr="00581057">
        <w:rPr>
          <w:i/>
          <w:sz w:val="20"/>
          <w:szCs w:val="20"/>
          <w:lang w:val="en-US"/>
        </w:rPr>
        <w:t>tx</w:t>
      </w:r>
      <w:proofErr w:type="spellEnd"/>
      <w:proofErr w:type="gramEnd"/>
      <w:r w:rsidRPr="00581057">
        <w:rPr>
          <w:i/>
          <w:sz w:val="20"/>
          <w:szCs w:val="20"/>
          <w:lang w:val="en-US"/>
        </w:rPr>
        <w:t xml:space="preserve"> power, </w:t>
      </w:r>
      <w:proofErr w:type="spellStart"/>
      <w:r w:rsidRPr="00581057">
        <w:rPr>
          <w:i/>
          <w:sz w:val="20"/>
          <w:szCs w:val="20"/>
          <w:lang w:val="en-US"/>
        </w:rPr>
        <w:t>nr</w:t>
      </w:r>
      <w:proofErr w:type="spellEnd"/>
      <w:r w:rsidRPr="00581057">
        <w:rPr>
          <w:i/>
          <w:sz w:val="20"/>
          <w:szCs w:val="20"/>
          <w:lang w:val="en-US"/>
        </w:rPr>
        <w:t xml:space="preserve"> of </w:t>
      </w:r>
      <w:proofErr w:type="spellStart"/>
      <w:r w:rsidRPr="00581057">
        <w:rPr>
          <w:i/>
          <w:sz w:val="20"/>
          <w:szCs w:val="20"/>
          <w:lang w:val="en-US"/>
        </w:rPr>
        <w:t>retx</w:t>
      </w:r>
      <w:proofErr w:type="spellEnd"/>
      <w:r w:rsidRPr="00581057">
        <w:rPr>
          <w:i/>
          <w:sz w:val="20"/>
          <w:szCs w:val="20"/>
          <w:lang w:val="en-US"/>
        </w:rPr>
        <w:t xml:space="preserve"> restriction, MCS range restriction, </w:t>
      </w:r>
      <w:proofErr w:type="spellStart"/>
      <w:r w:rsidRPr="00581057">
        <w:rPr>
          <w:i/>
          <w:sz w:val="20"/>
          <w:szCs w:val="20"/>
          <w:lang w:val="en-US"/>
        </w:rPr>
        <w:t>nr</w:t>
      </w:r>
      <w:proofErr w:type="spellEnd"/>
      <w:r w:rsidRPr="00581057">
        <w:rPr>
          <w:i/>
          <w:sz w:val="20"/>
          <w:szCs w:val="20"/>
          <w:lang w:val="en-US"/>
        </w:rPr>
        <w:t xml:space="preserve"> of PRBs restriction) as a function of priority and this measurement.</w:t>
      </w:r>
    </w:p>
    <w:p w14:paraId="28DECE00" w14:textId="77777777" w:rsidR="00532006" w:rsidRPr="00581057" w:rsidRDefault="008F6C86" w:rsidP="00847C11">
      <w:pPr>
        <w:pStyle w:val="LGTdoc"/>
        <w:numPr>
          <w:ilvl w:val="2"/>
          <w:numId w:val="28"/>
        </w:numPr>
        <w:spacing w:afterLines="0" w:after="0" w:line="240" w:lineRule="atLeast"/>
        <w:rPr>
          <w:i/>
          <w:sz w:val="20"/>
          <w:szCs w:val="20"/>
          <w:lang w:val="en-US"/>
        </w:rPr>
      </w:pPr>
      <w:r w:rsidRPr="00581057">
        <w:rPr>
          <w:i/>
          <w:sz w:val="20"/>
          <w:szCs w:val="20"/>
          <w:lang w:val="en-US"/>
        </w:rPr>
        <w:t>Packets with different priorities are transmitted on the same resource pool</w:t>
      </w:r>
    </w:p>
    <w:p w14:paraId="069191B9" w14:textId="77777777" w:rsidR="00847C11" w:rsidRDefault="00847C11" w:rsidP="00847C11">
      <w:pPr>
        <w:pStyle w:val="LGTdoc"/>
        <w:spacing w:afterLines="0" w:after="0" w:line="240" w:lineRule="atLeast"/>
        <w:rPr>
          <w:sz w:val="20"/>
          <w:szCs w:val="20"/>
          <w:lang w:val="en-US"/>
        </w:rPr>
      </w:pPr>
    </w:p>
    <w:p w14:paraId="199010C5" w14:textId="3CE1153E" w:rsidR="00847C11" w:rsidRDefault="00847C11" w:rsidP="00847C11">
      <w:pPr>
        <w:pStyle w:val="LGTdoc"/>
        <w:spacing w:afterLines="0" w:after="0" w:line="240" w:lineRule="atLeast"/>
        <w:rPr>
          <w:sz w:val="20"/>
          <w:szCs w:val="20"/>
          <w:lang w:val="en-US"/>
        </w:rPr>
      </w:pPr>
      <w:r>
        <w:rPr>
          <w:sz w:val="20"/>
          <w:szCs w:val="20"/>
          <w:lang w:val="en-US"/>
        </w:rPr>
        <w:t>The motivation of defining such a measurement in 3GPP ar</w:t>
      </w:r>
      <w:r w:rsidR="0018782A">
        <w:rPr>
          <w:sz w:val="20"/>
          <w:szCs w:val="20"/>
          <w:lang w:val="en-US"/>
        </w:rPr>
        <w:t>i</w:t>
      </w:r>
      <w:r>
        <w:rPr>
          <w:sz w:val="20"/>
          <w:szCs w:val="20"/>
          <w:lang w:val="en-US"/>
        </w:rPr>
        <w:t>se</w:t>
      </w:r>
      <w:r w:rsidR="0018782A">
        <w:rPr>
          <w:sz w:val="20"/>
          <w:szCs w:val="20"/>
          <w:lang w:val="en-US"/>
        </w:rPr>
        <w:t>s</w:t>
      </w:r>
      <w:r>
        <w:rPr>
          <w:sz w:val="20"/>
          <w:szCs w:val="20"/>
          <w:lang w:val="en-US"/>
        </w:rPr>
        <w:t xml:space="preserve"> from the fact that the ETSI harmonized standard </w:t>
      </w:r>
      <w:r w:rsidR="003D41A4">
        <w:rPr>
          <w:sz w:val="20"/>
          <w:szCs w:val="20"/>
          <w:lang w:val="en-US"/>
        </w:rPr>
        <w:t>EN 302.</w:t>
      </w:r>
      <w:r>
        <w:rPr>
          <w:sz w:val="20"/>
          <w:szCs w:val="20"/>
          <w:lang w:val="en-US"/>
        </w:rPr>
        <w:t xml:space="preserve">571 for the unlicensed ITS </w:t>
      </w:r>
      <w:r w:rsidR="00046B05">
        <w:rPr>
          <w:sz w:val="20"/>
          <w:szCs w:val="20"/>
          <w:lang w:val="en-US"/>
        </w:rPr>
        <w:t>spectrum</w:t>
      </w:r>
      <w:r>
        <w:rPr>
          <w:sz w:val="20"/>
          <w:szCs w:val="20"/>
          <w:lang w:val="en-US"/>
        </w:rPr>
        <w:t xml:space="preserve"> </w:t>
      </w:r>
      <w:r w:rsidR="00714963">
        <w:rPr>
          <w:sz w:val="20"/>
          <w:szCs w:val="20"/>
          <w:lang w:val="en-US"/>
        </w:rPr>
        <w:t xml:space="preserve">in Europe </w:t>
      </w:r>
      <w:r w:rsidR="00046B05">
        <w:rPr>
          <w:sz w:val="20"/>
          <w:szCs w:val="20"/>
          <w:lang w:val="en-US"/>
        </w:rPr>
        <w:t>mandates</w:t>
      </w:r>
      <w:r>
        <w:rPr>
          <w:sz w:val="20"/>
          <w:szCs w:val="20"/>
          <w:lang w:val="en-US"/>
        </w:rPr>
        <w:t xml:space="preserve"> the use of decentralized congestion control (DCC)</w:t>
      </w:r>
      <w:r w:rsidR="00581057">
        <w:rPr>
          <w:sz w:val="20"/>
          <w:szCs w:val="20"/>
          <w:lang w:val="en-US"/>
        </w:rPr>
        <w:t xml:space="preserve">. This is to make sure that </w:t>
      </w:r>
      <w:r>
        <w:rPr>
          <w:sz w:val="20"/>
          <w:szCs w:val="20"/>
          <w:lang w:val="en-US"/>
        </w:rPr>
        <w:t>radio channel is not congested with too many</w:t>
      </w:r>
      <w:bookmarkStart w:id="2" w:name="_GoBack"/>
      <w:bookmarkEnd w:id="2"/>
      <w:r>
        <w:rPr>
          <w:sz w:val="20"/>
          <w:szCs w:val="20"/>
          <w:lang w:val="en-US"/>
        </w:rPr>
        <w:t xml:space="preserve"> transmissions in a certain geographical area [Section 4.2.10, ETSI </w:t>
      </w:r>
      <w:r w:rsidR="003D41A4">
        <w:rPr>
          <w:sz w:val="20"/>
          <w:szCs w:val="20"/>
          <w:lang w:val="en-US"/>
        </w:rPr>
        <w:t>EN 302.</w:t>
      </w:r>
      <w:r>
        <w:rPr>
          <w:sz w:val="20"/>
          <w:szCs w:val="20"/>
          <w:lang w:val="en-US"/>
        </w:rPr>
        <w:t>571 v2.0.0]. However, we note that the current requirements were specified with 802.11p as the technology, and are currently being debated for technology neutrality</w:t>
      </w:r>
      <w:r w:rsidR="00714963">
        <w:rPr>
          <w:sz w:val="20"/>
          <w:szCs w:val="20"/>
          <w:lang w:val="en-US"/>
        </w:rPr>
        <w:t xml:space="preserve"> </w:t>
      </w:r>
      <w:r w:rsidR="00714963">
        <w:rPr>
          <w:sz w:val="20"/>
          <w:szCs w:val="20"/>
          <w:lang w:val="en-US"/>
        </w:rPr>
        <w:fldChar w:fldCharType="begin"/>
      </w:r>
      <w:r w:rsidR="00714963">
        <w:rPr>
          <w:sz w:val="20"/>
          <w:szCs w:val="20"/>
          <w:lang w:val="en-US"/>
        </w:rPr>
        <w:instrText xml:space="preserve"> REF _Ref458742920 \r \h </w:instrText>
      </w:r>
      <w:r w:rsidR="00714963">
        <w:rPr>
          <w:sz w:val="20"/>
          <w:szCs w:val="20"/>
          <w:lang w:val="en-US"/>
        </w:rPr>
      </w:r>
      <w:r w:rsidR="00714963">
        <w:rPr>
          <w:sz w:val="20"/>
          <w:szCs w:val="20"/>
          <w:lang w:val="en-US"/>
        </w:rPr>
        <w:fldChar w:fldCharType="separate"/>
      </w:r>
      <w:r w:rsidR="00714963">
        <w:rPr>
          <w:sz w:val="20"/>
          <w:szCs w:val="20"/>
          <w:lang w:val="en-US"/>
        </w:rPr>
        <w:t>[3]</w:t>
      </w:r>
      <w:r w:rsidR="00714963">
        <w:rPr>
          <w:sz w:val="20"/>
          <w:szCs w:val="20"/>
          <w:lang w:val="en-US"/>
        </w:rPr>
        <w:fldChar w:fldCharType="end"/>
      </w:r>
      <w:r w:rsidR="00714963">
        <w:rPr>
          <w:sz w:val="20"/>
          <w:szCs w:val="20"/>
          <w:lang w:val="en-US"/>
        </w:rPr>
        <w:t>.</w:t>
      </w:r>
    </w:p>
    <w:p w14:paraId="46E00FA3" w14:textId="77777777" w:rsidR="00847C11" w:rsidRDefault="00847C11" w:rsidP="00847C11">
      <w:pPr>
        <w:pStyle w:val="LGTdoc"/>
        <w:spacing w:afterLines="0" w:after="0" w:line="240" w:lineRule="atLeast"/>
        <w:rPr>
          <w:sz w:val="20"/>
          <w:szCs w:val="20"/>
          <w:lang w:val="en-US"/>
        </w:rPr>
      </w:pPr>
    </w:p>
    <w:p w14:paraId="1CC4B14A" w14:textId="7A511EC4" w:rsidR="00714963" w:rsidRDefault="00714963" w:rsidP="00847C11">
      <w:pPr>
        <w:pStyle w:val="LGTdoc"/>
        <w:spacing w:afterLines="0" w:after="0" w:line="240" w:lineRule="atLeast"/>
        <w:rPr>
          <w:sz w:val="20"/>
          <w:szCs w:val="20"/>
          <w:lang w:val="en-US"/>
        </w:rPr>
      </w:pPr>
      <w:r>
        <w:rPr>
          <w:sz w:val="20"/>
          <w:szCs w:val="20"/>
          <w:lang w:val="en-US"/>
        </w:rPr>
        <w:t xml:space="preserve">Given that the target of defining </w:t>
      </w:r>
      <w:r w:rsidR="0018782A">
        <w:rPr>
          <w:sz w:val="20"/>
          <w:szCs w:val="20"/>
          <w:lang w:val="en-US"/>
        </w:rPr>
        <w:t xml:space="preserve">this </w:t>
      </w:r>
      <w:r>
        <w:rPr>
          <w:sz w:val="20"/>
          <w:szCs w:val="20"/>
          <w:lang w:val="en-US"/>
        </w:rPr>
        <w:t xml:space="preserve">measurement for radio congestion for LTE V2V is to meet the requirements of the harmonized standard in EU, and that the current requirements are </w:t>
      </w:r>
      <w:r w:rsidR="00046B05">
        <w:rPr>
          <w:sz w:val="20"/>
          <w:szCs w:val="20"/>
          <w:lang w:val="en-US"/>
        </w:rPr>
        <w:t>themselves</w:t>
      </w:r>
      <w:r>
        <w:rPr>
          <w:sz w:val="20"/>
          <w:szCs w:val="20"/>
          <w:lang w:val="en-US"/>
        </w:rPr>
        <w:t xml:space="preserve"> being debated and revised for technology neutrality, we attempt to provide a more holistic discussion </w:t>
      </w:r>
      <w:r w:rsidR="008969C7">
        <w:rPr>
          <w:sz w:val="20"/>
          <w:szCs w:val="20"/>
          <w:lang w:val="en-US"/>
        </w:rPr>
        <w:t>for</w:t>
      </w:r>
      <w:r>
        <w:rPr>
          <w:sz w:val="20"/>
          <w:szCs w:val="20"/>
          <w:lang w:val="en-US"/>
        </w:rPr>
        <w:t xml:space="preserve"> DCC in this paper.</w:t>
      </w:r>
    </w:p>
    <w:p w14:paraId="40D22BE4" w14:textId="77777777" w:rsidR="00714963" w:rsidRDefault="00714963" w:rsidP="00847C11">
      <w:pPr>
        <w:pStyle w:val="LGTdoc"/>
        <w:spacing w:afterLines="0" w:after="0" w:line="240" w:lineRule="atLeast"/>
        <w:rPr>
          <w:sz w:val="20"/>
          <w:szCs w:val="20"/>
          <w:lang w:val="en-US"/>
        </w:rPr>
      </w:pPr>
    </w:p>
    <w:p w14:paraId="59EA92A8" w14:textId="77777777" w:rsidR="00714963" w:rsidRDefault="00714963" w:rsidP="00847C11">
      <w:pPr>
        <w:pStyle w:val="LGTdoc"/>
        <w:spacing w:afterLines="0" w:after="0" w:line="240" w:lineRule="atLeast"/>
        <w:rPr>
          <w:sz w:val="20"/>
          <w:szCs w:val="20"/>
          <w:lang w:val="en-US"/>
        </w:rPr>
      </w:pPr>
      <w:r>
        <w:rPr>
          <w:sz w:val="20"/>
          <w:szCs w:val="20"/>
          <w:lang w:val="en-US"/>
        </w:rPr>
        <w:t>The paper is organized as follows:</w:t>
      </w:r>
    </w:p>
    <w:p w14:paraId="17092627" w14:textId="60E06522" w:rsidR="00714963"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2 provides a background on the existing requirements for DCC in ETSI </w:t>
      </w:r>
      <w:r w:rsidR="003D41A4">
        <w:rPr>
          <w:sz w:val="20"/>
          <w:szCs w:val="20"/>
          <w:lang w:val="en-US"/>
        </w:rPr>
        <w:t>EN 302.</w:t>
      </w:r>
      <w:r>
        <w:rPr>
          <w:sz w:val="20"/>
          <w:szCs w:val="20"/>
          <w:lang w:val="en-US"/>
        </w:rPr>
        <w:t>571</w:t>
      </w:r>
      <w:r w:rsidR="00C82DE6">
        <w:rPr>
          <w:sz w:val="20"/>
          <w:szCs w:val="20"/>
          <w:lang w:val="en-US"/>
        </w:rPr>
        <w:t>,</w:t>
      </w:r>
    </w:p>
    <w:p w14:paraId="53800E52" w14:textId="5B98930B" w:rsidR="000F0D1B"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3 provides a generalized </w:t>
      </w:r>
      <w:r w:rsidR="000F0D1B">
        <w:rPr>
          <w:sz w:val="20"/>
          <w:szCs w:val="20"/>
          <w:lang w:val="en-US"/>
        </w:rPr>
        <w:t>formulation for DCC and discusses how it maps to 802.11p and LTE-V2V,</w:t>
      </w:r>
    </w:p>
    <w:p w14:paraId="64E5E7E9" w14:textId="3CE29E55" w:rsidR="0047496A" w:rsidRDefault="0047496A" w:rsidP="00714963">
      <w:pPr>
        <w:pStyle w:val="LGTdoc"/>
        <w:numPr>
          <w:ilvl w:val="0"/>
          <w:numId w:val="29"/>
        </w:numPr>
        <w:spacing w:afterLines="0" w:after="0" w:line="240" w:lineRule="atLeast"/>
        <w:rPr>
          <w:sz w:val="20"/>
          <w:szCs w:val="20"/>
          <w:lang w:val="en-US"/>
        </w:rPr>
      </w:pPr>
      <w:r>
        <w:rPr>
          <w:sz w:val="20"/>
          <w:szCs w:val="20"/>
          <w:lang w:val="en-US"/>
        </w:rPr>
        <w:t>Section 4 provides some simulation results</w:t>
      </w:r>
      <w:r w:rsidR="000F0D1B">
        <w:rPr>
          <w:sz w:val="20"/>
          <w:szCs w:val="20"/>
          <w:lang w:val="en-US"/>
        </w:rPr>
        <w:t xml:space="preserve"> with DCC,</w:t>
      </w:r>
      <w:r w:rsidR="00C82DE6">
        <w:rPr>
          <w:sz w:val="20"/>
          <w:szCs w:val="20"/>
          <w:lang w:val="en-US"/>
        </w:rPr>
        <w:t xml:space="preserve"> </w:t>
      </w:r>
    </w:p>
    <w:p w14:paraId="62FEC18A" w14:textId="6527A49A" w:rsidR="00896A2F" w:rsidRPr="00896A2F" w:rsidRDefault="00896A2F" w:rsidP="00896A2F">
      <w:pPr>
        <w:pStyle w:val="LGTdoc"/>
        <w:numPr>
          <w:ilvl w:val="0"/>
          <w:numId w:val="29"/>
        </w:numPr>
        <w:spacing w:afterLines="0" w:after="0" w:line="240" w:lineRule="atLeast"/>
      </w:pPr>
      <w:r>
        <w:rPr>
          <w:sz w:val="20"/>
          <w:szCs w:val="20"/>
          <w:lang w:val="en-US"/>
        </w:rPr>
        <w:t>Sect</w:t>
      </w:r>
      <w:r w:rsidR="00C20096">
        <w:rPr>
          <w:sz w:val="20"/>
          <w:szCs w:val="20"/>
          <w:lang w:val="en-US"/>
        </w:rPr>
        <w:t xml:space="preserve">ion 5 </w:t>
      </w:r>
      <w:r w:rsidR="000F0D1B">
        <w:rPr>
          <w:sz w:val="20"/>
          <w:szCs w:val="20"/>
          <w:lang w:val="en-US"/>
        </w:rPr>
        <w:t>concludes the contribution</w:t>
      </w:r>
      <w:r>
        <w:rPr>
          <w:sz w:val="20"/>
          <w:szCs w:val="20"/>
          <w:lang w:val="en-US"/>
        </w:rPr>
        <w:t>.</w:t>
      </w:r>
    </w:p>
    <w:p w14:paraId="6253BA8D" w14:textId="77777777" w:rsidR="00896A2F" w:rsidRDefault="00896A2F" w:rsidP="00896A2F">
      <w:pPr>
        <w:pStyle w:val="LGTdoc"/>
        <w:spacing w:afterLines="0" w:after="0" w:line="240" w:lineRule="atLeast"/>
      </w:pPr>
    </w:p>
    <w:p w14:paraId="412890E2" w14:textId="1A571850" w:rsidR="00C255CD" w:rsidRDefault="00C255CD">
      <w:pPr>
        <w:overflowPunct/>
        <w:autoSpaceDE/>
        <w:autoSpaceDN/>
        <w:adjustRightInd/>
        <w:spacing w:after="0"/>
        <w:textAlignment w:val="auto"/>
      </w:pPr>
    </w:p>
    <w:p w14:paraId="4C4B09E3" w14:textId="4E103853" w:rsidR="000D1833" w:rsidRDefault="000D1833" w:rsidP="000D1833">
      <w:pPr>
        <w:pStyle w:val="Heading1"/>
      </w:pPr>
      <w:r>
        <w:t>2</w:t>
      </w:r>
      <w:r>
        <w:tab/>
      </w:r>
      <w:r w:rsidR="00896A2F">
        <w:t>Background: DCC requirement</w:t>
      </w:r>
      <w:r w:rsidR="0018782A">
        <w:t>s</w:t>
      </w:r>
      <w:r w:rsidR="00896A2F">
        <w:t xml:space="preserve"> in </w:t>
      </w:r>
      <w:r w:rsidR="00C255CD">
        <w:t>EN</w:t>
      </w:r>
      <w:r w:rsidR="00896A2F">
        <w:t xml:space="preserve"> 302.571</w:t>
      </w:r>
    </w:p>
    <w:p w14:paraId="75C736DB" w14:textId="3595034D" w:rsidR="005E4B76" w:rsidRDefault="00331151" w:rsidP="00C076D6">
      <w:pPr>
        <w:jc w:val="both"/>
      </w:pPr>
      <w:r>
        <w:t xml:space="preserve">In this section, we briefly summarize the existing requirements for decentralized </w:t>
      </w:r>
      <w:r w:rsidR="00046B05">
        <w:t>congestion</w:t>
      </w:r>
      <w:r>
        <w:t xml:space="preserve"> control as specified in the existing harmonized specification ETSI </w:t>
      </w:r>
      <w:r w:rsidR="003D41A4">
        <w:t>EN 302.</w:t>
      </w:r>
      <w:r>
        <w:t>571 v2.0.0</w:t>
      </w:r>
      <w:r w:rsidR="002E7569">
        <w:t>:</w:t>
      </w:r>
    </w:p>
    <w:tbl>
      <w:tblPr>
        <w:tblStyle w:val="TableGrid"/>
        <w:tblW w:w="0" w:type="auto"/>
        <w:tblLook w:val="04A0" w:firstRow="1" w:lastRow="0" w:firstColumn="1" w:lastColumn="0" w:noHBand="0" w:noVBand="1"/>
      </w:tblPr>
      <w:tblGrid>
        <w:gridCol w:w="9350"/>
      </w:tblGrid>
      <w:tr w:rsidR="00CC5F6B" w14:paraId="16933402" w14:textId="77777777" w:rsidTr="00C255CD">
        <w:trPr>
          <w:trHeight w:val="9053"/>
        </w:trPr>
        <w:tc>
          <w:tcPr>
            <w:tcW w:w="9350" w:type="dxa"/>
          </w:tcPr>
          <w:p w14:paraId="76907740" w14:textId="77777777" w:rsidR="00CC5F6B" w:rsidRDefault="00604F35" w:rsidP="00604F35">
            <w:pPr>
              <w:jc w:val="both"/>
            </w:pPr>
            <w:r>
              <w:lastRenderedPageBreak/>
              <w:t>Channel busy time / channel busy ratio (CBR) is used to determine the transmission behaviour.</w:t>
            </w:r>
          </w:p>
          <w:p w14:paraId="1F3BD0A8" w14:textId="77777777" w:rsidR="004942F1" w:rsidRDefault="00CC50AB" w:rsidP="00604F35">
            <w:pPr>
              <w:jc w:val="both"/>
            </w:pPr>
            <m:oMathPara>
              <m:oMath>
                <m:r>
                  <w:rPr>
                    <w:rFonts w:ascii="Cambria Math" w:hAnsi="Cambria Math"/>
                  </w:rPr>
                  <m:t>channelBusyTime=</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probes with channel</m:t>
                    </m:r>
                    <m:r>
                      <w:rPr>
                        <w:rFonts w:ascii="Cambria Math" w:hAnsi="Cambria Math"/>
                      </w:rPr>
                      <m:t xml:space="preserve"> busy</m:t>
                    </m:r>
                  </m:e>
                </m:nary>
                <m:r>
                  <w:rPr>
                    <w:rFonts w:ascii="Cambria Math" w:hAnsi="Cambria Math"/>
                  </w:rPr>
                  <m:t>)/Np</m:t>
                </m:r>
              </m:oMath>
            </m:oMathPara>
          </w:p>
          <w:p w14:paraId="78216072" w14:textId="4315D932" w:rsidR="00CC50AB" w:rsidRDefault="004942F1" w:rsidP="00CC50AB">
            <w:r>
              <w:rPr>
                <w:noProof/>
                <w:lang w:val="en-US"/>
              </w:rPr>
              <w:t xml:space="preserve">Where Np is the total number of probes, and </w:t>
            </w:r>
            <w:r w:rsidR="00CC50AB">
              <w:rPr>
                <w:noProof/>
                <w:lang w:val="en-US"/>
              </w:rPr>
              <w:t xml:space="preserve">channel is declared as </w:t>
            </w:r>
            <w:r w:rsidRPr="00CC50AB">
              <w:rPr>
                <w:i/>
                <w:noProof/>
                <w:lang w:val="en-US"/>
              </w:rPr>
              <w:t>busy</w:t>
            </w:r>
            <w:r w:rsidR="00CC50AB">
              <w:t xml:space="preserve"> if the received signal strength exceeds a threshold </w:t>
            </w:r>
            <w:proofErr w:type="spellStart"/>
            <w:r w:rsidR="00CC50AB" w:rsidRPr="00CC50AB">
              <w:rPr>
                <w:i/>
              </w:rPr>
              <w:t>Sth</w:t>
            </w:r>
            <w:proofErr w:type="spellEnd"/>
            <w:r w:rsidR="00CC50AB">
              <w:t>.</w:t>
            </w:r>
            <w:r w:rsidR="006908D2">
              <w:t xml:space="preserve"> </w:t>
            </w:r>
            <w:r w:rsidR="00CC50AB">
              <w:t xml:space="preserve">The parameters used to determine the </w:t>
            </w:r>
            <w:proofErr w:type="spellStart"/>
            <w:r w:rsidR="00CC50AB" w:rsidRPr="00CC50AB">
              <w:rPr>
                <w:i/>
              </w:rPr>
              <w:t>channelBusyTime</w:t>
            </w:r>
            <w:proofErr w:type="spellEnd"/>
            <w:r w:rsidR="00CC50AB">
              <w:t xml:space="preserve"> are specified as follows:</w:t>
            </w:r>
          </w:p>
          <w:tbl>
            <w:tblPr>
              <w:tblStyle w:val="TableGrid"/>
              <w:tblW w:w="0" w:type="auto"/>
              <w:jc w:val="center"/>
              <w:tblLook w:val="04A0" w:firstRow="1" w:lastRow="0" w:firstColumn="1" w:lastColumn="0" w:noHBand="0" w:noVBand="1"/>
            </w:tblPr>
            <w:tblGrid>
              <w:gridCol w:w="1205"/>
              <w:gridCol w:w="1132"/>
              <w:gridCol w:w="3665"/>
            </w:tblGrid>
            <w:tr w:rsidR="00CC50AB" w14:paraId="46A77EAA" w14:textId="77777777" w:rsidTr="00C57B8C">
              <w:trPr>
                <w:jc w:val="center"/>
              </w:trPr>
              <w:tc>
                <w:tcPr>
                  <w:tcW w:w="1205" w:type="dxa"/>
                </w:tcPr>
                <w:p w14:paraId="337DDCE4" w14:textId="77777777" w:rsidR="00CC50AB" w:rsidRPr="00C57B8C" w:rsidRDefault="00CC50AB" w:rsidP="00CC50AB">
                  <w:pPr>
                    <w:spacing w:after="0"/>
                    <w:rPr>
                      <w:b/>
                    </w:rPr>
                  </w:pPr>
                  <w:r w:rsidRPr="00C57B8C">
                    <w:rPr>
                      <w:b/>
                    </w:rPr>
                    <w:t>Parameters</w:t>
                  </w:r>
                </w:p>
              </w:tc>
              <w:tc>
                <w:tcPr>
                  <w:tcW w:w="1132" w:type="dxa"/>
                </w:tcPr>
                <w:p w14:paraId="7E8FEAD2" w14:textId="77777777" w:rsidR="00CC50AB" w:rsidRPr="00C57B8C" w:rsidRDefault="00CC50AB" w:rsidP="00CC50AB">
                  <w:pPr>
                    <w:spacing w:after="0"/>
                    <w:rPr>
                      <w:b/>
                    </w:rPr>
                  </w:pPr>
                  <w:r w:rsidRPr="00C57B8C">
                    <w:rPr>
                      <w:b/>
                    </w:rPr>
                    <w:t>Value</w:t>
                  </w:r>
                </w:p>
              </w:tc>
              <w:tc>
                <w:tcPr>
                  <w:tcW w:w="3665" w:type="dxa"/>
                </w:tcPr>
                <w:p w14:paraId="72306BE1" w14:textId="77777777" w:rsidR="00CC50AB" w:rsidRPr="00C57B8C" w:rsidRDefault="00CC50AB" w:rsidP="00CC50AB">
                  <w:pPr>
                    <w:spacing w:after="0"/>
                    <w:rPr>
                      <w:b/>
                    </w:rPr>
                  </w:pPr>
                  <w:r w:rsidRPr="00C57B8C">
                    <w:rPr>
                      <w:b/>
                    </w:rPr>
                    <w:t>Description</w:t>
                  </w:r>
                </w:p>
              </w:tc>
            </w:tr>
            <w:tr w:rsidR="00CC50AB" w14:paraId="4B3D3D19" w14:textId="77777777" w:rsidTr="00C57B8C">
              <w:trPr>
                <w:jc w:val="center"/>
              </w:trPr>
              <w:tc>
                <w:tcPr>
                  <w:tcW w:w="1205" w:type="dxa"/>
                </w:tcPr>
                <w:p w14:paraId="22B31734" w14:textId="77777777" w:rsidR="00CC50AB" w:rsidRPr="00CC50AB" w:rsidRDefault="00CC50AB" w:rsidP="00CC50AB">
                  <w:pPr>
                    <w:spacing w:after="0"/>
                    <w:rPr>
                      <w:i/>
                    </w:rPr>
                  </w:pPr>
                  <w:proofErr w:type="spellStart"/>
                  <w:r w:rsidRPr="00CC50AB">
                    <w:rPr>
                      <w:i/>
                    </w:rPr>
                    <w:t>T</w:t>
                  </w:r>
                  <w:r w:rsidRPr="00CC50AB">
                    <w:rPr>
                      <w:i/>
                      <w:vertAlign w:val="subscript"/>
                    </w:rPr>
                    <w:t>p</w:t>
                  </w:r>
                  <w:proofErr w:type="spellEnd"/>
                </w:p>
              </w:tc>
              <w:tc>
                <w:tcPr>
                  <w:tcW w:w="1132" w:type="dxa"/>
                </w:tcPr>
                <w:p w14:paraId="4B8DD864" w14:textId="77777777" w:rsidR="00CC50AB" w:rsidRDefault="00CC50AB" w:rsidP="00CC50AB">
                  <w:pPr>
                    <w:spacing w:after="0"/>
                  </w:pPr>
                  <w:r>
                    <w:t>8 us</w:t>
                  </w:r>
                </w:p>
              </w:tc>
              <w:tc>
                <w:tcPr>
                  <w:tcW w:w="3665" w:type="dxa"/>
                </w:tcPr>
                <w:p w14:paraId="1BB35E81" w14:textId="77777777" w:rsidR="00CC50AB" w:rsidRDefault="00CC50AB" w:rsidP="00CC50AB">
                  <w:pPr>
                    <w:spacing w:after="0"/>
                  </w:pPr>
                  <w:r>
                    <w:t>Probing time</w:t>
                  </w:r>
                </w:p>
              </w:tc>
            </w:tr>
            <w:tr w:rsidR="00CC50AB" w14:paraId="6311E06A" w14:textId="77777777" w:rsidTr="00C57B8C">
              <w:trPr>
                <w:jc w:val="center"/>
              </w:trPr>
              <w:tc>
                <w:tcPr>
                  <w:tcW w:w="1205" w:type="dxa"/>
                </w:tcPr>
                <w:p w14:paraId="075DD7CE" w14:textId="77777777" w:rsidR="00CC50AB" w:rsidRPr="00CC50AB" w:rsidRDefault="00CC50AB" w:rsidP="00CC50AB">
                  <w:pPr>
                    <w:spacing w:after="0"/>
                    <w:rPr>
                      <w:i/>
                    </w:rPr>
                  </w:pPr>
                  <w:r w:rsidRPr="00CC50AB">
                    <w:rPr>
                      <w:i/>
                    </w:rPr>
                    <w:t>T</w:t>
                  </w:r>
                  <w:r w:rsidRPr="00CC50AB">
                    <w:rPr>
                      <w:i/>
                      <w:vertAlign w:val="subscript"/>
                    </w:rPr>
                    <w:t>m</w:t>
                  </w:r>
                </w:p>
              </w:tc>
              <w:tc>
                <w:tcPr>
                  <w:tcW w:w="1132" w:type="dxa"/>
                </w:tcPr>
                <w:p w14:paraId="362CA6A5" w14:textId="77777777" w:rsidR="00CC50AB" w:rsidRDefault="00CC50AB" w:rsidP="00CC50AB">
                  <w:pPr>
                    <w:spacing w:after="0"/>
                  </w:pPr>
                  <w:r>
                    <w:t xml:space="preserve">100 </w:t>
                  </w:r>
                  <w:proofErr w:type="spellStart"/>
                  <w:r>
                    <w:t>ms</w:t>
                  </w:r>
                  <w:proofErr w:type="spellEnd"/>
                </w:p>
              </w:tc>
              <w:tc>
                <w:tcPr>
                  <w:tcW w:w="3665" w:type="dxa"/>
                </w:tcPr>
                <w:p w14:paraId="6A01D33E" w14:textId="77777777" w:rsidR="00CC50AB" w:rsidRDefault="00CC50AB" w:rsidP="00CC50AB">
                  <w:pPr>
                    <w:spacing w:after="0"/>
                  </w:pPr>
                  <w:r>
                    <w:t>Measuring interval</w:t>
                  </w:r>
                </w:p>
              </w:tc>
            </w:tr>
            <w:tr w:rsidR="00CC50AB" w14:paraId="435A2750" w14:textId="77777777" w:rsidTr="00C57B8C">
              <w:trPr>
                <w:jc w:val="center"/>
              </w:trPr>
              <w:tc>
                <w:tcPr>
                  <w:tcW w:w="1205" w:type="dxa"/>
                </w:tcPr>
                <w:p w14:paraId="3FDB3C1E" w14:textId="77777777" w:rsidR="00CC50AB" w:rsidRPr="00CC50AB" w:rsidRDefault="00CC50AB" w:rsidP="00CC50AB">
                  <w:pPr>
                    <w:spacing w:after="0"/>
                    <w:rPr>
                      <w:i/>
                    </w:rPr>
                  </w:pPr>
                  <w:proofErr w:type="spellStart"/>
                  <w:r w:rsidRPr="00CC50AB">
                    <w:rPr>
                      <w:i/>
                    </w:rPr>
                    <w:t>S</w:t>
                  </w:r>
                  <w:r w:rsidRPr="00CC50AB">
                    <w:rPr>
                      <w:i/>
                      <w:vertAlign w:val="subscript"/>
                    </w:rPr>
                    <w:t>th</w:t>
                  </w:r>
                  <w:proofErr w:type="spellEnd"/>
                </w:p>
              </w:tc>
              <w:tc>
                <w:tcPr>
                  <w:tcW w:w="1132" w:type="dxa"/>
                </w:tcPr>
                <w:p w14:paraId="589E1D2B" w14:textId="77777777" w:rsidR="00CC50AB" w:rsidRDefault="00CC50AB" w:rsidP="00CC50AB">
                  <w:pPr>
                    <w:spacing w:after="0"/>
                  </w:pPr>
                  <w:r>
                    <w:t>≤ -85dBm</w:t>
                  </w:r>
                </w:p>
              </w:tc>
              <w:tc>
                <w:tcPr>
                  <w:tcW w:w="3665" w:type="dxa"/>
                </w:tcPr>
                <w:p w14:paraId="44D1E565" w14:textId="77777777" w:rsidR="00CC50AB" w:rsidRDefault="00CC50AB" w:rsidP="00CC50AB">
                  <w:pPr>
                    <w:spacing w:after="0"/>
                  </w:pPr>
                  <w:r>
                    <w:t>Signal strength threshold for determining when the channel is busy or not</w:t>
                  </w:r>
                </w:p>
              </w:tc>
            </w:tr>
            <w:tr w:rsidR="00CC50AB" w14:paraId="74251ED7" w14:textId="77777777" w:rsidTr="00C57B8C">
              <w:trPr>
                <w:jc w:val="center"/>
              </w:trPr>
              <w:tc>
                <w:tcPr>
                  <w:tcW w:w="1205" w:type="dxa"/>
                </w:tcPr>
                <w:p w14:paraId="74A2F6CF" w14:textId="77777777" w:rsidR="00CC50AB" w:rsidRPr="00CC50AB" w:rsidRDefault="00CC50AB" w:rsidP="00CC50AB">
                  <w:pPr>
                    <w:spacing w:after="0"/>
                    <w:rPr>
                      <w:i/>
                    </w:rPr>
                  </w:pPr>
                  <w:r w:rsidRPr="00CC50AB">
                    <w:rPr>
                      <w:i/>
                    </w:rPr>
                    <w:t>N</w:t>
                  </w:r>
                  <w:r w:rsidRPr="00CC50AB">
                    <w:rPr>
                      <w:i/>
                      <w:vertAlign w:val="subscript"/>
                    </w:rPr>
                    <w:t>p</w:t>
                  </w:r>
                </w:p>
              </w:tc>
              <w:tc>
                <w:tcPr>
                  <w:tcW w:w="1132" w:type="dxa"/>
                </w:tcPr>
                <w:p w14:paraId="2AE35FBB" w14:textId="77777777" w:rsidR="00CC50AB" w:rsidRDefault="00CC50AB" w:rsidP="00CC50AB">
                  <w:pPr>
                    <w:spacing w:after="0"/>
                  </w:pPr>
                  <w:r>
                    <w:t>12500</w:t>
                  </w:r>
                </w:p>
              </w:tc>
              <w:tc>
                <w:tcPr>
                  <w:tcW w:w="3665" w:type="dxa"/>
                </w:tcPr>
                <w:p w14:paraId="6FDC5E93" w14:textId="77777777" w:rsidR="00CC50AB" w:rsidRDefault="00CC50AB" w:rsidP="00CC50AB">
                  <w:pPr>
                    <w:spacing w:after="0"/>
                  </w:pPr>
                  <w:r>
                    <w:t xml:space="preserve">Number of probes during the measurement interval </w:t>
                  </w:r>
                  <w:r w:rsidRPr="00CC50AB">
                    <w:rPr>
                      <w:i/>
                    </w:rPr>
                    <w:t>T</w:t>
                  </w:r>
                  <w:r w:rsidRPr="00CC50AB">
                    <w:rPr>
                      <w:i/>
                      <w:vertAlign w:val="subscript"/>
                    </w:rPr>
                    <w:t>m</w:t>
                  </w:r>
                </w:p>
              </w:tc>
            </w:tr>
          </w:tbl>
          <w:p w14:paraId="4F1D1E9B" w14:textId="77777777" w:rsidR="00CC50AB" w:rsidRDefault="00CC50AB" w:rsidP="00CC50AB"/>
          <w:p w14:paraId="2B2C0DEE" w14:textId="77777777" w:rsidR="00CC50AB" w:rsidRDefault="002E7569" w:rsidP="00CC50AB">
            <w:r>
              <w:t xml:space="preserve">The requirements for </w:t>
            </w:r>
            <w:r w:rsidRPr="002E7569">
              <w:rPr>
                <w:u w:val="single"/>
              </w:rPr>
              <w:t xml:space="preserve">DCC </w:t>
            </w:r>
            <w:r>
              <w:rPr>
                <w:u w:val="single"/>
              </w:rPr>
              <w:t xml:space="preserve">for </w:t>
            </w:r>
            <w:r w:rsidRPr="002E7569">
              <w:rPr>
                <w:u w:val="single"/>
              </w:rPr>
              <w:t xml:space="preserve">CBR </w:t>
            </w:r>
            <w:r>
              <w:rPr>
                <w:u w:val="single"/>
              </w:rPr>
              <w:t xml:space="preserve">&lt; </w:t>
            </w:r>
            <w:r w:rsidRPr="002E7569">
              <w:rPr>
                <w:u w:val="single"/>
              </w:rPr>
              <w:t>62%</w:t>
            </w:r>
            <w:r>
              <w:t xml:space="preserve"> are specified as:</w:t>
            </w:r>
          </w:p>
          <w:tbl>
            <w:tblPr>
              <w:tblStyle w:val="TableGrid"/>
              <w:tblW w:w="0" w:type="auto"/>
              <w:jc w:val="center"/>
              <w:tblLook w:val="04A0" w:firstRow="1" w:lastRow="0" w:firstColumn="1" w:lastColumn="0" w:noHBand="0" w:noVBand="1"/>
            </w:tblPr>
            <w:tblGrid>
              <w:gridCol w:w="1205"/>
              <w:gridCol w:w="1132"/>
              <w:gridCol w:w="5285"/>
            </w:tblGrid>
            <w:tr w:rsidR="002E7569" w14:paraId="4E7EEB23" w14:textId="77777777" w:rsidTr="002E7569">
              <w:trPr>
                <w:jc w:val="center"/>
              </w:trPr>
              <w:tc>
                <w:tcPr>
                  <w:tcW w:w="1205" w:type="dxa"/>
                </w:tcPr>
                <w:p w14:paraId="541F3355" w14:textId="77777777" w:rsidR="002E7569" w:rsidRPr="00C57B8C" w:rsidRDefault="002E7569" w:rsidP="002E7569">
                  <w:pPr>
                    <w:spacing w:after="0"/>
                    <w:rPr>
                      <w:b/>
                    </w:rPr>
                  </w:pPr>
                  <w:r w:rsidRPr="00C57B8C">
                    <w:rPr>
                      <w:b/>
                    </w:rPr>
                    <w:t>Parameters</w:t>
                  </w:r>
                </w:p>
              </w:tc>
              <w:tc>
                <w:tcPr>
                  <w:tcW w:w="1132" w:type="dxa"/>
                </w:tcPr>
                <w:p w14:paraId="4C0135D8" w14:textId="77777777" w:rsidR="002E7569" w:rsidRPr="00C57B8C" w:rsidRDefault="002E7569" w:rsidP="002E7569">
                  <w:pPr>
                    <w:spacing w:after="0"/>
                    <w:rPr>
                      <w:b/>
                    </w:rPr>
                  </w:pPr>
                  <w:r w:rsidRPr="00C57B8C">
                    <w:rPr>
                      <w:b/>
                    </w:rPr>
                    <w:t>Value</w:t>
                  </w:r>
                </w:p>
              </w:tc>
              <w:tc>
                <w:tcPr>
                  <w:tcW w:w="5285" w:type="dxa"/>
                </w:tcPr>
                <w:p w14:paraId="657B83DF" w14:textId="77777777" w:rsidR="002E7569" w:rsidRPr="00C57B8C" w:rsidRDefault="002E7569" w:rsidP="002E7569">
                  <w:pPr>
                    <w:spacing w:after="0"/>
                    <w:rPr>
                      <w:b/>
                    </w:rPr>
                  </w:pPr>
                  <w:r w:rsidRPr="00C57B8C">
                    <w:rPr>
                      <w:b/>
                    </w:rPr>
                    <w:t>Description</w:t>
                  </w:r>
                </w:p>
              </w:tc>
            </w:tr>
            <w:tr w:rsidR="002E7569" w14:paraId="60C900D2" w14:textId="77777777" w:rsidTr="002E7569">
              <w:trPr>
                <w:jc w:val="center"/>
              </w:trPr>
              <w:tc>
                <w:tcPr>
                  <w:tcW w:w="1205" w:type="dxa"/>
                </w:tcPr>
                <w:p w14:paraId="760F717B" w14:textId="77777777" w:rsidR="002E7569" w:rsidRPr="00CC50AB" w:rsidRDefault="002E7569" w:rsidP="002E7569">
                  <w:pPr>
                    <w:spacing w:after="0"/>
                    <w:rPr>
                      <w:i/>
                    </w:rPr>
                  </w:pPr>
                  <w:r w:rsidRPr="00CC50AB">
                    <w:rPr>
                      <w:i/>
                    </w:rPr>
                    <w:t>T</w:t>
                  </w:r>
                  <w:r>
                    <w:rPr>
                      <w:i/>
                      <w:vertAlign w:val="subscript"/>
                    </w:rPr>
                    <w:t>on</w:t>
                  </w:r>
                </w:p>
              </w:tc>
              <w:tc>
                <w:tcPr>
                  <w:tcW w:w="1132" w:type="dxa"/>
                </w:tcPr>
                <w:p w14:paraId="49817EBC" w14:textId="77777777" w:rsidR="002E7569" w:rsidRDefault="002E7569" w:rsidP="002E7569">
                  <w:pPr>
                    <w:spacing w:after="0"/>
                  </w:pPr>
                  <w:r>
                    <w:t xml:space="preserve">4 </w:t>
                  </w:r>
                  <w:proofErr w:type="spellStart"/>
                  <w:r>
                    <w:t>ms</w:t>
                  </w:r>
                  <w:proofErr w:type="spellEnd"/>
                </w:p>
              </w:tc>
              <w:tc>
                <w:tcPr>
                  <w:tcW w:w="5285" w:type="dxa"/>
                </w:tcPr>
                <w:p w14:paraId="07E7C04D" w14:textId="77777777" w:rsidR="002E7569" w:rsidRPr="002E7569" w:rsidRDefault="002E7569" w:rsidP="002E7569">
                  <w:pPr>
                    <w:spacing w:after="0"/>
                  </w:pPr>
                  <w:r>
                    <w:t xml:space="preserve">A </w:t>
                  </w:r>
                  <w:r w:rsidRPr="00CC50AB">
                    <w:rPr>
                      <w:i/>
                    </w:rPr>
                    <w:t>T</w:t>
                  </w:r>
                  <w:r>
                    <w:rPr>
                      <w:i/>
                      <w:vertAlign w:val="subscript"/>
                    </w:rPr>
                    <w:t>on</w:t>
                  </w:r>
                  <w:r w:rsidRPr="002E7569">
                    <w:t xml:space="preserve"> of 4ms</w:t>
                  </w:r>
                  <w:r>
                    <w:t xml:space="preserve"> corresponds to transmitting  a packet of length 1500bytes at a transfer rate of 3Mbit/s</w:t>
                  </w:r>
                </w:p>
              </w:tc>
            </w:tr>
            <w:tr w:rsidR="002E7569" w14:paraId="5C8A5A43" w14:textId="77777777" w:rsidTr="002E7569">
              <w:trPr>
                <w:jc w:val="center"/>
              </w:trPr>
              <w:tc>
                <w:tcPr>
                  <w:tcW w:w="1205" w:type="dxa"/>
                </w:tcPr>
                <w:p w14:paraId="1A3150A2" w14:textId="77777777" w:rsidR="002E7569" w:rsidRPr="00CC50AB" w:rsidRDefault="002E7569" w:rsidP="002E7569">
                  <w:pPr>
                    <w:spacing w:after="0"/>
                    <w:rPr>
                      <w:i/>
                    </w:rPr>
                  </w:pPr>
                  <w:r w:rsidRPr="00CC50AB">
                    <w:rPr>
                      <w:i/>
                    </w:rPr>
                    <w:t>T</w:t>
                  </w:r>
                  <w:r>
                    <w:rPr>
                      <w:i/>
                      <w:vertAlign w:val="subscript"/>
                    </w:rPr>
                    <w:t>off</w:t>
                  </w:r>
                </w:p>
              </w:tc>
              <w:tc>
                <w:tcPr>
                  <w:tcW w:w="1132" w:type="dxa"/>
                </w:tcPr>
                <w:p w14:paraId="70EF103E" w14:textId="77777777" w:rsidR="002E7569" w:rsidRDefault="002E7569" w:rsidP="002E7569">
                  <w:pPr>
                    <w:spacing w:after="0"/>
                  </w:pPr>
                  <w:r>
                    <w:t xml:space="preserve">25 </w:t>
                  </w:r>
                  <w:proofErr w:type="spellStart"/>
                  <w:r>
                    <w:t>ms</w:t>
                  </w:r>
                  <w:proofErr w:type="spellEnd"/>
                </w:p>
              </w:tc>
              <w:tc>
                <w:tcPr>
                  <w:tcW w:w="5285" w:type="dxa"/>
                </w:tcPr>
                <w:p w14:paraId="1E4F1FF9" w14:textId="24291EE6" w:rsidR="002E7569" w:rsidRPr="002E7569" w:rsidRDefault="002E7569" w:rsidP="002E7569">
                  <w:pPr>
                    <w:spacing w:after="0"/>
                  </w:pPr>
                  <w:r>
                    <w:t>A</w:t>
                  </w:r>
                  <w:r w:rsidR="00581057">
                    <w:t xml:space="preserve"> </w:t>
                  </w:r>
                  <w:r w:rsidRPr="00CC50AB">
                    <w:rPr>
                      <w:i/>
                    </w:rPr>
                    <w:t>T</w:t>
                  </w:r>
                  <w:r>
                    <w:rPr>
                      <w:i/>
                      <w:vertAlign w:val="subscript"/>
                    </w:rPr>
                    <w:t>off</w:t>
                  </w:r>
                  <w:r>
                    <w:t xml:space="preserve"> </w:t>
                  </w:r>
                  <w:r w:rsidR="00581057">
                    <w:t xml:space="preserve"> </w:t>
                  </w:r>
                  <w:r>
                    <w:t>of 25ms corresponds to 40Hz</w:t>
                  </w:r>
                </w:p>
              </w:tc>
            </w:tr>
            <w:tr w:rsidR="002E7569" w14:paraId="3B3B6E05" w14:textId="77777777" w:rsidTr="002E7569">
              <w:trPr>
                <w:jc w:val="center"/>
              </w:trPr>
              <w:tc>
                <w:tcPr>
                  <w:tcW w:w="1205" w:type="dxa"/>
                </w:tcPr>
                <w:p w14:paraId="42B5AF21" w14:textId="77777777" w:rsidR="002E7569" w:rsidRPr="002E7569" w:rsidRDefault="002E7569" w:rsidP="002E7569">
                  <w:pPr>
                    <w:spacing w:after="0"/>
                  </w:pPr>
                  <w:r w:rsidRPr="002E7569">
                    <w:t>Duty cycle</w:t>
                  </w:r>
                </w:p>
              </w:tc>
              <w:tc>
                <w:tcPr>
                  <w:tcW w:w="1132" w:type="dxa"/>
                </w:tcPr>
                <w:p w14:paraId="4F0C6951" w14:textId="77777777" w:rsidR="002E7569" w:rsidRDefault="002E7569" w:rsidP="002E7569">
                  <w:pPr>
                    <w:spacing w:after="0"/>
                  </w:pPr>
                  <w:r>
                    <w:t>3%</w:t>
                  </w:r>
                </w:p>
              </w:tc>
              <w:tc>
                <w:tcPr>
                  <w:tcW w:w="5285" w:type="dxa"/>
                </w:tcPr>
                <w:p w14:paraId="2A312A95" w14:textId="77777777" w:rsidR="002E7569" w:rsidRDefault="002E7569" w:rsidP="002E7569">
                  <w:pPr>
                    <w:spacing w:after="0"/>
                  </w:pPr>
                  <w:r>
                    <w:t xml:space="preserve">The duty cycle is defined as the ratio, expressed as a percentage of the maximum transmitter “on” time </w:t>
                  </w:r>
                  <m:oMath>
                    <m:d>
                      <m:dPr>
                        <m:ctrlPr>
                          <w:rPr>
                            <w:rFonts w:ascii="Cambria Math" w:hAnsi="Cambria Math"/>
                            <w:i/>
                          </w:rPr>
                        </m:ctrlPr>
                      </m:d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on</m:t>
                                </m:r>
                              </m:sub>
                            </m:sSub>
                          </m:e>
                        </m:nary>
                      </m:e>
                    </m:d>
                  </m:oMath>
                  <w:r>
                    <w:t xml:space="preserve"> on one carrier frequency, relative to a 1 sec period</w:t>
                  </w:r>
                </w:p>
              </w:tc>
            </w:tr>
            <w:tr w:rsidR="002E7569" w14:paraId="00105BED" w14:textId="77777777" w:rsidTr="002E7569">
              <w:trPr>
                <w:jc w:val="center"/>
              </w:trPr>
              <w:tc>
                <w:tcPr>
                  <w:tcW w:w="1205" w:type="dxa"/>
                </w:tcPr>
                <w:p w14:paraId="71F89220" w14:textId="77777777" w:rsidR="002E7569" w:rsidRPr="002E7569" w:rsidRDefault="002E7569" w:rsidP="002E7569">
                  <w:pPr>
                    <w:spacing w:after="0"/>
                  </w:pPr>
                  <w:r w:rsidRPr="002E7569">
                    <w:t>Frame body</w:t>
                  </w:r>
                </w:p>
              </w:tc>
              <w:tc>
                <w:tcPr>
                  <w:tcW w:w="1132" w:type="dxa"/>
                </w:tcPr>
                <w:p w14:paraId="680ACD6F" w14:textId="77777777" w:rsidR="002E7569" w:rsidRDefault="002E7569" w:rsidP="002E7569">
                  <w:pPr>
                    <w:spacing w:after="0"/>
                  </w:pPr>
                  <w:r>
                    <w:t>1500 byte</w:t>
                  </w:r>
                </w:p>
              </w:tc>
              <w:tc>
                <w:tcPr>
                  <w:tcW w:w="5285" w:type="dxa"/>
                </w:tcPr>
                <w:p w14:paraId="01780640" w14:textId="77777777" w:rsidR="002E7569" w:rsidRDefault="002E7569" w:rsidP="002E7569">
                  <w:pPr>
                    <w:spacing w:after="0"/>
                  </w:pPr>
                  <w:r>
                    <w:t>The Frame Body field in IEEE 802.11-2012 [12], Figure 8-1,</w:t>
                  </w:r>
                </w:p>
                <w:p w14:paraId="74948071" w14:textId="77777777" w:rsidR="002E7569" w:rsidRDefault="002E7569" w:rsidP="002E7569">
                  <w:pPr>
                    <w:spacing w:after="0"/>
                  </w:pPr>
                  <w:r>
                    <w:t>shall not exceed 1500 bytes</w:t>
                  </w:r>
                </w:p>
              </w:tc>
            </w:tr>
          </w:tbl>
          <w:p w14:paraId="0EA34F45" w14:textId="77777777" w:rsidR="002E7569" w:rsidRDefault="002E7569" w:rsidP="00CC50AB"/>
          <w:p w14:paraId="2A24B813" w14:textId="77777777" w:rsidR="002E7569" w:rsidRDefault="002E7569" w:rsidP="002E7569">
            <w:r>
              <w:t>The requirements for DCC for CBR ≥  62% are speci</w:t>
            </w:r>
            <w:r w:rsidR="00046B05">
              <w:t>fi</w:t>
            </w:r>
            <w:r>
              <w:t>ed as:</w:t>
            </w:r>
          </w:p>
          <w:p w14:paraId="5DB68643" w14:textId="77777777" w:rsidR="002E7569" w:rsidRPr="002E7569" w:rsidRDefault="003D41A4" w:rsidP="002E7569">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C</m:t>
                        </m:r>
                      </m:e>
                      <m:sub>
                        <m:r>
                          <w:rPr>
                            <w:rFonts w:ascii="Cambria Math" w:hAnsi="Cambria Math"/>
                          </w:rPr>
                          <m:t>W</m:t>
                        </m:r>
                      </m:sub>
                    </m:sSub>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r>
                      <w:rPr>
                        <w:rFonts w:ascii="Cambria Math" w:hAnsi="Cambria Math"/>
                      </w:rPr>
                      <m:t>4000×</m:t>
                    </m:r>
                    <m:f>
                      <m:fPr>
                        <m:ctrlPr>
                          <w:rPr>
                            <w:rFonts w:ascii="Cambria Math" w:hAnsi="Cambria Math"/>
                            <w:i/>
                          </w:rPr>
                        </m:ctrlPr>
                      </m:fPr>
                      <m:num>
                        <m:r>
                          <w:rPr>
                            <w:rFonts w:ascii="Cambria Math" w:hAnsi="Cambria Math"/>
                          </w:rPr>
                          <m:t>CBR-</m:t>
                        </m:r>
                        <m:sSub>
                          <m:sSubPr>
                            <m:ctrlPr>
                              <w:rPr>
                                <w:rFonts w:ascii="Cambria Math" w:hAnsi="Cambria Math"/>
                                <w:i/>
                              </w:rPr>
                            </m:ctrlPr>
                          </m:sSubPr>
                          <m:e>
                            <m:r>
                              <w:rPr>
                                <w:rFonts w:ascii="Cambria Math" w:hAnsi="Cambria Math"/>
                              </w:rPr>
                              <m:t>C</m:t>
                            </m:r>
                          </m:e>
                          <m:sub>
                            <m:r>
                              <w:rPr>
                                <w:rFonts w:ascii="Cambria Math" w:hAnsi="Cambria Math"/>
                              </w:rPr>
                              <m:t>TH</m:t>
                            </m:r>
                          </m:sub>
                        </m:sSub>
                      </m:num>
                      <m:den>
                        <m:r>
                          <w:rPr>
                            <w:rFonts w:ascii="Cambria Math" w:hAnsi="Cambria Math"/>
                          </w:rPr>
                          <m:t>CBR</m:t>
                        </m:r>
                      </m:den>
                    </m:f>
                    <m:r>
                      <w:rPr>
                        <w:rFonts w:ascii="Cambria Math" w:hAnsi="Cambria Math"/>
                      </w:rPr>
                      <m:t>-1</m:t>
                    </m:r>
                  </m:e>
                </m:d>
              </m:oMath>
            </m:oMathPara>
          </w:p>
          <w:p w14:paraId="3E49AC67" w14:textId="1A795C7C" w:rsidR="002E7569" w:rsidRPr="002E7569" w:rsidRDefault="00581057" w:rsidP="002E7569">
            <w:r>
              <w:t>W</w:t>
            </w:r>
            <w:r w:rsidR="002E7569">
              <w:t>here</w:t>
            </w:r>
          </w:p>
          <w:tbl>
            <w:tblPr>
              <w:tblStyle w:val="TableGrid"/>
              <w:tblW w:w="0" w:type="auto"/>
              <w:jc w:val="center"/>
              <w:tblLook w:val="04A0" w:firstRow="1" w:lastRow="0" w:firstColumn="1" w:lastColumn="0" w:noHBand="0" w:noVBand="1"/>
            </w:tblPr>
            <w:tblGrid>
              <w:gridCol w:w="1205"/>
              <w:gridCol w:w="1132"/>
              <w:gridCol w:w="5285"/>
            </w:tblGrid>
            <w:tr w:rsidR="002E7569" w:rsidRPr="00C57B8C" w14:paraId="50DB9B66" w14:textId="77777777" w:rsidTr="00265B02">
              <w:trPr>
                <w:jc w:val="center"/>
              </w:trPr>
              <w:tc>
                <w:tcPr>
                  <w:tcW w:w="1205" w:type="dxa"/>
                </w:tcPr>
                <w:p w14:paraId="2B67D31F" w14:textId="77777777" w:rsidR="002E7569" w:rsidRPr="00C57B8C" w:rsidRDefault="002E7569" w:rsidP="002E7569">
                  <w:pPr>
                    <w:spacing w:after="0"/>
                    <w:rPr>
                      <w:b/>
                    </w:rPr>
                  </w:pPr>
                  <w:r w:rsidRPr="00C57B8C">
                    <w:rPr>
                      <w:b/>
                    </w:rPr>
                    <w:t>Parameters</w:t>
                  </w:r>
                </w:p>
              </w:tc>
              <w:tc>
                <w:tcPr>
                  <w:tcW w:w="1132" w:type="dxa"/>
                </w:tcPr>
                <w:p w14:paraId="491B0EB9" w14:textId="77777777" w:rsidR="002E7569" w:rsidRPr="00C57B8C" w:rsidRDefault="002E7569" w:rsidP="002E7569">
                  <w:pPr>
                    <w:spacing w:after="0"/>
                    <w:rPr>
                      <w:b/>
                    </w:rPr>
                  </w:pPr>
                  <w:r w:rsidRPr="00C57B8C">
                    <w:rPr>
                      <w:b/>
                    </w:rPr>
                    <w:t>Value</w:t>
                  </w:r>
                </w:p>
              </w:tc>
              <w:tc>
                <w:tcPr>
                  <w:tcW w:w="5285" w:type="dxa"/>
                </w:tcPr>
                <w:p w14:paraId="2E10AD78" w14:textId="77777777" w:rsidR="002E7569" w:rsidRPr="00C57B8C" w:rsidRDefault="002E7569" w:rsidP="002E7569">
                  <w:pPr>
                    <w:spacing w:after="0"/>
                    <w:rPr>
                      <w:b/>
                    </w:rPr>
                  </w:pPr>
                  <w:r w:rsidRPr="00C57B8C">
                    <w:rPr>
                      <w:b/>
                    </w:rPr>
                    <w:t>Description</w:t>
                  </w:r>
                </w:p>
              </w:tc>
            </w:tr>
            <w:tr w:rsidR="002E7569" w:rsidRPr="002E7569" w14:paraId="60A6B098" w14:textId="77777777" w:rsidTr="00265B02">
              <w:trPr>
                <w:jc w:val="center"/>
              </w:trPr>
              <w:tc>
                <w:tcPr>
                  <w:tcW w:w="1205" w:type="dxa"/>
                </w:tcPr>
                <w:p w14:paraId="13E58AD9" w14:textId="77777777" w:rsidR="002E7569" w:rsidRPr="00CC50AB" w:rsidRDefault="002E7569" w:rsidP="002E7569">
                  <w:pPr>
                    <w:spacing w:after="0"/>
                    <w:rPr>
                      <w:i/>
                    </w:rPr>
                  </w:pPr>
                  <w:r>
                    <w:rPr>
                      <w:i/>
                    </w:rPr>
                    <w:t>C</w:t>
                  </w:r>
                  <w:r w:rsidRPr="002E7569">
                    <w:rPr>
                      <w:i/>
                      <w:vertAlign w:val="subscript"/>
                    </w:rPr>
                    <w:t>TH</w:t>
                  </w:r>
                </w:p>
              </w:tc>
              <w:tc>
                <w:tcPr>
                  <w:tcW w:w="1132" w:type="dxa"/>
                </w:tcPr>
                <w:p w14:paraId="680C64CC" w14:textId="77777777" w:rsidR="002E7569" w:rsidRDefault="002E7569" w:rsidP="002E7569">
                  <w:pPr>
                    <w:spacing w:after="0"/>
                  </w:pPr>
                  <w:r>
                    <w:t>0.6</w:t>
                  </w:r>
                </w:p>
              </w:tc>
              <w:tc>
                <w:tcPr>
                  <w:tcW w:w="5285" w:type="dxa"/>
                </w:tcPr>
                <w:p w14:paraId="3E83C844" w14:textId="77777777" w:rsidR="002E7569" w:rsidRPr="002E7569" w:rsidRDefault="002E7569" w:rsidP="002E7569">
                  <w:pPr>
                    <w:spacing w:after="0"/>
                  </w:pPr>
                  <w:r>
                    <w:t>The congestion threshold</w:t>
                  </w:r>
                </w:p>
              </w:tc>
            </w:tr>
            <w:tr w:rsidR="002E7569" w:rsidRPr="002E7569" w14:paraId="0CCEFF75" w14:textId="77777777" w:rsidTr="00265B02">
              <w:trPr>
                <w:jc w:val="center"/>
              </w:trPr>
              <w:tc>
                <w:tcPr>
                  <w:tcW w:w="1205" w:type="dxa"/>
                </w:tcPr>
                <w:p w14:paraId="75D19387" w14:textId="77777777" w:rsidR="002E7569" w:rsidRPr="00CC50AB" w:rsidRDefault="002E7569" w:rsidP="002E7569">
                  <w:pPr>
                    <w:spacing w:after="0"/>
                    <w:rPr>
                      <w:i/>
                    </w:rPr>
                  </w:pPr>
                  <w:r>
                    <w:rPr>
                      <w:i/>
                    </w:rPr>
                    <w:t>C</w:t>
                  </w:r>
                  <w:r w:rsidRPr="002E7569">
                    <w:rPr>
                      <w:i/>
                      <w:vertAlign w:val="subscript"/>
                    </w:rPr>
                    <w:t>W</w:t>
                  </w:r>
                </w:p>
              </w:tc>
              <w:tc>
                <w:tcPr>
                  <w:tcW w:w="1132" w:type="dxa"/>
                </w:tcPr>
                <w:p w14:paraId="041599DB" w14:textId="77777777" w:rsidR="002E7569" w:rsidRDefault="002E7569" w:rsidP="002E7569">
                  <w:pPr>
                    <w:spacing w:after="0"/>
                  </w:pPr>
                  <w:r>
                    <w:t>1</w:t>
                  </w:r>
                </w:p>
              </w:tc>
              <w:tc>
                <w:tcPr>
                  <w:tcW w:w="5285" w:type="dxa"/>
                </w:tcPr>
                <w:p w14:paraId="4BBC2B1E" w14:textId="77777777" w:rsidR="002E7569" w:rsidRPr="002E7569" w:rsidRDefault="002E7569" w:rsidP="002E7569">
                  <w:pPr>
                    <w:spacing w:after="0"/>
                  </w:pPr>
                  <w:r>
                    <w:t>The weight factor</w:t>
                  </w:r>
                </w:p>
              </w:tc>
            </w:tr>
          </w:tbl>
          <w:p w14:paraId="7C2AF202" w14:textId="66A9F74E" w:rsidR="002E7569" w:rsidRPr="00193CD5" w:rsidRDefault="002E7569" w:rsidP="002E7569">
            <w:pPr>
              <w:rPr>
                <w:sz w:val="8"/>
              </w:rPr>
            </w:pPr>
          </w:p>
        </w:tc>
      </w:tr>
    </w:tbl>
    <w:p w14:paraId="218166D2" w14:textId="77777777" w:rsidR="00C255CD" w:rsidRDefault="00C255CD" w:rsidP="00242697">
      <w:pPr>
        <w:jc w:val="both"/>
      </w:pPr>
    </w:p>
    <w:p w14:paraId="13D04202" w14:textId="6207A201" w:rsidR="00C726DD" w:rsidRDefault="00150194" w:rsidP="00242697">
      <w:pPr>
        <w:jc w:val="both"/>
      </w:pPr>
      <w:r>
        <w:t xml:space="preserve">From the </w:t>
      </w:r>
      <w:r w:rsidR="00046B05">
        <w:t>requirements</w:t>
      </w:r>
      <w:r>
        <w:t xml:space="preserve"> above, it can be readily seen that the requirements are derived assuming 802.11p as the technology. </w:t>
      </w:r>
      <w:r w:rsidR="0061041D">
        <w:t>Some of these are</w:t>
      </w:r>
    </w:p>
    <w:p w14:paraId="37810657" w14:textId="77777777" w:rsidR="00150194" w:rsidRDefault="00150194" w:rsidP="00150194">
      <w:pPr>
        <w:pStyle w:val="ListParagraph"/>
        <w:numPr>
          <w:ilvl w:val="0"/>
          <w:numId w:val="30"/>
        </w:numPr>
        <w:jc w:val="both"/>
      </w:pPr>
      <w:r>
        <w:t xml:space="preserve">Channel busy time </w:t>
      </w:r>
      <w:r w:rsidR="00046B05">
        <w:t>measurement</w:t>
      </w:r>
      <w:r>
        <w:t xml:space="preserve"> </w:t>
      </w:r>
      <w:r w:rsidR="00046B05">
        <w:t xml:space="preserve">is </w:t>
      </w:r>
      <w:r>
        <w:t>defined assuming TDMA access (no FDM)</w:t>
      </w:r>
    </w:p>
    <w:p w14:paraId="6BDD199C" w14:textId="77777777" w:rsidR="00150194" w:rsidRDefault="00150194" w:rsidP="00150194">
      <w:pPr>
        <w:pStyle w:val="ListParagraph"/>
        <w:numPr>
          <w:ilvl w:val="0"/>
          <w:numId w:val="30"/>
        </w:numPr>
        <w:jc w:val="both"/>
      </w:pPr>
      <w:r>
        <w:t>Radio parameters are 802.11p specific</w:t>
      </w:r>
    </w:p>
    <w:p w14:paraId="1C2C65FE" w14:textId="754FAD17" w:rsidR="00150194" w:rsidRDefault="00150194" w:rsidP="00150194">
      <w:pPr>
        <w:pStyle w:val="ListParagraph"/>
        <w:numPr>
          <w:ilvl w:val="1"/>
          <w:numId w:val="30"/>
        </w:numPr>
        <w:jc w:val="both"/>
      </w:pPr>
      <w:r>
        <w:t xml:space="preserve">Probe time corresponds to the OFDM symbol time </w:t>
      </w:r>
      <w:r w:rsidR="0018782A">
        <w:t xml:space="preserve">of </w:t>
      </w:r>
      <w:r>
        <w:t>802.11p</w:t>
      </w:r>
    </w:p>
    <w:p w14:paraId="6E517F89" w14:textId="77777777" w:rsidR="00150194" w:rsidRDefault="00150194" w:rsidP="00150194">
      <w:pPr>
        <w:pStyle w:val="ListParagraph"/>
        <w:numPr>
          <w:ilvl w:val="1"/>
          <w:numId w:val="30"/>
        </w:numPr>
        <w:jc w:val="both"/>
      </w:pPr>
      <w:r>
        <w:t xml:space="preserve">Signal strength threshold </w:t>
      </w:r>
      <w:proofErr w:type="spellStart"/>
      <w:r w:rsidRPr="00150194">
        <w:rPr>
          <w:i/>
        </w:rPr>
        <w:t>S</w:t>
      </w:r>
      <w:r w:rsidRPr="00150194">
        <w:rPr>
          <w:i/>
          <w:vertAlign w:val="subscript"/>
        </w:rPr>
        <w:t>th</w:t>
      </w:r>
      <w:proofErr w:type="spellEnd"/>
      <w:r>
        <w:t xml:space="preserve"> corresponds to the reference sensitivity for 802.11p</w:t>
      </w:r>
    </w:p>
    <w:p w14:paraId="4796A8CC" w14:textId="677F5B3C" w:rsidR="00150194" w:rsidRDefault="00150194" w:rsidP="00150194">
      <w:pPr>
        <w:pStyle w:val="ListParagraph"/>
        <w:numPr>
          <w:ilvl w:val="1"/>
          <w:numId w:val="30"/>
        </w:numPr>
        <w:jc w:val="both"/>
      </w:pPr>
      <w:r w:rsidRPr="00795D00">
        <w:rPr>
          <w:i/>
        </w:rPr>
        <w:t>T</w:t>
      </w:r>
      <w:r w:rsidRPr="00EB3985">
        <w:rPr>
          <w:i/>
          <w:vertAlign w:val="subscript"/>
        </w:rPr>
        <w:t>on</w:t>
      </w:r>
      <w:r>
        <w:t xml:space="preserve"> is calculated us</w:t>
      </w:r>
      <w:r w:rsidR="0018782A">
        <w:t>ing</w:t>
      </w:r>
      <w:r>
        <w:t xml:space="preserve"> the minimum data</w:t>
      </w:r>
      <w:r w:rsidR="00581057">
        <w:t xml:space="preserve"> </w:t>
      </w:r>
      <w:r>
        <w:t>rate for 802.11p</w:t>
      </w:r>
    </w:p>
    <w:p w14:paraId="79D68807" w14:textId="77777777" w:rsidR="00150194" w:rsidRDefault="00150194" w:rsidP="00150194">
      <w:pPr>
        <w:pStyle w:val="ListParagraph"/>
        <w:numPr>
          <w:ilvl w:val="0"/>
          <w:numId w:val="30"/>
        </w:numPr>
        <w:jc w:val="both"/>
      </w:pPr>
      <w:r>
        <w:t>CBR limits of 62% were derived using system simulation with 802.11p channel access</w:t>
      </w:r>
    </w:p>
    <w:p w14:paraId="362D604A" w14:textId="77777777" w:rsidR="00150194" w:rsidRDefault="00150194" w:rsidP="00150194">
      <w:pPr>
        <w:pStyle w:val="ListParagraph"/>
        <w:numPr>
          <w:ilvl w:val="0"/>
          <w:numId w:val="30"/>
        </w:numPr>
        <w:jc w:val="both"/>
      </w:pPr>
      <w:r>
        <w:t xml:space="preserve">For CBR &gt; 62%, the DCC limits the channel utilization at a UE by limiting the </w:t>
      </w:r>
      <w:r w:rsidRPr="00795D00">
        <w:rPr>
          <w:i/>
        </w:rPr>
        <w:t>T</w:t>
      </w:r>
      <w:r w:rsidRPr="00EB3985">
        <w:rPr>
          <w:i/>
          <w:vertAlign w:val="subscript"/>
        </w:rPr>
        <w:t>off</w:t>
      </w:r>
      <w:r w:rsidRPr="00795D00">
        <w:rPr>
          <w:i/>
        </w:rPr>
        <w:t xml:space="preserve"> / T</w:t>
      </w:r>
      <w:r w:rsidRPr="00EB3985">
        <w:rPr>
          <w:i/>
          <w:vertAlign w:val="subscript"/>
        </w:rPr>
        <w:t>on</w:t>
      </w:r>
      <w:r>
        <w:t xml:space="preserve"> time. This </w:t>
      </w:r>
      <w:r w:rsidR="00046B05">
        <w:t>relates</w:t>
      </w:r>
      <w:r>
        <w:t xml:space="preserve"> to TDMA access. Further, the formulation is also 802.11p specific as derived in the next section.</w:t>
      </w:r>
    </w:p>
    <w:p w14:paraId="05D3D885" w14:textId="64F5E377" w:rsidR="00150194" w:rsidRPr="00150194" w:rsidRDefault="00150194" w:rsidP="00B61E8D">
      <w:pPr>
        <w:jc w:val="both"/>
        <w:rPr>
          <w:i/>
        </w:rPr>
      </w:pPr>
      <w:r w:rsidRPr="00150194">
        <w:rPr>
          <w:b/>
          <w:i/>
        </w:rPr>
        <w:t xml:space="preserve">Observation 1: </w:t>
      </w:r>
      <w:r w:rsidRPr="00150194">
        <w:rPr>
          <w:i/>
        </w:rPr>
        <w:t xml:space="preserve">The existing DCC </w:t>
      </w:r>
      <w:r w:rsidR="00046B05" w:rsidRPr="00150194">
        <w:rPr>
          <w:i/>
        </w:rPr>
        <w:t>requirements</w:t>
      </w:r>
      <w:r w:rsidRPr="00150194">
        <w:rPr>
          <w:i/>
        </w:rPr>
        <w:t xml:space="preserve"> in ETSI harmonized </w:t>
      </w:r>
      <w:r w:rsidR="00046B05" w:rsidRPr="00150194">
        <w:rPr>
          <w:i/>
        </w:rPr>
        <w:t>specification</w:t>
      </w:r>
      <w:r w:rsidRPr="00150194">
        <w:rPr>
          <w:i/>
        </w:rPr>
        <w:t xml:space="preserve"> </w:t>
      </w:r>
      <w:r w:rsidR="003D41A4">
        <w:rPr>
          <w:i/>
        </w:rPr>
        <w:t>EN 302.</w:t>
      </w:r>
      <w:r w:rsidRPr="00150194">
        <w:rPr>
          <w:i/>
        </w:rPr>
        <w:t xml:space="preserve">571 v2.0.0 are </w:t>
      </w:r>
      <w:r>
        <w:rPr>
          <w:i/>
        </w:rPr>
        <w:t xml:space="preserve">derived assuming </w:t>
      </w:r>
      <w:r w:rsidRPr="00150194">
        <w:rPr>
          <w:i/>
        </w:rPr>
        <w:t xml:space="preserve">802.11p </w:t>
      </w:r>
      <w:r>
        <w:rPr>
          <w:i/>
        </w:rPr>
        <w:t>based channel access</w:t>
      </w:r>
      <w:r w:rsidRPr="00150194">
        <w:rPr>
          <w:i/>
        </w:rPr>
        <w:t>.</w:t>
      </w:r>
    </w:p>
    <w:p w14:paraId="2B260D6E" w14:textId="77777777" w:rsidR="006F2146" w:rsidRDefault="00B61E8D" w:rsidP="00E507B8">
      <w:pPr>
        <w:jc w:val="both"/>
      </w:pPr>
      <w:r>
        <w:lastRenderedPageBreak/>
        <w:t>Motivated by the observation above, we take a step back to look at DCC from a technology-</w:t>
      </w:r>
      <w:r w:rsidR="00046B05">
        <w:t>neutral</w:t>
      </w:r>
      <w:r>
        <w:t xml:space="preserve"> viewpoint and </w:t>
      </w:r>
      <w:r w:rsidR="0006562E">
        <w:t xml:space="preserve">derive the 802.11p requirements as a subset of a more technology </w:t>
      </w:r>
      <w:r w:rsidR="00873B08">
        <w:t>neutral</w:t>
      </w:r>
      <w:r w:rsidR="0006562E">
        <w:t xml:space="preserve"> formulation.</w:t>
      </w:r>
    </w:p>
    <w:p w14:paraId="6DDE07C1" w14:textId="7D3C878E" w:rsidR="006F2146" w:rsidRDefault="00C82DE6" w:rsidP="006F2146">
      <w:pPr>
        <w:pStyle w:val="Heading1"/>
      </w:pPr>
      <w:r>
        <w:t>3</w:t>
      </w:r>
      <w:r w:rsidR="006F2146">
        <w:tab/>
      </w:r>
      <w:r w:rsidR="00C53C39">
        <w:t>F</w:t>
      </w:r>
      <w:r w:rsidR="006F2146">
        <w:t>ormulation for DCC</w:t>
      </w:r>
    </w:p>
    <w:p w14:paraId="1543EA51" w14:textId="3D370476" w:rsidR="00AF52CB" w:rsidRDefault="00AF52CB" w:rsidP="00AF52CB">
      <w:pPr>
        <w:pStyle w:val="Heading2"/>
      </w:pPr>
      <w:r>
        <w:t>3.1</w:t>
      </w:r>
      <w:r>
        <w:tab/>
        <w:t>Generalized formulation</w:t>
      </w:r>
    </w:p>
    <w:p w14:paraId="79DC6C4C" w14:textId="0204456B" w:rsidR="006F2146" w:rsidRPr="00E472F1" w:rsidRDefault="006F2146" w:rsidP="000C664C">
      <w:pPr>
        <w:jc w:val="both"/>
      </w:pPr>
      <w:r>
        <w:t xml:space="preserve">In </w:t>
      </w:r>
      <w:r w:rsidR="0018782A">
        <w:t>the</w:t>
      </w:r>
      <w:r>
        <w:t xml:space="preserve"> generalized formulation, the channel busy ratio can be defined as the ra</w:t>
      </w:r>
      <w:r w:rsidR="0018782A">
        <w:t>t</w:t>
      </w:r>
      <w:r>
        <w:t>io of rad</w:t>
      </w:r>
      <w:r w:rsidR="000C664C">
        <w:t xml:space="preserve">io resources (i.e. time-frequency instead of only time </w:t>
      </w:r>
      <w:r w:rsidR="00873B08">
        <w:t>dimension</w:t>
      </w:r>
      <w:r w:rsidR="000C664C">
        <w:t xml:space="preserve">) that were </w:t>
      </w:r>
      <w:r w:rsidR="00E472F1">
        <w:t xml:space="preserve">deemed </w:t>
      </w:r>
      <w:r w:rsidR="00E472F1" w:rsidRPr="00E472F1">
        <w:rPr>
          <w:i/>
        </w:rPr>
        <w:t>busy</w:t>
      </w:r>
      <w:r w:rsidR="00E472F1">
        <w:t xml:space="preserve">. A resource is deemed </w:t>
      </w:r>
      <w:r w:rsidR="00E472F1" w:rsidRPr="00E472F1">
        <w:rPr>
          <w:i/>
        </w:rPr>
        <w:t>busy</w:t>
      </w:r>
      <w:r w:rsidR="00E472F1">
        <w:t xml:space="preserve"> i</w:t>
      </w:r>
      <w:r w:rsidR="0018782A">
        <w:t>f</w:t>
      </w:r>
      <w:r w:rsidR="00E472F1">
        <w:t xml:space="preserve"> the received signal strength on the time-frequency resource exceeds a given threshold (</w:t>
      </w:r>
      <w:proofErr w:type="spellStart"/>
      <w:r w:rsidR="00E472F1" w:rsidRPr="00E472F1">
        <w:rPr>
          <w:i/>
        </w:rPr>
        <w:t>S</w:t>
      </w:r>
      <w:r w:rsidR="00E472F1" w:rsidRPr="00E472F1">
        <w:rPr>
          <w:i/>
          <w:vertAlign w:val="subscript"/>
        </w:rPr>
        <w:t>th</w:t>
      </w:r>
      <w:proofErr w:type="spellEnd"/>
      <w:r w:rsidR="00E472F1">
        <w:t>).</w:t>
      </w:r>
    </w:p>
    <w:p w14:paraId="1833A31C" w14:textId="78E7C4A7" w:rsidR="00936BA2" w:rsidRDefault="00936BA2" w:rsidP="00770461">
      <w:pPr>
        <w:jc w:val="center"/>
      </w:pPr>
      <m:oMath>
        <m:r>
          <w:rPr>
            <w:rFonts w:ascii="Cambria Math" w:hAnsi="Cambria Math"/>
          </w:rPr>
          <m:t>channelBusyRatio(CBR)=</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 xml:space="preserve">probes with radio resource </m:t>
            </m:r>
            <m:r>
              <w:rPr>
                <w:rFonts w:ascii="Cambria Math" w:hAnsi="Cambria Math"/>
              </w:rPr>
              <m:t>busy</m:t>
            </m:r>
          </m:e>
        </m:nary>
        <m:r>
          <w:rPr>
            <w:rFonts w:ascii="Cambria Math" w:hAnsi="Cambria Math"/>
          </w:rPr>
          <m:t>)/Np</m:t>
        </m:r>
      </m:oMath>
      <w:r w:rsidR="00EB3985">
        <w:t>,</w:t>
      </w:r>
    </w:p>
    <w:p w14:paraId="10053A9F" w14:textId="7698B250" w:rsidR="006F2146" w:rsidRPr="00590021" w:rsidRDefault="00936BA2" w:rsidP="00E507B8">
      <w:pPr>
        <w:jc w:val="both"/>
      </w:pPr>
      <w:proofErr w:type="gramStart"/>
      <w:r>
        <w:t>where</w:t>
      </w:r>
      <w:proofErr w:type="gramEnd"/>
      <w:r>
        <w:t xml:space="preserve"> </w:t>
      </w:r>
      <w:r>
        <w:rPr>
          <w:i/>
        </w:rPr>
        <w:t xml:space="preserve">Np </w:t>
      </w:r>
      <w:r>
        <w:t>are the total number of radio resources probed for CBR measurement within a measurement window. Further, a resource is defined as the minimum time-frequency unit of allocation possible for the technology (e.g. 8us x 8.125MHz for 802.11p, 1 PRB pair for LTE-V2V).</w:t>
      </w:r>
      <w:r w:rsidR="0018782A">
        <w:t xml:space="preserve"> The </w:t>
      </w:r>
      <w:r w:rsidR="00590021">
        <w:t xml:space="preserve">threshold </w:t>
      </w:r>
      <w:proofErr w:type="spellStart"/>
      <w:r w:rsidR="00590021" w:rsidRPr="00E472F1">
        <w:rPr>
          <w:i/>
        </w:rPr>
        <w:t>S</w:t>
      </w:r>
      <w:r w:rsidR="00590021" w:rsidRPr="00E472F1">
        <w:rPr>
          <w:i/>
          <w:vertAlign w:val="subscript"/>
        </w:rPr>
        <w:t>th</w:t>
      </w:r>
      <w:proofErr w:type="spellEnd"/>
      <w:r w:rsidR="00590021">
        <w:rPr>
          <w:i/>
        </w:rPr>
        <w:t xml:space="preserve"> </w:t>
      </w:r>
      <w:r w:rsidR="00C53C39" w:rsidRPr="00C53C39">
        <w:t>will</w:t>
      </w:r>
      <w:r w:rsidR="00C53C39">
        <w:t xml:space="preserve"> be </w:t>
      </w:r>
      <w:r w:rsidR="00590021">
        <w:t>technology</w:t>
      </w:r>
      <w:r w:rsidR="00C53C39">
        <w:t xml:space="preserve"> specific</w:t>
      </w:r>
      <w:r w:rsidR="00590021">
        <w:t>.</w:t>
      </w:r>
    </w:p>
    <w:p w14:paraId="33A6AA3F" w14:textId="60EE9883" w:rsidR="00A60D89" w:rsidRDefault="009852E7" w:rsidP="00C76573">
      <w:pPr>
        <w:jc w:val="both"/>
      </w:pPr>
      <w:r>
        <w:t xml:space="preserve">The idea of the CBR measurement is to obtain an indirect measure of the total number of transmissions in the UEs </w:t>
      </w:r>
      <w:r w:rsidR="00873B08">
        <w:t>proximity</w:t>
      </w:r>
      <w:r>
        <w:t xml:space="preserve"> [</w:t>
      </w:r>
      <w:r w:rsidR="00795D00">
        <w:t>4</w:t>
      </w:r>
      <w:r>
        <w:t>]. Thus the CBR measurement relates to the number of ITS stations (</w:t>
      </w:r>
      <w:proofErr w:type="spellStart"/>
      <w:r w:rsidRPr="009852E7">
        <w:rPr>
          <w:i/>
        </w:rPr>
        <w:t>Nsta</w:t>
      </w:r>
      <w:proofErr w:type="spellEnd"/>
      <w:r>
        <w:t>) in the proximity</w:t>
      </w:r>
      <w:r w:rsidR="00590021">
        <w:t>. This relation is</w:t>
      </w:r>
      <w:r w:rsidR="00A60D89">
        <w:t xml:space="preserve"> expressed as</w:t>
      </w:r>
    </w:p>
    <w:p w14:paraId="1BDE0D7A" w14:textId="77777777" w:rsidR="00C76573" w:rsidRDefault="00C76573" w:rsidP="00C76573">
      <w:pPr>
        <w:jc w:val="both"/>
      </w:pPr>
      <m:oMathPara>
        <m:oMath>
          <m:r>
            <w:rPr>
              <w:rFonts w:ascii="Cambria Math" w:hAnsi="Cambria Math"/>
            </w:rPr>
            <m:t>CBR=f</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sta</m:t>
                  </m:r>
                </m:sub>
              </m:sSub>
            </m:e>
          </m:d>
        </m:oMath>
      </m:oMathPara>
    </w:p>
    <w:p w14:paraId="30B7CBF3" w14:textId="77777777" w:rsidR="009852E7" w:rsidRDefault="00256928" w:rsidP="00E507B8">
      <w:pPr>
        <w:jc w:val="both"/>
      </w:pPr>
      <w:r>
        <w:t xml:space="preserve">The function </w:t>
      </w:r>
      <w:proofErr w:type="gramStart"/>
      <w:r w:rsidRPr="00EB3985">
        <w:rPr>
          <w:i/>
        </w:rPr>
        <w:t>f(</w:t>
      </w:r>
      <w:proofErr w:type="gramEnd"/>
      <w:r w:rsidRPr="00EB3985">
        <w:rPr>
          <w:i/>
        </w:rPr>
        <w:t>)</w:t>
      </w:r>
      <w:r>
        <w:t xml:space="preserve"> on mapping of </w:t>
      </w:r>
      <w:proofErr w:type="spellStart"/>
      <w:r w:rsidRPr="00EB3985">
        <w:rPr>
          <w:i/>
        </w:rPr>
        <w:t>N</w:t>
      </w:r>
      <w:r w:rsidRPr="00EB3985">
        <w:rPr>
          <w:i/>
          <w:vertAlign w:val="subscript"/>
        </w:rPr>
        <w:t>sta</w:t>
      </w:r>
      <w:proofErr w:type="spellEnd"/>
      <w:r>
        <w:t xml:space="preserve"> to </w:t>
      </w:r>
      <w:r w:rsidRPr="00EB3985">
        <w:rPr>
          <w:i/>
        </w:rPr>
        <w:t>CBR</w:t>
      </w:r>
      <w:r>
        <w:t xml:space="preserve"> depends on the channel access method, e.g. </w:t>
      </w:r>
      <w:r w:rsidR="00873B08">
        <w:t>asynchronous</w:t>
      </w:r>
      <w:r>
        <w:t xml:space="preserve"> vs synchronous channel access and on channel access parameters as well. </w:t>
      </w:r>
    </w:p>
    <w:p w14:paraId="1617FFD3" w14:textId="23F3C1F3" w:rsidR="001D15A6" w:rsidRDefault="001D15A6" w:rsidP="00E507B8">
      <w:pPr>
        <w:jc w:val="both"/>
      </w:pPr>
      <w:r>
        <w:t>The idea of DCC is then to limit the channel utilization by each UE to a maximum allowed limit (</w:t>
      </w:r>
      <w:proofErr w:type="spellStart"/>
      <w:r w:rsidRPr="00EB3985">
        <w:rPr>
          <w:i/>
        </w:rPr>
        <w:t>CBR</w:t>
      </w:r>
      <w:r w:rsidRPr="00EB3985">
        <w:rPr>
          <w:i/>
          <w:vertAlign w:val="subscript"/>
        </w:rPr>
        <w:t>limit</w:t>
      </w:r>
      <w:proofErr w:type="spellEnd"/>
      <w:r>
        <w:t xml:space="preserve">) of the ratio of total radio resources that can be used in a given geographical area. One way to do it is to split the maximum allowed fraction of </w:t>
      </w:r>
      <w:r w:rsidR="00590021">
        <w:t xml:space="preserve">busy </w:t>
      </w:r>
      <w:r>
        <w:t>radio resources</w:t>
      </w:r>
      <w:r w:rsidR="00590021">
        <w:t xml:space="preserve"> </w:t>
      </w:r>
      <w:r>
        <w:t>among the ITS stations in the given geographical area. The limit of the channel resource utilization (</w:t>
      </w:r>
      <w:proofErr w:type="spellStart"/>
      <w:r w:rsidRPr="00EB3985">
        <w:rPr>
          <w:i/>
        </w:rPr>
        <w:t>CR</w:t>
      </w:r>
      <w:r w:rsidRPr="00EB3985">
        <w:rPr>
          <w:i/>
          <w:vertAlign w:val="subscript"/>
        </w:rPr>
        <w:t>limit</w:t>
      </w:r>
      <w:proofErr w:type="spellEnd"/>
      <w:r>
        <w:t>) can then be expressed as:</w:t>
      </w:r>
    </w:p>
    <w:p w14:paraId="31BDED43" w14:textId="77777777" w:rsidR="001D15A6" w:rsidRPr="001D15A6" w:rsidRDefault="001D15A6" w:rsidP="001D15A6">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b>
                <m:sSubPr>
                  <m:ctrlPr>
                    <w:rPr>
                      <w:rFonts w:ascii="Cambria Math" w:hAnsi="Cambria Math"/>
                      <w:i/>
                    </w:rPr>
                  </m:ctrlPr>
                </m:sSubPr>
                <m:e>
                  <m:r>
                    <w:rPr>
                      <w:rFonts w:ascii="Cambria Math" w:hAnsi="Cambria Math"/>
                    </w:rPr>
                    <m:t>N</m:t>
                  </m:r>
                </m:e>
                <m:sub>
                  <m:r>
                    <w:rPr>
                      <w:rFonts w:ascii="Cambria Math" w:hAnsi="Cambria Math"/>
                    </w:rPr>
                    <m:t>sta</m:t>
                  </m:r>
                </m:sub>
              </m:sSub>
            </m:den>
          </m:f>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5E43F23D" w14:textId="77777777" w:rsidR="001D15A6" w:rsidRDefault="001D15A6" w:rsidP="001D15A6">
      <w:pPr>
        <w:jc w:val="both"/>
      </w:pPr>
      <w:r>
        <w:t>The DCC loop in the UE then ensures that the channel resource utilization (</w:t>
      </w:r>
      <w:r w:rsidRPr="00B46039">
        <w:rPr>
          <w:i/>
        </w:rPr>
        <w:t>CR</w:t>
      </w:r>
      <w:r>
        <w:t xml:space="preserve">) remains below </w:t>
      </w:r>
      <w:proofErr w:type="spellStart"/>
      <w:r w:rsidRPr="00B46039">
        <w:rPr>
          <w:i/>
        </w:rPr>
        <w:t>CR</w:t>
      </w:r>
      <w:r w:rsidRPr="00B46039">
        <w:rPr>
          <w:i/>
          <w:vertAlign w:val="subscript"/>
        </w:rPr>
        <w:t>limit</w:t>
      </w:r>
      <w:proofErr w:type="spellEnd"/>
      <w:r w:rsidR="00B46039">
        <w:t xml:space="preserve">, i.e. </w:t>
      </w:r>
      <w:r w:rsidR="00B46039" w:rsidRPr="00B46039">
        <w:rPr>
          <w:i/>
        </w:rPr>
        <w:t>CR</w:t>
      </w:r>
      <w:r w:rsidR="00B46039">
        <w:rPr>
          <w:i/>
        </w:rPr>
        <w:t>≤</w:t>
      </w:r>
      <w:r w:rsidR="00B46039" w:rsidRPr="00B46039">
        <w:rPr>
          <w:i/>
        </w:rPr>
        <w:t xml:space="preserve"> </w:t>
      </w:r>
      <w:proofErr w:type="spellStart"/>
      <w:r w:rsidR="00B46039" w:rsidRPr="00B46039">
        <w:rPr>
          <w:i/>
        </w:rPr>
        <w:t>CR</w:t>
      </w:r>
      <w:r w:rsidR="00B46039" w:rsidRPr="00B46039">
        <w:rPr>
          <w:i/>
          <w:vertAlign w:val="subscript"/>
        </w:rPr>
        <w:t>limit</w:t>
      </w:r>
      <w:proofErr w:type="spellEnd"/>
      <w:r w:rsidR="00B46039">
        <w:t>.</w:t>
      </w:r>
      <w:r w:rsidR="00B35280">
        <w:t xml:space="preserve"> </w:t>
      </w:r>
    </w:p>
    <w:p w14:paraId="6FB0F243" w14:textId="4BE760FA" w:rsidR="00B35280" w:rsidRDefault="00B35280" w:rsidP="001D15A6">
      <w:pPr>
        <w:jc w:val="both"/>
      </w:pPr>
      <w:r>
        <w:t xml:space="preserve">In a slight alteration to the above formulation (to resemble the harmonized specification), the DCC loop can be triggered only when the </w:t>
      </w:r>
      <w:proofErr w:type="spellStart"/>
      <w:r w:rsidRPr="00B35280">
        <w:rPr>
          <w:i/>
        </w:rPr>
        <w:t>CBR</w:t>
      </w:r>
      <w:r w:rsidRPr="00B35280">
        <w:rPr>
          <w:i/>
          <w:vertAlign w:val="subscript"/>
        </w:rPr>
        <w:t>measured</w:t>
      </w:r>
      <w:proofErr w:type="spellEnd"/>
      <w:r>
        <w:t xml:space="preserve"> exceeds the </w:t>
      </w:r>
      <w:proofErr w:type="spellStart"/>
      <w:r w:rsidRPr="00B35280">
        <w:rPr>
          <w:i/>
        </w:rPr>
        <w:t>CBR</w:t>
      </w:r>
      <w:r w:rsidRPr="00B35280">
        <w:rPr>
          <w:i/>
          <w:vertAlign w:val="subscript"/>
        </w:rPr>
        <w:t>limit</w:t>
      </w:r>
      <w:proofErr w:type="spellEnd"/>
      <w:r>
        <w:t xml:space="preserve">. With that, the </w:t>
      </w:r>
      <w:proofErr w:type="spellStart"/>
      <w:r w:rsidRPr="00B35280">
        <w:rPr>
          <w:i/>
        </w:rPr>
        <w:t>CR</w:t>
      </w:r>
      <w:r w:rsidRPr="00B35280">
        <w:rPr>
          <w:i/>
          <w:vertAlign w:val="subscript"/>
        </w:rPr>
        <w:t>limit</w:t>
      </w:r>
      <w:proofErr w:type="spellEnd"/>
      <w:r>
        <w:t xml:space="preserve"> </w:t>
      </w:r>
      <w:r w:rsidR="002E6271">
        <w:t xml:space="preserve">is </w:t>
      </w:r>
      <w:r>
        <w:t xml:space="preserve">expressed as a function of </w:t>
      </w:r>
      <w:proofErr w:type="spellStart"/>
      <w:r w:rsidRPr="00B35280">
        <w:rPr>
          <w:i/>
        </w:rPr>
        <w:t>CBR</w:t>
      </w:r>
      <w:r w:rsidRPr="00B35280">
        <w:rPr>
          <w:i/>
          <w:vertAlign w:val="subscript"/>
        </w:rPr>
        <w:t>measured</w:t>
      </w:r>
      <w:proofErr w:type="spellEnd"/>
      <w:r>
        <w:rPr>
          <w:i/>
          <w:vertAlign w:val="subscript"/>
        </w:rPr>
        <w:t xml:space="preserve"> </w:t>
      </w:r>
      <w:r>
        <w:t>a</w:t>
      </w:r>
      <w:r w:rsidRPr="00B35280">
        <w:t>lone</w:t>
      </w:r>
      <w:r>
        <w:rPr>
          <w:i/>
          <w:vertAlign w:val="subscript"/>
        </w:rPr>
        <w:t xml:space="preserve"> </w:t>
      </w:r>
      <w:r>
        <w:t>as:</w:t>
      </w:r>
    </w:p>
    <w:p w14:paraId="724AE7F4" w14:textId="77777777" w:rsidR="00B35280" w:rsidRDefault="00B35280" w:rsidP="00B35280">
      <w:pPr>
        <w:ind w:left="2160" w:firstLine="720"/>
        <w:jc w:val="both"/>
      </w:pPr>
      <w:proofErr w:type="gramStart"/>
      <w:r>
        <w:t xml:space="preserve">If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3EB15FF8" w14:textId="77777777" w:rsidR="00B35280" w:rsidRPr="001D15A6" w:rsidRDefault="00B35280" w:rsidP="00B35280">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35BB8F53" w14:textId="5F14DE8A" w:rsidR="00B35280" w:rsidRDefault="002E6271" w:rsidP="001D15A6">
      <w:pPr>
        <w:jc w:val="both"/>
      </w:pPr>
      <w:r>
        <w:t>The above formulation thus takes the current channel</w:t>
      </w:r>
      <w:r w:rsidR="00590021">
        <w:t xml:space="preserve"> utilization</w:t>
      </w:r>
      <w:r>
        <w:t xml:space="preserve"> (if exceeding the </w:t>
      </w:r>
      <w:proofErr w:type="spellStart"/>
      <w:r w:rsidRPr="00B35280">
        <w:rPr>
          <w:i/>
        </w:rPr>
        <w:t>CBR</w:t>
      </w:r>
      <w:r w:rsidRPr="00B35280">
        <w:rPr>
          <w:i/>
          <w:vertAlign w:val="subscript"/>
        </w:rPr>
        <w:t>limit</w:t>
      </w:r>
      <w:proofErr w:type="spellEnd"/>
      <w:r w:rsidRPr="002E6271">
        <w:t>)</w:t>
      </w:r>
      <w:r>
        <w:t xml:space="preserve"> and splits the </w:t>
      </w:r>
      <w:r w:rsidR="00590021">
        <w:t xml:space="preserve">utilized </w:t>
      </w:r>
      <w:r>
        <w:t>resources among the ITS stations in a given geographical area.</w:t>
      </w:r>
    </w:p>
    <w:p w14:paraId="514337CD" w14:textId="77777777" w:rsidR="00665D87" w:rsidRDefault="00665D87" w:rsidP="001D15A6">
      <w:pPr>
        <w:jc w:val="both"/>
      </w:pPr>
    </w:p>
    <w:p w14:paraId="571CA451" w14:textId="72DE643E" w:rsidR="00770461" w:rsidRPr="00150194" w:rsidRDefault="00770461" w:rsidP="00770461">
      <w:pPr>
        <w:jc w:val="both"/>
        <w:rPr>
          <w:i/>
        </w:rPr>
      </w:pPr>
      <w:r>
        <w:rPr>
          <w:b/>
          <w:i/>
        </w:rPr>
        <w:t>Observation 2</w:t>
      </w:r>
      <w:r w:rsidRPr="00150194">
        <w:rPr>
          <w:b/>
          <w:i/>
        </w:rPr>
        <w:t xml:space="preserve">: </w:t>
      </w:r>
      <w:r>
        <w:rPr>
          <w:i/>
        </w:rPr>
        <w:t>DCC can be described in a generalized form that applies to all technologies.</w:t>
      </w:r>
    </w:p>
    <w:p w14:paraId="77764202" w14:textId="26116EE3" w:rsidR="00091749" w:rsidRDefault="00C82DE6" w:rsidP="00091749">
      <w:pPr>
        <w:pStyle w:val="Heading2"/>
      </w:pPr>
      <w:r>
        <w:t>3</w:t>
      </w:r>
      <w:r w:rsidR="00E47DA8">
        <w:t>.</w:t>
      </w:r>
      <w:r w:rsidR="00AF52CB">
        <w:t>2</w:t>
      </w:r>
      <w:r w:rsidR="00091749">
        <w:tab/>
        <w:t xml:space="preserve">Specialization of the </w:t>
      </w:r>
      <w:r w:rsidR="00046B05">
        <w:t>generalized</w:t>
      </w:r>
      <w:r w:rsidR="00091749">
        <w:t xml:space="preserve"> formulation for 802.11p</w:t>
      </w:r>
    </w:p>
    <w:p w14:paraId="0ECF4549" w14:textId="2F0EA41E" w:rsidR="00E02253" w:rsidRDefault="00091749" w:rsidP="00255492">
      <w:pPr>
        <w:jc w:val="both"/>
      </w:pPr>
      <w:r>
        <w:t xml:space="preserve">In this </w:t>
      </w:r>
      <w:r w:rsidR="00E47DA8">
        <w:t>subsection</w:t>
      </w:r>
      <w:r>
        <w:t>,</w:t>
      </w:r>
      <w:r w:rsidR="00E47DA8">
        <w:t xml:space="preserve"> we derive the existing requirements in the harmonized specification </w:t>
      </w:r>
      <w:r w:rsidR="003D41A4">
        <w:t>EN 302.</w:t>
      </w:r>
      <w:r w:rsidR="00E47DA8">
        <w:t xml:space="preserve">571 using certain assumptions specific to 802.11p channel access. </w:t>
      </w:r>
    </w:p>
    <w:p w14:paraId="40A1AD0E" w14:textId="77777777" w:rsidR="00E47DA8" w:rsidRDefault="00E47DA8" w:rsidP="00255492">
      <w:pPr>
        <w:jc w:val="both"/>
      </w:pPr>
      <w:r>
        <w:t>The subsection thus serves two purpose:</w:t>
      </w:r>
    </w:p>
    <w:p w14:paraId="1578BA05" w14:textId="77777777" w:rsidR="00E47DA8" w:rsidRDefault="00E47DA8" w:rsidP="00255492">
      <w:pPr>
        <w:pStyle w:val="ListParagraph"/>
        <w:numPr>
          <w:ilvl w:val="0"/>
          <w:numId w:val="30"/>
        </w:numPr>
        <w:jc w:val="both"/>
      </w:pPr>
      <w:r>
        <w:lastRenderedPageBreak/>
        <w:t xml:space="preserve">Validating the </w:t>
      </w:r>
      <w:r w:rsidR="00873B08">
        <w:t>generalized</w:t>
      </w:r>
      <w:r>
        <w:t xml:space="preserve"> formulation</w:t>
      </w:r>
      <w:r w:rsidR="00E02253">
        <w:t xml:space="preserve"> and the existing </w:t>
      </w:r>
      <w:r w:rsidR="00873B08">
        <w:t>requirements</w:t>
      </w:r>
      <w:r w:rsidR="00E02253">
        <w:t xml:space="preserve"> as a subset of the generalized formulation, and </w:t>
      </w:r>
    </w:p>
    <w:p w14:paraId="538513AD" w14:textId="1CF4300E" w:rsidR="00091749" w:rsidRPr="00091749" w:rsidRDefault="00E47DA8" w:rsidP="00255492">
      <w:pPr>
        <w:pStyle w:val="ListParagraph"/>
        <w:numPr>
          <w:ilvl w:val="0"/>
          <w:numId w:val="30"/>
        </w:numPr>
        <w:jc w:val="both"/>
      </w:pPr>
      <w:r>
        <w:t>Emphasizes certain assumptions that are specific to 802.11p (that may not be evident otherwise)</w:t>
      </w:r>
      <w:r w:rsidR="00091749">
        <w:t xml:space="preserve"> </w:t>
      </w:r>
      <w:r>
        <w:t xml:space="preserve">in the existing </w:t>
      </w:r>
      <w:r w:rsidR="00361BAD">
        <w:t xml:space="preserve">requirements in </w:t>
      </w:r>
      <w:r w:rsidR="003D41A4">
        <w:t>EN 302.</w:t>
      </w:r>
      <w:r w:rsidR="00361BAD">
        <w:t>571</w:t>
      </w:r>
      <w:r>
        <w:t xml:space="preserve">. Furthermore, it allows us to question such </w:t>
      </w:r>
      <w:r w:rsidR="00873B08">
        <w:t>assumptions</w:t>
      </w:r>
      <w:r>
        <w:t xml:space="preserve"> from a technology-</w:t>
      </w:r>
      <w:r w:rsidR="00873B08">
        <w:t>neutrality</w:t>
      </w:r>
      <w:r>
        <w:t xml:space="preserve"> viewpoint (or a</w:t>
      </w:r>
      <w:r w:rsidR="00873B08">
        <w:t xml:space="preserve">t least </w:t>
      </w:r>
      <w:r>
        <w:t>for LTE V2V).</w:t>
      </w:r>
    </w:p>
    <w:p w14:paraId="3350C717" w14:textId="77777777" w:rsidR="001D15A6" w:rsidRDefault="00AB2428" w:rsidP="00E507B8">
      <w:pPr>
        <w:jc w:val="both"/>
      </w:pPr>
      <w:r w:rsidRPr="00AB2428">
        <w:rPr>
          <w:b/>
        </w:rPr>
        <w:t>Assumption 1:</w:t>
      </w:r>
      <w:r>
        <w:t xml:space="preserve"> </w:t>
      </w:r>
      <w:r w:rsidRPr="00EB3985">
        <w:rPr>
          <w:i/>
        </w:rPr>
        <w:t>CR</w:t>
      </w:r>
      <w:r>
        <w:t xml:space="preserve"> usage is based on TDMA access, i.e.</w:t>
      </w:r>
    </w:p>
    <w:p w14:paraId="3CF27EC5" w14:textId="77777777" w:rsidR="00AB2428" w:rsidRPr="00AB2428" w:rsidRDefault="00AB2428" w:rsidP="00E507B8">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oMath>
      </m:oMathPara>
    </w:p>
    <w:p w14:paraId="3DF614FF" w14:textId="77777777" w:rsidR="00AB2428" w:rsidRDefault="00AB2428" w:rsidP="00E507B8">
      <w:pPr>
        <w:jc w:val="both"/>
      </w:pPr>
      <w:r>
        <w:rPr>
          <w:b/>
        </w:rPr>
        <w:t>Assumption 2:</w:t>
      </w:r>
      <w:r>
        <w:t xml:space="preserve"> </w:t>
      </w:r>
      <w:r w:rsidRPr="00EB3985">
        <w:rPr>
          <w:i/>
        </w:rPr>
        <w:t>CBR</w:t>
      </w:r>
      <w:r>
        <w:t xml:space="preserve"> is assumed to be a linear function of </w:t>
      </w:r>
      <w:proofErr w:type="spellStart"/>
      <w:r w:rsidRPr="00EB3985">
        <w:rPr>
          <w:i/>
        </w:rPr>
        <w:t>N</w:t>
      </w:r>
      <w:r w:rsidRPr="00EB3985">
        <w:rPr>
          <w:i/>
          <w:vertAlign w:val="subscript"/>
        </w:rPr>
        <w:t>sta</w:t>
      </w:r>
      <w:proofErr w:type="spellEnd"/>
      <w:r>
        <w:t>, i.e</w:t>
      </w:r>
      <w:proofErr w:type="gramStart"/>
      <w:r>
        <w:t>.,</w:t>
      </w:r>
      <w:proofErr w:type="gramEnd"/>
    </w:p>
    <w:p w14:paraId="249054C7" w14:textId="77777777" w:rsidR="00AB2428" w:rsidRPr="00AB2428" w:rsidRDefault="00AB2428" w:rsidP="00AB2428">
      <w:pPr>
        <w:jc w:val="both"/>
      </w:pPr>
      <m:oMathPara>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sta</m:t>
              </m:r>
            </m:sub>
          </m:sSub>
          <m:r>
            <w:rPr>
              <w:rFonts w:ascii="Cambria Math" w:hAnsi="Cambria Math"/>
            </w:rPr>
            <m:t>+b</m:t>
          </m:r>
        </m:oMath>
      </m:oMathPara>
    </w:p>
    <w:p w14:paraId="50111D79" w14:textId="77777777" w:rsidR="00AB2428" w:rsidRDefault="00AB2428" w:rsidP="00E507B8">
      <w:pPr>
        <w:jc w:val="both"/>
      </w:pPr>
    </w:p>
    <w:p w14:paraId="3BA49A3A" w14:textId="77777777" w:rsidR="00AB2428" w:rsidRDefault="00AB2428" w:rsidP="00E507B8">
      <w:pPr>
        <w:jc w:val="both"/>
      </w:pPr>
      <w:r>
        <w:t xml:space="preserve">Substituting these two assumptions in the </w:t>
      </w:r>
      <w:r w:rsidR="00873B08">
        <w:t>generalized</w:t>
      </w:r>
      <w:r>
        <w:t xml:space="preserve"> formulation, it leads to </w:t>
      </w:r>
    </w:p>
    <w:p w14:paraId="34BD72CC" w14:textId="77777777" w:rsidR="00B21A9A" w:rsidRDefault="003D41A4" w:rsidP="00E507B8">
      <w:pPr>
        <w:jc w:val="both"/>
      </w:pPr>
      <m:oMathPara>
        <m:oMath>
          <m:f>
            <m:fPr>
              <m:ctrlPr>
                <w:rPr>
                  <w:rFonts w:ascii="Cambria Math" w:hAnsi="Cambria Math"/>
                  <w:i/>
                </w:rPr>
              </m:ctrlPr>
            </m:fPr>
            <m:num>
              <m:r>
                <w:rPr>
                  <w:rFonts w:ascii="Cambria Math" w:hAnsi="Cambria Math"/>
                </w:rPr>
                <m:t>1</m:t>
              </m:r>
            </m:num>
            <m:den>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en>
          </m:f>
          <m:r>
            <m:rPr>
              <m:aln/>
            </m:rP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offLimit</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m:rPr>
              <m:sty m:val="p"/>
            </m:rPr>
            <w:rPr>
              <w:rFonts w:ascii="Cambria Math" w:hAnsi="Cambria Math"/>
            </w:rPr>
            <w:br/>
          </m:r>
        </m:oMath>
        <m:oMath>
          <m:r>
            <m:rPr>
              <m:aln/>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 xml:space="preserve"> </m:t>
          </m:r>
          <m:r>
            <m:rPr>
              <m:sty m:val="p"/>
            </m:rPr>
            <w:rPr>
              <w:rFonts w:ascii="Cambria Math" w:hAnsi="Cambria Math"/>
            </w:rPr>
            <w:br/>
          </m:r>
        </m:oMath>
      </m:oMathPara>
      <w:r w:rsidR="00B21A9A">
        <w:t xml:space="preserve">The </w:t>
      </w:r>
      <w:proofErr w:type="spellStart"/>
      <w:r w:rsidR="00B21A9A" w:rsidRPr="00EB3985">
        <w:rPr>
          <w:i/>
        </w:rPr>
        <w:t>T</w:t>
      </w:r>
      <w:r w:rsidR="00B21A9A" w:rsidRPr="00EB3985">
        <w:rPr>
          <w:i/>
          <w:vertAlign w:val="subscript"/>
        </w:rPr>
        <w:t>offLimit</w:t>
      </w:r>
      <w:proofErr w:type="spellEnd"/>
      <w:r w:rsidR="00B21A9A">
        <w:t xml:space="preserve"> is thus specified as:</w:t>
      </w:r>
    </w:p>
    <w:p w14:paraId="62E9B9C6" w14:textId="77777777" w:rsidR="00B21A9A" w:rsidRPr="00B21A9A" w:rsidRDefault="003D41A4" w:rsidP="00E507B8">
      <w:pPr>
        <w:jc w:val="both"/>
      </w:pPr>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-1</m:t>
              </m:r>
            </m:e>
          </m:d>
        </m:oMath>
      </m:oMathPara>
    </w:p>
    <w:p w14:paraId="3B88CD94" w14:textId="77777777" w:rsidR="00B21A9A" w:rsidRDefault="00B21A9A" w:rsidP="00E507B8">
      <w:pPr>
        <w:jc w:val="both"/>
      </w:pPr>
      <w:r>
        <w:t xml:space="preserve">This is the same as the existing </w:t>
      </w:r>
      <w:r w:rsidR="00873B08">
        <w:t>requirements</w:t>
      </w:r>
      <w:r>
        <w:t xml:space="preserve"> in the harmonized specification, with the choice of the parameters </w:t>
      </w:r>
      <w:r w:rsidRPr="00B21A9A">
        <w:rPr>
          <w:i/>
        </w:rPr>
        <w:t>a</w:t>
      </w:r>
      <w:r>
        <w:t xml:space="preserve"> = 1/4000 and </w:t>
      </w:r>
      <w:r w:rsidRPr="00B21A9A">
        <w:rPr>
          <w:i/>
        </w:rPr>
        <w:t>b</w:t>
      </w:r>
      <w:r>
        <w:t xml:space="preserve"> = 0.6. The parameters </w:t>
      </w:r>
      <w:r w:rsidRPr="00B21A9A">
        <w:rPr>
          <w:i/>
        </w:rPr>
        <w:t>(</w:t>
      </w:r>
      <w:proofErr w:type="spellStart"/>
      <w:r w:rsidRPr="00B21A9A">
        <w:rPr>
          <w:i/>
        </w:rPr>
        <w:t>a</w:t>
      </w:r>
      <w:proofErr w:type="gramStart"/>
      <w:r w:rsidRPr="00B21A9A">
        <w:rPr>
          <w:i/>
        </w:rPr>
        <w:t>,b</w:t>
      </w:r>
      <w:proofErr w:type="spellEnd"/>
      <w:proofErr w:type="gramEnd"/>
      <w:r w:rsidRPr="00B21A9A">
        <w:rPr>
          <w:i/>
        </w:rPr>
        <w:t>)</w:t>
      </w:r>
      <w:r>
        <w:t xml:space="preserve"> were derived based on system level </w:t>
      </w:r>
      <w:r w:rsidR="00873B08">
        <w:t>simulations</w:t>
      </w:r>
      <w:r>
        <w:t xml:space="preserve"> to measure the sensitivity of </w:t>
      </w:r>
      <w:r w:rsidRPr="00EB3985">
        <w:rPr>
          <w:i/>
        </w:rPr>
        <w:t>CBR</w:t>
      </w:r>
      <w:r>
        <w:t xml:space="preserve"> as a function of the number of stations, and thereby are related to 802.11p channel access parameters.</w:t>
      </w:r>
    </w:p>
    <w:p w14:paraId="472E29C1" w14:textId="77777777" w:rsidR="006B291D" w:rsidRDefault="006B291D" w:rsidP="00770461">
      <w:pPr>
        <w:jc w:val="both"/>
        <w:rPr>
          <w:b/>
          <w:i/>
        </w:rPr>
      </w:pPr>
    </w:p>
    <w:p w14:paraId="03E93733" w14:textId="788EE878" w:rsidR="00770461" w:rsidRPr="00150194" w:rsidRDefault="00770461" w:rsidP="00770461">
      <w:pPr>
        <w:jc w:val="both"/>
        <w:rPr>
          <w:i/>
        </w:rPr>
      </w:pPr>
      <w:r>
        <w:rPr>
          <w:b/>
          <w:i/>
        </w:rPr>
        <w:t>Observation 3</w:t>
      </w:r>
      <w:r w:rsidRPr="00150194">
        <w:rPr>
          <w:b/>
          <w:i/>
        </w:rPr>
        <w:t xml:space="preserve">: </w:t>
      </w:r>
      <w:r>
        <w:rPr>
          <w:i/>
        </w:rPr>
        <w:t>The generalized form</w:t>
      </w:r>
      <w:r w:rsidR="003C4A78">
        <w:rPr>
          <w:i/>
        </w:rPr>
        <w:t>ulation</w:t>
      </w:r>
      <w:r>
        <w:rPr>
          <w:i/>
        </w:rPr>
        <w:t xml:space="preserve"> can be easily specialized to obtain the DCC formulation for 802.11p as described in </w:t>
      </w:r>
      <w:r w:rsidR="003D41A4">
        <w:rPr>
          <w:i/>
        </w:rPr>
        <w:t>EN 302.</w:t>
      </w:r>
      <w:r>
        <w:rPr>
          <w:i/>
        </w:rPr>
        <w:t>571.</w:t>
      </w:r>
    </w:p>
    <w:p w14:paraId="0A4368C8" w14:textId="410A5EC4" w:rsidR="00045725" w:rsidRDefault="00045725" w:rsidP="00045725">
      <w:pPr>
        <w:pStyle w:val="Heading2"/>
      </w:pPr>
      <w:r>
        <w:t>3.</w:t>
      </w:r>
      <w:r w:rsidR="00AF52CB">
        <w:t>3</w:t>
      </w:r>
      <w:r>
        <w:tab/>
        <w:t>Discussion on CBR and DCC for LTE-V2V</w:t>
      </w:r>
    </w:p>
    <w:p w14:paraId="5717751B" w14:textId="77777777" w:rsidR="00B21A9A" w:rsidRDefault="00045725" w:rsidP="00E507B8">
      <w:pPr>
        <w:jc w:val="both"/>
      </w:pPr>
      <w:r>
        <w:t xml:space="preserve">With the generalized formulation in mind, this subsection provide a further discussion on </w:t>
      </w:r>
      <w:r w:rsidR="00B97A86">
        <w:t>certain assumptions and their applicability for LTE-V2V.</w:t>
      </w:r>
    </w:p>
    <w:p w14:paraId="39F46C58" w14:textId="77777777" w:rsidR="00B97A86" w:rsidRPr="00B97A86" w:rsidRDefault="00B97A86" w:rsidP="00E507B8">
      <w:pPr>
        <w:jc w:val="both"/>
        <w:rPr>
          <w:b/>
          <w:u w:val="single"/>
        </w:rPr>
      </w:pPr>
      <w:r w:rsidRPr="00B97A86">
        <w:rPr>
          <w:b/>
          <w:u w:val="single"/>
        </w:rPr>
        <w:t xml:space="preserve">Issue 1: On the functional form (linear vs. non-linear) for </w:t>
      </w:r>
      <w:r w:rsidRPr="00EB3985">
        <w:rPr>
          <w:b/>
          <w:i/>
          <w:u w:val="single"/>
        </w:rPr>
        <w:t xml:space="preserve">CBR = </w:t>
      </w:r>
      <w:proofErr w:type="gramStart"/>
      <w:r w:rsidRPr="00EB3985">
        <w:rPr>
          <w:b/>
          <w:i/>
          <w:u w:val="single"/>
        </w:rPr>
        <w:t>f(</w:t>
      </w:r>
      <w:proofErr w:type="spellStart"/>
      <w:proofErr w:type="gramEnd"/>
      <w:r w:rsidRPr="00EB3985">
        <w:rPr>
          <w:b/>
          <w:i/>
          <w:u w:val="single"/>
        </w:rPr>
        <w:t>N</w:t>
      </w:r>
      <w:r w:rsidRPr="00EB3985">
        <w:rPr>
          <w:b/>
          <w:i/>
          <w:u w:val="single"/>
          <w:vertAlign w:val="subscript"/>
        </w:rPr>
        <w:t>sta</w:t>
      </w:r>
      <w:proofErr w:type="spellEnd"/>
      <w:r w:rsidRPr="00EB3985">
        <w:rPr>
          <w:b/>
          <w:i/>
          <w:u w:val="single"/>
        </w:rPr>
        <w:t>)</w:t>
      </w:r>
    </w:p>
    <w:p w14:paraId="70ED3625" w14:textId="659AD913" w:rsidR="00B97A86" w:rsidRDefault="00B97A86" w:rsidP="00E507B8">
      <w:pPr>
        <w:jc w:val="both"/>
      </w:pPr>
      <w:r>
        <w:t xml:space="preserve">One the key components of DCC is the functional mapping of </w:t>
      </w:r>
      <w:r w:rsidRPr="00EB3985">
        <w:rPr>
          <w:i/>
        </w:rPr>
        <w:t>CBR</w:t>
      </w:r>
      <w:r>
        <w:t xml:space="preserve"> to the number of ITS station</w:t>
      </w:r>
      <w:r w:rsidR="00B61D1B">
        <w:t>s</w:t>
      </w:r>
      <w:r>
        <w:t xml:space="preserve"> in a given geographical area. This is </w:t>
      </w:r>
      <w:r w:rsidR="00B61D1B">
        <w:t xml:space="preserve">of </w:t>
      </w:r>
      <w:r>
        <w:t xml:space="preserve">key </w:t>
      </w:r>
      <w:r w:rsidR="00B61D1B">
        <w:t xml:space="preserve">importance </w:t>
      </w:r>
      <w:r>
        <w:t>since the idea of DCC is to distribute the total number of resource</w:t>
      </w:r>
      <w:r w:rsidR="00B61D1B">
        <w:t>s</w:t>
      </w:r>
      <w:r>
        <w:t xml:space="preserve"> allowed to be used (say 60%) equally among all the UEs. The number of UEs is of course not measurable by itself, and is only obtained by inverting the function with the measured </w:t>
      </w:r>
      <w:r w:rsidRPr="00EB3985">
        <w:rPr>
          <w:i/>
        </w:rPr>
        <w:t>CBR</w:t>
      </w:r>
      <w:r>
        <w:t xml:space="preserve"> as observed by the UE. </w:t>
      </w:r>
    </w:p>
    <w:p w14:paraId="574322E6" w14:textId="3EAA4619" w:rsidR="00B97A86" w:rsidRDefault="00B97A86" w:rsidP="00E507B8">
      <w:pPr>
        <w:jc w:val="both"/>
      </w:pPr>
      <w:r>
        <w:t xml:space="preserve">If the </w:t>
      </w:r>
      <w:r w:rsidR="00B61D1B">
        <w:t xml:space="preserve">assumed </w:t>
      </w:r>
      <w:r>
        <w:t xml:space="preserve">function is incorrect, then the UE will either underestimate or overestimate the number of stations in the given geographical area. The congestion of such a system will thus not converge at the design operating point, but rather over or under that operating point depending if the number of stations are underestimate or overestimated, respectively. </w:t>
      </w:r>
    </w:p>
    <w:p w14:paraId="459EBC54" w14:textId="77777777" w:rsidR="000E67F5" w:rsidRDefault="000E67F5" w:rsidP="00E507B8">
      <w:pPr>
        <w:jc w:val="both"/>
      </w:pPr>
      <w:r>
        <w:t xml:space="preserve">To investigate the </w:t>
      </w:r>
      <w:r w:rsidRPr="00EB3985">
        <w:rPr>
          <w:i/>
        </w:rPr>
        <w:t>CBR</w:t>
      </w:r>
      <w:r>
        <w:t xml:space="preserve"> vs </w:t>
      </w:r>
      <w:proofErr w:type="spellStart"/>
      <w:r w:rsidRPr="00EB3985">
        <w:rPr>
          <w:i/>
        </w:rPr>
        <w:t>N</w:t>
      </w:r>
      <w:r w:rsidRPr="00EB3985">
        <w:rPr>
          <w:i/>
          <w:vertAlign w:val="subscript"/>
        </w:rPr>
        <w:t>sta</w:t>
      </w:r>
      <w:proofErr w:type="spellEnd"/>
      <w:r>
        <w:t xml:space="preserve"> relationship for 802.11p and LTE-V2V, we plot the measured </w:t>
      </w:r>
      <w:r w:rsidRPr="00EB3985">
        <w:rPr>
          <w:i/>
        </w:rPr>
        <w:t>CBR</w:t>
      </w:r>
      <w:r>
        <w:t xml:space="preserve"> as a function of the number of stations in </w:t>
      </w:r>
      <w:r w:rsidR="00C74F37">
        <w:t xml:space="preserve">within a radius equal to the link budget for </w:t>
      </w:r>
      <w:r w:rsidR="00C006AA">
        <w:t>that</w:t>
      </w:r>
      <w:r w:rsidR="00C74F37">
        <w:t xml:space="preserve"> system.</w:t>
      </w:r>
    </w:p>
    <w:p w14:paraId="75ABB622" w14:textId="4F2341D3" w:rsidR="00BA3A01" w:rsidRDefault="00072EA0" w:rsidP="00BA3A01">
      <w:pPr>
        <w:keepNext/>
        <w:jc w:val="center"/>
      </w:pPr>
      <w:r w:rsidRPr="00072EA0">
        <w:rPr>
          <w:noProof/>
          <w:lang w:val="en-US"/>
        </w:rPr>
        <w:lastRenderedPageBreak/>
        <w:drawing>
          <wp:inline distT="0" distB="0" distL="0" distR="0" wp14:anchorId="65BCAEF3" wp14:editId="06463BD7">
            <wp:extent cx="4348571" cy="32419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9049" cy="3249776"/>
                    </a:xfrm>
                    <a:prstGeom prst="rect">
                      <a:avLst/>
                    </a:prstGeom>
                    <a:noFill/>
                    <a:ln>
                      <a:noFill/>
                    </a:ln>
                  </pic:spPr>
                </pic:pic>
              </a:graphicData>
            </a:graphic>
          </wp:inline>
        </w:drawing>
      </w:r>
    </w:p>
    <w:p w14:paraId="57772B77" w14:textId="5AB993B4" w:rsidR="00BA3A01" w:rsidRDefault="00BA3A01" w:rsidP="00BA3A01">
      <w:pPr>
        <w:pStyle w:val="Caption"/>
        <w:jc w:val="center"/>
      </w:pPr>
      <w:bookmarkStart w:id="3" w:name="_Ref458754761"/>
      <w:r>
        <w:t xml:space="preserve">Figure </w:t>
      </w:r>
      <w:r>
        <w:fldChar w:fldCharType="begin"/>
      </w:r>
      <w:r>
        <w:instrText xml:space="preserve"> SEQ Figure \* ARABIC </w:instrText>
      </w:r>
      <w:r>
        <w:fldChar w:fldCharType="separate"/>
      </w:r>
      <w:r w:rsidR="00212883">
        <w:rPr>
          <w:noProof/>
        </w:rPr>
        <w:t>1</w:t>
      </w:r>
      <w:r>
        <w:fldChar w:fldCharType="end"/>
      </w:r>
      <w:bookmarkEnd w:id="3"/>
      <w:r>
        <w:t xml:space="preserve">: CBR vs </w:t>
      </w:r>
      <w:r w:rsidR="00A51E99">
        <w:t>number of ITS stations</w:t>
      </w:r>
      <w:r w:rsidR="001A6755">
        <w:t xml:space="preserve"> within link budget</w:t>
      </w:r>
      <w:r>
        <w:t xml:space="preserve"> for LTE-V2V and 802.11p; </w:t>
      </w:r>
      <w:r w:rsidR="00147701">
        <w:t>urban</w:t>
      </w:r>
      <w:r w:rsidR="00795D00">
        <w:t xml:space="preserve"> scenario; 15km/hr</w:t>
      </w:r>
    </w:p>
    <w:p w14:paraId="3EF4E06B" w14:textId="0BBBAB2D" w:rsidR="00B97A86" w:rsidRDefault="00BA3A01" w:rsidP="00BA3A01">
      <w:pPr>
        <w:jc w:val="both"/>
      </w:pPr>
      <w:r>
        <w:t xml:space="preserve">From </w:t>
      </w:r>
      <w:r>
        <w:fldChar w:fldCharType="begin"/>
      </w:r>
      <w:r>
        <w:instrText xml:space="preserve"> REF _Ref458754761 \h  \* MERGEFORMAT </w:instrText>
      </w:r>
      <w:r>
        <w:fldChar w:fldCharType="separate"/>
      </w:r>
      <w:r>
        <w:t xml:space="preserve">Figure </w:t>
      </w:r>
      <w:r>
        <w:rPr>
          <w:noProof/>
        </w:rPr>
        <w:t>1</w:t>
      </w:r>
      <w:r>
        <w:fldChar w:fldCharType="end"/>
      </w:r>
      <w:r>
        <w:t xml:space="preserve"> it can be seen that the functional form for </w:t>
      </w:r>
      <w:r w:rsidRPr="00EB3985">
        <w:rPr>
          <w:i/>
        </w:rPr>
        <w:t>CBR</w:t>
      </w:r>
      <w:r>
        <w:t xml:space="preserve"> vs. </w:t>
      </w:r>
      <w:proofErr w:type="spellStart"/>
      <w:r w:rsidRPr="00EB3985">
        <w:rPr>
          <w:i/>
        </w:rPr>
        <w:t>N</w:t>
      </w:r>
      <w:r w:rsidRPr="00EB3985">
        <w:rPr>
          <w:i/>
          <w:vertAlign w:val="subscript"/>
        </w:rPr>
        <w:t>sta</w:t>
      </w:r>
      <w:proofErr w:type="spellEnd"/>
      <w:r>
        <w:t xml:space="preserve"> is quite different for LTE-V2V and 802.11p. For 802.11p, the linear assumption is validated using this simulation and is expected due to CSMA. To elaborate, for low density of UEs, it is expected that </w:t>
      </w:r>
      <w:r w:rsidRPr="00EB3985">
        <w:rPr>
          <w:i/>
        </w:rPr>
        <w:t>CBR</w:t>
      </w:r>
      <w:r>
        <w:t xml:space="preserve"> will grow linearly with </w:t>
      </w:r>
      <w:proofErr w:type="spellStart"/>
      <w:r w:rsidRPr="00EB3985">
        <w:rPr>
          <w:i/>
        </w:rPr>
        <w:t>N</w:t>
      </w:r>
      <w:r w:rsidRPr="00EB3985">
        <w:rPr>
          <w:i/>
          <w:vertAlign w:val="subscript"/>
        </w:rPr>
        <w:t>sta</w:t>
      </w:r>
      <w:proofErr w:type="spellEnd"/>
      <w:r>
        <w:t xml:space="preserve">. This behaviour is </w:t>
      </w:r>
      <w:r w:rsidR="005F0946">
        <w:t>maintained</w:t>
      </w:r>
      <w:r>
        <w:t xml:space="preserve"> for 802.11p due to CSMA wherein the density of actual UEs that get to transmit is still </w:t>
      </w:r>
      <w:r w:rsidR="005F0946">
        <w:t xml:space="preserve">maintained </w:t>
      </w:r>
      <w:r>
        <w:t xml:space="preserve">low. The non-linear behaviour for 802.11p </w:t>
      </w:r>
      <w:r w:rsidR="00B61D1B">
        <w:t>still</w:t>
      </w:r>
      <w:r w:rsidR="001E016E">
        <w:t xml:space="preserve"> arise</w:t>
      </w:r>
      <w:r w:rsidR="00B61D1B">
        <w:t>s</w:t>
      </w:r>
      <w:r w:rsidR="001E016E">
        <w:t xml:space="preserve"> due to hidden nodes </w:t>
      </w:r>
      <w:r>
        <w:t>etc</w:t>
      </w:r>
      <w:r w:rsidR="001E016E">
        <w:t>.</w:t>
      </w:r>
      <w:r>
        <w:t xml:space="preserve">, but is not expected to dominate the </w:t>
      </w:r>
      <w:r w:rsidR="005F0946">
        <w:t>shape</w:t>
      </w:r>
      <w:r>
        <w:t xml:space="preserve"> of the function </w:t>
      </w:r>
      <w:r w:rsidRPr="00EB3985">
        <w:rPr>
          <w:i/>
        </w:rPr>
        <w:t>f()</w:t>
      </w:r>
      <w:r>
        <w:t xml:space="preserve">. For LTE-V2V, </w:t>
      </w:r>
      <w:r w:rsidR="005F0946">
        <w:t>however</w:t>
      </w:r>
      <w:r>
        <w:t>, since there is no</w:t>
      </w:r>
      <w:r w:rsidR="005F0946">
        <w:t xml:space="preserve"> CSMA, as the density grows more rapidly </w:t>
      </w:r>
      <w:r w:rsidR="003A1EEB">
        <w:t xml:space="preserve">with </w:t>
      </w:r>
      <w:proofErr w:type="spellStart"/>
      <w:r w:rsidR="003A1EEB" w:rsidRPr="00EB3985">
        <w:rPr>
          <w:i/>
        </w:rPr>
        <w:t>N</w:t>
      </w:r>
      <w:r w:rsidR="003A1EEB" w:rsidRPr="00EB3985">
        <w:rPr>
          <w:i/>
          <w:vertAlign w:val="subscript"/>
        </w:rPr>
        <w:t>sta</w:t>
      </w:r>
      <w:proofErr w:type="spellEnd"/>
      <w:r w:rsidR="003A1EEB">
        <w:t xml:space="preserve"> and starts to plateau as the resource reuse increases with the geographical area (with radius of link budget).</w:t>
      </w:r>
    </w:p>
    <w:p w14:paraId="75576C49" w14:textId="0D802936" w:rsidR="003A1EEB" w:rsidRDefault="003A1EEB" w:rsidP="00BA3A01">
      <w:pPr>
        <w:jc w:val="both"/>
      </w:pPr>
      <w:r>
        <w:t xml:space="preserve">Depending on the desired system operating point with respect to the </w:t>
      </w:r>
      <w:proofErr w:type="spellStart"/>
      <w:r w:rsidRPr="003A1EEB">
        <w:rPr>
          <w:i/>
        </w:rPr>
        <w:t>CBR</w:t>
      </w:r>
      <w:r w:rsidRPr="003A1EEB">
        <w:rPr>
          <w:i/>
          <w:vertAlign w:val="subscript"/>
        </w:rPr>
        <w:t>limit</w:t>
      </w:r>
      <w:proofErr w:type="spellEnd"/>
      <w:r>
        <w:rPr>
          <w:i/>
        </w:rPr>
        <w:t>,</w:t>
      </w:r>
      <w:r w:rsidRPr="003A1EEB">
        <w:t xml:space="preserve"> </w:t>
      </w:r>
      <w:r>
        <w:t xml:space="preserve">the linear assumption for </w:t>
      </w:r>
      <w:proofErr w:type="gramStart"/>
      <w:r w:rsidRPr="00EB3985">
        <w:rPr>
          <w:i/>
        </w:rPr>
        <w:t>f(</w:t>
      </w:r>
      <w:proofErr w:type="gramEnd"/>
      <w:r w:rsidRPr="00EB3985">
        <w:rPr>
          <w:i/>
        </w:rPr>
        <w:t>)</w:t>
      </w:r>
      <w:r>
        <w:t xml:space="preserve"> as made currently in the harmonized specification may not be appropriate for LTE-V2V. Even with a linear function assumption, the parameters (slope, intercept) of the function may be different for LTE-V2V compared to 802.11p.</w:t>
      </w:r>
    </w:p>
    <w:p w14:paraId="6BF6F0D1" w14:textId="754BC5D4" w:rsidR="002D4CAB" w:rsidRDefault="002D4CAB" w:rsidP="00BA3A01">
      <w:pPr>
        <w:jc w:val="both"/>
      </w:pPr>
      <w:r>
        <w:t xml:space="preserve">We hence propose that the function </w:t>
      </w:r>
      <w:proofErr w:type="gramStart"/>
      <w:r w:rsidRPr="00EB3985">
        <w:rPr>
          <w:i/>
        </w:rPr>
        <w:t>f(</w:t>
      </w:r>
      <w:proofErr w:type="gramEnd"/>
      <w:r w:rsidRPr="00EB3985">
        <w:rPr>
          <w:i/>
        </w:rPr>
        <w:t>)</w:t>
      </w:r>
      <w:r>
        <w:t xml:space="preserve"> can be configured in the UE (as its technology specific). This also allows for future flexibility with other technologies (NR) that may have different channel access methods leading to a different relationship between </w:t>
      </w:r>
      <w:r w:rsidRPr="00EB3985">
        <w:rPr>
          <w:i/>
        </w:rPr>
        <w:t>CBR</w:t>
      </w:r>
      <w:r>
        <w:t xml:space="preserve"> and </w:t>
      </w:r>
      <w:proofErr w:type="spellStart"/>
      <w:r w:rsidRPr="00EB3985">
        <w:rPr>
          <w:i/>
        </w:rPr>
        <w:t>N</w:t>
      </w:r>
      <w:r w:rsidRPr="00EB3985">
        <w:rPr>
          <w:i/>
          <w:vertAlign w:val="subscript"/>
        </w:rPr>
        <w:t>sta</w:t>
      </w:r>
      <w:proofErr w:type="spellEnd"/>
      <w:r>
        <w:t>.</w:t>
      </w:r>
    </w:p>
    <w:p w14:paraId="182183ED" w14:textId="4D537BA6" w:rsidR="00770461" w:rsidRPr="00770461" w:rsidRDefault="00770461" w:rsidP="00BA3A01">
      <w:pPr>
        <w:jc w:val="both"/>
        <w:rPr>
          <w:i/>
        </w:rPr>
      </w:pPr>
      <w:r>
        <w:rPr>
          <w:b/>
          <w:i/>
        </w:rPr>
        <w:t>Observation 4</w:t>
      </w:r>
      <w:r w:rsidRPr="00150194">
        <w:rPr>
          <w:b/>
          <w:i/>
        </w:rPr>
        <w:t xml:space="preserve">: </w:t>
      </w:r>
      <w:r>
        <w:rPr>
          <w:i/>
        </w:rPr>
        <w:t xml:space="preserve">Linear mapping from </w:t>
      </w:r>
      <w:proofErr w:type="spellStart"/>
      <w:r w:rsidRPr="00EB3985">
        <w:rPr>
          <w:i/>
        </w:rPr>
        <w:t>N</w:t>
      </w:r>
      <w:r w:rsidRPr="00EB3985">
        <w:rPr>
          <w:i/>
          <w:vertAlign w:val="subscript"/>
        </w:rPr>
        <w:t>sta</w:t>
      </w:r>
      <w:proofErr w:type="spellEnd"/>
      <w:r w:rsidRPr="00EB3985">
        <w:rPr>
          <w:i/>
        </w:rPr>
        <w:t xml:space="preserve"> </w:t>
      </w:r>
      <w:r>
        <w:rPr>
          <w:i/>
        </w:rPr>
        <w:t xml:space="preserve">to </w:t>
      </w:r>
      <w:r w:rsidRPr="00EB3985">
        <w:rPr>
          <w:i/>
        </w:rPr>
        <w:t>CBR</w:t>
      </w:r>
      <w:r>
        <w:t xml:space="preserve"> </w:t>
      </w:r>
      <w:r>
        <w:rPr>
          <w:i/>
        </w:rPr>
        <w:t xml:space="preserve">as used in </w:t>
      </w:r>
      <w:r w:rsidR="003D41A4">
        <w:rPr>
          <w:i/>
        </w:rPr>
        <w:t>EN 302.</w:t>
      </w:r>
      <w:r>
        <w:rPr>
          <w:i/>
        </w:rPr>
        <w:t xml:space="preserve">571 is not sufficient for LTE-V2V. For LTE-V2V the mapping between CBR and </w:t>
      </w:r>
      <w:proofErr w:type="spellStart"/>
      <w:r w:rsidRPr="00EB3985">
        <w:rPr>
          <w:i/>
        </w:rPr>
        <w:t>N</w:t>
      </w:r>
      <w:r w:rsidRPr="00EB3985">
        <w:rPr>
          <w:i/>
          <w:vertAlign w:val="subscript"/>
        </w:rPr>
        <w:t>sta</w:t>
      </w:r>
      <w:proofErr w:type="spellEnd"/>
      <w:r>
        <w:rPr>
          <w:i/>
          <w:vertAlign w:val="subscript"/>
        </w:rPr>
        <w:t xml:space="preserve"> </w:t>
      </w:r>
      <w:r>
        <w:rPr>
          <w:i/>
        </w:rPr>
        <w:t>should be (pre-)</w:t>
      </w:r>
      <w:r w:rsidR="00CE3E26">
        <w:rPr>
          <w:i/>
        </w:rPr>
        <w:t xml:space="preserve"> </w:t>
      </w:r>
      <w:r>
        <w:rPr>
          <w:i/>
        </w:rPr>
        <w:t>configurable.</w:t>
      </w:r>
    </w:p>
    <w:p w14:paraId="6B620197" w14:textId="132E6512" w:rsidR="00992D05" w:rsidRPr="00B97A86" w:rsidRDefault="00992D05" w:rsidP="00992D05">
      <w:pPr>
        <w:jc w:val="both"/>
        <w:rPr>
          <w:b/>
          <w:u w:val="single"/>
        </w:rPr>
      </w:pPr>
      <w:r>
        <w:rPr>
          <w:b/>
          <w:u w:val="single"/>
        </w:rPr>
        <w:t>Issue 2</w:t>
      </w:r>
      <w:r w:rsidRPr="00B97A86">
        <w:rPr>
          <w:b/>
          <w:u w:val="single"/>
        </w:rPr>
        <w:t xml:space="preserve">: On </w:t>
      </w:r>
      <w:r>
        <w:rPr>
          <w:b/>
          <w:u w:val="single"/>
        </w:rPr>
        <w:t>DCC on control vs. data resource</w:t>
      </w:r>
    </w:p>
    <w:p w14:paraId="0C0DEE6B" w14:textId="35896DC3" w:rsidR="003A1EEB" w:rsidRDefault="00992D05" w:rsidP="00BA3A01">
      <w:pPr>
        <w:jc w:val="both"/>
      </w:pPr>
      <w:r>
        <w:t>In the current version of harmonized standard, the CBR measurement is specified for the entire channel together. This works well for 802.11p where the radio resources are not split between control and data separately</w:t>
      </w:r>
      <w:r w:rsidR="002D4CAB">
        <w:t>. For LTE-V2V, however, we have split of radio resources between control and data.</w:t>
      </w:r>
    </w:p>
    <w:p w14:paraId="74449173" w14:textId="2BB1EACD" w:rsidR="002D4CAB" w:rsidRDefault="002D4CAB" w:rsidP="00BA3A01">
      <w:pPr>
        <w:jc w:val="both"/>
      </w:pPr>
      <w:r>
        <w:t>If a single CBR measurement and DCC loop is used for LTE-V2V using the set of all radio resource</w:t>
      </w:r>
      <w:r w:rsidR="00355EC4">
        <w:t>s</w:t>
      </w:r>
      <w:r>
        <w:t xml:space="preserve">, then it may not work well in scenarios where (for example) only the control resources are congested, while the </w:t>
      </w:r>
      <w:r w:rsidR="00355EC4">
        <w:t xml:space="preserve">overall </w:t>
      </w:r>
      <w:r>
        <w:t xml:space="preserve">congestion of the channel (control + data) is </w:t>
      </w:r>
      <w:r w:rsidR="00355EC4">
        <w:t xml:space="preserve">still </w:t>
      </w:r>
      <w:r>
        <w:t xml:space="preserve">under the desired limit. In such an example, the system will still fail as control becomes the bottleneck. </w:t>
      </w:r>
    </w:p>
    <w:p w14:paraId="400F6EE0" w14:textId="2E42874C" w:rsidR="002D4CAB" w:rsidRDefault="002D4CAB" w:rsidP="00BA3A01">
      <w:pPr>
        <w:jc w:val="both"/>
      </w:pPr>
      <w:r>
        <w:t>We hence propose that</w:t>
      </w:r>
      <w:r w:rsidR="00EB3985">
        <w:t xml:space="preserve"> </w:t>
      </w:r>
      <w:r>
        <w:t>the CBR measurement and DCC can be done independently for control and data resource pools, with separate CBR limits specified for control and data.</w:t>
      </w:r>
    </w:p>
    <w:p w14:paraId="17198A70" w14:textId="50910683" w:rsidR="00BC691C" w:rsidRDefault="00F21225" w:rsidP="00770461">
      <w:pPr>
        <w:jc w:val="both"/>
        <w:rPr>
          <w:i/>
        </w:rPr>
      </w:pPr>
      <w:r>
        <w:rPr>
          <w:b/>
          <w:i/>
        </w:rPr>
        <w:lastRenderedPageBreak/>
        <w:t>Observation 5</w:t>
      </w:r>
      <w:r w:rsidRPr="00150194">
        <w:rPr>
          <w:b/>
          <w:i/>
        </w:rPr>
        <w:t>:</w:t>
      </w:r>
      <w:r w:rsidR="00770461">
        <w:rPr>
          <w:i/>
        </w:rPr>
        <w:t xml:space="preserve"> For LTE-V2V </w:t>
      </w:r>
      <w:r>
        <w:rPr>
          <w:i/>
        </w:rPr>
        <w:t>it is better to define</w:t>
      </w:r>
      <w:r w:rsidR="00BC691C">
        <w:rPr>
          <w:i/>
        </w:rPr>
        <w:t xml:space="preserve"> separate CBR for PSCCH</w:t>
      </w:r>
      <w:r w:rsidR="00770461">
        <w:rPr>
          <w:i/>
        </w:rPr>
        <w:t xml:space="preserve"> </w:t>
      </w:r>
      <w:r w:rsidR="00BC691C">
        <w:rPr>
          <w:i/>
        </w:rPr>
        <w:t>and PSSCH</w:t>
      </w:r>
      <w:r w:rsidR="004C28A4">
        <w:rPr>
          <w:i/>
        </w:rPr>
        <w:t xml:space="preserve"> resource pools</w:t>
      </w:r>
      <w:r w:rsidR="00BC691C">
        <w:rPr>
          <w:i/>
        </w:rPr>
        <w:t>.</w:t>
      </w:r>
    </w:p>
    <w:p w14:paraId="64411EB2" w14:textId="5B503180" w:rsidR="00914337" w:rsidRPr="006908C9" w:rsidRDefault="00914337" w:rsidP="00BA3A01">
      <w:pPr>
        <w:jc w:val="both"/>
        <w:rPr>
          <w:b/>
          <w:u w:val="single"/>
        </w:rPr>
      </w:pPr>
      <w:r w:rsidRPr="006908C9">
        <w:rPr>
          <w:b/>
          <w:u w:val="single"/>
        </w:rPr>
        <w:t>Issue 3: Requirement on limiting the channel resource utilization (</w:t>
      </w:r>
      <w:r w:rsidRPr="00EB3985">
        <w:rPr>
          <w:b/>
          <w:i/>
          <w:u w:val="single"/>
        </w:rPr>
        <w:t>CR</w:t>
      </w:r>
      <w:r w:rsidRPr="006908C9">
        <w:rPr>
          <w:b/>
          <w:u w:val="single"/>
        </w:rPr>
        <w:t>) (</w:t>
      </w:r>
      <w:proofErr w:type="spellStart"/>
      <w:r w:rsidRPr="00EB3985">
        <w:rPr>
          <w:b/>
          <w:i/>
          <w:u w:val="single"/>
        </w:rPr>
        <w:t>T</w:t>
      </w:r>
      <w:r w:rsidRPr="00EB3985">
        <w:rPr>
          <w:b/>
          <w:i/>
          <w:u w:val="single"/>
          <w:vertAlign w:val="subscript"/>
        </w:rPr>
        <w:t>offlimit</w:t>
      </w:r>
      <w:proofErr w:type="spellEnd"/>
      <w:r w:rsidRPr="006908C9">
        <w:rPr>
          <w:b/>
          <w:u w:val="single"/>
        </w:rPr>
        <w:t xml:space="preserve"> vs. </w:t>
      </w:r>
      <w:proofErr w:type="spellStart"/>
      <w:r w:rsidRPr="00EB3985">
        <w:rPr>
          <w:b/>
          <w:i/>
          <w:u w:val="single"/>
        </w:rPr>
        <w:t>CR</w:t>
      </w:r>
      <w:r w:rsidRPr="00EB3985">
        <w:rPr>
          <w:b/>
          <w:i/>
          <w:u w:val="single"/>
          <w:vertAlign w:val="subscript"/>
        </w:rPr>
        <w:t>limit</w:t>
      </w:r>
      <w:proofErr w:type="spellEnd"/>
      <w:r w:rsidRPr="006908C9">
        <w:rPr>
          <w:b/>
          <w:u w:val="single"/>
        </w:rPr>
        <w:t>)</w:t>
      </w:r>
    </w:p>
    <w:p w14:paraId="2D08F794" w14:textId="77777777" w:rsidR="00914337" w:rsidRDefault="00914337" w:rsidP="00914337">
      <w:pPr>
        <w:jc w:val="both"/>
      </w:pPr>
      <w:r>
        <w:t>From the discussion above, we noted that a generalized formulation of DCC is to limit the channel resource utilization (CR) at the UE as:</w:t>
      </w:r>
    </w:p>
    <w:p w14:paraId="6BA33BA2" w14:textId="4C0EC527" w:rsidR="00914337" w:rsidRDefault="00914337" w:rsidP="00914337">
      <w:pPr>
        <w:ind w:left="720" w:firstLine="720"/>
        <w:jc w:val="both"/>
      </w:pPr>
      <w:proofErr w:type="gramStart"/>
      <w:r>
        <w:t xml:space="preserve">If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7033B2D4" w14:textId="4DEBCF5E" w:rsidR="00914337" w:rsidRPr="001D15A6" w:rsidRDefault="00914337" w:rsidP="00914337">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d>
            <m:dPr>
              <m:begChr m:val="["/>
              <m:endChr m:val="]"/>
              <m:ctrlPr>
                <w:rPr>
                  <w:rFonts w:ascii="Cambria Math" w:hAnsi="Cambria Math"/>
                  <w:i/>
                </w:rPr>
              </m:ctrlPr>
            </m:dPr>
            <m:e>
              <m:r>
                <w:rPr>
                  <w:rFonts w:ascii="Cambria Math" w:hAnsi="Cambria Math"/>
                </w:rPr>
                <m:t xml:space="preserve">or </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e>
          </m:d>
          <m:r>
            <w:rPr>
              <w:rFonts w:ascii="Cambria Math" w:hAnsi="Cambria Math"/>
            </w:rPr>
            <m:t xml:space="preserve"> </m:t>
          </m:r>
        </m:oMath>
      </m:oMathPara>
    </w:p>
    <w:p w14:paraId="1B74D1D9" w14:textId="0895B062" w:rsidR="00914337" w:rsidRDefault="00914337" w:rsidP="00BA3A01">
      <w:pPr>
        <w:jc w:val="both"/>
      </w:pPr>
      <w:r>
        <w:t xml:space="preserve">For 802.11p, this translated to a limit on </w:t>
      </w:r>
      <w:r w:rsidRPr="006C3381">
        <w:rPr>
          <w:i/>
        </w:rPr>
        <w:t>T</w:t>
      </w:r>
      <w:r w:rsidRPr="006C3381">
        <w:rPr>
          <w:i/>
          <w:vertAlign w:val="subscript"/>
        </w:rPr>
        <w:t>off</w:t>
      </w:r>
      <w:r w:rsidRPr="006C3381">
        <w:rPr>
          <w:vertAlign w:val="subscript"/>
        </w:rPr>
        <w:t xml:space="preserve"> </w:t>
      </w:r>
      <w:r>
        <w:t xml:space="preserve">period due to TDMA access, since for 802.11p </w:t>
      </w:r>
    </w:p>
    <w:p w14:paraId="279B4929" w14:textId="75D66CE8" w:rsidR="00914337" w:rsidRPr="00AB2428" w:rsidRDefault="00914337" w:rsidP="00914337">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r>
            <w:rPr>
              <w:rFonts w:ascii="Cambria Math" w:hAnsi="Cambria Math"/>
            </w:rPr>
            <m:t xml:space="preserve"> </m:t>
          </m:r>
          <m:r>
            <m:rPr>
              <m:nor/>
            </m:rPr>
            <w:rPr>
              <w:rFonts w:ascii="Cambria Math" w:hAnsi="Cambria Math"/>
            </w:rPr>
            <m:t>for 802.11p</m:t>
          </m:r>
        </m:oMath>
      </m:oMathPara>
    </w:p>
    <w:p w14:paraId="0C5E83B8" w14:textId="63C08313" w:rsidR="006908C9" w:rsidRDefault="006908C9" w:rsidP="00BA3A01">
      <w:pPr>
        <w:jc w:val="both"/>
      </w:pPr>
      <w:r>
        <w:t>For LTE-V2V, however,</w:t>
      </w:r>
      <w:r w:rsidR="00355EC4">
        <w:t xml:space="preserve"> a</w:t>
      </w:r>
      <w:r>
        <w:t xml:space="preserve"> better DCC implementation </w:t>
      </w:r>
      <w:r w:rsidR="00355EC4">
        <w:t xml:space="preserve">is </w:t>
      </w:r>
      <w:r>
        <w:t xml:space="preserve">possible. For example, </w:t>
      </w:r>
      <w:r w:rsidR="00355EC4">
        <w:t xml:space="preserve">assume that </w:t>
      </w:r>
      <w:r>
        <w:t xml:space="preserve">the </w:t>
      </w:r>
      <w:proofErr w:type="spellStart"/>
      <w:r w:rsidRPr="006C3381">
        <w:rPr>
          <w:i/>
        </w:rPr>
        <w:t>CR</w:t>
      </w:r>
      <w:r w:rsidRPr="006C3381">
        <w:rPr>
          <w:i/>
          <w:vertAlign w:val="subscript"/>
        </w:rPr>
        <w:t>limit</w:t>
      </w:r>
      <w:proofErr w:type="spellEnd"/>
      <w:r w:rsidRPr="006C3381">
        <w:rPr>
          <w:vertAlign w:val="subscript"/>
        </w:rPr>
        <w:t xml:space="preserve"> </w:t>
      </w:r>
      <w:r>
        <w:t>for the system is 0.004, which is 20 RBs every 100ms. When the syst</w:t>
      </w:r>
      <w:r w:rsidR="004A0817">
        <w:t xml:space="preserve">em is not </w:t>
      </w:r>
      <w:r>
        <w:t xml:space="preserve">congested, the UE </w:t>
      </w:r>
      <w:r w:rsidR="00355EC4">
        <w:t xml:space="preserve">can still </w:t>
      </w:r>
      <w:r>
        <w:t xml:space="preserve">transmit over 30RBs every 100ms (i.e. </w:t>
      </w:r>
      <w:r w:rsidRPr="006C3381">
        <w:rPr>
          <w:i/>
        </w:rPr>
        <w:t>CR</w:t>
      </w:r>
      <w:r>
        <w:t xml:space="preserve"> = 0.008). However, when</w:t>
      </w:r>
      <w:r w:rsidR="00355EC4">
        <w:t xml:space="preserve"> the system is congested, i.e</w:t>
      </w:r>
      <w:proofErr w:type="gramStart"/>
      <w:r w:rsidR="00355EC4">
        <w:t>.</w:t>
      </w:r>
      <w:r>
        <w:t xml:space="preserve"> </w:t>
      </w:r>
      <w:proofErr w:type="gramEnd"/>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xml:space="preserve">, the UE has both time and frequency dimensions to limit the </w:t>
      </w:r>
      <w:r w:rsidRPr="006C3381">
        <w:rPr>
          <w:i/>
        </w:rPr>
        <w:t>CR</w:t>
      </w:r>
      <w:r>
        <w:t xml:space="preserve"> below </w:t>
      </w:r>
      <w:proofErr w:type="spellStart"/>
      <w:r w:rsidRPr="006C3381">
        <w:rPr>
          <w:i/>
        </w:rPr>
        <w:t>CR</w:t>
      </w:r>
      <w:r w:rsidRPr="006C3381">
        <w:rPr>
          <w:i/>
          <w:vertAlign w:val="subscript"/>
        </w:rPr>
        <w:t>limit</w:t>
      </w:r>
      <w:proofErr w:type="spellEnd"/>
      <w:r w:rsidR="00355EC4">
        <w:t xml:space="preserve">. For example, it can either </w:t>
      </w:r>
      <w:r>
        <w:t xml:space="preserve">increase MCS to occupy 20RBs every 100ms, or increasing </w:t>
      </w:r>
      <w:r w:rsidRPr="006C3381">
        <w:rPr>
          <w:i/>
        </w:rPr>
        <w:t>T</w:t>
      </w:r>
      <w:r w:rsidRPr="006C3381">
        <w:rPr>
          <w:i/>
          <w:vertAlign w:val="subscript"/>
        </w:rPr>
        <w:t>off</w:t>
      </w:r>
      <w:r>
        <w:t xml:space="preserve"> as in the current specification.</w:t>
      </w:r>
    </w:p>
    <w:p w14:paraId="1E38198E" w14:textId="2C3B5C45" w:rsidR="006908C9" w:rsidRDefault="006908C9" w:rsidP="00BA3A01">
      <w:pPr>
        <w:jc w:val="both"/>
      </w:pPr>
      <w:r>
        <w:t xml:space="preserve">We hence propose that the generalized formulation of </w:t>
      </w:r>
      <w:proofErr w:type="spellStart"/>
      <w:r w:rsidRPr="006C3381">
        <w:rPr>
          <w:i/>
        </w:rPr>
        <w:t>CR</w:t>
      </w:r>
      <w:r w:rsidRPr="006C3381">
        <w:rPr>
          <w:i/>
          <w:vertAlign w:val="subscript"/>
        </w:rPr>
        <w:t>limit</w:t>
      </w:r>
      <w:proofErr w:type="spellEnd"/>
      <w:r>
        <w:t xml:space="preserve"> should be applicable for LTE-V2V (and all technologies in general). For 802.11p, this is automatically calculated as the </w:t>
      </w:r>
      <w:proofErr w:type="spellStart"/>
      <w:r w:rsidRPr="006C3381">
        <w:rPr>
          <w:i/>
        </w:rPr>
        <w:t>T</w:t>
      </w:r>
      <w:r w:rsidRPr="006C3381">
        <w:rPr>
          <w:i/>
          <w:vertAlign w:val="subscript"/>
        </w:rPr>
        <w:t>offlimit</w:t>
      </w:r>
      <w:proofErr w:type="spellEnd"/>
      <w:r>
        <w:t xml:space="preserve"> as currently specified.</w:t>
      </w:r>
    </w:p>
    <w:p w14:paraId="59D09F68" w14:textId="77777777" w:rsidR="001765E6" w:rsidRDefault="001765E6" w:rsidP="001765E6">
      <w:pPr>
        <w:jc w:val="both"/>
      </w:pPr>
      <w:r>
        <w:rPr>
          <w:b/>
          <w:i/>
        </w:rPr>
        <w:t>Observation 6</w:t>
      </w:r>
      <w:r w:rsidRPr="00770461">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5100B5AC" w14:textId="06BC2D9C" w:rsidR="006908C9" w:rsidRPr="006908C9" w:rsidRDefault="006908C9" w:rsidP="006908C9">
      <w:pPr>
        <w:jc w:val="both"/>
        <w:rPr>
          <w:b/>
          <w:u w:val="single"/>
        </w:rPr>
      </w:pPr>
      <w:r>
        <w:rPr>
          <w:b/>
          <w:u w:val="single"/>
        </w:rPr>
        <w:t>Issue 4</w:t>
      </w:r>
      <w:r w:rsidRPr="006908C9">
        <w:rPr>
          <w:b/>
          <w:u w:val="single"/>
        </w:rPr>
        <w:t xml:space="preserve">: </w:t>
      </w:r>
      <w:r w:rsidR="00C07596">
        <w:rPr>
          <w:b/>
          <w:u w:val="single"/>
        </w:rPr>
        <w:t>CBR threshold of 0.62%</w:t>
      </w:r>
    </w:p>
    <w:p w14:paraId="4BC052F5" w14:textId="6B715CD9" w:rsidR="006908C9" w:rsidRDefault="00C07596" w:rsidP="00BA3A01">
      <w:pPr>
        <w:jc w:val="both"/>
      </w:pPr>
      <w:r>
        <w:t xml:space="preserve">The existing limit of 62% to trigger DCC is based on system simulations using 802.11p channel access method. Clearly, it cannot be reasoned that the same limit will apply to LTE-V2V and other technologies in general. We hence propose the </w:t>
      </w:r>
      <w:proofErr w:type="spellStart"/>
      <w:r w:rsidRPr="006C3381">
        <w:rPr>
          <w:i/>
        </w:rPr>
        <w:t>CBR</w:t>
      </w:r>
      <w:r w:rsidRPr="006C3381">
        <w:rPr>
          <w:i/>
          <w:vertAlign w:val="subscript"/>
        </w:rPr>
        <w:t>limit</w:t>
      </w:r>
      <w:proofErr w:type="spellEnd"/>
      <w:r>
        <w:t xml:space="preserve"> (currently set as 62% for 802.11p) should be a configurable parameter for the technology.</w:t>
      </w:r>
    </w:p>
    <w:p w14:paraId="0BC24700" w14:textId="0169E818" w:rsidR="00C07596" w:rsidRDefault="00C07596" w:rsidP="00BA3A01">
      <w:pPr>
        <w:jc w:val="both"/>
        <w:rPr>
          <w:b/>
          <w:u w:val="single"/>
        </w:rPr>
      </w:pPr>
      <w:r w:rsidRPr="00C07596">
        <w:rPr>
          <w:b/>
          <w:u w:val="single"/>
        </w:rPr>
        <w:t>Issue 5: Interaction between PPPP and DCC</w:t>
      </w:r>
    </w:p>
    <w:p w14:paraId="56F99505" w14:textId="02C76B7E" w:rsidR="00C07596" w:rsidRDefault="00C07596" w:rsidP="00BA3A01">
      <w:pPr>
        <w:jc w:val="both"/>
      </w:pPr>
      <w:r>
        <w:t>One specific aspect for LTE-V2V is the presence of PPPP. The question then is how congestion control should work when the system has packets of different prior</w:t>
      </w:r>
      <w:r w:rsidR="00DD78BC">
        <w:t>ities. A natural requirement is that low priority packets should not congest the system too much so that the higher-priority packets suffer (</w:t>
      </w:r>
      <w:r w:rsidR="004A0817">
        <w:t xml:space="preserve">by </w:t>
      </w:r>
      <w:r w:rsidR="00DD78BC">
        <w:t>either</w:t>
      </w:r>
      <w:r w:rsidR="004A0817">
        <w:t xml:space="preserve"> longer</w:t>
      </w:r>
      <w:r w:rsidR="00DD78BC">
        <w:t xml:space="preserve"> </w:t>
      </w:r>
      <w:proofErr w:type="spellStart"/>
      <w:r w:rsidR="00DD78BC">
        <w:t>backoff</w:t>
      </w:r>
      <w:proofErr w:type="spellEnd"/>
      <w:r w:rsidR="00DD78BC">
        <w:t xml:space="preserve"> or </w:t>
      </w:r>
      <w:r w:rsidR="002276D2">
        <w:t xml:space="preserve">even </w:t>
      </w:r>
      <w:r w:rsidR="00DD78BC">
        <w:t xml:space="preserve">performance impacts). </w:t>
      </w:r>
    </w:p>
    <w:p w14:paraId="60A11B21" w14:textId="681E333F" w:rsidR="00DD78BC" w:rsidRDefault="00DD78BC" w:rsidP="00BA3A01">
      <w:pPr>
        <w:jc w:val="both"/>
      </w:pPr>
      <w:r>
        <w:t xml:space="preserve">We hence propose that we have separate CBR limits per packet priority. Taking an example of two priority packets in the systems, the UE is then configured with </w:t>
      </w:r>
      <w:r w:rsidRPr="006C3381">
        <w:rPr>
          <w:i/>
        </w:rPr>
        <w:t>CBR</w:t>
      </w:r>
      <w:r w:rsidRPr="006C3381">
        <w:rPr>
          <w:i/>
          <w:vertAlign w:val="subscript"/>
        </w:rPr>
        <w:t>limit_p0</w:t>
      </w:r>
      <w:r w:rsidRPr="006C3381">
        <w:rPr>
          <w:vertAlign w:val="subscript"/>
        </w:rPr>
        <w:t xml:space="preserve"> </w:t>
      </w:r>
      <w:r>
        <w:t xml:space="preserve">and </w:t>
      </w:r>
      <w:r w:rsidRPr="006C3381">
        <w:rPr>
          <w:i/>
        </w:rPr>
        <w:t>CBR</w:t>
      </w:r>
      <w:r w:rsidRPr="006C3381">
        <w:rPr>
          <w:i/>
          <w:vertAlign w:val="subscript"/>
        </w:rPr>
        <w:t>limit_p1</w:t>
      </w:r>
      <w:r>
        <w:t xml:space="preserve">, with p0 having higher priority than p1. Then the CBR limits can be set such that </w:t>
      </w:r>
      <w:r w:rsidR="004A0817" w:rsidRPr="003A461C">
        <w:rPr>
          <w:i/>
        </w:rPr>
        <w:t>CBR</w:t>
      </w:r>
      <w:r w:rsidR="004A0817" w:rsidRPr="003A461C">
        <w:rPr>
          <w:i/>
          <w:vertAlign w:val="subscript"/>
        </w:rPr>
        <w:t>limit_p1</w:t>
      </w:r>
      <w:r>
        <w:t xml:space="preserve"> &lt; </w:t>
      </w:r>
      <w:r w:rsidR="004A0817" w:rsidRPr="003A461C">
        <w:rPr>
          <w:i/>
        </w:rPr>
        <w:t>CBR</w:t>
      </w:r>
      <w:r w:rsidR="004A0817" w:rsidRPr="003A461C">
        <w:rPr>
          <w:i/>
          <w:vertAlign w:val="subscript"/>
        </w:rPr>
        <w:t>limit_p0</w:t>
      </w:r>
      <w:r>
        <w:t>, so that low priority packet</w:t>
      </w:r>
      <w:r w:rsidR="004A0817">
        <w:t>s</w:t>
      </w:r>
      <w:r>
        <w:t xml:space="preserve"> can congest the system only to a certain limit and still leave room for higher priority packets to enter the system. With increasing congestion, the low priority packets will then </w:t>
      </w:r>
      <w:proofErr w:type="spellStart"/>
      <w:r>
        <w:t>backoff</w:t>
      </w:r>
      <w:proofErr w:type="spellEnd"/>
      <w:r>
        <w:t xml:space="preserve"> first and reduce the effect on high priority packets. </w:t>
      </w:r>
    </w:p>
    <w:p w14:paraId="30C24F9B" w14:textId="0A66359A" w:rsidR="001129AD" w:rsidRPr="001129AD" w:rsidRDefault="001129AD" w:rsidP="001129AD">
      <w:pPr>
        <w:jc w:val="both"/>
        <w:rPr>
          <w:b/>
          <w:i/>
        </w:rPr>
      </w:pPr>
      <w:r>
        <w:rPr>
          <w:b/>
          <w:i/>
        </w:rPr>
        <w:t>Observation 7</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 xml:space="preserve">should be configurable and </w:t>
      </w:r>
      <w:r w:rsidR="003C4A78">
        <w:rPr>
          <w:i/>
        </w:rPr>
        <w:t xml:space="preserve">should </w:t>
      </w:r>
      <w:r>
        <w:rPr>
          <w:i/>
        </w:rPr>
        <w:t>be on a PPPP basis.</w:t>
      </w:r>
    </w:p>
    <w:p w14:paraId="5606CCBB" w14:textId="0211CE60" w:rsidR="00B52B5E" w:rsidRDefault="00B52B5E" w:rsidP="00B52B5E">
      <w:pPr>
        <w:jc w:val="both"/>
        <w:rPr>
          <w:b/>
          <w:u w:val="single"/>
        </w:rPr>
      </w:pPr>
      <w:r>
        <w:rPr>
          <w:b/>
          <w:u w:val="single"/>
        </w:rPr>
        <w:t>Issue 6</w:t>
      </w:r>
      <w:r w:rsidRPr="00C07596">
        <w:rPr>
          <w:b/>
          <w:u w:val="single"/>
        </w:rPr>
        <w:t xml:space="preserve">: </w:t>
      </w:r>
      <w:r>
        <w:rPr>
          <w:b/>
          <w:u w:val="single"/>
        </w:rPr>
        <w:t>Measurement of Received Signal Strength</w:t>
      </w:r>
    </w:p>
    <w:p w14:paraId="0929438E" w14:textId="77777777" w:rsidR="00D72B39" w:rsidRDefault="00397FBF" w:rsidP="00397FBF">
      <w:pPr>
        <w:jc w:val="both"/>
      </w:pPr>
      <w:r>
        <w:t>W</w:t>
      </w:r>
      <w:r w:rsidR="00B52B5E">
        <w:t xml:space="preserve">e </w:t>
      </w:r>
      <w:r>
        <w:t xml:space="preserve">now </w:t>
      </w:r>
      <w:r w:rsidR="00B52B5E">
        <w:t>discuss the measurements that need to be defined in 3GPP RAN1 to meet the requirements on CBR measurements and DCC requirements in the harmonized ETSI ITS standard.</w:t>
      </w:r>
      <w:r>
        <w:t xml:space="preserve"> W</w:t>
      </w:r>
      <w:r w:rsidR="00B52B5E">
        <w:t xml:space="preserve">e propose </w:t>
      </w:r>
      <w:r>
        <w:t>that for PSCCH received signal strength is defined as RSSI over 2 PRB pairs. For PSSCH it is the RSSI over N PRB pairs. Here N is the length of ‘channel’ as discussed in our companion contribution [5].</w:t>
      </w:r>
    </w:p>
    <w:p w14:paraId="3D1E76E7" w14:textId="4A18A0C5" w:rsidR="00D72B39" w:rsidRDefault="00D72B39" w:rsidP="00397FBF">
      <w:pPr>
        <w:jc w:val="both"/>
        <w:rPr>
          <w:i/>
        </w:rPr>
      </w:pPr>
      <w:r>
        <w:rPr>
          <w:b/>
          <w:i/>
        </w:rPr>
        <w:t>Proposal 1</w:t>
      </w:r>
      <w:r w:rsidRPr="00770461">
        <w:rPr>
          <w:b/>
          <w:i/>
        </w:rPr>
        <w:t>:</w:t>
      </w:r>
      <w:r>
        <w:rPr>
          <w:i/>
        </w:rPr>
        <w:t xml:space="preserve"> For LTE-V2V define received signal strength as:</w:t>
      </w:r>
    </w:p>
    <w:p w14:paraId="09FB5216" w14:textId="509C03E9" w:rsidR="00D72B39" w:rsidRDefault="00D72B39" w:rsidP="00D72B39">
      <w:pPr>
        <w:pStyle w:val="ListParagraph"/>
        <w:numPr>
          <w:ilvl w:val="0"/>
          <w:numId w:val="31"/>
        </w:numPr>
        <w:jc w:val="both"/>
        <w:rPr>
          <w:i/>
        </w:rPr>
      </w:pPr>
      <w:r>
        <w:rPr>
          <w:i/>
        </w:rPr>
        <w:lastRenderedPageBreak/>
        <w:t>RSSI over 2 PRB pairs for PSCCH</w:t>
      </w:r>
    </w:p>
    <w:p w14:paraId="628CDA35" w14:textId="6F4C3CD2" w:rsidR="00D72B39" w:rsidRPr="00D72B39" w:rsidRDefault="00D72B39" w:rsidP="00D72B39">
      <w:pPr>
        <w:pStyle w:val="ListParagraph"/>
        <w:numPr>
          <w:ilvl w:val="0"/>
          <w:numId w:val="31"/>
        </w:numPr>
        <w:jc w:val="both"/>
        <w:rPr>
          <w:i/>
        </w:rPr>
      </w:pPr>
      <w:r>
        <w:rPr>
          <w:i/>
        </w:rPr>
        <w:t xml:space="preserve">RSSI over N PRB pairs for PSSCH. Here N is the length of channel configured for data </w:t>
      </w:r>
      <w:r w:rsidR="003C4A78">
        <w:rPr>
          <w:i/>
        </w:rPr>
        <w:t>resource pool</w:t>
      </w:r>
      <w:r>
        <w:rPr>
          <w:i/>
        </w:rPr>
        <w:t>.</w:t>
      </w:r>
    </w:p>
    <w:p w14:paraId="073C5651" w14:textId="172E88A3" w:rsidR="00AA03C9" w:rsidRDefault="00AA03C9" w:rsidP="00AA03C9">
      <w:pPr>
        <w:pStyle w:val="Heading2"/>
      </w:pPr>
      <w:r>
        <w:t>3.</w:t>
      </w:r>
      <w:r w:rsidR="00AF52CB">
        <w:t>4</w:t>
      </w:r>
      <w:r>
        <w:tab/>
        <w:t>Technology neutral proposal CBR measurement and DCC</w:t>
      </w:r>
    </w:p>
    <w:p w14:paraId="28876277" w14:textId="77777777" w:rsidR="00AA03C9" w:rsidRDefault="00AA03C9" w:rsidP="00AA03C9">
      <w:pPr>
        <w:jc w:val="both"/>
      </w:pPr>
      <w:r>
        <w:t xml:space="preserve">Based on the discussions in the previous subsection, we hence formulate the following proposal for technology neutral CBR measurement and DCC. </w:t>
      </w:r>
    </w:p>
    <w:p w14:paraId="378EDC90" w14:textId="77777777" w:rsidR="00096451" w:rsidRDefault="00AA03C9" w:rsidP="00AA03C9">
      <w:pPr>
        <w:jc w:val="both"/>
      </w:pPr>
      <w:r>
        <w:t xml:space="preserve">We recognize that defining these are not necessarily within 3GPP V2V/V2X WI scope, but rather within the scope of EU harmonized standard / ETSI. Nonetheless, it is important from 3GPP view point to formulate the CBR measurement and DCC requirements as would be seen appropriate from LTE-V2V perspective. Furthermore, these formulations are indeed required to be technology neutral, and hence </w:t>
      </w:r>
      <w:r w:rsidR="00096451">
        <w:t>we have formulated them as such.</w:t>
      </w:r>
    </w:p>
    <w:p w14:paraId="08E33E78" w14:textId="00D68A8D" w:rsidR="00AA03C9" w:rsidRDefault="00096451" w:rsidP="00AA03C9">
      <w:pPr>
        <w:jc w:val="both"/>
      </w:pPr>
      <w:r>
        <w:t>Importantly, we also note that the existing requirements are merely a subset of this tech-neutral proposal and remain unchanged for 802.11p. So it is merely expanding of the existing requirement</w:t>
      </w:r>
      <w:r w:rsidR="000A24C0">
        <w:t>s</w:t>
      </w:r>
      <w:r>
        <w:t xml:space="preserve"> in the harmonized specification to incorporate LTE-V2V and possibly other technologies, without affecting requirements for 802.11p.</w:t>
      </w:r>
    </w:p>
    <w:p w14:paraId="1DFD1C28" w14:textId="418DE324" w:rsidR="00802879" w:rsidRDefault="00802879" w:rsidP="0080287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1A181C">
        <w:t>Technology</w:t>
      </w:r>
      <w:r>
        <w:t xml:space="preserve"> neutral formulation</w:t>
      </w:r>
      <w:r w:rsidR="000A24C0">
        <w:t>s</w:t>
      </w:r>
      <w:r>
        <w:t xml:space="preserve"> for CBR measurements and DCC. Note existing requirements are merely a subset and hence remain unchanged for 802.11p.</w:t>
      </w:r>
    </w:p>
    <w:tbl>
      <w:tblPr>
        <w:tblStyle w:val="TableGrid"/>
        <w:tblW w:w="0" w:type="auto"/>
        <w:tblLook w:val="04A0" w:firstRow="1" w:lastRow="0" w:firstColumn="1" w:lastColumn="0" w:noHBand="0" w:noVBand="1"/>
      </w:tblPr>
      <w:tblGrid>
        <w:gridCol w:w="2335"/>
        <w:gridCol w:w="7015"/>
      </w:tblGrid>
      <w:tr w:rsidR="00802879" w14:paraId="7F1E7F10" w14:textId="77777777" w:rsidTr="00802879">
        <w:tc>
          <w:tcPr>
            <w:tcW w:w="2335" w:type="dxa"/>
          </w:tcPr>
          <w:p w14:paraId="2423B68C" w14:textId="4B3C4984" w:rsidR="00802879" w:rsidRDefault="00802879" w:rsidP="00802879">
            <w:pPr>
              <w:spacing w:after="0"/>
              <w:jc w:val="both"/>
            </w:pPr>
            <w:r>
              <w:t>CBR measurement</w:t>
            </w:r>
          </w:p>
        </w:tc>
        <w:tc>
          <w:tcPr>
            <w:tcW w:w="7015" w:type="dxa"/>
          </w:tcPr>
          <w:p w14:paraId="3A8A7001" w14:textId="77777777" w:rsidR="00D57CA5" w:rsidRPr="00D57CA5" w:rsidRDefault="00D57CA5" w:rsidP="00D57CA5">
            <w:pPr>
              <w:jc w:val="both"/>
            </w:pPr>
            <m:oMathPara>
              <m:oMathParaPr>
                <m:jc m:val="left"/>
              </m:oMathParaPr>
              <m:oMath>
                <m:r>
                  <w:rPr>
                    <w:rFonts w:ascii="Cambria Math" w:hAnsi="Cambria Math"/>
                  </w:rPr>
                  <m:t>channelBusyRatio(CBR)=</m:t>
                </m:r>
                <m:nary>
                  <m:naryPr>
                    <m:chr m:val="∑"/>
                    <m:limLoc m:val="undOvr"/>
                    <m:subHide m:val="1"/>
                    <m:supHide m:val="1"/>
                    <m:ctrlPr>
                      <w:rPr>
                        <w:rFonts w:ascii="Cambria Math" w:hAnsi="Cambria Math"/>
                        <w:i/>
                      </w:rPr>
                    </m:ctrlPr>
                  </m:naryPr>
                  <m:sub/>
                  <m:sup/>
                  <m:e>
                    <m:r>
                      <w:rPr>
                        <w:rFonts w:ascii="Cambria Math" w:hAnsi="Cambria Math"/>
                      </w:rPr>
                      <m:t xml:space="preserve">(1 ∀ </m:t>
                    </m:r>
                    <m:r>
                      <m:rPr>
                        <m:nor/>
                      </m:rPr>
                      <w:rPr>
                        <w:rFonts w:ascii="Cambria Math" w:hAnsi="Cambria Math"/>
                      </w:rPr>
                      <m:t xml:space="preserve">probes with radio resource </m:t>
                    </m:r>
                    <m:r>
                      <w:rPr>
                        <w:rFonts w:ascii="Cambria Math" w:hAnsi="Cambria Math"/>
                      </w:rPr>
                      <m:t>busy</m:t>
                    </m:r>
                  </m:e>
                </m:nary>
                <m:r>
                  <w:rPr>
                    <w:rFonts w:ascii="Cambria Math" w:hAnsi="Cambria Math"/>
                  </w:rPr>
                  <m:t>)/Np</m:t>
                </m:r>
              </m:oMath>
            </m:oMathPara>
          </w:p>
          <w:p w14:paraId="4D07FD71" w14:textId="14DAC721" w:rsidR="00D57CA5" w:rsidRPr="00D57CA5" w:rsidRDefault="00D57CA5" w:rsidP="00D57CA5">
            <w:pPr>
              <w:pStyle w:val="ListParagraph"/>
              <w:numPr>
                <w:ilvl w:val="0"/>
                <w:numId w:val="30"/>
              </w:numPr>
              <w:spacing w:after="0"/>
              <w:jc w:val="both"/>
              <w:rPr>
                <w:i/>
              </w:rPr>
            </w:pPr>
            <w:r w:rsidRPr="00D57CA5">
              <w:rPr>
                <w:i/>
              </w:rPr>
              <w:t>Np</w:t>
            </w:r>
            <w:r>
              <w:t xml:space="preserve"> is the total number of radio resources probed with a measurement window</w:t>
            </w:r>
          </w:p>
          <w:p w14:paraId="7CAB9D93" w14:textId="2C7066BD" w:rsidR="00802879" w:rsidRDefault="00D57CA5" w:rsidP="00D57CA5">
            <w:pPr>
              <w:pStyle w:val="ListParagraph"/>
              <w:numPr>
                <w:ilvl w:val="0"/>
                <w:numId w:val="30"/>
              </w:numPr>
              <w:spacing w:after="0"/>
              <w:jc w:val="both"/>
            </w:pPr>
            <w:r>
              <w:t>Resource is defined as the minimum time-frequency unit of allocation for the technology (e.g.,</w:t>
            </w:r>
            <w:r w:rsidR="00B52B5E">
              <w:t xml:space="preserve"> 8us x channel BW for 802.11p, N</w:t>
            </w:r>
            <w:r>
              <w:t xml:space="preserve"> PRB pair</w:t>
            </w:r>
            <w:r w:rsidR="00B52B5E">
              <w:t>s</w:t>
            </w:r>
            <w:r>
              <w:t xml:space="preserve"> for LTE-V2V)</w:t>
            </w:r>
          </w:p>
          <w:p w14:paraId="453948BF" w14:textId="77777777" w:rsidR="00D57CA5" w:rsidRDefault="00D57CA5" w:rsidP="00D57CA5">
            <w:pPr>
              <w:pStyle w:val="ListParagraph"/>
              <w:numPr>
                <w:ilvl w:val="0"/>
                <w:numId w:val="30"/>
              </w:numPr>
              <w:spacing w:after="0"/>
              <w:jc w:val="both"/>
            </w:pPr>
            <w:r>
              <w:t xml:space="preserve">Resource is deemed </w:t>
            </w:r>
            <w:r w:rsidRPr="00D57CA5">
              <w:rPr>
                <w:i/>
              </w:rPr>
              <w:t>busy</w:t>
            </w:r>
            <w:r>
              <w:t xml:space="preserve"> if received signal power on that resource is above a threshold </w:t>
            </w:r>
            <w:proofErr w:type="spellStart"/>
            <w:r w:rsidRPr="00D57CA5">
              <w:rPr>
                <w:i/>
              </w:rPr>
              <w:t>S</w:t>
            </w:r>
            <w:r w:rsidRPr="00D57CA5">
              <w:rPr>
                <w:i/>
                <w:vertAlign w:val="subscript"/>
              </w:rPr>
              <w:t>th</w:t>
            </w:r>
            <w:proofErr w:type="spellEnd"/>
            <w:r>
              <w:t xml:space="preserve">. </w:t>
            </w:r>
          </w:p>
          <w:p w14:paraId="091ED6AE" w14:textId="31C87F11" w:rsidR="00D57CA5" w:rsidRDefault="00D57CA5" w:rsidP="00D57CA5">
            <w:pPr>
              <w:pStyle w:val="ListParagraph"/>
              <w:numPr>
                <w:ilvl w:val="0"/>
                <w:numId w:val="30"/>
              </w:numPr>
              <w:spacing w:after="0"/>
              <w:jc w:val="both"/>
            </w:pPr>
            <w:r>
              <w:t xml:space="preserve">The threshold </w:t>
            </w:r>
            <w:proofErr w:type="spellStart"/>
            <w:r w:rsidRPr="00D57CA5">
              <w:rPr>
                <w:i/>
              </w:rPr>
              <w:t>S</w:t>
            </w:r>
            <w:r w:rsidRPr="00D57CA5">
              <w:rPr>
                <w:i/>
                <w:vertAlign w:val="subscript"/>
              </w:rPr>
              <w:t>th</w:t>
            </w:r>
            <w:proofErr w:type="spellEnd"/>
            <w:r>
              <w:t xml:space="preserve"> is configured by the technology; if not, </w:t>
            </w:r>
            <w:r w:rsidR="000A24C0">
              <w:t xml:space="preserve">the </w:t>
            </w:r>
            <w:r>
              <w:t>default</w:t>
            </w:r>
            <w:r w:rsidR="000A24C0">
              <w:t xml:space="preserve"> value</w:t>
            </w:r>
            <w:r>
              <w:t xml:space="preserve"> is as currently specified in </w:t>
            </w:r>
            <w:r w:rsidR="006D723E">
              <w:t xml:space="preserve">ETSI </w:t>
            </w:r>
            <w:r w:rsidR="003D41A4">
              <w:t>EN 302.</w:t>
            </w:r>
            <w:r>
              <w:t xml:space="preserve">571 (≤-85dBm) </w:t>
            </w:r>
          </w:p>
        </w:tc>
      </w:tr>
      <w:tr w:rsidR="006D723E" w14:paraId="61DA9493" w14:textId="77777777" w:rsidTr="00802879">
        <w:tc>
          <w:tcPr>
            <w:tcW w:w="2335" w:type="dxa"/>
          </w:tcPr>
          <w:p w14:paraId="524A59A2" w14:textId="1982B222" w:rsidR="006D723E" w:rsidRDefault="006D723E" w:rsidP="00802879">
            <w:pPr>
              <w:spacing w:after="0"/>
              <w:jc w:val="both"/>
            </w:pPr>
            <w:r>
              <w:t xml:space="preserve">Control + Data resource </w:t>
            </w:r>
          </w:p>
        </w:tc>
        <w:tc>
          <w:tcPr>
            <w:tcW w:w="7015" w:type="dxa"/>
          </w:tcPr>
          <w:p w14:paraId="16FCCD4B" w14:textId="77777777" w:rsidR="00E0301C" w:rsidRDefault="006D723E" w:rsidP="006D723E">
            <w:pPr>
              <w:jc w:val="both"/>
            </w:pPr>
            <w:r>
              <w:t>If the set of radio resources are divided into subsets used for control and data transmissions, respectively, then CBR measurements and DCC can be performed separately on co</w:t>
            </w:r>
            <w:r w:rsidR="00E0301C">
              <w:t>ntrol and data set of resources.</w:t>
            </w:r>
          </w:p>
          <w:p w14:paraId="095D783E" w14:textId="362422E7" w:rsidR="006D723E" w:rsidRDefault="00E0301C" w:rsidP="00E0301C">
            <w:pPr>
              <w:pStyle w:val="ListParagraph"/>
              <w:numPr>
                <w:ilvl w:val="0"/>
                <w:numId w:val="30"/>
              </w:numPr>
              <w:jc w:val="both"/>
            </w:pPr>
            <w:r>
              <w:t xml:space="preserve">Enabled by configuring </w:t>
            </w:r>
            <w:r w:rsidR="006D723E">
              <w:t>different CBR limits</w:t>
            </w:r>
          </w:p>
        </w:tc>
      </w:tr>
      <w:tr w:rsidR="00802879" w14:paraId="4F26B3B3" w14:textId="77777777" w:rsidTr="00802879">
        <w:tc>
          <w:tcPr>
            <w:tcW w:w="2335" w:type="dxa"/>
          </w:tcPr>
          <w:p w14:paraId="4FFD8F4F" w14:textId="7B5C76C2" w:rsidR="00802879" w:rsidRDefault="006D723E" w:rsidP="00802879">
            <w:pPr>
              <w:spacing w:after="0"/>
              <w:jc w:val="both"/>
            </w:pPr>
            <w:r>
              <w:t>CBR limit</w:t>
            </w:r>
          </w:p>
        </w:tc>
        <w:tc>
          <w:tcPr>
            <w:tcW w:w="7015" w:type="dxa"/>
          </w:tcPr>
          <w:p w14:paraId="67695219" w14:textId="56EDB255" w:rsidR="00802879" w:rsidRDefault="00E0301C" w:rsidP="00802879">
            <w:pPr>
              <w:spacing w:after="0"/>
              <w:jc w:val="both"/>
            </w:pPr>
            <w:r>
              <w:t>Configured in the UE for the technology.</w:t>
            </w:r>
          </w:p>
          <w:p w14:paraId="59C6E9B8" w14:textId="3587401A" w:rsidR="006D723E" w:rsidRDefault="006D723E" w:rsidP="006D723E">
            <w:pPr>
              <w:pStyle w:val="ListParagraph"/>
              <w:numPr>
                <w:ilvl w:val="0"/>
                <w:numId w:val="30"/>
              </w:numPr>
              <w:spacing w:after="0"/>
              <w:jc w:val="both"/>
            </w:pPr>
            <w:r>
              <w:t>Separate limits for control and data resource sets can be configured, if applicable.</w:t>
            </w:r>
          </w:p>
          <w:p w14:paraId="3FE4563D" w14:textId="5FB00E03" w:rsidR="006D723E" w:rsidRDefault="006D723E" w:rsidP="006D723E">
            <w:pPr>
              <w:pStyle w:val="ListParagraph"/>
              <w:numPr>
                <w:ilvl w:val="0"/>
                <w:numId w:val="30"/>
              </w:numPr>
              <w:spacing w:after="0"/>
              <w:jc w:val="both"/>
            </w:pPr>
            <w:r>
              <w:t>Separate limits for different packet priorities can be configured, if applicable.</w:t>
            </w:r>
          </w:p>
          <w:p w14:paraId="4D6FA556" w14:textId="15431847" w:rsidR="006D723E" w:rsidRDefault="006D723E" w:rsidP="00802879">
            <w:pPr>
              <w:spacing w:after="0"/>
              <w:jc w:val="both"/>
            </w:pPr>
            <w:r>
              <w:t xml:space="preserve">If not configured, </w:t>
            </w:r>
            <w:r w:rsidR="002D51FB">
              <w:t xml:space="preserve">the </w:t>
            </w:r>
            <w:r>
              <w:t>default</w:t>
            </w:r>
            <w:r w:rsidR="002D51FB">
              <w:t xml:space="preserve"> value</w:t>
            </w:r>
            <w:r>
              <w:t xml:space="preserve"> is as currently specified in ETSI </w:t>
            </w:r>
            <w:r w:rsidR="003D41A4">
              <w:t>EN 302.</w:t>
            </w:r>
            <w:r>
              <w:t>571 (62%)</w:t>
            </w:r>
          </w:p>
        </w:tc>
      </w:tr>
      <w:tr w:rsidR="00802879" w14:paraId="08998939" w14:textId="77777777" w:rsidTr="00802879">
        <w:tc>
          <w:tcPr>
            <w:tcW w:w="2335" w:type="dxa"/>
          </w:tcPr>
          <w:p w14:paraId="1AC8C39B" w14:textId="00EF3652" w:rsidR="00802879" w:rsidRDefault="00E0301C" w:rsidP="00802879">
            <w:pPr>
              <w:spacing w:after="0"/>
              <w:jc w:val="both"/>
            </w:pPr>
            <w:r>
              <w:t>DCC</w:t>
            </w:r>
          </w:p>
        </w:tc>
        <w:tc>
          <w:tcPr>
            <w:tcW w:w="7015" w:type="dxa"/>
          </w:tcPr>
          <w:p w14:paraId="7403A228" w14:textId="77777777" w:rsidR="00802879" w:rsidRDefault="00E0301C" w:rsidP="00802879">
            <w:pPr>
              <w:spacing w:after="0"/>
              <w:jc w:val="both"/>
            </w:pPr>
            <w:r>
              <w:t>The channel radio resource utilization is limited as follows:</w:t>
            </w:r>
          </w:p>
          <w:p w14:paraId="3798ED94" w14:textId="77777777" w:rsidR="00E0301C" w:rsidRDefault="00E0301C" w:rsidP="00E0301C">
            <w:pPr>
              <w:ind w:left="72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084C4A81" w14:textId="77777777" w:rsidR="00E0301C" w:rsidRPr="00E0301C" w:rsidRDefault="00E0301C" w:rsidP="00E0301C">
            <w:pPr>
              <w:spacing w:after="0"/>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2347D993" w14:textId="0A7D2BC7" w:rsidR="00E0301C" w:rsidRDefault="00E0301C" w:rsidP="00E0301C">
            <w:pPr>
              <w:pStyle w:val="ListParagraph"/>
              <w:numPr>
                <w:ilvl w:val="0"/>
                <w:numId w:val="30"/>
              </w:numPr>
              <w:spacing w:after="0"/>
              <w:jc w:val="both"/>
            </w:pPr>
            <w:proofErr w:type="gramStart"/>
            <w:r w:rsidRPr="006C3381">
              <w:rPr>
                <w:i/>
              </w:rPr>
              <w:t>f(</w:t>
            </w:r>
            <w:proofErr w:type="gramEnd"/>
            <w:r w:rsidRPr="006C3381">
              <w:rPr>
                <w:i/>
              </w:rPr>
              <w:t>)</w:t>
            </w:r>
            <w:r>
              <w:t xml:space="preserve"> is either configured in the UE; if not configured </w:t>
            </w:r>
            <w:r w:rsidR="002D51FB">
              <w:t xml:space="preserve">the </w:t>
            </w:r>
            <w:r>
              <w:t xml:space="preserve">default function is as currently specified in ETSI </w:t>
            </w:r>
            <w:r w:rsidR="003D41A4">
              <w:t>EN 302.</w:t>
            </w:r>
            <w:r>
              <w:t>571: 1/a * (</w:t>
            </w:r>
            <w:proofErr w:type="spellStart"/>
            <w:r w:rsidRPr="006C3381">
              <w:rPr>
                <w:i/>
              </w:rPr>
              <w:t>CBR</w:t>
            </w:r>
            <w:r w:rsidRPr="006C3381">
              <w:rPr>
                <w:i/>
                <w:vertAlign w:val="subscript"/>
              </w:rPr>
              <w:t>measured</w:t>
            </w:r>
            <w:proofErr w:type="spellEnd"/>
            <w:r w:rsidRPr="00E0301C">
              <w:rPr>
                <w:vertAlign w:val="subscript"/>
              </w:rPr>
              <w:t xml:space="preserve"> </w:t>
            </w:r>
            <w:r>
              <w:t>– b), with (</w:t>
            </w:r>
            <w:proofErr w:type="spellStart"/>
            <w:r>
              <w:t>a,b</w:t>
            </w:r>
            <w:proofErr w:type="spellEnd"/>
            <w:r>
              <w:t>) = (1/4000, 0.6).</w:t>
            </w:r>
          </w:p>
          <w:p w14:paraId="2304C22A" w14:textId="43EAC3C6" w:rsidR="00E0301C" w:rsidRDefault="00E0301C" w:rsidP="00E0301C">
            <w:pPr>
              <w:pStyle w:val="ListParagraph"/>
              <w:numPr>
                <w:ilvl w:val="0"/>
                <w:numId w:val="30"/>
              </w:numPr>
              <w:spacing w:after="0"/>
              <w:jc w:val="both"/>
            </w:pPr>
            <w:r>
              <w:t xml:space="preserve">Note for 802.11p, </w:t>
            </w:r>
            <w:r w:rsidRPr="006C3381">
              <w:rPr>
                <w:i/>
              </w:rPr>
              <w:t>CR</w:t>
            </w:r>
            <w:r>
              <w:t xml:space="preserve"> = </w:t>
            </w:r>
            <w:r w:rsidRPr="006C3381">
              <w:rPr>
                <w:i/>
              </w:rPr>
              <w:t>T</w:t>
            </w:r>
            <w:r w:rsidRPr="006C3381">
              <w:rPr>
                <w:i/>
                <w:vertAlign w:val="subscript"/>
              </w:rPr>
              <w:t>on</w:t>
            </w:r>
            <w:r w:rsidRPr="006C3381">
              <w:rPr>
                <w:i/>
              </w:rPr>
              <w:t xml:space="preserve"> / (</w:t>
            </w:r>
            <w:proofErr w:type="spellStart"/>
            <w:r w:rsidRPr="006C3381">
              <w:rPr>
                <w:i/>
              </w:rPr>
              <w:t>T</w:t>
            </w:r>
            <w:r w:rsidRPr="006C3381">
              <w:rPr>
                <w:i/>
                <w:vertAlign w:val="subscript"/>
              </w:rPr>
              <w:t>on</w:t>
            </w:r>
            <w:r w:rsidRPr="006C3381">
              <w:rPr>
                <w:i/>
              </w:rPr>
              <w:t>+T</w:t>
            </w:r>
            <w:r w:rsidRPr="006C3381">
              <w:rPr>
                <w:i/>
                <w:vertAlign w:val="subscript"/>
              </w:rPr>
              <w:t>off</w:t>
            </w:r>
            <w:proofErr w:type="spellEnd"/>
            <w:r w:rsidRPr="006C3381">
              <w:rPr>
                <w:i/>
              </w:rPr>
              <w:t>)</w:t>
            </w:r>
            <w:r>
              <w:t xml:space="preserve"> </w:t>
            </w:r>
          </w:p>
        </w:tc>
      </w:tr>
    </w:tbl>
    <w:p w14:paraId="62E19022" w14:textId="77777777" w:rsidR="001765E6" w:rsidRDefault="001765E6" w:rsidP="00AA03C9">
      <w:pPr>
        <w:jc w:val="both"/>
        <w:rPr>
          <w:b/>
          <w:i/>
        </w:rPr>
      </w:pPr>
    </w:p>
    <w:p w14:paraId="4EED4E7F" w14:textId="41CD3F14" w:rsidR="001079A0" w:rsidRPr="00AA03C9" w:rsidRDefault="009550DE" w:rsidP="00AA03C9">
      <w:pPr>
        <w:jc w:val="both"/>
      </w:pPr>
      <w:r>
        <w:rPr>
          <w:b/>
          <w:i/>
        </w:rPr>
        <w:t>Observation 8</w:t>
      </w:r>
      <w:r w:rsidRPr="00770461">
        <w:rPr>
          <w:b/>
          <w:i/>
        </w:rPr>
        <w:t>:</w:t>
      </w:r>
      <w:r>
        <w:rPr>
          <w:i/>
        </w:rPr>
        <w:t xml:space="preserve"> Table 1 provides a generalized technology neutral framework for DCC and CBR that can be adopted by the harmonized standard.</w:t>
      </w:r>
      <w:r w:rsidR="001765E6">
        <w:rPr>
          <w:i/>
        </w:rPr>
        <w:t xml:space="preserve"> Existing requirements are obtained as a subset and remain unchanged for 802.11p.</w:t>
      </w:r>
    </w:p>
    <w:p w14:paraId="28922AD6" w14:textId="7E470666" w:rsidR="00B97A3A" w:rsidRDefault="00B97A3A" w:rsidP="00B97A3A">
      <w:pPr>
        <w:pStyle w:val="Heading1"/>
      </w:pPr>
      <w:r>
        <w:lastRenderedPageBreak/>
        <w:t>4</w:t>
      </w:r>
      <w:r>
        <w:tab/>
        <w:t xml:space="preserve">Simulation Results </w:t>
      </w:r>
    </w:p>
    <w:p w14:paraId="777FFA05" w14:textId="3CC4B0B8" w:rsidR="00B97A3A" w:rsidRDefault="00B97A3A" w:rsidP="00B97A3A">
      <w:pPr>
        <w:jc w:val="both"/>
      </w:pPr>
      <w:r>
        <w:t>In this section, we provide some simulation results with and without DCC for LTE-V2V. We use the generalized formulation as developed in the previous section. A naïve form of DCC is implemented wherein the channel utilization (</w:t>
      </w:r>
      <w:r w:rsidRPr="006C3381">
        <w:rPr>
          <w:i/>
        </w:rPr>
        <w:t>CR</w:t>
      </w:r>
      <w:r>
        <w:t xml:space="preserve">) is kept below </w:t>
      </w:r>
      <w:proofErr w:type="spellStart"/>
      <w:r w:rsidRPr="006C3381">
        <w:rPr>
          <w:i/>
        </w:rPr>
        <w:t>CR</w:t>
      </w:r>
      <w:r w:rsidRPr="006C3381">
        <w:rPr>
          <w:i/>
          <w:vertAlign w:val="subscript"/>
        </w:rPr>
        <w:t>limit</w:t>
      </w:r>
      <w:proofErr w:type="spellEnd"/>
      <w:r>
        <w:t xml:space="preserve"> by simply dropping packets when required – i.e., periodicity of the packets is still maintained at 100ms, however, a packet is dropped if its transmission would cause </w:t>
      </w:r>
      <w:r w:rsidRPr="006C3381">
        <w:rPr>
          <w:i/>
        </w:rPr>
        <w:t>CR</w:t>
      </w:r>
      <w:r>
        <w:t xml:space="preserve"> to increase over </w:t>
      </w:r>
      <w:proofErr w:type="spellStart"/>
      <w:r w:rsidRPr="006C3381">
        <w:rPr>
          <w:i/>
        </w:rPr>
        <w:t>CR</w:t>
      </w:r>
      <w:r w:rsidRPr="006C3381">
        <w:rPr>
          <w:i/>
          <w:vertAlign w:val="subscript"/>
        </w:rPr>
        <w:t>limit</w:t>
      </w:r>
      <w:proofErr w:type="spellEnd"/>
      <w:r>
        <w:t>.</w:t>
      </w:r>
    </w:p>
    <w:p w14:paraId="4C94B010" w14:textId="0337C66D" w:rsidR="00B84852" w:rsidRDefault="006C3381" w:rsidP="006C3381">
      <w:pPr>
        <w:spacing w:after="0"/>
        <w:jc w:val="both"/>
      </w:pPr>
      <w:r>
        <w:t>We simulated Urban 15 km/hr with a</w:t>
      </w:r>
      <w:r w:rsidR="00B84852">
        <w:t xml:space="preserve"> total of 2360 UEs are present, by introduced to the system over time. Every 1 sec 236 UEs are added to the system.</w:t>
      </w:r>
      <w:r>
        <w:t xml:space="preserve"> </w:t>
      </w:r>
      <w:r w:rsidR="00B84852">
        <w:t xml:space="preserve">Simulations are performed with and without DCC enabled. When DCC is enabled, </w:t>
      </w:r>
      <w:proofErr w:type="spellStart"/>
      <w:r w:rsidR="00B84852" w:rsidRPr="006C3381">
        <w:rPr>
          <w:i/>
        </w:rPr>
        <w:t>CBR</w:t>
      </w:r>
      <w:r w:rsidR="00B84852" w:rsidRPr="006C3381">
        <w:rPr>
          <w:i/>
          <w:vertAlign w:val="subscript"/>
        </w:rPr>
        <w:t>limit</w:t>
      </w:r>
      <w:proofErr w:type="spellEnd"/>
      <w:r w:rsidR="00B84852">
        <w:t xml:space="preserve"> is set at 0.6.</w:t>
      </w:r>
      <w:r w:rsidR="002D51FB">
        <w:t xml:space="preserve"> </w:t>
      </w:r>
    </w:p>
    <w:p w14:paraId="512C1FCD" w14:textId="77777777" w:rsidR="00686603" w:rsidRDefault="00686603" w:rsidP="006C3381">
      <w:pPr>
        <w:spacing w:after="0"/>
        <w:jc w:val="both"/>
      </w:pPr>
    </w:p>
    <w:p w14:paraId="03D3570A" w14:textId="7725F7B7" w:rsidR="00B84852" w:rsidRDefault="00B84852" w:rsidP="00665D87">
      <w:pPr>
        <w:spacing w:after="0"/>
        <w:jc w:val="both"/>
      </w:pPr>
      <w:r>
        <w:t xml:space="preserve">The result on the </w:t>
      </w:r>
      <w:r w:rsidRPr="00686603">
        <w:rPr>
          <w:i/>
        </w:rPr>
        <w:t>CBR</w:t>
      </w:r>
      <w:r>
        <w:t xml:space="preserve"> vs time is shown in </w:t>
      </w:r>
      <w:r w:rsidR="00396F9F">
        <w:fldChar w:fldCharType="begin"/>
      </w:r>
      <w:r w:rsidR="00396F9F">
        <w:instrText xml:space="preserve"> REF _Ref458761806 \h </w:instrText>
      </w:r>
      <w:r w:rsidR="00396F9F">
        <w:fldChar w:fldCharType="separate"/>
      </w:r>
      <w:r w:rsidR="00396F9F">
        <w:t xml:space="preserve">Figure </w:t>
      </w:r>
      <w:r w:rsidR="00396F9F">
        <w:rPr>
          <w:noProof/>
        </w:rPr>
        <w:t>2</w:t>
      </w:r>
      <w:r w:rsidR="00396F9F">
        <w:fldChar w:fldCharType="end"/>
      </w:r>
      <w:r w:rsidR="00396F9F">
        <w:t>.</w:t>
      </w:r>
      <w:r w:rsidR="00665D87">
        <w:t xml:space="preserve"> </w:t>
      </w:r>
      <w:r>
        <w:t>The average</w:t>
      </w:r>
      <w:r w:rsidR="002D51FB">
        <w:t xml:space="preserve"> (over all ITS stations)</w:t>
      </w:r>
      <w:r>
        <w:t xml:space="preserve"> </w:t>
      </w:r>
      <w:r w:rsidRPr="00686603">
        <w:rPr>
          <w:i/>
        </w:rPr>
        <w:t>CBR</w:t>
      </w:r>
      <w:r>
        <w:t xml:space="preserve"> measured at the UE is plotted with time with and without DCC enabled. Without DCC, it can be seen that the CBR keeps increasing.</w:t>
      </w:r>
      <w:r w:rsidR="00665D87">
        <w:t xml:space="preserve"> </w:t>
      </w:r>
      <w:r>
        <w:t xml:space="preserve">With DCC, it can be seen that the CBR starts to floor a little above 0.6. </w:t>
      </w:r>
      <w:r w:rsidR="00123423">
        <w:t>This</w:t>
      </w:r>
      <w:r>
        <w:t xml:space="preserve"> result captures the effect of DCC in limiting the system congestion to </w:t>
      </w:r>
      <w:r w:rsidR="00396F9F">
        <w:t xml:space="preserve">a </w:t>
      </w:r>
      <w:r>
        <w:t>CBR limit.</w:t>
      </w:r>
      <w:r w:rsidR="000F729A">
        <w:t xml:space="preserve"> </w:t>
      </w:r>
    </w:p>
    <w:p w14:paraId="3740C796" w14:textId="4CF13EAD" w:rsidR="00B84852" w:rsidRDefault="00F337F3" w:rsidP="00B84852">
      <w:pPr>
        <w:keepNext/>
        <w:jc w:val="center"/>
      </w:pPr>
      <w:r w:rsidRPr="00F337F3">
        <w:rPr>
          <w:noProof/>
          <w:lang w:val="en-US"/>
        </w:rPr>
        <w:drawing>
          <wp:inline distT="0" distB="0" distL="0" distR="0" wp14:anchorId="79976110" wp14:editId="5BF7ECC5">
            <wp:extent cx="4776716" cy="35791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3847" cy="3584470"/>
                    </a:xfrm>
                    <a:prstGeom prst="rect">
                      <a:avLst/>
                    </a:prstGeom>
                    <a:noFill/>
                    <a:ln>
                      <a:noFill/>
                    </a:ln>
                  </pic:spPr>
                </pic:pic>
              </a:graphicData>
            </a:graphic>
          </wp:inline>
        </w:drawing>
      </w:r>
      <w:r w:rsidR="00B84852" w:rsidRPr="00B84852">
        <w:rPr>
          <w:noProof/>
          <w:lang w:val="en-US"/>
        </w:rPr>
        <w:t xml:space="preserve"> </w:t>
      </w:r>
    </w:p>
    <w:p w14:paraId="71DF1F50" w14:textId="636E54E4" w:rsidR="00B9023B" w:rsidRDefault="00B84852" w:rsidP="00B52B5E">
      <w:pPr>
        <w:pStyle w:val="Caption"/>
        <w:jc w:val="center"/>
      </w:pPr>
      <w:bookmarkStart w:id="4" w:name="_Ref458761806"/>
      <w:r>
        <w:t xml:space="preserve">Figure </w:t>
      </w:r>
      <w:r>
        <w:fldChar w:fldCharType="begin"/>
      </w:r>
      <w:r>
        <w:instrText xml:space="preserve"> SEQ Figure \* ARABIC </w:instrText>
      </w:r>
      <w:r>
        <w:fldChar w:fldCharType="separate"/>
      </w:r>
      <w:r w:rsidR="00212883">
        <w:rPr>
          <w:noProof/>
        </w:rPr>
        <w:t>2</w:t>
      </w:r>
      <w:r>
        <w:fldChar w:fldCharType="end"/>
      </w:r>
      <w:bookmarkEnd w:id="4"/>
      <w:r w:rsidR="00123423">
        <w:t>: CBR vs Time</w:t>
      </w:r>
      <w:r w:rsidR="00F337F3">
        <w:t xml:space="preserve"> for LTE-V2V system with and without DCC</w:t>
      </w:r>
    </w:p>
    <w:p w14:paraId="0F68EBB6" w14:textId="398F0F5F" w:rsidR="00097C42" w:rsidRPr="00396F9F" w:rsidRDefault="00097C42" w:rsidP="00396F9F">
      <w:r>
        <w:rPr>
          <w:b/>
          <w:i/>
        </w:rPr>
        <w:t>Observation 9</w:t>
      </w:r>
      <w:r w:rsidRPr="00770461">
        <w:rPr>
          <w:b/>
          <w:i/>
        </w:rPr>
        <w:t>:</w:t>
      </w:r>
      <w:r>
        <w:rPr>
          <w:i/>
        </w:rPr>
        <w:t xml:space="preserve"> Generalized formulation for DCC can control the CBR for LTE-V2V.</w:t>
      </w:r>
    </w:p>
    <w:p w14:paraId="53524841" w14:textId="1FCF16CA" w:rsidR="00F9749E" w:rsidRDefault="00C255CD" w:rsidP="00F9749E">
      <w:pPr>
        <w:pStyle w:val="Heading1"/>
      </w:pPr>
      <w:r>
        <w:t>5</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1F42912D" w14:textId="052696CF" w:rsidR="000A49C8" w:rsidRDefault="000A49C8" w:rsidP="000A49C8">
      <w:pPr>
        <w:jc w:val="both"/>
      </w:pPr>
      <w:r w:rsidRPr="00150194">
        <w:rPr>
          <w:b/>
          <w:i/>
        </w:rPr>
        <w:t xml:space="preserve">Observation 1: </w:t>
      </w:r>
      <w:r w:rsidRPr="00150194">
        <w:rPr>
          <w:i/>
        </w:rPr>
        <w:t xml:space="preserve">The existing DCC requirements in ETSI harmonized specification </w:t>
      </w:r>
      <w:r w:rsidR="003D41A4">
        <w:rPr>
          <w:i/>
        </w:rPr>
        <w:t>EN 302.</w:t>
      </w:r>
      <w:r w:rsidRPr="00150194">
        <w:rPr>
          <w:i/>
        </w:rPr>
        <w:t xml:space="preserve">571 v2.0.0 are </w:t>
      </w:r>
      <w:r>
        <w:rPr>
          <w:i/>
        </w:rPr>
        <w:t xml:space="preserve">derived assuming </w:t>
      </w:r>
      <w:r w:rsidRPr="00150194">
        <w:rPr>
          <w:i/>
        </w:rPr>
        <w:t xml:space="preserve">802.11p </w:t>
      </w:r>
      <w:r>
        <w:rPr>
          <w:i/>
        </w:rPr>
        <w:t>based channel access</w:t>
      </w:r>
      <w:r w:rsidRPr="00150194">
        <w:rPr>
          <w:i/>
        </w:rPr>
        <w:t>.</w:t>
      </w:r>
    </w:p>
    <w:p w14:paraId="0127B4BF" w14:textId="77777777" w:rsidR="000A49C8" w:rsidRPr="00150194" w:rsidRDefault="000A49C8" w:rsidP="000A49C8">
      <w:pPr>
        <w:jc w:val="both"/>
        <w:rPr>
          <w:i/>
        </w:rPr>
      </w:pPr>
      <w:r>
        <w:rPr>
          <w:b/>
          <w:i/>
        </w:rPr>
        <w:t>Observation 2</w:t>
      </w:r>
      <w:r w:rsidRPr="00150194">
        <w:rPr>
          <w:b/>
          <w:i/>
        </w:rPr>
        <w:t xml:space="preserve">: </w:t>
      </w:r>
      <w:r>
        <w:rPr>
          <w:i/>
        </w:rPr>
        <w:t>DCC can be described in a generalized form that applies to all technologies.</w:t>
      </w:r>
    </w:p>
    <w:p w14:paraId="3D8AA89B" w14:textId="69795B7C" w:rsidR="000A49C8" w:rsidRPr="00150194" w:rsidRDefault="000A49C8" w:rsidP="000A49C8">
      <w:pPr>
        <w:jc w:val="both"/>
        <w:rPr>
          <w:i/>
        </w:rPr>
      </w:pPr>
      <w:r>
        <w:rPr>
          <w:b/>
          <w:i/>
        </w:rPr>
        <w:t>Observation 3</w:t>
      </w:r>
      <w:r w:rsidRPr="00150194">
        <w:rPr>
          <w:b/>
          <w:i/>
        </w:rPr>
        <w:t xml:space="preserve">: </w:t>
      </w:r>
      <w:r>
        <w:rPr>
          <w:i/>
        </w:rPr>
        <w:t xml:space="preserve">The generalized formulation can be easily specialized to obtain the DCC formulation for 802.11p as described in </w:t>
      </w:r>
      <w:r w:rsidR="003D41A4">
        <w:rPr>
          <w:i/>
        </w:rPr>
        <w:t>EN 302.</w:t>
      </w:r>
      <w:r>
        <w:rPr>
          <w:i/>
        </w:rPr>
        <w:t>571.</w:t>
      </w:r>
    </w:p>
    <w:p w14:paraId="4FEFBB13" w14:textId="6E22F699" w:rsidR="000A49C8" w:rsidRPr="00770461" w:rsidRDefault="000A49C8" w:rsidP="000A49C8">
      <w:pPr>
        <w:jc w:val="both"/>
        <w:rPr>
          <w:i/>
        </w:rPr>
      </w:pPr>
      <w:r>
        <w:rPr>
          <w:b/>
          <w:i/>
        </w:rPr>
        <w:lastRenderedPageBreak/>
        <w:t>Observation 4</w:t>
      </w:r>
      <w:r w:rsidRPr="00150194">
        <w:rPr>
          <w:b/>
          <w:i/>
        </w:rPr>
        <w:t xml:space="preserve">: </w:t>
      </w:r>
      <w:r>
        <w:rPr>
          <w:i/>
        </w:rPr>
        <w:t xml:space="preserve">Linear mapping from </w:t>
      </w:r>
      <w:proofErr w:type="spellStart"/>
      <w:r w:rsidRPr="00EB3985">
        <w:rPr>
          <w:i/>
        </w:rPr>
        <w:t>N</w:t>
      </w:r>
      <w:r w:rsidRPr="00EB3985">
        <w:rPr>
          <w:i/>
          <w:vertAlign w:val="subscript"/>
        </w:rPr>
        <w:t>sta</w:t>
      </w:r>
      <w:proofErr w:type="spellEnd"/>
      <w:r w:rsidRPr="00EB3985">
        <w:rPr>
          <w:i/>
        </w:rPr>
        <w:t xml:space="preserve"> </w:t>
      </w:r>
      <w:r>
        <w:rPr>
          <w:i/>
        </w:rPr>
        <w:t xml:space="preserve">to </w:t>
      </w:r>
      <w:r w:rsidRPr="00EB3985">
        <w:rPr>
          <w:i/>
        </w:rPr>
        <w:t>CBR</w:t>
      </w:r>
      <w:r>
        <w:t xml:space="preserve"> </w:t>
      </w:r>
      <w:r>
        <w:rPr>
          <w:i/>
        </w:rPr>
        <w:t xml:space="preserve">as used in </w:t>
      </w:r>
      <w:r w:rsidR="003D41A4">
        <w:rPr>
          <w:i/>
        </w:rPr>
        <w:t>EN 302.</w:t>
      </w:r>
      <w:r>
        <w:rPr>
          <w:i/>
        </w:rPr>
        <w:t xml:space="preserve">571 is not sufficient for LTE-V2V. For LTE-V2V the mapping between CBR and </w:t>
      </w:r>
      <w:proofErr w:type="spellStart"/>
      <w:r w:rsidRPr="00EB3985">
        <w:rPr>
          <w:i/>
        </w:rPr>
        <w:t>N</w:t>
      </w:r>
      <w:r w:rsidRPr="00EB3985">
        <w:rPr>
          <w:i/>
          <w:vertAlign w:val="subscript"/>
        </w:rPr>
        <w:t>sta</w:t>
      </w:r>
      <w:proofErr w:type="spellEnd"/>
      <w:r>
        <w:rPr>
          <w:i/>
          <w:vertAlign w:val="subscript"/>
        </w:rPr>
        <w:t xml:space="preserve"> </w:t>
      </w:r>
      <w:r>
        <w:rPr>
          <w:i/>
        </w:rPr>
        <w:t>should be (pre-) configurable.</w:t>
      </w:r>
    </w:p>
    <w:p w14:paraId="3D654C54" w14:textId="4442C51F" w:rsidR="006A4A5F" w:rsidRDefault="006A4A5F" w:rsidP="006A4A5F">
      <w:pPr>
        <w:jc w:val="both"/>
        <w:rPr>
          <w:i/>
        </w:rPr>
      </w:pPr>
      <w:r>
        <w:rPr>
          <w:b/>
          <w:i/>
        </w:rPr>
        <w:t>Observation 5</w:t>
      </w:r>
      <w:r w:rsidRPr="00150194">
        <w:rPr>
          <w:b/>
          <w:i/>
        </w:rPr>
        <w:t>:</w:t>
      </w:r>
      <w:r>
        <w:rPr>
          <w:i/>
        </w:rPr>
        <w:t xml:space="preserve"> For LTE-V2V it is better to define separate CBR for PSCCH and PSSCH resource pools.</w:t>
      </w:r>
    </w:p>
    <w:p w14:paraId="6BB95E89" w14:textId="416C9E03" w:rsidR="001765E6" w:rsidRDefault="001765E6" w:rsidP="001765E6">
      <w:pPr>
        <w:jc w:val="both"/>
      </w:pPr>
      <w:r>
        <w:rPr>
          <w:b/>
          <w:i/>
        </w:rPr>
        <w:t>Observation 6</w:t>
      </w:r>
      <w:r w:rsidRPr="00770461">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017D0248" w14:textId="77777777" w:rsidR="000A49C8" w:rsidRPr="001129AD" w:rsidRDefault="000A49C8" w:rsidP="000A49C8">
      <w:pPr>
        <w:jc w:val="both"/>
        <w:rPr>
          <w:b/>
          <w:i/>
        </w:rPr>
      </w:pPr>
      <w:r>
        <w:rPr>
          <w:b/>
          <w:i/>
        </w:rPr>
        <w:t>Observation 7</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should be configurable and should be on a PPPP basis.</w:t>
      </w:r>
    </w:p>
    <w:p w14:paraId="43A577DA" w14:textId="77777777" w:rsidR="000A49C8" w:rsidRDefault="000A49C8" w:rsidP="000A49C8">
      <w:pPr>
        <w:jc w:val="both"/>
        <w:rPr>
          <w:i/>
        </w:rPr>
      </w:pPr>
      <w:r>
        <w:rPr>
          <w:b/>
          <w:i/>
        </w:rPr>
        <w:t>Proposal 1</w:t>
      </w:r>
      <w:r w:rsidRPr="00770461">
        <w:rPr>
          <w:b/>
          <w:i/>
        </w:rPr>
        <w:t>:</w:t>
      </w:r>
      <w:r>
        <w:rPr>
          <w:i/>
        </w:rPr>
        <w:t xml:space="preserve"> For LTE-V2V define received signal strength as:</w:t>
      </w:r>
    </w:p>
    <w:p w14:paraId="3DF3B7DE" w14:textId="77777777" w:rsidR="000A49C8" w:rsidRDefault="000A49C8" w:rsidP="000A49C8">
      <w:pPr>
        <w:pStyle w:val="ListParagraph"/>
        <w:numPr>
          <w:ilvl w:val="0"/>
          <w:numId w:val="31"/>
        </w:numPr>
        <w:jc w:val="both"/>
        <w:rPr>
          <w:i/>
        </w:rPr>
      </w:pPr>
      <w:r>
        <w:rPr>
          <w:i/>
        </w:rPr>
        <w:t>RSSI over 2 PRB pairs for PSCCH</w:t>
      </w:r>
    </w:p>
    <w:p w14:paraId="49E1990A" w14:textId="77777777" w:rsidR="000A49C8" w:rsidRPr="00D72B39" w:rsidRDefault="000A49C8" w:rsidP="000A49C8">
      <w:pPr>
        <w:pStyle w:val="ListParagraph"/>
        <w:numPr>
          <w:ilvl w:val="0"/>
          <w:numId w:val="31"/>
        </w:numPr>
        <w:jc w:val="both"/>
        <w:rPr>
          <w:i/>
        </w:rPr>
      </w:pPr>
      <w:r>
        <w:rPr>
          <w:i/>
        </w:rPr>
        <w:t>RSSI over N PRB pairs for PSSCH. Here N is the length of channel configured for data resource pool.</w:t>
      </w:r>
    </w:p>
    <w:p w14:paraId="105B13B7" w14:textId="77777777" w:rsidR="001765E6" w:rsidRPr="00AA03C9" w:rsidRDefault="001765E6" w:rsidP="001765E6">
      <w:pPr>
        <w:jc w:val="both"/>
      </w:pPr>
      <w:r w:rsidRPr="001765E6">
        <w:rPr>
          <w:b/>
          <w:i/>
        </w:rPr>
        <w:t>Observation 8:</w:t>
      </w:r>
      <w:r w:rsidRPr="001765E6">
        <w:rPr>
          <w:i/>
        </w:rPr>
        <w:t xml:space="preserve"> Table 1 provides a generalized technology neutral framework for DCC and CBR that can be adopted by the harmonized standard. Existing requirements are obtained as a subset and remain unchanged for 802.11p.</w:t>
      </w:r>
    </w:p>
    <w:p w14:paraId="38CAEC80" w14:textId="00108F98" w:rsidR="00E8280A" w:rsidRPr="00E8280A" w:rsidRDefault="000A49C8" w:rsidP="000A49C8">
      <w:pPr>
        <w:jc w:val="both"/>
      </w:pPr>
      <w:r>
        <w:rPr>
          <w:b/>
          <w:i/>
        </w:rPr>
        <w:t>Observation 9</w:t>
      </w:r>
      <w:r w:rsidRPr="00770461">
        <w:rPr>
          <w:b/>
          <w:i/>
        </w:rPr>
        <w:t>:</w:t>
      </w:r>
      <w:r>
        <w:rPr>
          <w:i/>
        </w:rPr>
        <w:t xml:space="preserve"> Generalized formulation for DCC can control the CBR for LTE-V2V.</w:t>
      </w:r>
    </w:p>
    <w:p w14:paraId="32F7E829" w14:textId="77777777" w:rsidR="00CB1C5B" w:rsidRPr="00986956" w:rsidRDefault="00CB1C5B" w:rsidP="00CB1C5B">
      <w:pPr>
        <w:pStyle w:val="Heading1"/>
        <w:rPr>
          <w:lang w:val="en-US"/>
        </w:rPr>
      </w:pPr>
      <w:r w:rsidRPr="00986956">
        <w:rPr>
          <w:lang w:val="en-US"/>
        </w:rPr>
        <w:t>References</w:t>
      </w:r>
    </w:p>
    <w:p w14:paraId="6B924096" w14:textId="77777777" w:rsidR="003A003C" w:rsidRPr="00927032" w:rsidRDefault="00847C99" w:rsidP="00616B88">
      <w:pPr>
        <w:numPr>
          <w:ilvl w:val="0"/>
          <w:numId w:val="3"/>
        </w:numPr>
        <w:spacing w:after="0"/>
      </w:pPr>
      <w:r>
        <w:rPr>
          <w:bCs/>
          <w:shd w:val="clear" w:color="auto" w:fill="FFFFFF"/>
        </w:rPr>
        <w:t>Chairman’s Notes, RAN1#85</w:t>
      </w:r>
    </w:p>
    <w:p w14:paraId="64C4B692" w14:textId="1EE1B67E" w:rsidR="00927032" w:rsidRPr="00927032" w:rsidRDefault="00927032" w:rsidP="00616B88">
      <w:pPr>
        <w:numPr>
          <w:ilvl w:val="0"/>
          <w:numId w:val="3"/>
        </w:numPr>
        <w:spacing w:after="0"/>
      </w:pPr>
      <w:r>
        <w:rPr>
          <w:bCs/>
          <w:shd w:val="clear" w:color="auto" w:fill="FFFFFF"/>
        </w:rPr>
        <w:t xml:space="preserve">ETSI </w:t>
      </w:r>
      <w:r w:rsidR="003D41A4">
        <w:rPr>
          <w:bCs/>
          <w:shd w:val="clear" w:color="auto" w:fill="FFFFFF"/>
        </w:rPr>
        <w:t>EN 302.</w:t>
      </w:r>
      <w:r>
        <w:rPr>
          <w:bCs/>
          <w:shd w:val="clear" w:color="auto" w:fill="FFFFFF"/>
        </w:rPr>
        <w:t>571 v2.0.0</w:t>
      </w:r>
    </w:p>
    <w:p w14:paraId="699CF772" w14:textId="77777777" w:rsidR="00927032" w:rsidRDefault="00714963" w:rsidP="00714963">
      <w:pPr>
        <w:numPr>
          <w:ilvl w:val="0"/>
          <w:numId w:val="3"/>
        </w:numPr>
        <w:spacing w:after="0"/>
      </w:pPr>
      <w:bookmarkStart w:id="5" w:name="_Ref458742920"/>
      <w:proofErr w:type="gramStart"/>
      <w:r w:rsidRPr="00714963">
        <w:t>ERMTG37(</w:t>
      </w:r>
      <w:proofErr w:type="gramEnd"/>
      <w:r w:rsidRPr="00714963">
        <w:t>16)000037r2</w:t>
      </w:r>
      <w:r>
        <w:t>, “</w:t>
      </w:r>
      <w:r w:rsidR="00927032" w:rsidRPr="00927032">
        <w:t>AP 20160623: Comments on Draft ETSI EN 302 571 V2.0.0 (2016-03)</w:t>
      </w:r>
      <w:r>
        <w:t>”.</w:t>
      </w:r>
      <w:bookmarkEnd w:id="5"/>
    </w:p>
    <w:p w14:paraId="45CDCCA5" w14:textId="77777777" w:rsidR="009852E7" w:rsidRDefault="009852E7" w:rsidP="009852E7">
      <w:pPr>
        <w:numPr>
          <w:ilvl w:val="0"/>
          <w:numId w:val="3"/>
        </w:numPr>
        <w:spacing w:after="0"/>
      </w:pPr>
      <w:r>
        <w:t>ETSI TR 101.612 v1.1.1, “ITS: Cross Layer DCC Management Entity for operation in the ITS G5A and ITS G5B medium; Report on Cross layer DCC algorithms and performance evaluation”, Sep 2014.</w:t>
      </w:r>
    </w:p>
    <w:p w14:paraId="0330B5EE" w14:textId="548728F0" w:rsidR="00D16EE3" w:rsidRPr="00D16EE3" w:rsidRDefault="00397FBF" w:rsidP="00D16EE3">
      <w:pPr>
        <w:numPr>
          <w:ilvl w:val="0"/>
          <w:numId w:val="3"/>
        </w:numPr>
        <w:spacing w:after="0"/>
      </w:pPr>
      <w:r w:rsidRPr="00AE25F2">
        <w:t>R1-1</w:t>
      </w:r>
      <w:r>
        <w:t>66260</w:t>
      </w:r>
      <w:r w:rsidRPr="00AE25F2">
        <w:t>, “</w:t>
      </w:r>
      <w:r>
        <w:t>Details of resource pool design</w:t>
      </w:r>
      <w:r w:rsidRPr="00AE25F2">
        <w:t>”, Qualcomm Incorporated</w:t>
      </w:r>
    </w:p>
    <w:sectPr w:rsidR="00D16EE3" w:rsidRPr="00D16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8pt;height:18pt" o:bullet="t">
        <v:imagedata r:id="rId1" o:title="art5622"/>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5251"/>
    <w:multiLevelType w:val="hybridMultilevel"/>
    <w:tmpl w:val="54A8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B7D46"/>
    <w:multiLevelType w:val="hybridMultilevel"/>
    <w:tmpl w:val="F4B6AF7C"/>
    <w:lvl w:ilvl="0" w:tplc="0EA8AF12">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hint="default"/>
      </w:rPr>
    </w:lvl>
    <w:lvl w:ilvl="1" w:tplc="BED0DA2A">
      <w:start w:val="632"/>
      <w:numFmt w:val="bullet"/>
      <w:lvlText w:val="–"/>
      <w:lvlJc w:val="left"/>
      <w:pPr>
        <w:tabs>
          <w:tab w:val="num" w:pos="1440"/>
        </w:tabs>
        <w:ind w:left="1440" w:hanging="360"/>
      </w:pPr>
      <w:rPr>
        <w:rFonts w:ascii="Arial" w:hAnsi="Arial" w:hint="default"/>
      </w:rPr>
    </w:lvl>
    <w:lvl w:ilvl="2" w:tplc="F5820D6C">
      <w:start w:val="1"/>
      <w:numFmt w:val="bullet"/>
      <w:lvlText w:val="•"/>
      <w:lvlJc w:val="left"/>
      <w:pPr>
        <w:tabs>
          <w:tab w:val="num" w:pos="2160"/>
        </w:tabs>
        <w:ind w:left="2160" w:hanging="360"/>
      </w:pPr>
      <w:rPr>
        <w:rFonts w:ascii="Arial" w:hAnsi="Arial" w:hint="default"/>
      </w:rPr>
    </w:lvl>
    <w:lvl w:ilvl="3" w:tplc="3FCE31D8" w:tentative="1">
      <w:start w:val="1"/>
      <w:numFmt w:val="bullet"/>
      <w:lvlText w:val="•"/>
      <w:lvlJc w:val="left"/>
      <w:pPr>
        <w:tabs>
          <w:tab w:val="num" w:pos="2880"/>
        </w:tabs>
        <w:ind w:left="2880" w:hanging="360"/>
      </w:pPr>
      <w:rPr>
        <w:rFonts w:ascii="Arial" w:hAnsi="Arial" w:hint="default"/>
      </w:rPr>
    </w:lvl>
    <w:lvl w:ilvl="4" w:tplc="932478BC" w:tentative="1">
      <w:start w:val="1"/>
      <w:numFmt w:val="bullet"/>
      <w:lvlText w:val="•"/>
      <w:lvlJc w:val="left"/>
      <w:pPr>
        <w:tabs>
          <w:tab w:val="num" w:pos="3600"/>
        </w:tabs>
        <w:ind w:left="3600" w:hanging="360"/>
      </w:pPr>
      <w:rPr>
        <w:rFonts w:ascii="Arial" w:hAnsi="Arial" w:hint="default"/>
      </w:rPr>
    </w:lvl>
    <w:lvl w:ilvl="5" w:tplc="345E3FF8" w:tentative="1">
      <w:start w:val="1"/>
      <w:numFmt w:val="bullet"/>
      <w:lvlText w:val="•"/>
      <w:lvlJc w:val="left"/>
      <w:pPr>
        <w:tabs>
          <w:tab w:val="num" w:pos="4320"/>
        </w:tabs>
        <w:ind w:left="4320" w:hanging="360"/>
      </w:pPr>
      <w:rPr>
        <w:rFonts w:ascii="Arial" w:hAnsi="Arial" w:hint="default"/>
      </w:rPr>
    </w:lvl>
    <w:lvl w:ilvl="6" w:tplc="5FE2DB78" w:tentative="1">
      <w:start w:val="1"/>
      <w:numFmt w:val="bullet"/>
      <w:lvlText w:val="•"/>
      <w:lvlJc w:val="left"/>
      <w:pPr>
        <w:tabs>
          <w:tab w:val="num" w:pos="5040"/>
        </w:tabs>
        <w:ind w:left="5040" w:hanging="360"/>
      </w:pPr>
      <w:rPr>
        <w:rFonts w:ascii="Arial" w:hAnsi="Arial" w:hint="default"/>
      </w:rPr>
    </w:lvl>
    <w:lvl w:ilvl="7" w:tplc="0B4A7726" w:tentative="1">
      <w:start w:val="1"/>
      <w:numFmt w:val="bullet"/>
      <w:lvlText w:val="•"/>
      <w:lvlJc w:val="left"/>
      <w:pPr>
        <w:tabs>
          <w:tab w:val="num" w:pos="5760"/>
        </w:tabs>
        <w:ind w:left="5760" w:hanging="360"/>
      </w:pPr>
      <w:rPr>
        <w:rFonts w:ascii="Arial" w:hAnsi="Arial" w:hint="default"/>
      </w:rPr>
    </w:lvl>
    <w:lvl w:ilvl="8" w:tplc="899CB6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18058B"/>
    <w:multiLevelType w:val="hybridMultilevel"/>
    <w:tmpl w:val="9406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CA618D"/>
    <w:multiLevelType w:val="hybridMultilevel"/>
    <w:tmpl w:val="309C18AE"/>
    <w:lvl w:ilvl="0" w:tplc="203E7200">
      <w:start w:val="1"/>
      <w:numFmt w:val="bullet"/>
      <w:lvlText w:val="•"/>
      <w:lvlJc w:val="left"/>
      <w:pPr>
        <w:tabs>
          <w:tab w:val="num" w:pos="360"/>
        </w:tabs>
        <w:ind w:left="360" w:hanging="360"/>
      </w:pPr>
      <w:rPr>
        <w:rFonts w:ascii="Arial" w:hAnsi="Arial" w:cs="Times New Roman" w:hint="default"/>
      </w:rPr>
    </w:lvl>
    <w:lvl w:ilvl="1" w:tplc="DEC243D0">
      <w:numFmt w:val="bullet"/>
      <w:lvlText w:val="–"/>
      <w:lvlJc w:val="left"/>
      <w:pPr>
        <w:tabs>
          <w:tab w:val="num" w:pos="1080"/>
        </w:tabs>
        <w:ind w:left="1080" w:hanging="360"/>
      </w:pPr>
      <w:rPr>
        <w:rFonts w:ascii="Arial" w:hAnsi="Arial" w:cs="Times New Roman" w:hint="default"/>
      </w:rPr>
    </w:lvl>
    <w:lvl w:ilvl="2" w:tplc="15B89314">
      <w:start w:val="1"/>
      <w:numFmt w:val="bullet"/>
      <w:lvlText w:val="•"/>
      <w:lvlJc w:val="left"/>
      <w:pPr>
        <w:tabs>
          <w:tab w:val="num" w:pos="1800"/>
        </w:tabs>
        <w:ind w:left="1800" w:hanging="360"/>
      </w:pPr>
      <w:rPr>
        <w:rFonts w:ascii="Arial" w:hAnsi="Arial" w:cs="Times New Roman" w:hint="default"/>
      </w:rPr>
    </w:lvl>
    <w:lvl w:ilvl="3" w:tplc="DE2238F6">
      <w:start w:val="1"/>
      <w:numFmt w:val="bullet"/>
      <w:lvlText w:val="•"/>
      <w:lvlJc w:val="left"/>
      <w:pPr>
        <w:tabs>
          <w:tab w:val="num" w:pos="2520"/>
        </w:tabs>
        <w:ind w:left="2520" w:hanging="360"/>
      </w:pPr>
      <w:rPr>
        <w:rFonts w:ascii="Arial" w:hAnsi="Arial" w:cs="Times New Roman" w:hint="default"/>
      </w:rPr>
    </w:lvl>
    <w:lvl w:ilvl="4" w:tplc="AFFCC1DA">
      <w:start w:val="1"/>
      <w:numFmt w:val="bullet"/>
      <w:lvlText w:val="•"/>
      <w:lvlJc w:val="left"/>
      <w:pPr>
        <w:tabs>
          <w:tab w:val="num" w:pos="3240"/>
        </w:tabs>
        <w:ind w:left="3240" w:hanging="360"/>
      </w:pPr>
      <w:rPr>
        <w:rFonts w:ascii="Arial" w:hAnsi="Arial" w:cs="Times New Roman" w:hint="default"/>
      </w:rPr>
    </w:lvl>
    <w:lvl w:ilvl="5" w:tplc="6C8A5838">
      <w:start w:val="1"/>
      <w:numFmt w:val="bullet"/>
      <w:lvlText w:val="•"/>
      <w:lvlJc w:val="left"/>
      <w:pPr>
        <w:tabs>
          <w:tab w:val="num" w:pos="3960"/>
        </w:tabs>
        <w:ind w:left="3960" w:hanging="360"/>
      </w:pPr>
      <w:rPr>
        <w:rFonts w:ascii="Arial" w:hAnsi="Arial" w:cs="Times New Roman" w:hint="default"/>
      </w:rPr>
    </w:lvl>
    <w:lvl w:ilvl="6" w:tplc="BF34D6F2">
      <w:start w:val="1"/>
      <w:numFmt w:val="bullet"/>
      <w:lvlText w:val="•"/>
      <w:lvlJc w:val="left"/>
      <w:pPr>
        <w:tabs>
          <w:tab w:val="num" w:pos="4680"/>
        </w:tabs>
        <w:ind w:left="4680" w:hanging="360"/>
      </w:pPr>
      <w:rPr>
        <w:rFonts w:ascii="Arial" w:hAnsi="Arial" w:cs="Times New Roman" w:hint="default"/>
      </w:rPr>
    </w:lvl>
    <w:lvl w:ilvl="7" w:tplc="9BB873FE">
      <w:start w:val="1"/>
      <w:numFmt w:val="bullet"/>
      <w:lvlText w:val="•"/>
      <w:lvlJc w:val="left"/>
      <w:pPr>
        <w:tabs>
          <w:tab w:val="num" w:pos="5400"/>
        </w:tabs>
        <w:ind w:left="5400" w:hanging="360"/>
      </w:pPr>
      <w:rPr>
        <w:rFonts w:ascii="Arial" w:hAnsi="Arial" w:cs="Times New Roman" w:hint="default"/>
      </w:rPr>
    </w:lvl>
    <w:lvl w:ilvl="8" w:tplc="3E7ECA72">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0"/>
  </w:num>
  <w:num w:numId="4">
    <w:abstractNumId w:val="5"/>
  </w:num>
  <w:num w:numId="5">
    <w:abstractNumId w:val="22"/>
  </w:num>
  <w:num w:numId="6">
    <w:abstractNumId w:val="22"/>
  </w:num>
  <w:num w:numId="7">
    <w:abstractNumId w:val="26"/>
  </w:num>
  <w:num w:numId="8">
    <w:abstractNumId w:val="16"/>
  </w:num>
  <w:num w:numId="9">
    <w:abstractNumId w:val="2"/>
  </w:num>
  <w:num w:numId="10">
    <w:abstractNumId w:val="25"/>
  </w:num>
  <w:num w:numId="11">
    <w:abstractNumId w:val="20"/>
  </w:num>
  <w:num w:numId="12">
    <w:abstractNumId w:val="17"/>
  </w:num>
  <w:num w:numId="13">
    <w:abstractNumId w:val="27"/>
  </w:num>
  <w:num w:numId="14">
    <w:abstractNumId w:val="23"/>
  </w:num>
  <w:num w:numId="15">
    <w:abstractNumId w:val="8"/>
  </w:num>
  <w:num w:numId="16">
    <w:abstractNumId w:val="1"/>
  </w:num>
  <w:num w:numId="17">
    <w:abstractNumId w:val="28"/>
  </w:num>
  <w:num w:numId="18">
    <w:abstractNumId w:val="4"/>
  </w:num>
  <w:num w:numId="19">
    <w:abstractNumId w:val="11"/>
  </w:num>
  <w:num w:numId="20">
    <w:abstractNumId w:val="6"/>
  </w:num>
  <w:num w:numId="21">
    <w:abstractNumId w:val="15"/>
  </w:num>
  <w:num w:numId="22">
    <w:abstractNumId w:val="29"/>
  </w:num>
  <w:num w:numId="23">
    <w:abstractNumId w:val="13"/>
  </w:num>
  <w:num w:numId="24">
    <w:abstractNumId w:val="7"/>
  </w:num>
  <w:num w:numId="25">
    <w:abstractNumId w:val="12"/>
  </w:num>
  <w:num w:numId="26">
    <w:abstractNumId w:val="18"/>
  </w:num>
  <w:num w:numId="27">
    <w:abstractNumId w:val="9"/>
  </w:num>
  <w:num w:numId="28">
    <w:abstractNumId w:val="24"/>
  </w:num>
  <w:num w:numId="29">
    <w:abstractNumId w:val="10"/>
  </w:num>
  <w:num w:numId="30">
    <w:abstractNumId w:val="14"/>
  </w:num>
  <w:num w:numId="3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B16"/>
    <w:rsid w:val="00031084"/>
    <w:rsid w:val="00035170"/>
    <w:rsid w:val="00035257"/>
    <w:rsid w:val="00043C85"/>
    <w:rsid w:val="00045725"/>
    <w:rsid w:val="000468F3"/>
    <w:rsid w:val="00046B05"/>
    <w:rsid w:val="00046EFD"/>
    <w:rsid w:val="000522C1"/>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664C"/>
    <w:rsid w:val="000C7BF0"/>
    <w:rsid w:val="000D1833"/>
    <w:rsid w:val="000D2968"/>
    <w:rsid w:val="000E1573"/>
    <w:rsid w:val="000E164A"/>
    <w:rsid w:val="000E67F5"/>
    <w:rsid w:val="000F08B7"/>
    <w:rsid w:val="000F0D1B"/>
    <w:rsid w:val="000F363B"/>
    <w:rsid w:val="000F3BF6"/>
    <w:rsid w:val="000F729A"/>
    <w:rsid w:val="000F7640"/>
    <w:rsid w:val="00101CCB"/>
    <w:rsid w:val="0010596D"/>
    <w:rsid w:val="00105E01"/>
    <w:rsid w:val="0010693B"/>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5E5E"/>
    <w:rsid w:val="00157BDF"/>
    <w:rsid w:val="001603D9"/>
    <w:rsid w:val="00160583"/>
    <w:rsid w:val="00162507"/>
    <w:rsid w:val="0016374B"/>
    <w:rsid w:val="001642FF"/>
    <w:rsid w:val="00167642"/>
    <w:rsid w:val="00170228"/>
    <w:rsid w:val="001765E6"/>
    <w:rsid w:val="001770A3"/>
    <w:rsid w:val="00177C69"/>
    <w:rsid w:val="0018336B"/>
    <w:rsid w:val="001836F3"/>
    <w:rsid w:val="00186742"/>
    <w:rsid w:val="0018782A"/>
    <w:rsid w:val="00193914"/>
    <w:rsid w:val="00193CD5"/>
    <w:rsid w:val="001A181C"/>
    <w:rsid w:val="001A3FF9"/>
    <w:rsid w:val="001A6755"/>
    <w:rsid w:val="001A784E"/>
    <w:rsid w:val="001B153D"/>
    <w:rsid w:val="001C3A1E"/>
    <w:rsid w:val="001C79FA"/>
    <w:rsid w:val="001D15A6"/>
    <w:rsid w:val="001D2912"/>
    <w:rsid w:val="001D33EA"/>
    <w:rsid w:val="001D340C"/>
    <w:rsid w:val="001D5BC3"/>
    <w:rsid w:val="001D60AC"/>
    <w:rsid w:val="001D70C0"/>
    <w:rsid w:val="001D7171"/>
    <w:rsid w:val="001E016E"/>
    <w:rsid w:val="001E0F54"/>
    <w:rsid w:val="001F0590"/>
    <w:rsid w:val="001F36CD"/>
    <w:rsid w:val="001F4437"/>
    <w:rsid w:val="001F4F07"/>
    <w:rsid w:val="00200F68"/>
    <w:rsid w:val="0020104E"/>
    <w:rsid w:val="002061CB"/>
    <w:rsid w:val="00207B06"/>
    <w:rsid w:val="002127E7"/>
    <w:rsid w:val="00212883"/>
    <w:rsid w:val="00213111"/>
    <w:rsid w:val="00216E14"/>
    <w:rsid w:val="002172E7"/>
    <w:rsid w:val="002209F4"/>
    <w:rsid w:val="00223AA3"/>
    <w:rsid w:val="002276D2"/>
    <w:rsid w:val="00231510"/>
    <w:rsid w:val="00232B83"/>
    <w:rsid w:val="00233E03"/>
    <w:rsid w:val="0023484F"/>
    <w:rsid w:val="00236686"/>
    <w:rsid w:val="00236EFB"/>
    <w:rsid w:val="00242697"/>
    <w:rsid w:val="00242DB7"/>
    <w:rsid w:val="002445B2"/>
    <w:rsid w:val="00247391"/>
    <w:rsid w:val="00251B5D"/>
    <w:rsid w:val="00255492"/>
    <w:rsid w:val="00256928"/>
    <w:rsid w:val="0026073A"/>
    <w:rsid w:val="002607F2"/>
    <w:rsid w:val="002644C6"/>
    <w:rsid w:val="0026589D"/>
    <w:rsid w:val="00265B02"/>
    <w:rsid w:val="002725C2"/>
    <w:rsid w:val="00274DFE"/>
    <w:rsid w:val="0027555B"/>
    <w:rsid w:val="0027612C"/>
    <w:rsid w:val="002818BC"/>
    <w:rsid w:val="002845A5"/>
    <w:rsid w:val="00286603"/>
    <w:rsid w:val="002914E1"/>
    <w:rsid w:val="0029243D"/>
    <w:rsid w:val="00296356"/>
    <w:rsid w:val="002A011C"/>
    <w:rsid w:val="002A07E1"/>
    <w:rsid w:val="002A0ACF"/>
    <w:rsid w:val="002A271A"/>
    <w:rsid w:val="002A5315"/>
    <w:rsid w:val="002A5421"/>
    <w:rsid w:val="002B527F"/>
    <w:rsid w:val="002B54EC"/>
    <w:rsid w:val="002C12B1"/>
    <w:rsid w:val="002C3B7F"/>
    <w:rsid w:val="002C5DF1"/>
    <w:rsid w:val="002C75B9"/>
    <w:rsid w:val="002D3BAB"/>
    <w:rsid w:val="002D4376"/>
    <w:rsid w:val="002D4B11"/>
    <w:rsid w:val="002D4CAB"/>
    <w:rsid w:val="002D4DB9"/>
    <w:rsid w:val="002D51FB"/>
    <w:rsid w:val="002D707C"/>
    <w:rsid w:val="002E06D7"/>
    <w:rsid w:val="002E1C64"/>
    <w:rsid w:val="002E6271"/>
    <w:rsid w:val="002E6345"/>
    <w:rsid w:val="002E7569"/>
    <w:rsid w:val="002E7772"/>
    <w:rsid w:val="002F1A86"/>
    <w:rsid w:val="002F311A"/>
    <w:rsid w:val="002F330C"/>
    <w:rsid w:val="002F684B"/>
    <w:rsid w:val="00300AA1"/>
    <w:rsid w:val="003037E3"/>
    <w:rsid w:val="00303923"/>
    <w:rsid w:val="003049F8"/>
    <w:rsid w:val="00304C32"/>
    <w:rsid w:val="00310C67"/>
    <w:rsid w:val="0031223A"/>
    <w:rsid w:val="00317899"/>
    <w:rsid w:val="00320325"/>
    <w:rsid w:val="00322368"/>
    <w:rsid w:val="0032257A"/>
    <w:rsid w:val="00323EAD"/>
    <w:rsid w:val="00324F37"/>
    <w:rsid w:val="00326062"/>
    <w:rsid w:val="00326C2F"/>
    <w:rsid w:val="00331151"/>
    <w:rsid w:val="003313C4"/>
    <w:rsid w:val="00341DDA"/>
    <w:rsid w:val="00350C50"/>
    <w:rsid w:val="00355EBA"/>
    <w:rsid w:val="00355EC4"/>
    <w:rsid w:val="003575D7"/>
    <w:rsid w:val="00357865"/>
    <w:rsid w:val="00357C58"/>
    <w:rsid w:val="003611FE"/>
    <w:rsid w:val="00361BAD"/>
    <w:rsid w:val="00366BB9"/>
    <w:rsid w:val="003730D7"/>
    <w:rsid w:val="00381CA0"/>
    <w:rsid w:val="003943C6"/>
    <w:rsid w:val="00394642"/>
    <w:rsid w:val="00394BC6"/>
    <w:rsid w:val="00395DCA"/>
    <w:rsid w:val="00396F9F"/>
    <w:rsid w:val="00397FBF"/>
    <w:rsid w:val="003A003C"/>
    <w:rsid w:val="003A0262"/>
    <w:rsid w:val="003A1EEB"/>
    <w:rsid w:val="003A233C"/>
    <w:rsid w:val="003A29C6"/>
    <w:rsid w:val="003A2C58"/>
    <w:rsid w:val="003A3DE6"/>
    <w:rsid w:val="003A483F"/>
    <w:rsid w:val="003A5D2D"/>
    <w:rsid w:val="003B53D8"/>
    <w:rsid w:val="003B5D47"/>
    <w:rsid w:val="003C02F9"/>
    <w:rsid w:val="003C2ADC"/>
    <w:rsid w:val="003C4A78"/>
    <w:rsid w:val="003C50B7"/>
    <w:rsid w:val="003D2037"/>
    <w:rsid w:val="003D2D80"/>
    <w:rsid w:val="003D41A4"/>
    <w:rsid w:val="003D5DC4"/>
    <w:rsid w:val="003E2612"/>
    <w:rsid w:val="003E626C"/>
    <w:rsid w:val="003F048F"/>
    <w:rsid w:val="003F0943"/>
    <w:rsid w:val="003F35DF"/>
    <w:rsid w:val="003F3F1D"/>
    <w:rsid w:val="003F695A"/>
    <w:rsid w:val="00400660"/>
    <w:rsid w:val="00406894"/>
    <w:rsid w:val="00410201"/>
    <w:rsid w:val="00420632"/>
    <w:rsid w:val="00427613"/>
    <w:rsid w:val="00432A1D"/>
    <w:rsid w:val="00433832"/>
    <w:rsid w:val="00434610"/>
    <w:rsid w:val="00435AAA"/>
    <w:rsid w:val="00437D5A"/>
    <w:rsid w:val="00442E74"/>
    <w:rsid w:val="00444C11"/>
    <w:rsid w:val="00452FA9"/>
    <w:rsid w:val="00457927"/>
    <w:rsid w:val="00462482"/>
    <w:rsid w:val="00462759"/>
    <w:rsid w:val="00462A4C"/>
    <w:rsid w:val="0046474A"/>
    <w:rsid w:val="0047048E"/>
    <w:rsid w:val="00470F4E"/>
    <w:rsid w:val="0047496A"/>
    <w:rsid w:val="00474F19"/>
    <w:rsid w:val="0047676B"/>
    <w:rsid w:val="004817D7"/>
    <w:rsid w:val="0048448A"/>
    <w:rsid w:val="00485065"/>
    <w:rsid w:val="00485E08"/>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D1403"/>
    <w:rsid w:val="004D1BA4"/>
    <w:rsid w:val="004D27BF"/>
    <w:rsid w:val="004D4D04"/>
    <w:rsid w:val="004E5659"/>
    <w:rsid w:val="004F0663"/>
    <w:rsid w:val="004F60BB"/>
    <w:rsid w:val="00500B91"/>
    <w:rsid w:val="00501E2D"/>
    <w:rsid w:val="00503D35"/>
    <w:rsid w:val="00504551"/>
    <w:rsid w:val="005050BD"/>
    <w:rsid w:val="00507D85"/>
    <w:rsid w:val="00510D16"/>
    <w:rsid w:val="00512AE3"/>
    <w:rsid w:val="00513655"/>
    <w:rsid w:val="00513B40"/>
    <w:rsid w:val="005140DC"/>
    <w:rsid w:val="0051462C"/>
    <w:rsid w:val="00514C50"/>
    <w:rsid w:val="005155AC"/>
    <w:rsid w:val="00520EE0"/>
    <w:rsid w:val="0052107E"/>
    <w:rsid w:val="00522D08"/>
    <w:rsid w:val="00525F53"/>
    <w:rsid w:val="00527A31"/>
    <w:rsid w:val="00531810"/>
    <w:rsid w:val="00532006"/>
    <w:rsid w:val="00541FC8"/>
    <w:rsid w:val="00543D57"/>
    <w:rsid w:val="00544FEB"/>
    <w:rsid w:val="0055181C"/>
    <w:rsid w:val="00551F16"/>
    <w:rsid w:val="00552334"/>
    <w:rsid w:val="0055776D"/>
    <w:rsid w:val="005624FD"/>
    <w:rsid w:val="0056270F"/>
    <w:rsid w:val="00565945"/>
    <w:rsid w:val="00581057"/>
    <w:rsid w:val="00583B43"/>
    <w:rsid w:val="00584C6C"/>
    <w:rsid w:val="00590021"/>
    <w:rsid w:val="005918BB"/>
    <w:rsid w:val="005950ED"/>
    <w:rsid w:val="005A07CF"/>
    <w:rsid w:val="005A0C17"/>
    <w:rsid w:val="005A5770"/>
    <w:rsid w:val="005B2746"/>
    <w:rsid w:val="005B4F10"/>
    <w:rsid w:val="005B5BFF"/>
    <w:rsid w:val="005D0BD0"/>
    <w:rsid w:val="005D37EF"/>
    <w:rsid w:val="005D3D38"/>
    <w:rsid w:val="005D6A8D"/>
    <w:rsid w:val="005E111E"/>
    <w:rsid w:val="005E1A8C"/>
    <w:rsid w:val="005E4B76"/>
    <w:rsid w:val="005F0946"/>
    <w:rsid w:val="005F1371"/>
    <w:rsid w:val="00600E3B"/>
    <w:rsid w:val="00604F35"/>
    <w:rsid w:val="0061041D"/>
    <w:rsid w:val="00613D08"/>
    <w:rsid w:val="006140C9"/>
    <w:rsid w:val="0061580A"/>
    <w:rsid w:val="00616B88"/>
    <w:rsid w:val="00621AEF"/>
    <w:rsid w:val="0062228A"/>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87C"/>
    <w:rsid w:val="00697F8D"/>
    <w:rsid w:val="006A2A95"/>
    <w:rsid w:val="006A4A5F"/>
    <w:rsid w:val="006A6962"/>
    <w:rsid w:val="006A7426"/>
    <w:rsid w:val="006B0634"/>
    <w:rsid w:val="006B291D"/>
    <w:rsid w:val="006B4473"/>
    <w:rsid w:val="006B509A"/>
    <w:rsid w:val="006C17D4"/>
    <w:rsid w:val="006C3381"/>
    <w:rsid w:val="006D3B75"/>
    <w:rsid w:val="006D5305"/>
    <w:rsid w:val="006D6465"/>
    <w:rsid w:val="006D723E"/>
    <w:rsid w:val="006D7B16"/>
    <w:rsid w:val="006E270C"/>
    <w:rsid w:val="006E6655"/>
    <w:rsid w:val="006E7A40"/>
    <w:rsid w:val="006F2146"/>
    <w:rsid w:val="00700A4B"/>
    <w:rsid w:val="00701855"/>
    <w:rsid w:val="0070483C"/>
    <w:rsid w:val="00705100"/>
    <w:rsid w:val="0071150C"/>
    <w:rsid w:val="00714096"/>
    <w:rsid w:val="00714963"/>
    <w:rsid w:val="007161F2"/>
    <w:rsid w:val="00733319"/>
    <w:rsid w:val="00736205"/>
    <w:rsid w:val="007419E5"/>
    <w:rsid w:val="007422B1"/>
    <w:rsid w:val="00742522"/>
    <w:rsid w:val="00745075"/>
    <w:rsid w:val="0074572E"/>
    <w:rsid w:val="007465D3"/>
    <w:rsid w:val="00751F63"/>
    <w:rsid w:val="007548BE"/>
    <w:rsid w:val="00755767"/>
    <w:rsid w:val="00755A7A"/>
    <w:rsid w:val="0075785A"/>
    <w:rsid w:val="0076183B"/>
    <w:rsid w:val="00761F0F"/>
    <w:rsid w:val="007623E4"/>
    <w:rsid w:val="00762B4D"/>
    <w:rsid w:val="00764DD5"/>
    <w:rsid w:val="00770461"/>
    <w:rsid w:val="00774503"/>
    <w:rsid w:val="0077570A"/>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26D6"/>
    <w:rsid w:val="007D3F6C"/>
    <w:rsid w:val="007E5949"/>
    <w:rsid w:val="007E69E6"/>
    <w:rsid w:val="007F63E2"/>
    <w:rsid w:val="00802879"/>
    <w:rsid w:val="00803451"/>
    <w:rsid w:val="00807B1F"/>
    <w:rsid w:val="00811626"/>
    <w:rsid w:val="008152B7"/>
    <w:rsid w:val="00817125"/>
    <w:rsid w:val="00822F0D"/>
    <w:rsid w:val="00823C4D"/>
    <w:rsid w:val="0082638D"/>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C5D"/>
    <w:rsid w:val="008610DE"/>
    <w:rsid w:val="00861F24"/>
    <w:rsid w:val="0086211E"/>
    <w:rsid w:val="00862219"/>
    <w:rsid w:val="00873B08"/>
    <w:rsid w:val="008740D7"/>
    <w:rsid w:val="00875215"/>
    <w:rsid w:val="00884249"/>
    <w:rsid w:val="00885A97"/>
    <w:rsid w:val="0089137E"/>
    <w:rsid w:val="00892191"/>
    <w:rsid w:val="008969C7"/>
    <w:rsid w:val="00896A2F"/>
    <w:rsid w:val="00897981"/>
    <w:rsid w:val="008A05D6"/>
    <w:rsid w:val="008A0B38"/>
    <w:rsid w:val="008A20B5"/>
    <w:rsid w:val="008A48EB"/>
    <w:rsid w:val="008A4DAD"/>
    <w:rsid w:val="008A5D2C"/>
    <w:rsid w:val="008A7191"/>
    <w:rsid w:val="008C0247"/>
    <w:rsid w:val="008C03E9"/>
    <w:rsid w:val="008C062B"/>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2883"/>
    <w:rsid w:val="008F6C86"/>
    <w:rsid w:val="00902FBD"/>
    <w:rsid w:val="00906895"/>
    <w:rsid w:val="009114BA"/>
    <w:rsid w:val="009124C0"/>
    <w:rsid w:val="00912E64"/>
    <w:rsid w:val="00914337"/>
    <w:rsid w:val="00914A7E"/>
    <w:rsid w:val="00924C40"/>
    <w:rsid w:val="00927032"/>
    <w:rsid w:val="009273C5"/>
    <w:rsid w:val="00931BC5"/>
    <w:rsid w:val="00933CD2"/>
    <w:rsid w:val="00934CBA"/>
    <w:rsid w:val="00935C19"/>
    <w:rsid w:val="00936BA2"/>
    <w:rsid w:val="00945855"/>
    <w:rsid w:val="00945EB3"/>
    <w:rsid w:val="009550DE"/>
    <w:rsid w:val="00961399"/>
    <w:rsid w:val="0096437B"/>
    <w:rsid w:val="009651BB"/>
    <w:rsid w:val="00965B92"/>
    <w:rsid w:val="00966865"/>
    <w:rsid w:val="0097403B"/>
    <w:rsid w:val="009852E7"/>
    <w:rsid w:val="00987BC1"/>
    <w:rsid w:val="00992D05"/>
    <w:rsid w:val="009941DF"/>
    <w:rsid w:val="00995D60"/>
    <w:rsid w:val="0099636A"/>
    <w:rsid w:val="009A0DE7"/>
    <w:rsid w:val="009A153A"/>
    <w:rsid w:val="009A17AF"/>
    <w:rsid w:val="009A3D07"/>
    <w:rsid w:val="009A7B28"/>
    <w:rsid w:val="009B06DC"/>
    <w:rsid w:val="009B19A9"/>
    <w:rsid w:val="009B3B0E"/>
    <w:rsid w:val="009B4384"/>
    <w:rsid w:val="009C261A"/>
    <w:rsid w:val="009C6038"/>
    <w:rsid w:val="009C74E7"/>
    <w:rsid w:val="009D10AC"/>
    <w:rsid w:val="009D3C38"/>
    <w:rsid w:val="009D4E23"/>
    <w:rsid w:val="009D5131"/>
    <w:rsid w:val="009D5471"/>
    <w:rsid w:val="009D5D1B"/>
    <w:rsid w:val="009D6A15"/>
    <w:rsid w:val="009E2A37"/>
    <w:rsid w:val="009F0B7F"/>
    <w:rsid w:val="009F13BE"/>
    <w:rsid w:val="009F330C"/>
    <w:rsid w:val="00A12A29"/>
    <w:rsid w:val="00A14ACE"/>
    <w:rsid w:val="00A20BA2"/>
    <w:rsid w:val="00A20C7B"/>
    <w:rsid w:val="00A20E50"/>
    <w:rsid w:val="00A24874"/>
    <w:rsid w:val="00A24DED"/>
    <w:rsid w:val="00A25093"/>
    <w:rsid w:val="00A35CEA"/>
    <w:rsid w:val="00A43EF2"/>
    <w:rsid w:val="00A44C91"/>
    <w:rsid w:val="00A46FE8"/>
    <w:rsid w:val="00A47908"/>
    <w:rsid w:val="00A51E99"/>
    <w:rsid w:val="00A53D12"/>
    <w:rsid w:val="00A60D89"/>
    <w:rsid w:val="00A67B4A"/>
    <w:rsid w:val="00A71795"/>
    <w:rsid w:val="00A72753"/>
    <w:rsid w:val="00A73B32"/>
    <w:rsid w:val="00A73EF5"/>
    <w:rsid w:val="00A77FBF"/>
    <w:rsid w:val="00A80DAE"/>
    <w:rsid w:val="00A811C1"/>
    <w:rsid w:val="00A84C7F"/>
    <w:rsid w:val="00A86724"/>
    <w:rsid w:val="00A87C24"/>
    <w:rsid w:val="00A91444"/>
    <w:rsid w:val="00A91925"/>
    <w:rsid w:val="00A923BC"/>
    <w:rsid w:val="00A9338D"/>
    <w:rsid w:val="00AA03C9"/>
    <w:rsid w:val="00AA19AF"/>
    <w:rsid w:val="00AA3B1F"/>
    <w:rsid w:val="00AA425E"/>
    <w:rsid w:val="00AB2428"/>
    <w:rsid w:val="00AB2812"/>
    <w:rsid w:val="00AB5E61"/>
    <w:rsid w:val="00AB76B1"/>
    <w:rsid w:val="00AB7A3D"/>
    <w:rsid w:val="00AC0544"/>
    <w:rsid w:val="00AC37FB"/>
    <w:rsid w:val="00AC3DCC"/>
    <w:rsid w:val="00AE13C9"/>
    <w:rsid w:val="00AE25F2"/>
    <w:rsid w:val="00AE2CCB"/>
    <w:rsid w:val="00AE2EBA"/>
    <w:rsid w:val="00AE4FE5"/>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51FD"/>
    <w:rsid w:val="00B165FD"/>
    <w:rsid w:val="00B2176A"/>
    <w:rsid w:val="00B21A9A"/>
    <w:rsid w:val="00B26411"/>
    <w:rsid w:val="00B26C78"/>
    <w:rsid w:val="00B32C7C"/>
    <w:rsid w:val="00B35280"/>
    <w:rsid w:val="00B36410"/>
    <w:rsid w:val="00B36C9C"/>
    <w:rsid w:val="00B43EF9"/>
    <w:rsid w:val="00B445A3"/>
    <w:rsid w:val="00B46039"/>
    <w:rsid w:val="00B50370"/>
    <w:rsid w:val="00B513D9"/>
    <w:rsid w:val="00B52982"/>
    <w:rsid w:val="00B52B5E"/>
    <w:rsid w:val="00B61937"/>
    <w:rsid w:val="00B61D1B"/>
    <w:rsid w:val="00B61E8D"/>
    <w:rsid w:val="00B621F7"/>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892"/>
    <w:rsid w:val="00BA3A01"/>
    <w:rsid w:val="00BA4DBA"/>
    <w:rsid w:val="00BA5B34"/>
    <w:rsid w:val="00BA5FCB"/>
    <w:rsid w:val="00BA6A5A"/>
    <w:rsid w:val="00BB03A5"/>
    <w:rsid w:val="00BB0871"/>
    <w:rsid w:val="00BB13CC"/>
    <w:rsid w:val="00BB2C03"/>
    <w:rsid w:val="00BB3D95"/>
    <w:rsid w:val="00BB4BF1"/>
    <w:rsid w:val="00BB7D99"/>
    <w:rsid w:val="00BC5F8F"/>
    <w:rsid w:val="00BC691C"/>
    <w:rsid w:val="00BD1677"/>
    <w:rsid w:val="00BD52BA"/>
    <w:rsid w:val="00BD531B"/>
    <w:rsid w:val="00BD6198"/>
    <w:rsid w:val="00BD6D31"/>
    <w:rsid w:val="00BE1EC9"/>
    <w:rsid w:val="00BF08D7"/>
    <w:rsid w:val="00BF234D"/>
    <w:rsid w:val="00BF4BAD"/>
    <w:rsid w:val="00BF50A0"/>
    <w:rsid w:val="00C000F8"/>
    <w:rsid w:val="00C006AA"/>
    <w:rsid w:val="00C0324A"/>
    <w:rsid w:val="00C0605F"/>
    <w:rsid w:val="00C07596"/>
    <w:rsid w:val="00C076D6"/>
    <w:rsid w:val="00C11BA3"/>
    <w:rsid w:val="00C12244"/>
    <w:rsid w:val="00C12AF2"/>
    <w:rsid w:val="00C15369"/>
    <w:rsid w:val="00C20096"/>
    <w:rsid w:val="00C209B5"/>
    <w:rsid w:val="00C226C8"/>
    <w:rsid w:val="00C2308A"/>
    <w:rsid w:val="00C23278"/>
    <w:rsid w:val="00C255CD"/>
    <w:rsid w:val="00C27564"/>
    <w:rsid w:val="00C31E7B"/>
    <w:rsid w:val="00C32CAF"/>
    <w:rsid w:val="00C33E2F"/>
    <w:rsid w:val="00C34EB7"/>
    <w:rsid w:val="00C35D72"/>
    <w:rsid w:val="00C3638E"/>
    <w:rsid w:val="00C36DB9"/>
    <w:rsid w:val="00C448F9"/>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B90"/>
    <w:rsid w:val="00C925B6"/>
    <w:rsid w:val="00C93F01"/>
    <w:rsid w:val="00C954C1"/>
    <w:rsid w:val="00C9691A"/>
    <w:rsid w:val="00C97D28"/>
    <w:rsid w:val="00CA40FA"/>
    <w:rsid w:val="00CA62CD"/>
    <w:rsid w:val="00CB17BC"/>
    <w:rsid w:val="00CB1C5B"/>
    <w:rsid w:val="00CB23A3"/>
    <w:rsid w:val="00CB24F1"/>
    <w:rsid w:val="00CB5EC2"/>
    <w:rsid w:val="00CC2691"/>
    <w:rsid w:val="00CC2F63"/>
    <w:rsid w:val="00CC50AB"/>
    <w:rsid w:val="00CC5F6B"/>
    <w:rsid w:val="00CC7DC9"/>
    <w:rsid w:val="00CD1EB7"/>
    <w:rsid w:val="00CD24B7"/>
    <w:rsid w:val="00CD64F8"/>
    <w:rsid w:val="00CD67F2"/>
    <w:rsid w:val="00CE09EE"/>
    <w:rsid w:val="00CE3E26"/>
    <w:rsid w:val="00D00568"/>
    <w:rsid w:val="00D01A62"/>
    <w:rsid w:val="00D0269A"/>
    <w:rsid w:val="00D05AA5"/>
    <w:rsid w:val="00D105DF"/>
    <w:rsid w:val="00D124FC"/>
    <w:rsid w:val="00D14143"/>
    <w:rsid w:val="00D167AB"/>
    <w:rsid w:val="00D16EE3"/>
    <w:rsid w:val="00D17D13"/>
    <w:rsid w:val="00D2288F"/>
    <w:rsid w:val="00D23867"/>
    <w:rsid w:val="00D26183"/>
    <w:rsid w:val="00D34BC3"/>
    <w:rsid w:val="00D366FF"/>
    <w:rsid w:val="00D3673D"/>
    <w:rsid w:val="00D40CB5"/>
    <w:rsid w:val="00D445EE"/>
    <w:rsid w:val="00D44E23"/>
    <w:rsid w:val="00D462B5"/>
    <w:rsid w:val="00D467B3"/>
    <w:rsid w:val="00D518E6"/>
    <w:rsid w:val="00D57CA5"/>
    <w:rsid w:val="00D57E7A"/>
    <w:rsid w:val="00D60EDE"/>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4C7A"/>
    <w:rsid w:val="00DB74FF"/>
    <w:rsid w:val="00DC6235"/>
    <w:rsid w:val="00DD0B68"/>
    <w:rsid w:val="00DD0BD2"/>
    <w:rsid w:val="00DD1A61"/>
    <w:rsid w:val="00DD1F6F"/>
    <w:rsid w:val="00DD3590"/>
    <w:rsid w:val="00DD58AF"/>
    <w:rsid w:val="00DD78BC"/>
    <w:rsid w:val="00DE0118"/>
    <w:rsid w:val="00DE3484"/>
    <w:rsid w:val="00DE4C3A"/>
    <w:rsid w:val="00DE4DC5"/>
    <w:rsid w:val="00DE50D1"/>
    <w:rsid w:val="00DE53BB"/>
    <w:rsid w:val="00DE5D7F"/>
    <w:rsid w:val="00DE5FF9"/>
    <w:rsid w:val="00DE6901"/>
    <w:rsid w:val="00DF035D"/>
    <w:rsid w:val="00DF0A35"/>
    <w:rsid w:val="00DF0F0D"/>
    <w:rsid w:val="00DF167B"/>
    <w:rsid w:val="00DF47C3"/>
    <w:rsid w:val="00DF7373"/>
    <w:rsid w:val="00E02253"/>
    <w:rsid w:val="00E0301C"/>
    <w:rsid w:val="00E07950"/>
    <w:rsid w:val="00E13CC7"/>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35C4"/>
    <w:rsid w:val="00E53B05"/>
    <w:rsid w:val="00E54E5C"/>
    <w:rsid w:val="00E5601C"/>
    <w:rsid w:val="00E56450"/>
    <w:rsid w:val="00E60463"/>
    <w:rsid w:val="00E60809"/>
    <w:rsid w:val="00E60D56"/>
    <w:rsid w:val="00E66D85"/>
    <w:rsid w:val="00E706D9"/>
    <w:rsid w:val="00E72322"/>
    <w:rsid w:val="00E724D9"/>
    <w:rsid w:val="00E744D6"/>
    <w:rsid w:val="00E75928"/>
    <w:rsid w:val="00E771A2"/>
    <w:rsid w:val="00E77EB2"/>
    <w:rsid w:val="00E801FD"/>
    <w:rsid w:val="00E8058A"/>
    <w:rsid w:val="00E811FD"/>
    <w:rsid w:val="00E8280A"/>
    <w:rsid w:val="00E90278"/>
    <w:rsid w:val="00E91E88"/>
    <w:rsid w:val="00E927DF"/>
    <w:rsid w:val="00E934A4"/>
    <w:rsid w:val="00E93856"/>
    <w:rsid w:val="00E942A4"/>
    <w:rsid w:val="00EA2189"/>
    <w:rsid w:val="00EA2A9B"/>
    <w:rsid w:val="00EA355B"/>
    <w:rsid w:val="00EA5235"/>
    <w:rsid w:val="00EA64D7"/>
    <w:rsid w:val="00EB3985"/>
    <w:rsid w:val="00EB50A6"/>
    <w:rsid w:val="00EB702A"/>
    <w:rsid w:val="00EB75B1"/>
    <w:rsid w:val="00EC05D0"/>
    <w:rsid w:val="00EC23B0"/>
    <w:rsid w:val="00EC462A"/>
    <w:rsid w:val="00EC66F6"/>
    <w:rsid w:val="00ED04DF"/>
    <w:rsid w:val="00ED1002"/>
    <w:rsid w:val="00ED15B5"/>
    <w:rsid w:val="00ED2F14"/>
    <w:rsid w:val="00EE1338"/>
    <w:rsid w:val="00EE3ADF"/>
    <w:rsid w:val="00EE50ED"/>
    <w:rsid w:val="00EE6D3A"/>
    <w:rsid w:val="00EE74FE"/>
    <w:rsid w:val="00EF37DA"/>
    <w:rsid w:val="00F017E8"/>
    <w:rsid w:val="00F0524A"/>
    <w:rsid w:val="00F14CFB"/>
    <w:rsid w:val="00F167A8"/>
    <w:rsid w:val="00F16DAA"/>
    <w:rsid w:val="00F208CA"/>
    <w:rsid w:val="00F21225"/>
    <w:rsid w:val="00F2389B"/>
    <w:rsid w:val="00F23F73"/>
    <w:rsid w:val="00F25D9B"/>
    <w:rsid w:val="00F26D98"/>
    <w:rsid w:val="00F30783"/>
    <w:rsid w:val="00F32A69"/>
    <w:rsid w:val="00F337F3"/>
    <w:rsid w:val="00F3611E"/>
    <w:rsid w:val="00F36575"/>
    <w:rsid w:val="00F44FC0"/>
    <w:rsid w:val="00F471C8"/>
    <w:rsid w:val="00F510F4"/>
    <w:rsid w:val="00F55232"/>
    <w:rsid w:val="00F56251"/>
    <w:rsid w:val="00F60787"/>
    <w:rsid w:val="00F61B43"/>
    <w:rsid w:val="00F61CA1"/>
    <w:rsid w:val="00F650EE"/>
    <w:rsid w:val="00F67671"/>
    <w:rsid w:val="00F71E9C"/>
    <w:rsid w:val="00F72300"/>
    <w:rsid w:val="00F745BB"/>
    <w:rsid w:val="00F746A5"/>
    <w:rsid w:val="00F74E9B"/>
    <w:rsid w:val="00F80B34"/>
    <w:rsid w:val="00F80E17"/>
    <w:rsid w:val="00F810D7"/>
    <w:rsid w:val="00F81449"/>
    <w:rsid w:val="00F828C2"/>
    <w:rsid w:val="00F82ABE"/>
    <w:rsid w:val="00F8368E"/>
    <w:rsid w:val="00F86983"/>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6414"/>
    <w:rsid w:val="00FD23A6"/>
    <w:rsid w:val="00FD3424"/>
    <w:rsid w:val="00FD37DA"/>
    <w:rsid w:val="00FD3ED3"/>
    <w:rsid w:val="00FD5E06"/>
    <w:rsid w:val="00FE2FE7"/>
    <w:rsid w:val="00FF096C"/>
    <w:rsid w:val="00FF13B8"/>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2.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H4P5ACNAWDMP-2-12604</_dlc_DocId>
    <_dlc_DocIdUrl xmlns="17c5c574-4f42-45b3-8a7f-77d8e859d074">
      <Url>https://projects.qualcomm.com/sites/LTED/_layouts/15/DocIdRedir.aspx?ID=H4P5ACNAWDMP-2-12604</Url>
      <Description>H4P5ACNAWDMP-2-12604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B5BA5A4B-71A7-424B-9DBB-ACFC64EB0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7FAE8734-7A43-4FA3-AFF5-ECA7D2687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3424</Words>
  <Characters>19522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Qualcomm User</cp:lastModifiedBy>
  <cp:revision>15</cp:revision>
  <dcterms:created xsi:type="dcterms:W3CDTF">2016-08-12T23:58:00Z</dcterms:created>
  <dcterms:modified xsi:type="dcterms:W3CDTF">2016-08-13T00:45:00Z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6d0ea2fd-6ac3-4122-b9e2-c4b493c430ff</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0x0101008A98423170284BEEB635F43C3CF4E98B00C295C80E1AC1FA4D858807D5CFC8A6BB</vt:lpwstr>
  </property>
</Properties>
</file>